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b/>
          <w:bCs/>
          <w:color w:val="auto"/>
          <w:sz w:val="84"/>
          <w:szCs w:val="24"/>
          <w:highlight w:val="none"/>
        </w:rPr>
      </w:pPr>
      <w:r>
        <w:rPr>
          <w:rFonts w:hint="eastAsia" w:ascii="宋体" w:hAnsi="宋体"/>
          <w:b/>
          <w:bCs/>
          <w:color w:val="auto"/>
          <w:sz w:val="84"/>
          <w:szCs w:val="24"/>
          <w:highlight w:val="none"/>
        </w:rPr>
      </w:r>
      <w:r/>
    </w:p>
    <w:p>
      <w:pPr>
        <w:jc w:val="center"/>
        <w:spacing w:before="120" w:after="120" w:line="360" w:lineRule="auto"/>
        <w:rPr>
          <w:rFonts w:hint="eastAsia" w:ascii="宋体" w:hAnsi="宋体"/>
          <w:b/>
          <w:bCs/>
          <w:color w:val="auto"/>
          <w:sz w:val="84"/>
          <w:szCs w:val="24"/>
          <w:highlight w:val="none"/>
        </w:rPr>
      </w:pPr>
      <w:r>
        <w:rPr>
          <w:rFonts w:hint="eastAsia" w:ascii="宋体" w:hAnsi="宋体"/>
          <w:b/>
          <w:bCs/>
          <w:color w:val="auto"/>
          <w:sz w:val="84"/>
          <w:szCs w:val="24"/>
          <w:highlight w:val="none"/>
        </w:rPr>
        <w:t xml:space="preserve">竞争性磋商文件</w:t>
      </w:r>
      <w:r/>
    </w:p>
    <w:p>
      <w:pPr>
        <w:jc w:val="both"/>
        <w:spacing w:before="120" w:after="120" w:line="360" w:lineRule="auto"/>
        <w:rPr>
          <w:rFonts w:hint="eastAsia" w:ascii="宋体" w:hAnsi="宋体"/>
          <w:b/>
          <w:bCs/>
          <w:color w:val="auto"/>
          <w:sz w:val="32"/>
          <w:szCs w:val="24"/>
          <w:highlight w:val="none"/>
        </w:rPr>
      </w:pPr>
      <w:r>
        <w:rPr>
          <w:rFonts w:hint="eastAsia" w:ascii="宋体" w:hAnsi="宋体"/>
          <w:b/>
          <w:bCs/>
          <w:color w:val="auto"/>
          <w:sz w:val="32"/>
          <w:szCs w:val="24"/>
          <w:highlight w:val="none"/>
        </w:rPr>
      </w:r>
      <w:r/>
    </w:p>
    <w:p>
      <w:pPr>
        <w:jc w:val="both"/>
        <w:spacing w:before="120" w:after="120" w:line="360" w:lineRule="auto"/>
        <w:rPr>
          <w:rFonts w:hint="eastAsia" w:ascii="宋体" w:hAnsi="宋体"/>
          <w:b/>
          <w:bCs/>
          <w:color w:val="auto"/>
          <w:sz w:val="36"/>
          <w:szCs w:val="28"/>
          <w:highlight w:val="none"/>
          <w:lang w:val="en-US" w:eastAsia="zh-CN"/>
        </w:rPr>
      </w:pPr>
      <w:r>
        <w:rPr>
          <w:rFonts w:hint="eastAsia" w:ascii="宋体" w:hAnsi="宋体"/>
          <w:b/>
          <w:bCs/>
          <w:color w:val="auto"/>
          <w:sz w:val="36"/>
          <w:szCs w:val="28"/>
          <w:highlight w:val="none"/>
        </w:rPr>
        <w:t xml:space="preserve">项目名称：</w:t>
      </w:r>
      <w:r>
        <w:rPr>
          <w:rFonts w:hint="eastAsia" w:ascii="宋体" w:hAnsi="宋体"/>
          <w:b/>
          <w:bCs/>
          <w:color w:val="auto"/>
          <w:sz w:val="36"/>
          <w:szCs w:val="28"/>
          <w:highlight w:val="none"/>
          <w:lang w:eastAsia="zh-CN"/>
        </w:rPr>
        <w:t xml:space="preserve">海安市教育体育局2026年全民健身场地设施采购项目</w:t>
      </w:r>
      <w:r/>
    </w:p>
    <w:p>
      <w:pPr>
        <w:jc w:val="both"/>
        <w:spacing w:before="120" w:after="120" w:line="360" w:lineRule="auto"/>
        <w:rPr>
          <w:rFonts w:ascii="宋体" w:hAnsi="宋体"/>
          <w:b/>
          <w:bCs/>
          <w:color w:val="auto"/>
          <w:sz w:val="32"/>
          <w:szCs w:val="24"/>
          <w:highlight w:val="none"/>
        </w:rPr>
      </w:pPr>
      <w:r>
        <w:rPr>
          <w:rFonts w:hint="eastAsia" w:ascii="宋体" w:hAnsi="宋体"/>
          <w:b/>
          <w:bCs/>
          <w:color w:val="auto"/>
          <w:sz w:val="36"/>
          <w:szCs w:val="28"/>
          <w:highlight w:val="none"/>
        </w:rPr>
        <w:t xml:space="preserve">项目编号：JSZC-320685-JSHS-C2026-0031</w:t>
      </w:r>
      <w:r>
        <w:rPr>
          <w:rFonts w:ascii="宋体" w:hAnsi="宋体"/>
          <w:b/>
          <w:bCs/>
          <w:color w:val="auto"/>
          <w:sz w:val="32"/>
          <w:szCs w:val="24"/>
          <w:highlight w:val="none"/>
        </w:rPr>
        <w:t xml:space="preserve">         </w:t>
      </w:r>
      <w:r/>
    </w:p>
    <w:p>
      <w:pPr>
        <w:ind w:firstLine="1470"/>
        <w:jc w:val="left"/>
        <w:spacing w:before="120" w:after="120" w:line="360" w:lineRule="auto"/>
        <w:rPr>
          <w:rFonts w:hint="eastAsia" w:ascii="宋体" w:hAnsi="宋体"/>
          <w:b/>
          <w:color w:val="auto"/>
          <w:sz w:val="30"/>
          <w:szCs w:val="30"/>
          <w:highlight w:val="none"/>
        </w:rPr>
      </w:pPr>
      <w:r>
        <w:rPr>
          <w:rFonts w:hint="eastAsia" w:ascii="宋体" w:hAnsi="宋体"/>
          <w:color w:val="auto"/>
          <w:szCs w:val="21"/>
          <w:highlight w:val="none"/>
        </w:rPr>
        <w:t xml:space="preserve">        </w:t>
      </w:r>
      <w:r>
        <w:rPr>
          <w:rFonts w:hint="eastAsia" w:ascii="宋体" w:hAnsi="宋体"/>
          <w:b/>
          <w:color w:val="auto"/>
          <w:sz w:val="30"/>
          <w:szCs w:val="30"/>
          <w:highlight w:val="none"/>
        </w:rPr>
        <w:t xml:space="preserve">     </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both"/>
        <w:spacing w:before="120" w:after="120" w:line="360" w:lineRule="auto"/>
        <w:rPr>
          <w:rFonts w:hint="eastAsia" w:ascii="宋体" w:hAnsi="宋体"/>
          <w:b/>
          <w:bCs/>
          <w:color w:val="auto"/>
          <w:sz w:val="32"/>
          <w:szCs w:val="24"/>
          <w:highlight w:val="none"/>
        </w:rPr>
      </w:pPr>
      <w:r>
        <w:rPr>
          <w:rFonts w:hint="eastAsia" w:ascii="宋体" w:hAnsi="宋体"/>
          <w:b/>
          <w:bCs/>
          <w:color w:val="auto"/>
          <w:sz w:val="32"/>
          <w:szCs w:val="24"/>
          <w:highlight w:val="none"/>
        </w:rPr>
      </w:r>
      <w:r/>
    </w:p>
    <w:p>
      <w:pPr>
        <w:jc w:val="center"/>
        <w:spacing w:before="120" w:after="120" w:line="360" w:lineRule="auto"/>
        <w:rPr>
          <w:rFonts w:hint="eastAsia" w:ascii="宋体" w:hAnsi="宋体"/>
          <w:b/>
          <w:bCs/>
          <w:color w:val="auto"/>
          <w:sz w:val="32"/>
          <w:szCs w:val="24"/>
          <w:highlight w:val="none"/>
        </w:rPr>
      </w:pPr>
      <w:r>
        <w:rPr>
          <w:rFonts w:hint="eastAsia" w:ascii="宋体" w:hAnsi="宋体"/>
          <w:b/>
          <w:bCs/>
          <w:color w:val="auto"/>
          <w:sz w:val="32"/>
          <w:szCs w:val="24"/>
          <w:highlight w:val="none"/>
        </w:rPr>
      </w:r>
      <w:r/>
    </w:p>
    <w:p>
      <w:pPr>
        <w:jc w:val="center"/>
        <w:spacing w:before="120" w:after="120" w:line="360" w:lineRule="auto"/>
        <w:rPr>
          <w:rFonts w:hint="eastAsia" w:ascii="宋体" w:hAnsi="宋体" w:eastAsia="宋体"/>
          <w:b/>
          <w:bCs/>
          <w:color w:val="auto"/>
          <w:sz w:val="32"/>
          <w:szCs w:val="24"/>
          <w:highlight w:val="none"/>
          <w:lang w:eastAsia="zh-CN"/>
        </w:rPr>
      </w:pPr>
      <w:r>
        <w:rPr>
          <w:rFonts w:hint="eastAsia" w:ascii="宋体" w:hAnsi="宋体"/>
          <w:b/>
          <w:bCs/>
          <w:color w:val="auto"/>
          <w:sz w:val="32"/>
          <w:szCs w:val="24"/>
          <w:highlight w:val="none"/>
        </w:rPr>
        <w:t xml:space="preserve">采购人：</w:t>
      </w:r>
      <w:r>
        <w:rPr>
          <w:rFonts w:hint="eastAsia" w:ascii="宋体" w:hAnsi="宋体"/>
          <w:b/>
          <w:bCs/>
          <w:color w:val="auto"/>
          <w:sz w:val="32"/>
          <w:szCs w:val="24"/>
          <w:highlight w:val="none"/>
          <w:lang w:eastAsia="zh-CN"/>
        </w:rPr>
        <w:t xml:space="preserve">海安市教育体育局</w:t>
      </w:r>
      <w:r/>
    </w:p>
    <w:p>
      <w:pPr>
        <w:jc w:val="center"/>
        <w:spacing w:before="120" w:after="120" w:line="360" w:lineRule="auto"/>
        <w:rPr>
          <w:rFonts w:hint="eastAsia" w:ascii="宋体" w:hAnsi="宋体"/>
          <w:b/>
          <w:bCs/>
          <w:color w:val="auto"/>
          <w:sz w:val="32"/>
          <w:szCs w:val="24"/>
          <w:highlight w:val="none"/>
        </w:rPr>
      </w:pPr>
      <w:r>
        <w:rPr>
          <w:rFonts w:hint="eastAsia" w:ascii="宋体" w:hAnsi="宋体"/>
          <w:b/>
          <w:bCs/>
          <w:color w:val="auto"/>
          <w:sz w:val="32"/>
          <w:szCs w:val="24"/>
          <w:highlight w:val="none"/>
        </w:rPr>
        <w:t xml:space="preserve"> 2026年</w:t>
      </w:r>
      <w:r>
        <w:rPr>
          <w:rFonts w:hint="eastAsia" w:ascii="宋体" w:hAnsi="宋体"/>
          <w:b/>
          <w:bCs/>
          <w:color w:val="auto"/>
          <w:sz w:val="32"/>
          <w:szCs w:val="24"/>
          <w:highlight w:val="none"/>
          <w:lang w:val="en-US" w:eastAsia="zh-CN"/>
        </w:rPr>
        <w:t xml:space="preserve">8</w:t>
      </w:r>
      <w:r>
        <w:rPr>
          <w:rFonts w:hint="eastAsia" w:ascii="宋体" w:hAnsi="宋体"/>
          <w:b/>
          <w:bCs/>
          <w:color w:val="auto"/>
          <w:sz w:val="32"/>
          <w:szCs w:val="24"/>
          <w:highlight w:val="none"/>
        </w:rPr>
        <w:t xml:space="preserve">月</w:t>
      </w:r>
      <w:r/>
    </w:p>
    <w:p>
      <w:pPr>
        <w:jc w:val="left"/>
        <w:spacing w:before="120" w:after="120" w:line="360" w:lineRule="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                        </w:t>
      </w:r>
      <w:r/>
    </w:p>
    <w:p>
      <w:pPr>
        <w:jc w:val="center"/>
        <w:spacing w:line="480" w:lineRule="auto"/>
        <w:rPr>
          <w:rFonts w:ascii="宋体" w:hAnsi="宋体"/>
          <w:color w:val="auto"/>
          <w:szCs w:val="21"/>
          <w:highlight w:val="none"/>
        </w:rPr>
        <w:outlineLvl w:val="0"/>
      </w:pPr>
      <w:r>
        <w:rPr>
          <w:rFonts w:ascii="宋体" w:hAnsi="宋体"/>
          <w:color w:val="auto"/>
          <w:szCs w:val="21"/>
          <w:highlight w:val="none"/>
        </w:rPr>
        <w:br w:type="page" w:clear="all"/>
      </w:r>
      <w:bookmarkStart w:id="0" w:name="_Toc120614210"/>
      <w:r/>
      <w:bookmarkStart w:id="1" w:name="_Toc20823272"/>
      <w:r/>
      <w:bookmarkStart w:id="2" w:name="_Toc16938516"/>
      <w:r/>
      <w:bookmarkStart w:id="3" w:name="_Toc513029200"/>
      <w:r/>
      <w:bookmarkStart w:id="4" w:name="_Toc479757206"/>
      <w:r/>
      <w:bookmarkStart w:id="5" w:name="_Toc523127445"/>
      <w:r/>
      <w:r/>
    </w:p>
    <w:p>
      <w:pPr>
        <w:jc w:val="center"/>
        <w:spacing w:line="480" w:lineRule="auto"/>
        <w:rPr>
          <w:rFonts w:ascii="宋体" w:hAnsi="宋体"/>
          <w:color w:val="auto"/>
          <w:szCs w:val="21"/>
          <w:highlight w:val="none"/>
        </w:rPr>
        <w:outlineLvl w:val="0"/>
      </w:pPr>
      <w:r>
        <w:rPr>
          <w:rFonts w:hint="eastAsia" w:ascii="宋体" w:hAnsi="宋体"/>
          <w:b/>
          <w:color w:val="auto"/>
          <w:sz w:val="44"/>
          <w:szCs w:val="21"/>
          <w:highlight w:val="none"/>
        </w:rPr>
        <w:t xml:space="preserve">总  目  录</w:t>
      </w:r>
      <w:r/>
    </w:p>
    <w:p>
      <w:pPr>
        <w:spacing w:line="480" w:lineRule="auto"/>
        <w:rPr>
          <w:rFonts w:hint="eastAsia" w:ascii="宋体" w:hAnsi="宋体"/>
          <w:b/>
          <w:color w:val="auto"/>
          <w:sz w:val="28"/>
          <w:szCs w:val="21"/>
          <w:highlight w:val="none"/>
        </w:rPr>
      </w:pPr>
      <w:r>
        <w:rPr>
          <w:rFonts w:hint="eastAsia" w:ascii="宋体" w:hAnsi="宋体"/>
          <w:b/>
          <w:color w:val="auto"/>
          <w:sz w:val="28"/>
          <w:szCs w:val="21"/>
          <w:highlight w:val="none"/>
        </w:rPr>
      </w:r>
      <w:r/>
    </w:p>
    <w:p>
      <w:pPr>
        <w:numPr>
          <w:ilvl w:val="0"/>
          <w:numId w:val="1"/>
        </w:numPr>
        <w:spacing w:line="480" w:lineRule="auto"/>
        <w:rPr>
          <w:rFonts w:hint="eastAsia" w:ascii="宋体" w:hAnsi="宋体"/>
          <w:color w:val="auto"/>
          <w:sz w:val="32"/>
          <w:szCs w:val="21"/>
          <w:highlight w:val="none"/>
        </w:rPr>
        <w:outlineLvl w:val="0"/>
      </w:pPr>
      <w:r>
        <w:rPr>
          <w:rFonts w:hint="eastAsia" w:ascii="宋体" w:hAnsi="宋体"/>
          <w:color w:val="auto"/>
          <w:sz w:val="36"/>
          <w:szCs w:val="21"/>
          <w:highlight w:val="none"/>
        </w:rPr>
        <w:t xml:space="preserve">磋商邀请</w:t>
      </w:r>
      <w:r/>
    </w:p>
    <w:p>
      <w:pPr>
        <w:numPr>
          <w:ilvl w:val="0"/>
          <w:numId w:val="1"/>
        </w:numPr>
        <w:spacing w:line="480" w:lineRule="auto"/>
        <w:rPr>
          <w:rFonts w:hint="eastAsia" w:ascii="宋体" w:hAnsi="宋体"/>
          <w:color w:val="auto"/>
          <w:sz w:val="36"/>
          <w:szCs w:val="21"/>
          <w:highlight w:val="none"/>
        </w:rPr>
        <w:outlineLvl w:val="0"/>
      </w:pPr>
      <w:r>
        <w:rPr>
          <w:rFonts w:hint="eastAsia" w:ascii="宋体" w:hAnsi="宋体"/>
          <w:bCs/>
          <w:color w:val="auto"/>
          <w:sz w:val="36"/>
          <w:szCs w:val="36"/>
          <w:highlight w:val="none"/>
        </w:rPr>
        <w:t xml:space="preserve">供应商须知</w:t>
      </w:r>
      <w:r>
        <w:rPr>
          <w:rFonts w:hint="eastAsia" w:ascii="宋体" w:hAnsi="宋体"/>
          <w:color w:val="auto"/>
          <w:sz w:val="36"/>
          <w:szCs w:val="21"/>
          <w:highlight w:val="none"/>
        </w:rPr>
        <w:t xml:space="preserve"> </w:t>
      </w:r>
      <w:r/>
    </w:p>
    <w:p>
      <w:pPr>
        <w:numPr>
          <w:ilvl w:val="0"/>
          <w:numId w:val="1"/>
        </w:numPr>
        <w:spacing w:line="480" w:lineRule="auto"/>
        <w:rPr>
          <w:rFonts w:hint="eastAsia" w:ascii="宋体" w:hAnsi="宋体"/>
          <w:color w:val="auto"/>
          <w:sz w:val="36"/>
          <w:szCs w:val="21"/>
          <w:highlight w:val="none"/>
        </w:rPr>
        <w:outlineLvl w:val="0"/>
      </w:pPr>
      <w:r>
        <w:rPr>
          <w:rFonts w:hint="eastAsia" w:ascii="宋体" w:hAnsi="宋体"/>
          <w:color w:val="auto"/>
          <w:sz w:val="36"/>
          <w:szCs w:val="21"/>
          <w:highlight w:val="none"/>
        </w:rPr>
        <w:t xml:space="preserve">采购需求</w:t>
      </w:r>
      <w:r/>
    </w:p>
    <w:p>
      <w:pPr>
        <w:numPr>
          <w:ilvl w:val="0"/>
          <w:numId w:val="1"/>
        </w:numPr>
        <w:spacing w:line="480" w:lineRule="auto"/>
        <w:rPr>
          <w:rFonts w:hint="eastAsia" w:ascii="宋体" w:hAnsi="宋体"/>
          <w:color w:val="auto"/>
          <w:sz w:val="36"/>
          <w:szCs w:val="21"/>
          <w:highlight w:val="none"/>
        </w:rPr>
        <w:outlineLvl w:val="0"/>
      </w:pPr>
      <w:r>
        <w:rPr>
          <w:rFonts w:hint="eastAsia" w:ascii="宋体" w:hAnsi="宋体"/>
          <w:bCs/>
          <w:color w:val="auto"/>
          <w:sz w:val="36"/>
          <w:szCs w:val="36"/>
          <w:highlight w:val="none"/>
        </w:rPr>
        <w:t xml:space="preserve">评审方法与评审标准</w:t>
      </w:r>
      <w:r/>
    </w:p>
    <w:p>
      <w:pPr>
        <w:numPr>
          <w:ilvl w:val="0"/>
          <w:numId w:val="1"/>
        </w:numPr>
        <w:spacing w:line="480" w:lineRule="auto"/>
        <w:rPr>
          <w:rFonts w:hint="eastAsia" w:ascii="宋体" w:hAnsi="宋体"/>
          <w:color w:val="auto"/>
          <w:sz w:val="36"/>
          <w:szCs w:val="21"/>
          <w:highlight w:val="none"/>
        </w:rPr>
        <w:outlineLvl w:val="0"/>
      </w:pPr>
      <w:r>
        <w:rPr>
          <w:rFonts w:hint="eastAsia" w:ascii="宋体" w:hAnsi="宋体"/>
          <w:color w:val="auto"/>
          <w:sz w:val="36"/>
          <w:szCs w:val="21"/>
          <w:highlight w:val="none"/>
        </w:rPr>
        <w:t xml:space="preserve">响应文件格式</w:t>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bookmarkEnd w:id="0"/>
      <w:r/>
    </w:p>
    <w:p>
      <w:pPr>
        <w:jc w:val="both"/>
        <w:keepNext/>
        <w:spacing w:line="560" w:lineRule="exact"/>
        <w:rPr>
          <w:rFonts w:hint="eastAsia" w:ascii="宋体" w:hAnsi="宋体"/>
          <w:color w:val="auto"/>
          <w:sz w:val="44"/>
          <w:szCs w:val="44"/>
          <w:highlight w:val="none"/>
        </w:rPr>
        <w:outlineLvl w:val="0"/>
      </w:pPr>
      <w:r>
        <w:rPr>
          <w:rFonts w:hint="eastAsia" w:ascii="宋体" w:hAnsi="宋体"/>
          <w:color w:val="auto"/>
          <w:sz w:val="44"/>
          <w:szCs w:val="44"/>
          <w:highlight w:val="none"/>
        </w:rPr>
      </w:r>
      <w:r/>
    </w:p>
    <w:p>
      <w:pPr>
        <w:jc w:val="both"/>
        <w:keepNext/>
        <w:spacing w:line="560" w:lineRule="exact"/>
        <w:rPr>
          <w:rFonts w:hint="eastAsia" w:ascii="宋体" w:hAnsi="宋体"/>
          <w:color w:val="auto"/>
          <w:sz w:val="44"/>
          <w:szCs w:val="44"/>
          <w:highlight w:val="none"/>
        </w:rPr>
        <w:outlineLvl w:val="0"/>
      </w:pPr>
      <w:r>
        <w:rPr>
          <w:rFonts w:hint="eastAsia" w:ascii="宋体" w:hAnsi="宋体"/>
          <w:color w:val="auto"/>
          <w:sz w:val="44"/>
          <w:szCs w:val="44"/>
          <w:highlight w:val="none"/>
        </w:rPr>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center"/>
        <w:keepNext/>
        <w:spacing w:line="560" w:lineRule="exact"/>
        <w:rPr>
          <w:rFonts w:hint="eastAsia" w:ascii="宋体" w:hAnsi="宋体"/>
          <w:color w:val="auto"/>
          <w:sz w:val="44"/>
          <w:szCs w:val="44"/>
          <w:highlight w:val="none"/>
        </w:rPr>
        <w:outlineLvl w:val="0"/>
      </w:pPr>
      <w:r>
        <w:rPr>
          <w:rFonts w:hint="eastAsia" w:ascii="宋体" w:hAnsi="宋体"/>
          <w:color w:val="auto"/>
          <w:sz w:val="44"/>
          <w:szCs w:val="44"/>
          <w:highlight w:val="none"/>
        </w:rPr>
        <w:t xml:space="preserve">第一章  磋商邀请</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海安市教育体育局</w:t>
      </w:r>
      <w:r>
        <w:rPr>
          <w:rFonts w:hint="eastAsia" w:ascii="宋体" w:hAnsi="宋体"/>
          <w:color w:val="auto"/>
          <w:sz w:val="24"/>
          <w:szCs w:val="24"/>
          <w:highlight w:val="none"/>
        </w:rPr>
        <w:t xml:space="preserve">的委托，</w:t>
      </w:r>
      <w:r>
        <w:rPr>
          <w:rFonts w:hint="eastAsia" w:ascii="宋体" w:hAnsi="宋体"/>
          <w:color w:val="auto"/>
          <w:sz w:val="24"/>
          <w:szCs w:val="24"/>
          <w:highlight w:val="none"/>
          <w:lang w:eastAsia="zh-CN"/>
        </w:rPr>
        <w:t xml:space="preserve">江苏海审工程咨询有限公司</w:t>
      </w:r>
      <w:r>
        <w:rPr>
          <w:rFonts w:hint="eastAsia" w:ascii="宋体" w:hAnsi="宋体"/>
          <w:color w:val="auto"/>
          <w:sz w:val="24"/>
          <w:szCs w:val="24"/>
          <w:highlight w:val="none"/>
        </w:rPr>
        <w:t xml:space="preserve">就</w:t>
      </w:r>
      <w:r>
        <w:rPr>
          <w:rFonts w:hint="eastAsia" w:ascii="宋体" w:hAnsi="宋体"/>
          <w:color w:val="auto"/>
          <w:sz w:val="24"/>
          <w:szCs w:val="24"/>
          <w:highlight w:val="none"/>
          <w:lang w:eastAsia="zh-CN"/>
        </w:rPr>
        <w:t xml:space="preserve">海安市教育体育局2026年全民健身场地设施采购项目</w:t>
      </w:r>
      <w:r>
        <w:rPr>
          <w:rFonts w:hint="eastAsia" w:ascii="宋体" w:hAnsi="宋体"/>
          <w:color w:val="auto"/>
          <w:sz w:val="24"/>
          <w:szCs w:val="24"/>
          <w:highlight w:val="none"/>
        </w:rPr>
        <w:t xml:space="preserve">(项目编号：JSZC-320685-JSHS-C2026-0031)项目进行竞争性磋商采购，欢迎符合条件的供应商参加磋商。</w:t>
      </w:r>
      <w:r/>
    </w:p>
    <w:p>
      <w:pPr>
        <w:ind w:firstLine="480"/>
        <w:spacing w:line="560" w:lineRule="exact"/>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60" w:lineRule="exact"/>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海安市教育体育局2026年全民健身场地设施采购项目</w:t>
      </w:r>
      <w:r>
        <w:rPr>
          <w:rFonts w:hint="eastAsia" w:ascii="宋体" w:hAnsi="宋体"/>
          <w:color w:val="auto"/>
          <w:sz w:val="24"/>
          <w:szCs w:val="24"/>
          <w:highlight w:val="none"/>
        </w:rPr>
        <w:t xml:space="preserve">竞争性磋商项目的潜在供应商可在</w:t>
      </w:r>
      <w:r>
        <w:rPr>
          <w:rFonts w:hint="eastAsia" w:ascii="宋体" w:hAnsi="宋体"/>
          <w:color w:val="auto"/>
          <w:sz w:val="24"/>
          <w:szCs w:val="24"/>
          <w:highlight w:val="none"/>
          <w:u w:val="single"/>
        </w:rPr>
        <w:t xml:space="preserve">“江苏政府采购网”自行免费下载</w:t>
      </w:r>
      <w:r>
        <w:rPr>
          <w:rFonts w:hint="eastAsia" w:ascii="宋体" w:hAnsi="宋体"/>
          <w:color w:val="auto"/>
          <w:sz w:val="24"/>
          <w:szCs w:val="24"/>
          <w:highlight w:val="none"/>
        </w:rPr>
        <w:t xml:space="preserve">磋商文件，并于</w:t>
      </w:r>
      <w:r>
        <w:rPr>
          <w:rFonts w:hint="eastAsia" w:ascii="宋体" w:hAnsi="宋体"/>
          <w:color w:val="auto"/>
          <w:sz w:val="24"/>
          <w:szCs w:val="24"/>
          <w:highlight w:val="none"/>
          <w:u w:val="single"/>
        </w:rPr>
        <w:t xml:space="preserve">2026</w:t>
      </w:r>
      <w:r>
        <w:rPr>
          <w:rFonts w:hint="eastAsia" w:ascii="宋体" w:hAnsi="宋体"/>
          <w:bCs/>
          <w:color w:val="auto"/>
          <w:sz w:val="24"/>
          <w:szCs w:val="24"/>
          <w:highlight w:val="none"/>
          <w:u w:val="single"/>
        </w:rPr>
        <w:t xml:space="preserve">年</w:t>
      </w:r>
      <w:r>
        <w:rPr>
          <w:rFonts w:hint="eastAsia" w:ascii="宋体" w:hAnsi="宋体"/>
          <w:bCs/>
          <w:color w:val="auto"/>
          <w:sz w:val="24"/>
          <w:szCs w:val="24"/>
          <w:highlight w:val="none"/>
          <w:u w:val="single"/>
          <w:lang w:val="en-US" w:eastAsia="zh-CN"/>
        </w:rPr>
        <w:t xml:space="preserve">9</w:t>
      </w:r>
      <w:r>
        <w:rPr>
          <w:rFonts w:hint="eastAsia" w:ascii="宋体" w:hAnsi="宋体"/>
          <w:bCs/>
          <w:color w:val="auto"/>
          <w:sz w:val="24"/>
          <w:szCs w:val="24"/>
          <w:highlight w:val="none"/>
          <w:u w:val="single"/>
        </w:rPr>
        <w:t xml:space="preserve">月</w:t>
      </w:r>
      <w:r>
        <w:rPr>
          <w:rFonts w:hint="eastAsia" w:ascii="宋体" w:hAnsi="宋体"/>
          <w:bCs/>
          <w:color w:val="auto"/>
          <w:sz w:val="24"/>
          <w:szCs w:val="24"/>
          <w:highlight w:val="none"/>
          <w:u w:val="single"/>
          <w:lang w:val="en-US" w:eastAsia="zh-CN"/>
        </w:rPr>
        <w:t xml:space="preserve">7</w:t>
      </w:r>
      <w:r>
        <w:rPr>
          <w:rFonts w:hint="eastAsia" w:ascii="宋体" w:hAnsi="宋体"/>
          <w:bCs/>
          <w:color w:val="auto"/>
          <w:sz w:val="24"/>
          <w:szCs w:val="24"/>
          <w:highlight w:val="none"/>
          <w:u w:val="single"/>
        </w:rPr>
        <w:t xml:space="preserve">日</w:t>
      </w:r>
      <w:r>
        <w:rPr>
          <w:rFonts w:hint="eastAsia" w:ascii="宋体" w:hAnsi="宋体"/>
          <w:bCs/>
          <w:color w:val="auto"/>
          <w:sz w:val="24"/>
          <w:szCs w:val="24"/>
          <w:highlight w:val="none"/>
          <w:u w:val="single"/>
          <w:lang w:val="en-US" w:eastAsia="zh-CN"/>
        </w:rPr>
        <w:t xml:space="preserve">09</w:t>
      </w:r>
      <w:r>
        <w:rPr>
          <w:rFonts w:hint="eastAsia" w:ascii="宋体" w:hAnsi="宋体"/>
          <w:bCs/>
          <w:color w:val="auto"/>
          <w:sz w:val="24"/>
          <w:szCs w:val="24"/>
          <w:highlight w:val="none"/>
          <w:u w:val="single"/>
        </w:rPr>
        <w:t xml:space="preserve">点</w:t>
      </w:r>
      <w:r>
        <w:rPr>
          <w:rFonts w:hint="eastAsia" w:ascii="宋体" w:hAnsi="宋体"/>
          <w:bCs/>
          <w:color w:val="auto"/>
          <w:sz w:val="24"/>
          <w:szCs w:val="24"/>
          <w:highlight w:val="none"/>
          <w:u w:val="single"/>
          <w:lang w:val="en-US" w:eastAsia="zh-CN"/>
        </w:rPr>
        <w:t xml:space="preserve">0</w:t>
      </w:r>
      <w:r>
        <w:rPr>
          <w:rFonts w:hint="eastAsia" w:ascii="宋体" w:hAnsi="宋体"/>
          <w:bCs/>
          <w:color w:val="auto"/>
          <w:sz w:val="24"/>
          <w:szCs w:val="24"/>
          <w:highlight w:val="none"/>
          <w:u w:val="single"/>
        </w:rPr>
        <w:t xml:space="preserve">0分</w:t>
      </w:r>
      <w:r>
        <w:rPr>
          <w:rFonts w:hint="eastAsia" w:ascii="宋体" w:hAnsi="宋体"/>
          <w:bCs/>
          <w:color w:val="auto"/>
          <w:sz w:val="24"/>
          <w:szCs w:val="24"/>
          <w:highlight w:val="none"/>
          <w:u w:val="none"/>
        </w:rPr>
        <w:t xml:space="preserve">（</w:t>
      </w:r>
      <w:r>
        <w:rPr>
          <w:rFonts w:hint="eastAsia" w:ascii="宋体" w:hAnsi="宋体"/>
          <w:bCs/>
          <w:color w:val="auto"/>
          <w:sz w:val="24"/>
          <w:szCs w:val="24"/>
          <w:highlight w:val="none"/>
        </w:rPr>
        <w:t xml:space="preserve">北京时间）前递交响应文件</w:t>
      </w:r>
      <w:r>
        <w:rPr>
          <w:rFonts w:hint="eastAsia" w:ascii="宋体" w:hAnsi="宋体"/>
          <w:color w:val="auto"/>
          <w:sz w:val="24"/>
          <w:szCs w:val="24"/>
          <w:highlight w:val="none"/>
        </w:rPr>
        <w:t xml:space="preserve">。</w:t>
      </w:r>
      <w:r/>
    </w:p>
    <w:p>
      <w:pPr>
        <w:ind w:firstLine="498"/>
        <w:keepLines/>
        <w:keepNext/>
        <w:spacing w:line="560" w:lineRule="exact"/>
        <w:rPr>
          <w:rFonts w:ascii="宋体" w:hAnsi="宋体"/>
          <w:b/>
          <w:bCs/>
          <w:color w:val="auto"/>
          <w:sz w:val="32"/>
          <w:szCs w:val="32"/>
          <w:highlight w:val="none"/>
        </w:rPr>
        <w:outlineLvl w:val="2"/>
      </w:pPr>
      <w:r/>
      <w:bookmarkStart w:id="6" w:name="_Hlk24379207"/>
      <w:r/>
      <w:bookmarkStart w:id="7" w:name="_Toc35393790"/>
      <w:r/>
      <w:bookmarkStart w:id="8" w:name="_Toc28359002"/>
      <w:r/>
      <w:bookmarkStart w:id="9" w:name="_Toc35393621"/>
      <w:r/>
      <w:bookmarkStart w:id="10" w:name="_Toc28359079"/>
      <w:r/>
      <w:bookmarkStart w:id="11" w:name="_Toc38985263"/>
      <w:r>
        <w:rPr>
          <w:rFonts w:hint="eastAsia" w:ascii="宋体" w:hAnsi="宋体"/>
          <w:b/>
          <w:bCs/>
          <w:color w:val="auto"/>
          <w:sz w:val="32"/>
          <w:szCs w:val="32"/>
          <w:highlight w:val="none"/>
        </w:rPr>
        <w:t xml:space="preserve">一、项目基本情况</w:t>
      </w:r>
      <w:bookmarkEnd w:id="6"/>
      <w:r/>
      <w:bookmarkEnd w:id="7"/>
      <w:r/>
      <w:bookmarkEnd w:id="8"/>
      <w:r/>
      <w:bookmarkEnd w:id="9"/>
      <w:r/>
      <w:bookmarkEnd w:id="10"/>
      <w:r/>
      <w:bookmarkEnd w:id="11"/>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1.项目编号：JSZC-320685-JSHS-C2026-0031</w:t>
      </w:r>
      <w:r/>
    </w:p>
    <w:p>
      <w:pPr>
        <w:ind w:firstLine="480"/>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海安市教育体育局2026年全民健身场地设施采购项目</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3.项目类型：货物</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4.项目行业：工业</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5.预算金额：</w:t>
      </w:r>
      <w:r>
        <w:rPr>
          <w:rFonts w:hint="eastAsia" w:ascii="宋体" w:hAnsi="宋体"/>
          <w:color w:val="auto"/>
          <w:sz w:val="24"/>
          <w:szCs w:val="24"/>
          <w:highlight w:val="none"/>
          <w:lang w:val="en-US" w:eastAsia="zh-CN"/>
        </w:rPr>
        <w:t xml:space="preserve">200</w:t>
      </w:r>
      <w:r>
        <w:rPr>
          <w:rFonts w:hint="eastAsia" w:ascii="宋体" w:hAnsi="宋体"/>
          <w:color w:val="auto"/>
          <w:sz w:val="24"/>
          <w:szCs w:val="24"/>
          <w:highlight w:val="none"/>
        </w:rPr>
        <w:t xml:space="preserve">万元。</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6.最高限价：</w:t>
      </w:r>
      <w:r>
        <w:rPr>
          <w:rFonts w:hint="eastAsia" w:ascii="宋体" w:hAnsi="宋体"/>
          <w:color w:val="auto"/>
          <w:sz w:val="24"/>
          <w:szCs w:val="24"/>
          <w:highlight w:val="none"/>
          <w:lang w:val="en-US" w:eastAsia="zh-CN"/>
        </w:rPr>
        <w:t xml:space="preserve">包一为一代健身路径采购，</w:t>
      </w:r>
      <w:r>
        <w:rPr>
          <w:rFonts w:hint="eastAsia" w:ascii="宋体" w:hAnsi="宋体"/>
          <w:color w:val="auto"/>
          <w:sz w:val="24"/>
          <w:szCs w:val="24"/>
          <w:highlight w:val="none"/>
        </w:rPr>
        <w:t xml:space="preserve">最高限价为63万元，</w:t>
      </w:r>
      <w:r>
        <w:rPr>
          <w:rFonts w:hint="eastAsia" w:ascii="宋体" w:hAnsi="宋体"/>
          <w:color w:val="auto"/>
          <w:sz w:val="24"/>
          <w:szCs w:val="24"/>
          <w:highlight w:val="none"/>
          <w:lang w:val="en-US" w:eastAsia="zh-CN"/>
        </w:rPr>
        <w:t xml:space="preserve">包</w:t>
      </w:r>
      <w:r>
        <w:rPr>
          <w:rFonts w:hint="eastAsia" w:ascii="宋体" w:hAnsi="宋体"/>
          <w:color w:val="auto"/>
          <w:sz w:val="24"/>
          <w:szCs w:val="24"/>
          <w:highlight w:val="none"/>
        </w:rPr>
        <w:t xml:space="preserve">二</w:t>
      </w:r>
      <w:r>
        <w:rPr>
          <w:rFonts w:hint="eastAsia" w:ascii="宋体" w:hAnsi="宋体"/>
          <w:color w:val="auto"/>
          <w:sz w:val="24"/>
          <w:szCs w:val="24"/>
          <w:highlight w:val="none"/>
          <w:lang w:val="en-US" w:eastAsia="zh-CN"/>
        </w:rPr>
        <w:t xml:space="preserve">为笼式篮球场采购，</w:t>
      </w:r>
      <w:r>
        <w:rPr>
          <w:rFonts w:hint="eastAsia" w:ascii="宋体" w:hAnsi="宋体"/>
          <w:color w:val="auto"/>
          <w:sz w:val="24"/>
          <w:szCs w:val="24"/>
          <w:highlight w:val="none"/>
        </w:rPr>
        <w:t xml:space="preserve">最高限价为</w:t>
      </w:r>
      <w:r>
        <w:rPr>
          <w:rFonts w:hint="eastAsia" w:ascii="宋体" w:hAnsi="宋体"/>
          <w:color w:val="auto"/>
          <w:sz w:val="24"/>
          <w:szCs w:val="24"/>
          <w:highlight w:val="none"/>
          <w:lang w:val="en-US" w:eastAsia="zh-CN"/>
        </w:rPr>
        <w:t xml:space="preserve">128</w:t>
      </w:r>
      <w:r>
        <w:rPr>
          <w:rFonts w:hint="eastAsia" w:ascii="宋体" w:hAnsi="宋体"/>
          <w:color w:val="auto"/>
          <w:sz w:val="24"/>
          <w:szCs w:val="24"/>
          <w:highlight w:val="none"/>
        </w:rPr>
        <w:t xml:space="preserve">万元，报价超过最高限价的将作为无效响应处理。</w:t>
      </w:r>
      <w:r/>
    </w:p>
    <w:p>
      <w:pPr>
        <w:ind w:firstLine="480"/>
        <w:spacing w:line="560" w:lineRule="exact"/>
        <w:rPr>
          <w:rFonts w:ascii="宋体" w:hAnsi="宋体" w:cs="宋体"/>
          <w:color w:val="auto"/>
          <w:sz w:val="24"/>
          <w:szCs w:val="24"/>
          <w:highlight w:val="none"/>
        </w:rPr>
      </w:pPr>
      <w:r>
        <w:rPr>
          <w:rFonts w:hint="eastAsia" w:ascii="宋体" w:hAnsi="宋体"/>
          <w:color w:val="auto"/>
          <w:sz w:val="24"/>
          <w:szCs w:val="24"/>
          <w:highlight w:val="none"/>
        </w:rPr>
        <w:t xml:space="preserve">7.采购需求：</w:t>
      </w:r>
      <w:r>
        <w:rPr>
          <w:rFonts w:hint="eastAsia" w:ascii="宋体" w:hAnsi="宋体" w:cs="宋体"/>
          <w:color w:val="auto"/>
          <w:sz w:val="24"/>
          <w:szCs w:val="24"/>
          <w:highlight w:val="none"/>
        </w:rPr>
        <w:t xml:space="preserve">详细内容见本采购文件第三章，</w:t>
      </w:r>
      <w:r>
        <w:rPr>
          <w:rFonts w:ascii="宋体" w:hAnsi="宋体" w:cs="宋体"/>
          <w:color w:val="auto"/>
          <w:sz w:val="24"/>
          <w:szCs w:val="24"/>
          <w:highlight w:val="none"/>
        </w:rPr>
        <w:t xml:space="preserve">请仔细研究。</w:t>
      </w:r>
      <w:r/>
    </w:p>
    <w:p>
      <w:pPr>
        <w:ind w:firstLine="480"/>
        <w:spacing w:line="56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8.合同履行期限：详见磋商文件</w:t>
      </w:r>
      <w:r/>
    </w:p>
    <w:p>
      <w:pPr>
        <w:ind w:firstLine="498"/>
        <w:keepLines/>
        <w:keepNext/>
        <w:spacing w:line="560" w:lineRule="exact"/>
        <w:rPr>
          <w:rFonts w:ascii="宋体" w:hAnsi="宋体"/>
          <w:b/>
          <w:bCs/>
          <w:color w:val="auto"/>
          <w:sz w:val="32"/>
          <w:szCs w:val="32"/>
          <w:highlight w:val="none"/>
        </w:rPr>
        <w:outlineLvl w:val="2"/>
      </w:pPr>
      <w:r/>
      <w:bookmarkStart w:id="12" w:name="_Toc35393791"/>
      <w:r/>
      <w:bookmarkStart w:id="13" w:name="_Toc35393622"/>
      <w:r/>
      <w:bookmarkStart w:id="14" w:name="_Toc28359080"/>
      <w:r/>
      <w:bookmarkStart w:id="15" w:name="_Toc38985264"/>
      <w:r/>
      <w:bookmarkStart w:id="16" w:name="_Toc28359003"/>
      <w:r>
        <w:rPr>
          <w:rFonts w:hint="eastAsia" w:ascii="宋体" w:hAnsi="宋体"/>
          <w:b/>
          <w:bCs/>
          <w:color w:val="auto"/>
          <w:sz w:val="32"/>
          <w:szCs w:val="32"/>
          <w:highlight w:val="none"/>
        </w:rPr>
        <w:t xml:space="preserve">二、申请人的资格要求：</w:t>
      </w:r>
      <w:bookmarkEnd w:id="12"/>
      <w:r/>
      <w:bookmarkEnd w:id="13"/>
      <w:r/>
      <w:bookmarkEnd w:id="14"/>
      <w:r/>
      <w:bookmarkEnd w:id="15"/>
      <w:r/>
      <w:bookmarkEnd w:id="16"/>
      <w:r/>
      <w:r/>
    </w:p>
    <w:p>
      <w:pPr>
        <w:ind w:firstLine="480"/>
        <w:spacing w:line="560" w:lineRule="exact"/>
        <w:rPr>
          <w:rFonts w:hint="eastAsia" w:ascii="宋体" w:hAnsi="宋体"/>
          <w:color w:val="auto"/>
          <w:sz w:val="24"/>
          <w:szCs w:val="24"/>
          <w:highlight w:val="none"/>
        </w:rPr>
      </w:pPr>
      <w:r/>
      <w:bookmarkStart w:id="17" w:name="_Toc35393623"/>
      <w:r/>
      <w:bookmarkStart w:id="18" w:name="_Toc28359004"/>
      <w:r/>
      <w:bookmarkStart w:id="19" w:name="_Toc35393792"/>
      <w:r/>
      <w:bookmarkStart w:id="20" w:name="_Toc38985265"/>
      <w:r/>
      <w:bookmarkStart w:id="21" w:name="_Toc28359081"/>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满足《中华人民共和国政府采购法》第二十二条规定，并提供相关材料：</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(1)法人或者其他组织的营业执照等证明文件，自然人的身份证明； </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(2)上一年度的财务状况报告（提供参加本次开标前的会计报表，必须含资产负债表、利润表等证明材料，成立不满一年不需提供）；</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(3)依法缴纳税收和社会保障资金的相关材料（提供依法缴纳税收和基本养老保险等相关材料，应由税务、社保或银行部门出具；供应商依法享受缓缴、免缴税收、社会保障资金的提供证明材料）；</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(4)具备履行合同所必需的设备和专业技术能力的证明材料（提供承诺书）； </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(5)参加政府采购活动前3年内在经营活动中没有重大违法记录的书面声明（提供书面声明）；</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(6)法律、行政法规规定的其他条件。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2.落实政府采购政策需满足的资格要求：本项目专门面向中小企业采购（须按照财库〔2020〕46 号文要求提供中小企业声明函。）</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w:t>
      </w:r>
      <w:bookmarkStart w:id="22" w:name="OLE_LINK82"/>
      <w:r/>
      <w:bookmarkStart w:id="23" w:name="OLE_LINK81"/>
      <w:r>
        <w:rPr>
          <w:rFonts w:hint="eastAsia" w:ascii="宋体" w:hAnsi="宋体"/>
          <w:color w:val="auto"/>
          <w:sz w:val="24"/>
          <w:szCs w:val="24"/>
          <w:highlight w:val="none"/>
        </w:rPr>
        <w:t xml:space="preserve">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bookmarkEnd w:id="22"/>
      <w:r/>
      <w:bookmarkEnd w:id="23"/>
      <w:r>
        <w:rPr>
          <w:rFonts w:hint="eastAsia" w:ascii="宋体" w:hAnsi="宋体"/>
          <w:color w:val="auto"/>
          <w:sz w:val="24"/>
          <w:szCs w:val="24"/>
          <w:highlight w:val="none"/>
        </w:rPr>
        <w:t xml:space="preserve">。</w:t>
      </w:r>
      <w:r>
        <w:rPr>
          <w:rFonts w:hint="eastAsia" w:ascii="宋体" w:hAnsi="宋体"/>
          <w:b/>
          <w:color w:val="auto"/>
          <w:sz w:val="24"/>
          <w:szCs w:val="24"/>
          <w:highlight w:val="none"/>
        </w:rPr>
        <w:t xml:space="preserve">（提供承诺函，格式详见附件）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4.本项目不接受联合体投标。</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5.本项目不接受进口产品投标。</w:t>
      </w:r>
      <w:r/>
    </w:p>
    <w:p>
      <w:pPr>
        <w:ind w:firstLine="480"/>
        <w:spacing w:line="560" w:lineRule="exact"/>
        <w:rPr>
          <w:rFonts w:ascii="宋体" w:hAnsi="宋体" w:cs="宋体"/>
          <w:color w:val="auto"/>
          <w:sz w:val="24"/>
          <w:szCs w:val="24"/>
          <w:highlight w:val="none"/>
        </w:rPr>
      </w:pPr>
      <w:r>
        <w:rPr>
          <w:rFonts w:hint="eastAsia" w:ascii="宋体" w:hAnsi="宋体"/>
          <w:color w:val="auto"/>
          <w:sz w:val="24"/>
          <w:szCs w:val="24"/>
          <w:highlight w:val="none"/>
        </w:rPr>
        <w:t xml:space="preserve">6.本项目不接受分包。</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（二）本项目的特定资格要求：无。</w:t>
      </w:r>
      <w:r/>
    </w:p>
    <w:p>
      <w:pPr>
        <w:ind w:firstLine="498"/>
        <w:keepLines/>
        <w:keepNext/>
        <w:spacing w:line="560" w:lineRule="exact"/>
        <w:rPr>
          <w:rFonts w:ascii="宋体" w:hAnsi="宋体"/>
          <w:b/>
          <w:bCs/>
          <w:color w:val="auto"/>
          <w:sz w:val="32"/>
          <w:szCs w:val="32"/>
          <w:highlight w:val="none"/>
        </w:rPr>
        <w:outlineLvl w:val="2"/>
      </w:pPr>
      <w:r>
        <w:rPr>
          <w:rFonts w:hint="eastAsia" w:ascii="宋体" w:hAnsi="宋体"/>
          <w:b/>
          <w:bCs/>
          <w:color w:val="auto"/>
          <w:sz w:val="32"/>
          <w:szCs w:val="32"/>
          <w:highlight w:val="none"/>
        </w:rPr>
        <w:t xml:space="preserve">三、获取</w:t>
      </w:r>
      <w:bookmarkEnd w:id="17"/>
      <w:r/>
      <w:bookmarkEnd w:id="18"/>
      <w:r/>
      <w:bookmarkEnd w:id="19"/>
      <w:r/>
      <w:bookmarkEnd w:id="20"/>
      <w:r/>
      <w:bookmarkEnd w:id="21"/>
      <w:r>
        <w:rPr>
          <w:rFonts w:hint="eastAsia" w:ascii="宋体" w:hAnsi="宋体"/>
          <w:b/>
          <w:bCs/>
          <w:color w:val="auto"/>
          <w:sz w:val="32"/>
          <w:szCs w:val="32"/>
          <w:highlight w:val="none"/>
        </w:rPr>
        <w:t xml:space="preserve">磋商文件</w:t>
      </w:r>
      <w:r/>
    </w:p>
    <w:p>
      <w:pPr>
        <w:ind w:firstLine="540"/>
        <w:spacing w:line="560" w:lineRule="exact"/>
        <w:rPr>
          <w:rFonts w:ascii="宋体" w:hAnsi="宋体" w:cs="宋体"/>
          <w:b/>
          <w:color w:val="auto"/>
          <w:sz w:val="24"/>
          <w:szCs w:val="24"/>
          <w:highlight w:val="none"/>
        </w:rPr>
      </w:pPr>
      <w:r/>
      <w:bookmarkStart w:id="24" w:name="_Toc28359082"/>
      <w:r/>
      <w:bookmarkStart w:id="25" w:name="_Toc28359005"/>
      <w:r/>
      <w:bookmarkStart w:id="26" w:name="_Toc35393624"/>
      <w:r/>
      <w:bookmarkStart w:id="27" w:name="_Toc35393793"/>
      <w:r/>
      <w:bookmarkStart w:id="28" w:name="_Toc38985266"/>
      <w:r>
        <w:rPr>
          <w:rFonts w:hint="eastAsia" w:ascii="宋体" w:hAnsi="宋体" w:cs="宋体"/>
          <w:color w:val="auto"/>
          <w:sz w:val="24"/>
          <w:szCs w:val="24"/>
          <w:highlight w:val="none"/>
        </w:rPr>
        <w:t xml:space="preserve">1.时间：2026年</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月28</w:t>
      </w:r>
      <w:r>
        <w:rPr>
          <w:rFonts w:hint="eastAsia" w:ascii="宋体" w:hAnsi="宋体" w:cs="宋体"/>
          <w:color w:val="auto"/>
          <w:sz w:val="24"/>
          <w:szCs w:val="24"/>
          <w:highlight w:val="none"/>
        </w:rPr>
        <w:t xml:space="preserve">日至2026年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日（提供期限自本公告发布之日起不得少于5个工作日）。</w:t>
      </w:r>
      <w:r/>
    </w:p>
    <w:p>
      <w:pPr>
        <w:ind w:firstLine="54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2.方式：在“江苏政府采购网”自行免费下载磋商文件。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3.获取方式：本项目采用网上注册登记方式。</w:t>
      </w:r>
      <w:r/>
    </w:p>
    <w:p>
      <w:pPr>
        <w:ind w:firstLine="54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3.1潜在供应商访问电子招标响应交易平台的网络地址和方法：</w:t>
      </w:r>
      <w:r/>
    </w:p>
    <w:p>
      <w:pPr>
        <w:ind w:firstLine="54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54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3.2潜在供应商访问“苏采云”系统的网络地址和方法：“苏采云”系统的网址：http://jszfcg.jsczt.cn/。</w:t>
      </w:r>
      <w:r/>
    </w:p>
    <w:p>
      <w:pPr>
        <w:ind w:firstLine="54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3.3“CA数字证书”的获取：</w:t>
      </w:r>
      <w:r/>
    </w:p>
    <w:p>
      <w:pPr>
        <w:ind w:firstLine="54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供应商需办理“CA 数字证书”，CA办理指南及“苏采云”操作手册可至江苏省政府采购网—办事指南-资料下载中心下载。</w:t>
      </w:r>
      <w:r/>
    </w:p>
    <w:p>
      <w:pPr>
        <w:ind w:firstLine="54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3.4采购文件（后缀名为“.kedt”）、供应商操作手册及政府采购客户端工具可通过“苏采云”系统--已报名项目--报名详情页面内相应链接进行下载。</w:t>
      </w:r>
      <w:r/>
    </w:p>
    <w:p>
      <w:pPr>
        <w:ind w:firstLine="54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3.5招标代理机构（采购代理机构）将数据电文形式的采购文件加载至“苏采云”系统，供潜在供应商下载或者查阅。  </w:t>
      </w:r>
      <w:r/>
    </w:p>
    <w:p>
      <w:pPr>
        <w:ind w:firstLine="54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3.6请潜在供应商提前安装相应的控件（详见《江苏省政府采购管理交易系统（苏采云）供应商操作手册》）并使用谷歌浏览器登录“苏采云”系统参与不见面开评标。</w:t>
      </w:r>
      <w:r/>
    </w:p>
    <w:p>
      <w:pPr>
        <w:ind w:firstLine="498"/>
        <w:keepLines/>
        <w:keepNext/>
        <w:spacing w:line="560" w:lineRule="exact"/>
        <w:rPr>
          <w:rFonts w:ascii="宋体" w:hAnsi="宋体"/>
          <w:b/>
          <w:bCs/>
          <w:color w:val="auto"/>
          <w:sz w:val="32"/>
          <w:szCs w:val="32"/>
          <w:highlight w:val="none"/>
        </w:rPr>
        <w:outlineLvl w:val="2"/>
      </w:pPr>
      <w:r>
        <w:rPr>
          <w:rFonts w:hint="eastAsia" w:ascii="宋体" w:hAnsi="宋体"/>
          <w:b/>
          <w:bCs/>
          <w:color w:val="auto"/>
          <w:sz w:val="32"/>
          <w:szCs w:val="32"/>
          <w:highlight w:val="none"/>
        </w:rPr>
        <w:t xml:space="preserve">四、提交</w:t>
      </w:r>
      <w:bookmarkEnd w:id="24"/>
      <w:r/>
      <w:bookmarkEnd w:id="25"/>
      <w:r>
        <w:rPr>
          <w:rFonts w:hint="eastAsia" w:ascii="宋体" w:hAnsi="宋体"/>
          <w:b/>
          <w:bCs/>
          <w:color w:val="auto"/>
          <w:sz w:val="32"/>
          <w:szCs w:val="32"/>
          <w:highlight w:val="none"/>
        </w:rPr>
        <w:t xml:space="preserve">响应文件截止时间</w:t>
      </w:r>
      <w:bookmarkEnd w:id="26"/>
      <w:r/>
      <w:bookmarkEnd w:id="27"/>
      <w:r/>
      <w:bookmarkEnd w:id="28"/>
      <w:r/>
      <w:r/>
    </w:p>
    <w:p>
      <w:pPr>
        <w:ind w:firstLine="480"/>
        <w:spacing w:line="560" w:lineRule="exact"/>
        <w:rPr>
          <w:rFonts w:hint="eastAsia" w:ascii="宋体" w:hAnsi="宋体" w:cs="宋体"/>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u w:val="single"/>
        </w:rPr>
        <w:t xml:space="preserve">2026年</w:t>
      </w:r>
      <w:r>
        <w:rPr>
          <w:rFonts w:hint="eastAsia" w:ascii="宋体" w:hAnsi="宋体"/>
          <w:bCs/>
          <w:color w:val="auto"/>
          <w:sz w:val="24"/>
          <w:szCs w:val="24"/>
          <w:highlight w:val="none"/>
          <w:u w:val="single"/>
          <w:lang w:val="en-US" w:eastAsia="zh-CN"/>
        </w:rPr>
        <w:t xml:space="preserve">9</w:t>
      </w:r>
      <w:r>
        <w:rPr>
          <w:rFonts w:hint="eastAsia" w:ascii="宋体" w:hAnsi="宋体"/>
          <w:bCs/>
          <w:color w:val="auto"/>
          <w:sz w:val="24"/>
          <w:szCs w:val="24"/>
          <w:highlight w:val="none"/>
          <w:u w:val="single"/>
        </w:rPr>
        <w:t xml:space="preserve">月</w:t>
      </w:r>
      <w:r>
        <w:rPr>
          <w:rFonts w:hint="eastAsia" w:ascii="宋体" w:hAnsi="宋体"/>
          <w:bCs/>
          <w:color w:val="auto"/>
          <w:sz w:val="24"/>
          <w:szCs w:val="24"/>
          <w:highlight w:val="none"/>
          <w:u w:val="single"/>
          <w:lang w:val="en-US" w:eastAsia="zh-CN"/>
        </w:rPr>
        <w:t xml:space="preserve">7</w:t>
      </w:r>
      <w:r>
        <w:rPr>
          <w:rFonts w:hint="eastAsia" w:ascii="宋体" w:hAnsi="宋体"/>
          <w:bCs/>
          <w:color w:val="auto"/>
          <w:sz w:val="24"/>
          <w:szCs w:val="24"/>
          <w:highlight w:val="none"/>
          <w:u w:val="single"/>
        </w:rPr>
        <w:t xml:space="preserve">日</w:t>
      </w:r>
      <w:r>
        <w:rPr>
          <w:rFonts w:hint="eastAsia" w:ascii="宋体" w:hAnsi="宋体"/>
          <w:bCs/>
          <w:color w:val="auto"/>
          <w:sz w:val="24"/>
          <w:szCs w:val="24"/>
          <w:highlight w:val="none"/>
          <w:u w:val="single"/>
          <w:lang w:val="en-US" w:eastAsia="zh-CN"/>
        </w:rPr>
        <w:t xml:space="preserve">09</w:t>
      </w:r>
      <w:r>
        <w:rPr>
          <w:rFonts w:hint="eastAsia" w:ascii="宋体" w:hAnsi="宋体"/>
          <w:bCs/>
          <w:color w:val="auto"/>
          <w:sz w:val="24"/>
          <w:szCs w:val="24"/>
          <w:highlight w:val="none"/>
          <w:u w:val="single"/>
        </w:rPr>
        <w:t xml:space="preserve">点</w:t>
      </w:r>
      <w:r>
        <w:rPr>
          <w:rFonts w:hint="eastAsia" w:ascii="宋体" w:hAnsi="宋体"/>
          <w:bCs/>
          <w:color w:val="auto"/>
          <w:sz w:val="24"/>
          <w:szCs w:val="24"/>
          <w:highlight w:val="none"/>
          <w:u w:val="single"/>
          <w:lang w:val="en-US" w:eastAsia="zh-CN"/>
        </w:rPr>
        <w:t xml:space="preserve">0</w:t>
      </w:r>
      <w:r>
        <w:rPr>
          <w:rFonts w:hint="eastAsia" w:ascii="宋体" w:hAnsi="宋体"/>
          <w:bCs/>
          <w:color w:val="auto"/>
          <w:sz w:val="24"/>
          <w:szCs w:val="24"/>
          <w:highlight w:val="none"/>
          <w:u w:val="single"/>
        </w:rPr>
        <w:t xml:space="preserve">0分</w:t>
      </w:r>
      <w:r>
        <w:rPr>
          <w:rFonts w:hint="eastAsia" w:ascii="宋体" w:hAnsi="宋体"/>
          <w:bCs/>
          <w:color w:val="auto"/>
          <w:sz w:val="24"/>
          <w:szCs w:val="24"/>
          <w:highlight w:val="none"/>
        </w:rPr>
        <w:t xml:space="preserve">（北京时间）。</w:t>
      </w:r>
      <w:r>
        <w:rPr>
          <w:rFonts w:hint="eastAsia" w:ascii="宋体" w:hAnsi="宋体" w:cs="宋体"/>
          <w:color w:val="auto"/>
          <w:sz w:val="24"/>
          <w:szCs w:val="24"/>
          <w:highlight w:val="none"/>
        </w:rPr>
        <w:t xml:space="preserve">（自磋商文件开始发出之日起至供应商提交响应文件截止之日止，不得少于10日。）</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2.地点：“苏采云”政府采购交易系统网上开标大厅。</w:t>
      </w:r>
      <w:r/>
    </w:p>
    <w:p>
      <w:pPr>
        <w:ind w:firstLine="482"/>
        <w:spacing w:line="560" w:lineRule="exact"/>
        <w:rPr>
          <w:rFonts w:hint="eastAsia" w:ascii="宋体" w:hAnsi="宋体" w:cs="宋体"/>
          <w:b/>
          <w:color w:val="auto"/>
          <w:sz w:val="24"/>
          <w:szCs w:val="21"/>
          <w:highlight w:val="none"/>
        </w:rPr>
      </w:pPr>
      <w:r>
        <w:rPr>
          <w:rFonts w:hint="eastAsia" w:ascii="宋体" w:hAnsi="宋体" w:cs="宋体"/>
          <w:b/>
          <w:color w:val="auto"/>
          <w:sz w:val="24"/>
          <w:szCs w:val="21"/>
          <w:highlight w:val="none"/>
        </w:rPr>
        <w:t xml:space="preserve">注：各供应商请关注开标大厅交流区，在开标结束后，请勿离开开标大厅，待资格审查完毕，磋商小组发出报价指令后须在1</w:t>
      </w:r>
      <w:r>
        <w:rPr>
          <w:rFonts w:hint="eastAsia" w:ascii="宋体" w:hAnsi="宋体" w:cs="宋体"/>
          <w:b/>
          <w:color w:val="auto"/>
          <w:sz w:val="24"/>
          <w:szCs w:val="21"/>
          <w:highlight w:val="none"/>
          <w:lang w:val="en-US" w:eastAsia="zh-CN"/>
        </w:rPr>
        <w:t xml:space="preserve">0</w:t>
      </w:r>
      <w:r>
        <w:rPr>
          <w:rFonts w:hint="eastAsia" w:ascii="宋体" w:hAnsi="宋体" w:cs="宋体"/>
          <w:b/>
          <w:color w:val="auto"/>
          <w:sz w:val="24"/>
          <w:szCs w:val="21"/>
          <w:highlight w:val="none"/>
        </w:rPr>
        <w:t xml:space="preserve">分钟内完成系统报价。</w:t>
      </w:r>
      <w:r>
        <w:rPr>
          <w:rFonts w:hint="eastAsia" w:ascii="宋体" w:hAnsi="宋体"/>
          <w:color w:val="auto"/>
          <w:sz w:val="24"/>
          <w:szCs w:val="24"/>
          <w:highlight w:val="none"/>
        </w:rPr>
        <w:t xml:space="preserve">供应商未在磋商小组规定的时间内在苏采云系统中提交最后报价的视为放弃磋商，其响应文件按无效响应处理。</w:t>
      </w:r>
      <w:r/>
    </w:p>
    <w:p>
      <w:pPr>
        <w:ind w:firstLine="480"/>
        <w:spacing w:line="560" w:lineRule="exact"/>
        <w:rPr>
          <w:rFonts w:ascii="宋体" w:hAnsi="宋体"/>
          <w:bCs/>
          <w:color w:val="auto"/>
          <w:sz w:val="24"/>
          <w:szCs w:val="24"/>
          <w:highlight w:val="none"/>
          <w:u w:val="single"/>
        </w:rPr>
      </w:pPr>
      <w:r>
        <w:rPr>
          <w:rFonts w:hint="eastAsia" w:ascii="宋体" w:hAnsi="宋体" w:cs="宋体"/>
          <w:color w:val="auto"/>
          <w:sz w:val="24"/>
          <w:szCs w:val="21"/>
          <w:highlight w:val="none"/>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cs="宋体"/>
          <w:b/>
          <w:color w:val="auto"/>
          <w:sz w:val="24"/>
          <w:szCs w:val="21"/>
          <w:highlight w:val="none"/>
        </w:rPr>
        <w:t xml:space="preserve">供应商解密限定在开标后30分钟之内完成</w:t>
      </w:r>
      <w:r>
        <w:rPr>
          <w:rFonts w:hint="eastAsia" w:ascii="宋体" w:hAnsi="宋体" w:cs="宋体"/>
          <w:color w:val="auto"/>
          <w:sz w:val="24"/>
          <w:szCs w:val="21"/>
          <w:highlight w:val="none"/>
        </w:rPr>
        <w:t xml:space="preserve">。</w:t>
      </w:r>
      <w:r>
        <w:rPr>
          <w:rFonts w:hint="eastAsia" w:ascii="宋体" w:hAnsi="宋体" w:cs="宋体"/>
          <w:color w:val="auto"/>
          <w:sz w:val="24"/>
          <w:szCs w:val="21"/>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color w:val="auto"/>
          <w:sz w:val="24"/>
          <w:szCs w:val="21"/>
          <w:highlight w:val="none"/>
        </w:rPr>
        <w:t xml:space="preserve">；因采购人原因或网上招投标平台发生故障，导致无法按时完成响应文件解密或开、评标工作无法进行的，可根据实际情况相应延迟解密时间或调整开、评标时间。</w:t>
      </w:r>
      <w:r/>
    </w:p>
    <w:p>
      <w:pPr>
        <w:ind w:firstLine="498"/>
        <w:keepLines/>
        <w:keepNext/>
        <w:spacing w:line="560" w:lineRule="exact"/>
        <w:rPr>
          <w:rFonts w:ascii="宋体" w:hAnsi="宋体"/>
          <w:b/>
          <w:bCs/>
          <w:color w:val="auto"/>
          <w:sz w:val="32"/>
          <w:szCs w:val="32"/>
          <w:highlight w:val="none"/>
        </w:rPr>
        <w:outlineLvl w:val="2"/>
      </w:pPr>
      <w:r/>
      <w:bookmarkStart w:id="29" w:name="_Toc38985267"/>
      <w:r/>
      <w:bookmarkStart w:id="30" w:name="_Toc28359084"/>
      <w:r/>
      <w:bookmarkStart w:id="31" w:name="_Toc28359007"/>
      <w:r/>
      <w:bookmarkStart w:id="32" w:name="_Toc35393625"/>
      <w:r/>
      <w:bookmarkStart w:id="33" w:name="_Toc35393794"/>
      <w:r>
        <w:rPr>
          <w:rFonts w:hint="eastAsia" w:ascii="宋体" w:hAnsi="宋体"/>
          <w:b/>
          <w:bCs/>
          <w:color w:val="auto"/>
          <w:sz w:val="32"/>
          <w:szCs w:val="32"/>
          <w:highlight w:val="none"/>
        </w:rPr>
        <w:t xml:space="preserve">五、公告期限</w:t>
      </w:r>
      <w:bookmarkEnd w:id="29"/>
      <w:r/>
      <w:bookmarkEnd w:id="30"/>
      <w:r/>
      <w:bookmarkEnd w:id="31"/>
      <w:r/>
      <w:bookmarkEnd w:id="32"/>
      <w:r/>
      <w:bookmarkEnd w:id="33"/>
      <w:r/>
      <w:r/>
    </w:p>
    <w:p>
      <w:pPr>
        <w:ind w:firstLine="480"/>
        <w:spacing w:line="560" w:lineRule="exact"/>
        <w:rPr>
          <w:rFonts w:ascii="宋体" w:hAnsi="宋体" w:cs="宋体"/>
          <w:color w:val="auto"/>
          <w:sz w:val="24"/>
          <w:szCs w:val="24"/>
          <w:highlight w:val="none"/>
        </w:rPr>
      </w:pPr>
      <w:r/>
      <w:bookmarkStart w:id="34" w:name="_Toc38985268"/>
      <w:r/>
      <w:bookmarkStart w:id="35" w:name="_Toc35393626"/>
      <w:r/>
      <w:bookmarkStart w:id="36" w:name="_Toc35393795"/>
      <w:r>
        <w:rPr>
          <w:rFonts w:hint="eastAsia" w:ascii="宋体" w:hAnsi="宋体" w:cs="宋体"/>
          <w:color w:val="auto"/>
          <w:sz w:val="24"/>
          <w:szCs w:val="24"/>
          <w:highlight w:val="none"/>
        </w:rPr>
        <w:t xml:space="preserve">磋商公告及磋商文件公告期限为自本公告发布之日起5个工作日。</w:t>
      </w:r>
      <w:r/>
    </w:p>
    <w:p>
      <w:pPr>
        <w:ind w:firstLine="498"/>
        <w:keepLines/>
        <w:keepNext/>
        <w:spacing w:line="560" w:lineRule="exact"/>
        <w:rPr>
          <w:rFonts w:ascii="宋体" w:hAnsi="宋体"/>
          <w:b/>
          <w:bCs/>
          <w:color w:val="auto"/>
          <w:sz w:val="32"/>
          <w:szCs w:val="32"/>
          <w:highlight w:val="none"/>
        </w:rPr>
        <w:outlineLvl w:val="2"/>
      </w:pPr>
      <w:r>
        <w:rPr>
          <w:rFonts w:hint="eastAsia" w:ascii="宋体" w:hAnsi="宋体"/>
          <w:b/>
          <w:bCs/>
          <w:color w:val="auto"/>
          <w:sz w:val="32"/>
          <w:szCs w:val="32"/>
          <w:highlight w:val="none"/>
        </w:rPr>
        <w:t xml:space="preserve">六、其他补充事宜</w:t>
      </w:r>
      <w:bookmarkEnd w:id="34"/>
      <w:r/>
      <w:bookmarkEnd w:id="35"/>
      <w:r/>
      <w:bookmarkEnd w:id="36"/>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1.投标保证金：免收</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2.项目开标活动模式：不见面远程开标模式，供应商在各自地点通过“苏采云”政府采购交易系统参加磋商活动。</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3.项目演示、样品、答辩等（如有请描述）：详见项目需求</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6.有关本次磋商的事项若存在变动或修改，敬请及时关注采购人在“江苏政府采购网”发布的更正公告。</w:t>
      </w:r>
      <w:r/>
    </w:p>
    <w:p>
      <w:pPr>
        <w:ind w:firstLine="498"/>
        <w:keepLines/>
        <w:keepNext/>
        <w:spacing w:line="560" w:lineRule="exact"/>
        <w:rPr>
          <w:rFonts w:ascii="宋体" w:hAnsi="宋体"/>
          <w:b/>
          <w:bCs/>
          <w:color w:val="auto"/>
          <w:sz w:val="32"/>
          <w:szCs w:val="32"/>
          <w:highlight w:val="none"/>
        </w:rPr>
        <w:outlineLvl w:val="2"/>
      </w:pPr>
      <w:r/>
      <w:bookmarkStart w:id="37" w:name="_Toc35393796"/>
      <w:r/>
      <w:bookmarkStart w:id="38" w:name="_Toc28359085"/>
      <w:r/>
      <w:bookmarkStart w:id="39" w:name="_Toc28359008"/>
      <w:r/>
      <w:bookmarkStart w:id="40" w:name="_Toc38985269"/>
      <w:r/>
      <w:bookmarkStart w:id="41" w:name="_Toc35393627"/>
      <w:r>
        <w:rPr>
          <w:rFonts w:hint="eastAsia" w:ascii="宋体" w:hAnsi="宋体"/>
          <w:b/>
          <w:bCs/>
          <w:color w:val="auto"/>
          <w:sz w:val="32"/>
          <w:szCs w:val="32"/>
          <w:highlight w:val="none"/>
        </w:rPr>
        <w:t xml:space="preserve">七、本次磋商联系方式</w:t>
      </w:r>
      <w:bookmarkEnd w:id="37"/>
      <w:r/>
      <w:bookmarkEnd w:id="38"/>
      <w:r/>
      <w:bookmarkEnd w:id="39"/>
      <w:r/>
      <w:bookmarkEnd w:id="40"/>
      <w:r/>
      <w:bookmarkEnd w:id="41"/>
      <w:r/>
      <w:r/>
    </w:p>
    <w:p>
      <w:pPr>
        <w:jc w:val="left"/>
        <w:spacing w:line="560" w:lineRule="exact"/>
        <w:widowControl/>
        <w:rPr>
          <w:rFonts w:ascii="宋体" w:hAnsi="宋体"/>
          <w:color w:val="auto"/>
          <w:sz w:val="24"/>
          <w:szCs w:val="24"/>
          <w:highlight w:val="none"/>
        </w:rPr>
      </w:pPr>
      <w:r>
        <w:rPr>
          <w:rFonts w:hint="eastAsia" w:ascii="宋体" w:hAnsi="宋体" w:cs="宋体"/>
          <w:color w:val="auto"/>
          <w:sz w:val="28"/>
          <w:szCs w:val="28"/>
          <w:highlight w:val="none"/>
        </w:rPr>
        <w:t xml:space="preserve">　　  </w:t>
      </w:r>
      <w:r>
        <w:rPr>
          <w:rFonts w:hint="eastAsia" w:ascii="宋体" w:hAnsi="宋体" w:cs="宋体"/>
          <w:color w:val="auto"/>
          <w:sz w:val="24"/>
          <w:szCs w:val="24"/>
          <w:highlight w:val="none"/>
        </w:rPr>
        <w:t xml:space="preserve">1.采购人信息</w:t>
      </w:r>
      <w:r/>
    </w:p>
    <w:p>
      <w:pPr>
        <w:ind w:left="1079" w:hanging="300"/>
        <w:jc w:val="left"/>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名 称：</w:t>
      </w:r>
      <w:r>
        <w:rPr>
          <w:rFonts w:hint="eastAsia" w:ascii="宋体" w:hAnsi="宋体"/>
          <w:color w:val="auto"/>
          <w:sz w:val="24"/>
          <w:szCs w:val="24"/>
          <w:highlight w:val="none"/>
          <w:lang w:eastAsia="zh-CN"/>
        </w:rPr>
        <w:t xml:space="preserve">海安市教育体育局</w:t>
      </w:r>
      <w:r/>
    </w:p>
    <w:p>
      <w:pPr>
        <w:ind w:left="1079" w:hanging="30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地 址：海安市黄海大道西3号</w:t>
      </w:r>
      <w:r>
        <w:rPr>
          <w:rFonts w:ascii="宋体" w:hAnsi="宋体" w:cs="宋体"/>
          <w:color w:val="auto"/>
          <w:sz w:val="24"/>
          <w:highlight w:val="none"/>
        </w:rPr>
        <w:t xml:space="preserve"> </w:t>
      </w:r>
      <w:r/>
    </w:p>
    <w:p>
      <w:pPr>
        <w:ind w:left="1079" w:hanging="300"/>
        <w:jc w:val="left"/>
        <w:spacing w:line="56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联系人：张睿涵</w:t>
      </w:r>
      <w:r/>
    </w:p>
    <w:p>
      <w:pPr>
        <w:ind w:left="1079" w:hanging="300"/>
        <w:jc w:val="left"/>
        <w:spacing w:line="56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联系方式：0513-88919916</w:t>
      </w:r>
      <w:r/>
    </w:p>
    <w:p>
      <w:pPr>
        <w:ind w:left="1079" w:hanging="300"/>
        <w:jc w:val="left"/>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72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名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称：</w:t>
      </w:r>
      <w:r>
        <w:rPr>
          <w:rFonts w:hint="eastAsia" w:ascii="宋体" w:hAnsi="宋体"/>
          <w:color w:val="auto"/>
          <w:sz w:val="24"/>
          <w:szCs w:val="24"/>
          <w:highlight w:val="none"/>
          <w:lang w:eastAsia="zh-CN"/>
        </w:rPr>
        <w:t xml:space="preserve">江苏海审工程咨询有限公司</w:t>
      </w:r>
      <w:r>
        <w:rPr>
          <w:rFonts w:hint="eastAsia" w:ascii="宋体" w:hAnsi="宋体"/>
          <w:color w:val="auto"/>
          <w:sz w:val="24"/>
          <w:szCs w:val="24"/>
          <w:highlight w:val="none"/>
        </w:rPr>
        <w:t xml:space="preserve"> </w:t>
      </w:r>
      <w:r/>
    </w:p>
    <w:p>
      <w:pPr>
        <w:ind w:firstLine="720"/>
        <w:spacing w:line="560" w:lineRule="exact"/>
        <w:rPr>
          <w:rFonts w:ascii="宋体" w:hAnsi="宋体" w:eastAsia="宋体"/>
          <w:color w:val="auto"/>
          <w:highlight w:val="none"/>
          <w:lang w:val="en-US" w:eastAsia="zh-CN"/>
        </w:rPr>
      </w:pPr>
      <w:r>
        <w:rPr>
          <w:rFonts w:hint="eastAsia" w:ascii="宋体" w:hAnsi="宋体"/>
          <w:color w:val="auto"/>
          <w:sz w:val="24"/>
          <w:szCs w:val="24"/>
          <w:highlight w:val="none"/>
        </w:rPr>
        <w:t xml:space="preserve">地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址：海安市</w:t>
      </w:r>
      <w:r>
        <w:rPr>
          <w:rFonts w:hint="eastAsia" w:ascii="宋体" w:hAnsi="宋体"/>
          <w:color w:val="auto"/>
          <w:sz w:val="24"/>
          <w:szCs w:val="24"/>
          <w:highlight w:val="none"/>
          <w:lang w:val="en-US" w:eastAsia="zh-CN"/>
        </w:rPr>
        <w:t xml:space="preserve">长江中路122号</w:t>
      </w:r>
      <w:r/>
    </w:p>
    <w:p>
      <w:pPr>
        <w:ind w:firstLine="720"/>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联</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系</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人：</w:t>
      </w:r>
      <w:r>
        <w:rPr>
          <w:rFonts w:hint="eastAsia" w:ascii="宋体" w:hAnsi="宋体"/>
          <w:color w:val="auto"/>
          <w:sz w:val="24"/>
          <w:szCs w:val="24"/>
          <w:highlight w:val="none"/>
          <w:lang w:val="en-US" w:eastAsia="zh-CN"/>
        </w:rPr>
        <w:t xml:space="preserve">徐迪徇</w:t>
      </w:r>
      <w:r/>
    </w:p>
    <w:p>
      <w:pPr>
        <w:ind w:firstLine="720"/>
        <w:spacing w:line="560" w:lineRule="exact"/>
        <w:rPr>
          <w:rFonts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联系方式：</w:t>
      </w:r>
      <w:r>
        <w:rPr>
          <w:rFonts w:hint="eastAsia" w:ascii="宋体" w:hAnsi="宋体"/>
          <w:color w:val="auto"/>
          <w:sz w:val="24"/>
          <w:szCs w:val="24"/>
          <w:highlight w:val="none"/>
          <w:lang w:val="en-US" w:eastAsia="zh-CN"/>
        </w:rPr>
        <w:t xml:space="preserve">18012251715</w:t>
      </w:r>
      <w:r/>
    </w:p>
    <w:p>
      <w:pPr>
        <w:ind w:firstLine="72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3.项目联系方式</w:t>
      </w:r>
      <w:r/>
    </w:p>
    <w:p>
      <w:pPr>
        <w:ind w:firstLine="720"/>
        <w:spacing w:line="560" w:lineRule="exact"/>
        <w:rPr>
          <w:rFonts w:hint="eastAsia" w:ascii="宋体" w:hAnsi="宋体" w:eastAsia="宋体"/>
          <w:color w:val="auto"/>
          <w:sz w:val="24"/>
          <w:szCs w:val="24"/>
          <w:highlight w:val="none"/>
          <w:u w:val="single"/>
          <w:lang w:eastAsia="zh-CN"/>
        </w:rPr>
      </w:pPr>
      <w:r>
        <w:rPr>
          <w:rFonts w:hint="eastAsia" w:ascii="宋体" w:hAnsi="宋体"/>
          <w:color w:val="auto"/>
          <w:sz w:val="24"/>
          <w:szCs w:val="24"/>
          <w:highlight w:val="none"/>
        </w:rPr>
        <w:t xml:space="preserve">磋商文件制作人: </w:t>
      </w:r>
      <w:r>
        <w:rPr>
          <w:rFonts w:hint="eastAsia" w:ascii="宋体" w:hAnsi="宋体"/>
          <w:color w:val="auto"/>
          <w:sz w:val="24"/>
          <w:szCs w:val="24"/>
          <w:highlight w:val="none"/>
          <w:lang w:val="en-US" w:eastAsia="zh-CN"/>
        </w:rPr>
        <w:t xml:space="preserve">18012251715</w:t>
      </w:r>
      <w:r/>
    </w:p>
    <w:p>
      <w:pPr>
        <w:ind w:firstLine="72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项目磋商经办人：0513-88919916</w:t>
      </w:r>
      <w:r/>
    </w:p>
    <w:p>
      <w:pPr>
        <w:ind w:firstLine="72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交易系统软件维护人员：那工  </w:t>
      </w:r>
      <w:r>
        <w:rPr>
          <w:rFonts w:ascii="宋体" w:hAnsi="宋体"/>
          <w:color w:val="auto"/>
          <w:sz w:val="24"/>
          <w:szCs w:val="24"/>
          <w:highlight w:val="none"/>
        </w:rPr>
        <w:t xml:space="preserve">0519-86722801、0519-8672280</w:t>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center"/>
        <w:keepLines/>
        <w:keepNext/>
        <w:spacing w:line="520" w:lineRule="exact"/>
        <w:rPr>
          <w:rFonts w:hint="eastAsia" w:ascii="宋体" w:hAnsi="宋体" w:cs="Arial"/>
          <w:color w:val="auto"/>
          <w:sz w:val="44"/>
          <w:szCs w:val="44"/>
          <w:highlight w:val="none"/>
        </w:rPr>
        <w:outlineLvl w:val="1"/>
      </w:pPr>
      <w:r/>
      <w:bookmarkStart w:id="42" w:name="_Toc120614211"/>
      <w:r>
        <w:rPr>
          <w:rFonts w:hint="eastAsia" w:ascii="宋体" w:hAnsi="宋体" w:cs="Arial"/>
          <w:b/>
          <w:bCs/>
          <w:color w:val="auto"/>
          <w:sz w:val="44"/>
          <w:szCs w:val="44"/>
          <w:highlight w:val="none"/>
        </w:rPr>
        <w:t xml:space="preserve">第二章  </w:t>
      </w:r>
      <w:bookmarkEnd w:id="1"/>
      <w:r/>
      <w:bookmarkEnd w:id="2"/>
      <w:r/>
      <w:bookmarkEnd w:id="3"/>
      <w:r/>
      <w:bookmarkEnd w:id="4"/>
      <w:r/>
      <w:bookmarkEnd w:id="5"/>
      <w:r/>
      <w:bookmarkEnd w:id="42"/>
      <w:r>
        <w:rPr>
          <w:rFonts w:hint="eastAsia" w:ascii="宋体" w:hAnsi="宋体" w:cs="Arial"/>
          <w:b/>
          <w:bCs/>
          <w:color w:val="auto"/>
          <w:sz w:val="44"/>
          <w:szCs w:val="44"/>
          <w:highlight w:val="none"/>
        </w:rPr>
        <w:t xml:space="preserve">供应商须知</w:t>
      </w:r>
      <w:r/>
    </w:p>
    <w:p>
      <w:pPr>
        <w:keepLines/>
        <w:keepNext/>
        <w:spacing w:line="520" w:lineRule="exact"/>
        <w:rPr>
          <w:rFonts w:hint="eastAsia" w:ascii="宋体" w:hAnsi="宋体"/>
          <w:b/>
          <w:bCs/>
          <w:color w:val="auto"/>
          <w:sz w:val="32"/>
          <w:szCs w:val="32"/>
          <w:highlight w:val="none"/>
        </w:rPr>
        <w:outlineLvl w:val="2"/>
      </w:pPr>
      <w:r/>
      <w:bookmarkStart w:id="43" w:name="_Toc120614214"/>
      <w:r/>
      <w:bookmarkStart w:id="44" w:name="_Toc513029203"/>
      <w:r/>
      <w:bookmarkStart w:id="45" w:name="_Toc20823275"/>
      <w:r/>
      <w:bookmarkStart w:id="46" w:name="_Toc16938519"/>
      <w:r>
        <w:rPr>
          <w:rFonts w:hint="eastAsia" w:ascii="宋体" w:hAnsi="宋体"/>
          <w:b/>
          <w:bCs/>
          <w:color w:val="auto"/>
          <w:sz w:val="32"/>
          <w:szCs w:val="32"/>
          <w:highlight w:val="none"/>
        </w:rPr>
        <w:t xml:space="preserve">一、总则</w:t>
      </w:r>
      <w:bookmarkEnd w:id="43"/>
      <w:r/>
      <w:bookmarkEnd w:id="44"/>
      <w:r/>
      <w:bookmarkEnd w:id="45"/>
      <w:r/>
      <w:bookmarkEnd w:id="46"/>
      <w:r/>
      <w:r/>
    </w:p>
    <w:p>
      <w:pPr>
        <w:ind w:firstLine="420"/>
        <w:keepLines/>
        <w:keepNext/>
        <w:spacing w:line="520" w:lineRule="exact"/>
        <w:rPr>
          <w:rFonts w:hint="eastAsia" w:ascii="宋体" w:hAnsi="宋体" w:cs="Arial"/>
          <w:color w:val="auto"/>
          <w:sz w:val="28"/>
          <w:szCs w:val="28"/>
          <w:highlight w:val="none"/>
        </w:rPr>
        <w:outlineLvl w:val="3"/>
      </w:pPr>
      <w:r/>
      <w:bookmarkStart w:id="47" w:name="_Hlt16619475"/>
      <w:r/>
      <w:bookmarkEnd w:id="47"/>
      <w:r/>
      <w:bookmarkStart w:id="48" w:name="_Toc458694821"/>
      <w:r/>
      <w:bookmarkStart w:id="49" w:name="_Toc20823276"/>
      <w:r/>
      <w:bookmarkStart w:id="50" w:name="_Toc16938520"/>
      <w:r/>
      <w:bookmarkStart w:id="51" w:name="_Toc513029204"/>
      <w:r>
        <w:rPr>
          <w:rFonts w:hint="eastAsia" w:ascii="宋体" w:hAnsi="宋体" w:cs="Arial"/>
          <w:color w:val="auto"/>
          <w:sz w:val="28"/>
          <w:szCs w:val="28"/>
          <w:highlight w:val="none"/>
        </w:rPr>
        <w:t xml:space="preserve">1</w:t>
      </w:r>
      <w:bookmarkEnd w:id="48"/>
      <w:r>
        <w:rPr>
          <w:rFonts w:hint="eastAsia" w:ascii="宋体" w:hAnsi="宋体" w:cs="Arial"/>
          <w:color w:val="auto"/>
          <w:sz w:val="28"/>
          <w:szCs w:val="28"/>
          <w:highlight w:val="none"/>
        </w:rPr>
        <w:t xml:space="preserve">.采购方式</w:t>
      </w:r>
      <w:bookmarkEnd w:id="49"/>
      <w:r/>
      <w:bookmarkEnd w:id="50"/>
      <w:r/>
      <w:bookmarkEnd w:id="51"/>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1.1 本次政府采购活动采取竞争性磋商(以下简称磋商)方式，本磋商文件仅适用于磋商公告中所述项目。</w:t>
      </w:r>
      <w:r/>
    </w:p>
    <w:p>
      <w:pPr>
        <w:ind w:firstLine="420"/>
        <w:keepLines/>
        <w:keepNext/>
        <w:spacing w:line="520" w:lineRule="exact"/>
        <w:rPr>
          <w:rFonts w:hint="eastAsia" w:ascii="宋体" w:hAnsi="宋体" w:cs="Arial"/>
          <w:color w:val="auto"/>
          <w:sz w:val="28"/>
          <w:szCs w:val="28"/>
          <w:highlight w:val="none"/>
        </w:rPr>
        <w:outlineLvl w:val="3"/>
      </w:pPr>
      <w:r/>
      <w:bookmarkStart w:id="52" w:name="_Toc20823277"/>
      <w:r/>
      <w:bookmarkStart w:id="53" w:name="_Toc16938521"/>
      <w:r/>
      <w:bookmarkStart w:id="54" w:name="_Toc513029205"/>
      <w:r>
        <w:rPr>
          <w:rFonts w:hint="eastAsia" w:ascii="宋体" w:hAnsi="宋体" w:cs="Arial"/>
          <w:color w:val="auto"/>
          <w:sz w:val="28"/>
          <w:szCs w:val="28"/>
          <w:highlight w:val="none"/>
        </w:rPr>
        <w:t xml:space="preserve">2.合格的</w:t>
      </w:r>
      <w:bookmarkEnd w:id="52"/>
      <w:r/>
      <w:bookmarkEnd w:id="53"/>
      <w:r/>
      <w:bookmarkEnd w:id="54"/>
      <w:r>
        <w:rPr>
          <w:rFonts w:hint="eastAsia" w:ascii="宋体" w:hAnsi="宋体" w:cs="Arial"/>
          <w:color w:val="auto"/>
          <w:sz w:val="28"/>
          <w:szCs w:val="28"/>
          <w:highlight w:val="none"/>
        </w:rPr>
        <w:t xml:space="preserve">供应商</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2.1满足磋商公告中供应商资格要求的规定。</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 满足本磋商文件实质性要求和条件的规定。</w:t>
      </w:r>
      <w:r/>
    </w:p>
    <w:p>
      <w:pPr>
        <w:ind w:firstLine="420"/>
        <w:keepLines/>
        <w:keepNext/>
        <w:spacing w:line="520" w:lineRule="exact"/>
        <w:rPr>
          <w:rFonts w:hint="eastAsia" w:ascii="宋体" w:hAnsi="宋体" w:cs="Arial"/>
          <w:color w:val="auto"/>
          <w:sz w:val="28"/>
          <w:szCs w:val="28"/>
          <w:highlight w:val="none"/>
        </w:rPr>
        <w:outlineLvl w:val="3"/>
      </w:pPr>
      <w:r/>
      <w:bookmarkStart w:id="55" w:name="_Toc513029206"/>
      <w:r/>
      <w:bookmarkStart w:id="56" w:name="_Toc20823278"/>
      <w:r/>
      <w:bookmarkStart w:id="57" w:name="_Toc16938522"/>
      <w:r>
        <w:rPr>
          <w:rFonts w:hint="eastAsia" w:ascii="宋体" w:hAnsi="宋体" w:cs="Arial"/>
          <w:color w:val="auto"/>
          <w:sz w:val="28"/>
          <w:szCs w:val="28"/>
          <w:highlight w:val="none"/>
        </w:rPr>
        <w:t xml:space="preserve">3.适用法律</w:t>
      </w:r>
      <w:bookmarkEnd w:id="55"/>
      <w:r/>
      <w:bookmarkEnd w:id="56"/>
      <w:r/>
      <w:bookmarkEnd w:id="57"/>
      <w:r/>
      <w:r/>
    </w:p>
    <w:p>
      <w:pPr>
        <w:ind w:firstLine="42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3.1 本次磋商及由此产生的合同受中华人民共和国有关的法律法规制约和保护</w:t>
      </w:r>
      <w:r>
        <w:rPr>
          <w:rFonts w:ascii="宋体" w:hAnsi="宋体"/>
          <w:color w:val="auto"/>
          <w:sz w:val="24"/>
          <w:szCs w:val="21"/>
          <w:highlight w:val="none"/>
        </w:rPr>
        <w:t xml:space="preserve">。</w:t>
      </w:r>
      <w:r/>
    </w:p>
    <w:p>
      <w:pPr>
        <w:ind w:firstLine="420"/>
        <w:keepLines/>
        <w:keepNext/>
        <w:spacing w:line="520" w:lineRule="exact"/>
        <w:rPr>
          <w:rFonts w:hint="eastAsia" w:ascii="宋体" w:hAnsi="宋体" w:cs="Arial"/>
          <w:color w:val="auto"/>
          <w:sz w:val="28"/>
          <w:szCs w:val="28"/>
          <w:highlight w:val="none"/>
        </w:rPr>
        <w:outlineLvl w:val="3"/>
      </w:pPr>
      <w:r/>
      <w:bookmarkStart w:id="58" w:name="_Toc462564067"/>
      <w:r/>
      <w:bookmarkStart w:id="59" w:name="_Toc16938523"/>
      <w:r/>
      <w:bookmarkStart w:id="60" w:name="_Toc513029207"/>
      <w:r/>
      <w:bookmarkStart w:id="61" w:name="_Toc20823279"/>
      <w:r>
        <w:rPr>
          <w:rFonts w:hint="eastAsia" w:ascii="宋体" w:hAnsi="宋体" w:cs="Arial"/>
          <w:color w:val="auto"/>
          <w:sz w:val="28"/>
          <w:szCs w:val="28"/>
          <w:highlight w:val="none"/>
        </w:rPr>
        <w:t xml:space="preserve">4.磋商费用</w:t>
      </w:r>
      <w:bookmarkEnd w:id="58"/>
      <w:r/>
      <w:bookmarkEnd w:id="59"/>
      <w:r/>
      <w:bookmarkEnd w:id="60"/>
      <w:r/>
      <w:bookmarkEnd w:id="61"/>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4.1</w:t>
      </w:r>
      <w:r>
        <w:rPr>
          <w:rFonts w:hint="eastAsia" w:ascii="宋体" w:hAnsi="宋体"/>
          <w:color w:val="auto"/>
          <w:sz w:val="24"/>
          <w:szCs w:val="21"/>
          <w:highlight w:val="none"/>
        </w:rPr>
        <w:t xml:space="preserve">供应商应自行承担所有与参加本次磋商有关的费用，无论磋商过程中的做法和结果如何，采购人和采购代理机构在任何情况下均无义务和责任承担这些费用。</w:t>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4.2本次磋商不收取标书工本费。</w:t>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4.3本项目招标代理服务费按照《江苏省招标代理服务收费的指导意见》（苏招协〔2022〕2号）收费标准的</w:t>
      </w:r>
      <w:r>
        <w:rPr>
          <w:rFonts w:hint="eastAsia" w:ascii="宋体" w:hAnsi="宋体"/>
          <w:color w:val="auto"/>
          <w:sz w:val="24"/>
          <w:szCs w:val="21"/>
          <w:highlight w:val="none"/>
          <w:lang w:val="en-US" w:eastAsia="zh-CN"/>
        </w:rPr>
        <w:t xml:space="preserve">60</w:t>
      </w:r>
      <w:r>
        <w:rPr>
          <w:rFonts w:hint="eastAsia" w:ascii="宋体" w:hAnsi="宋体"/>
          <w:color w:val="auto"/>
          <w:sz w:val="24"/>
          <w:szCs w:val="21"/>
          <w:highlight w:val="none"/>
        </w:rPr>
        <w:t xml:space="preserve">%收取，按差额定率分档累进法计算，以中标价为计算基数，此费用由供应商综合考虑在投标报价中，由成交供应商在签订合同前支付。</w:t>
      </w:r>
      <w:r/>
    </w:p>
    <w:p>
      <w:pPr>
        <w:ind w:firstLine="301"/>
        <w:keepLines/>
        <w:keepNext/>
        <w:spacing w:line="520" w:lineRule="exact"/>
        <w:rPr>
          <w:rFonts w:hint="eastAsia" w:ascii="宋体" w:hAnsi="宋体" w:cs="Arial"/>
          <w:color w:val="auto"/>
          <w:sz w:val="28"/>
          <w:szCs w:val="28"/>
          <w:highlight w:val="none"/>
        </w:rPr>
        <w:outlineLvl w:val="3"/>
      </w:pPr>
      <w:r>
        <w:rPr>
          <w:rFonts w:hint="eastAsia" w:ascii="宋体" w:hAnsi="宋体" w:cs="Arial"/>
          <w:b/>
          <w:bCs/>
          <w:color w:val="auto"/>
          <w:sz w:val="30"/>
          <w:szCs w:val="28"/>
          <w:highlight w:val="none"/>
        </w:rPr>
        <w:t xml:space="preserve">5.</w:t>
      </w:r>
      <w:r>
        <w:rPr>
          <w:rFonts w:hint="eastAsia" w:ascii="宋体" w:hAnsi="宋体" w:cs="Arial"/>
          <w:color w:val="auto"/>
          <w:sz w:val="28"/>
          <w:szCs w:val="28"/>
          <w:highlight w:val="none"/>
        </w:rPr>
        <w:t xml:space="preserve">磋商文件的约束力</w:t>
      </w:r>
      <w:r/>
    </w:p>
    <w:p>
      <w:pPr>
        <w:ind w:firstLine="480"/>
        <w:spacing w:line="52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供应商一旦参加本项目采购活动，即被认为接受了本磋商文件的规定和约束。</w:t>
      </w:r>
      <w:r/>
    </w:p>
    <w:p>
      <w:pPr>
        <w:keepLines/>
        <w:keepNext/>
        <w:spacing w:line="520" w:lineRule="exact"/>
        <w:rPr>
          <w:rFonts w:hint="eastAsia" w:ascii="宋体" w:hAnsi="宋体"/>
          <w:b/>
          <w:bCs/>
          <w:color w:val="auto"/>
          <w:sz w:val="32"/>
          <w:szCs w:val="32"/>
          <w:highlight w:val="none"/>
        </w:rPr>
        <w:outlineLvl w:val="2"/>
      </w:pPr>
      <w:r/>
      <w:bookmarkStart w:id="62" w:name="_Toc20823281"/>
      <w:r/>
      <w:bookmarkStart w:id="63" w:name="_Toc16938525"/>
      <w:r/>
      <w:bookmarkStart w:id="64" w:name="_Toc513029209"/>
      <w:r/>
      <w:bookmarkStart w:id="65" w:name="_Toc120614215"/>
      <w:r>
        <w:rPr>
          <w:rFonts w:hint="eastAsia" w:ascii="宋体" w:hAnsi="宋体"/>
          <w:b/>
          <w:bCs/>
          <w:color w:val="auto"/>
          <w:sz w:val="32"/>
          <w:szCs w:val="32"/>
          <w:highlight w:val="none"/>
        </w:rPr>
        <w:t xml:space="preserve">二、</w:t>
      </w:r>
      <w:bookmarkEnd w:id="62"/>
      <w:r/>
      <w:bookmarkEnd w:id="63"/>
      <w:r/>
      <w:bookmarkEnd w:id="64"/>
      <w:r/>
      <w:bookmarkEnd w:id="65"/>
      <w:r>
        <w:rPr>
          <w:rFonts w:hint="eastAsia" w:ascii="宋体" w:hAnsi="宋体"/>
          <w:b/>
          <w:bCs/>
          <w:color w:val="auto"/>
          <w:sz w:val="32"/>
          <w:szCs w:val="32"/>
          <w:highlight w:val="none"/>
        </w:rPr>
        <w:t xml:space="preserve">磋商文件</w:t>
      </w:r>
      <w:r/>
    </w:p>
    <w:p>
      <w:pPr>
        <w:ind w:firstLine="420"/>
        <w:keepLines/>
        <w:keepNext/>
        <w:spacing w:line="520" w:lineRule="exact"/>
        <w:rPr>
          <w:rFonts w:hint="eastAsia" w:ascii="宋体" w:hAnsi="宋体" w:cs="Arial"/>
          <w:color w:val="auto"/>
          <w:sz w:val="28"/>
          <w:szCs w:val="28"/>
          <w:highlight w:val="none"/>
        </w:rPr>
        <w:outlineLvl w:val="3"/>
      </w:pPr>
      <w:r/>
      <w:bookmarkStart w:id="66" w:name="_Toc513029210"/>
      <w:r/>
      <w:bookmarkStart w:id="67" w:name="_Toc16938526"/>
      <w:r/>
      <w:bookmarkStart w:id="68" w:name="_Toc20823282"/>
      <w:r>
        <w:rPr>
          <w:rFonts w:hint="eastAsia" w:ascii="宋体" w:hAnsi="宋体" w:cs="Arial"/>
          <w:color w:val="auto"/>
          <w:sz w:val="28"/>
          <w:szCs w:val="28"/>
          <w:highlight w:val="none"/>
        </w:rPr>
        <w:t xml:space="preserve">6.磋商文件构成</w:t>
      </w:r>
      <w:bookmarkEnd w:id="66"/>
      <w:r/>
      <w:bookmarkEnd w:id="67"/>
      <w:r/>
      <w:bookmarkEnd w:id="68"/>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6.1</w:t>
      </w:r>
      <w:r>
        <w:rPr>
          <w:rFonts w:hint="eastAsia" w:ascii="宋体" w:hAnsi="宋体"/>
          <w:color w:val="auto"/>
          <w:sz w:val="24"/>
          <w:szCs w:val="21"/>
          <w:highlight w:val="none"/>
        </w:rPr>
        <w:t xml:space="preserve">磋商文件由以下部分组成：</w:t>
      </w:r>
      <w:r/>
    </w:p>
    <w:p>
      <w:pPr>
        <w:ind w:firstLine="36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（1）磋商</w:t>
      </w:r>
      <w:r>
        <w:rPr>
          <w:rFonts w:ascii="宋体" w:hAnsi="宋体"/>
          <w:color w:val="auto"/>
          <w:sz w:val="24"/>
          <w:szCs w:val="24"/>
          <w:highlight w:val="none"/>
        </w:rPr>
        <w:t xml:space="preserve">邀请</w:t>
      </w:r>
      <w:r/>
    </w:p>
    <w:p>
      <w:pPr>
        <w:ind w:firstLine="36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（2）供应商须知</w:t>
      </w:r>
      <w:r/>
    </w:p>
    <w:p>
      <w:pPr>
        <w:ind w:firstLine="36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（3）采购需求</w:t>
      </w:r>
      <w:r/>
    </w:p>
    <w:p>
      <w:pPr>
        <w:ind w:firstLine="36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（4）评审方法与评审标准</w:t>
      </w:r>
      <w:r/>
    </w:p>
    <w:p>
      <w:pPr>
        <w:ind w:firstLine="36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（5）响应文件格式</w:t>
      </w:r>
      <w:r/>
    </w:p>
    <w:p>
      <w:pPr>
        <w:ind w:firstLine="36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（6）附件（如有）</w:t>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请仔细检查磋商文件是否齐全，如有缺漏请立即与采购人或采购代理机构联系解决。</w:t>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6.2</w:t>
      </w:r>
      <w:r>
        <w:rPr>
          <w:rFonts w:hint="eastAsia" w:ascii="宋体" w:hAnsi="宋体"/>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520" w:lineRule="exact"/>
        <w:rPr>
          <w:rFonts w:hint="eastAsia" w:ascii="宋体" w:hAnsi="宋体" w:cs="Arial"/>
          <w:color w:val="auto"/>
          <w:sz w:val="28"/>
          <w:szCs w:val="28"/>
          <w:highlight w:val="none"/>
        </w:rPr>
        <w:outlineLvl w:val="3"/>
      </w:pPr>
      <w:r/>
      <w:bookmarkStart w:id="69" w:name="_Toc462564070"/>
      <w:r/>
      <w:bookmarkStart w:id="70" w:name="_Toc16938527"/>
      <w:r/>
      <w:bookmarkStart w:id="71" w:name="_Toc513029211"/>
      <w:r/>
      <w:bookmarkStart w:id="72" w:name="_Toc20823283"/>
      <w:r>
        <w:rPr>
          <w:rFonts w:hint="eastAsia" w:ascii="宋体" w:hAnsi="宋体" w:cs="Arial"/>
          <w:color w:val="auto"/>
          <w:sz w:val="28"/>
          <w:szCs w:val="28"/>
          <w:highlight w:val="none"/>
        </w:rPr>
        <w:t xml:space="preserve">7.磋商文件的澄清</w:t>
      </w:r>
      <w:bookmarkEnd w:id="69"/>
      <w:r/>
      <w:bookmarkEnd w:id="70"/>
      <w:r/>
      <w:bookmarkEnd w:id="71"/>
      <w:r/>
      <w:bookmarkEnd w:id="72"/>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7.1</w:t>
      </w:r>
      <w:r>
        <w:rPr>
          <w:rFonts w:hint="eastAsia" w:ascii="宋体" w:hAnsi="宋体"/>
          <w:color w:val="auto"/>
          <w:sz w:val="24"/>
          <w:szCs w:val="21"/>
          <w:highlight w:val="none"/>
        </w:rPr>
        <w:t xml:space="preserve"> 任何要求对磋商文件进行澄清的供应商，应在磋商截止期5日</w:t>
      </w:r>
      <w:r>
        <w:rPr>
          <w:rFonts w:hint="eastAsia" w:ascii="宋体" w:hAnsi="宋体"/>
          <w:color w:val="auto"/>
          <w:sz w:val="24"/>
          <w:szCs w:val="24"/>
          <w:highlight w:val="none"/>
        </w:rPr>
        <w:t xml:space="preserve">前</w:t>
      </w:r>
      <w:r>
        <w:rPr>
          <w:rFonts w:hint="eastAsia" w:ascii="宋体" w:hAnsi="宋体"/>
          <w:color w:val="auto"/>
          <w:sz w:val="24"/>
          <w:szCs w:val="21"/>
          <w:highlight w:val="none"/>
        </w:rPr>
        <w:t xml:space="preserve">按磋商公告中的通讯地址，以书面形式通知采购人或采购代理机构。</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1"/>
          <w:highlight w:val="none"/>
        </w:rPr>
        <w:t xml:space="preserve">7.2采购人视情组织答疑会。</w:t>
      </w:r>
      <w:r/>
    </w:p>
    <w:p>
      <w:pPr>
        <w:ind w:firstLine="560"/>
        <w:keepLines/>
        <w:keepNext/>
        <w:spacing w:line="520" w:lineRule="exact"/>
        <w:rPr>
          <w:rFonts w:hint="eastAsia" w:ascii="宋体" w:hAnsi="宋体" w:cs="Arial"/>
          <w:color w:val="auto"/>
          <w:sz w:val="28"/>
          <w:szCs w:val="28"/>
          <w:highlight w:val="none"/>
        </w:rPr>
        <w:outlineLvl w:val="3"/>
      </w:pPr>
      <w:r/>
      <w:bookmarkStart w:id="73" w:name="_Toc20823284"/>
      <w:r/>
      <w:bookmarkStart w:id="74" w:name="_Toc513029212"/>
      <w:r/>
      <w:bookmarkStart w:id="75" w:name="_Toc462564071"/>
      <w:r/>
      <w:bookmarkStart w:id="76" w:name="_Toc16938528"/>
      <w:r>
        <w:rPr>
          <w:rFonts w:hint="eastAsia" w:ascii="宋体" w:hAnsi="宋体" w:cs="Arial"/>
          <w:color w:val="auto"/>
          <w:sz w:val="28"/>
          <w:szCs w:val="28"/>
          <w:highlight w:val="none"/>
        </w:rPr>
        <w:t xml:space="preserve">8.磋商文件的澄清和修改</w:t>
      </w:r>
      <w:bookmarkEnd w:id="73"/>
      <w:r/>
      <w:bookmarkEnd w:id="74"/>
      <w:r/>
      <w:bookmarkEnd w:id="75"/>
      <w:r/>
      <w:bookmarkEnd w:id="76"/>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8.1</w:t>
      </w:r>
      <w:r>
        <w:rPr>
          <w:rFonts w:hint="eastAsia" w:ascii="宋体" w:hAnsi="宋体"/>
          <w:color w:val="auto"/>
          <w:sz w:val="24"/>
          <w:szCs w:val="21"/>
          <w:highlight w:val="none"/>
        </w:rPr>
        <w:t xml:space="preserve"> 在响应文件提交截止时间前，采购人或采购代理机构可以对磋商文件进行澄清和修改,</w:t>
      </w:r>
      <w:r>
        <w:rPr>
          <w:rFonts w:hint="eastAsia" w:ascii="宋体" w:hAnsi="宋体"/>
          <w:color w:val="auto"/>
          <w:szCs w:val="21"/>
          <w:highlight w:val="none"/>
        </w:rPr>
        <w:t xml:space="preserve"> </w:t>
      </w:r>
      <w:r>
        <w:rPr>
          <w:rFonts w:hint="eastAsia" w:ascii="宋体" w:hAnsi="宋体"/>
          <w:color w:val="auto"/>
          <w:sz w:val="24"/>
          <w:szCs w:val="21"/>
          <w:highlight w:val="none"/>
        </w:rPr>
        <w:t xml:space="preserve">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w:t>
      </w:r>
      <w:r>
        <w:rPr>
          <w:rFonts w:hint="eastAsia" w:ascii="宋体" w:hAnsi="宋体"/>
          <w:color w:val="auto"/>
          <w:szCs w:val="21"/>
          <w:highlight w:val="none"/>
        </w:rPr>
        <w:t xml:space="preserve"> </w:t>
      </w:r>
      <w:r>
        <w:rPr>
          <w:rFonts w:hint="eastAsia" w:ascii="宋体" w:hAnsi="宋体"/>
          <w:color w:val="auto"/>
          <w:sz w:val="24"/>
          <w:szCs w:val="21"/>
          <w:highlight w:val="none"/>
        </w:rPr>
        <w:t xml:space="preserve">更正公告内容将作为磋商文件的组成部分，并对供应商具有约束力。不足5日的，采购人将顺延提交首次响应文件截止时间。</w:t>
      </w:r>
      <w:r/>
    </w:p>
    <w:p>
      <w:pPr>
        <w:keepLines/>
        <w:keepNext/>
        <w:spacing w:line="520" w:lineRule="exact"/>
        <w:rPr>
          <w:rFonts w:hint="eastAsia" w:ascii="宋体" w:hAnsi="宋体"/>
          <w:b/>
          <w:bCs/>
          <w:color w:val="auto"/>
          <w:sz w:val="32"/>
          <w:szCs w:val="32"/>
          <w:highlight w:val="none"/>
        </w:rPr>
        <w:outlineLvl w:val="2"/>
      </w:pPr>
      <w:r/>
      <w:bookmarkStart w:id="77" w:name="_Toc462564072"/>
      <w:r/>
      <w:bookmarkStart w:id="78" w:name="_Toc20823285"/>
      <w:r/>
      <w:bookmarkStart w:id="79" w:name="_Toc16938529"/>
      <w:r/>
      <w:bookmarkStart w:id="80" w:name="_Toc120614216"/>
      <w:r/>
      <w:bookmarkStart w:id="81" w:name="_Toc513029213"/>
      <w:r>
        <w:rPr>
          <w:rFonts w:hint="eastAsia" w:ascii="宋体" w:hAnsi="宋体"/>
          <w:b/>
          <w:bCs/>
          <w:color w:val="auto"/>
          <w:sz w:val="32"/>
          <w:szCs w:val="32"/>
          <w:highlight w:val="none"/>
        </w:rPr>
        <w:t xml:space="preserve">三、响应文件的编制</w:t>
      </w:r>
      <w:bookmarkEnd w:id="77"/>
      <w:r/>
      <w:bookmarkEnd w:id="78"/>
      <w:r/>
      <w:bookmarkEnd w:id="79"/>
      <w:r/>
      <w:bookmarkEnd w:id="80"/>
      <w:r/>
      <w:bookmarkEnd w:id="81"/>
      <w:r/>
      <w:r/>
    </w:p>
    <w:p>
      <w:pPr>
        <w:ind w:firstLine="560"/>
        <w:keepLines/>
        <w:keepNext/>
        <w:spacing w:line="520" w:lineRule="exact"/>
        <w:rPr>
          <w:rFonts w:hint="eastAsia" w:ascii="宋体" w:hAnsi="宋体" w:cs="Arial"/>
          <w:b/>
          <w:color w:val="auto"/>
          <w:sz w:val="28"/>
          <w:szCs w:val="28"/>
          <w:highlight w:val="none"/>
        </w:rPr>
        <w:outlineLvl w:val="3"/>
      </w:pPr>
      <w:r/>
      <w:bookmarkStart w:id="82" w:name="_Toc16938530"/>
      <w:r/>
      <w:bookmarkStart w:id="83" w:name="_Toc462564073"/>
      <w:r/>
      <w:bookmarkStart w:id="84" w:name="_Toc20823286"/>
      <w:r/>
      <w:bookmarkStart w:id="85" w:name="_Toc513029214"/>
      <w:r>
        <w:rPr>
          <w:rFonts w:hint="eastAsia" w:ascii="宋体" w:hAnsi="宋体" w:cs="Arial"/>
          <w:color w:val="auto"/>
          <w:sz w:val="28"/>
          <w:szCs w:val="28"/>
          <w:highlight w:val="none"/>
        </w:rPr>
        <w:t xml:space="preserve">9.响应文件的语言及度量衡单位</w:t>
      </w:r>
      <w:bookmarkEnd w:id="82"/>
      <w:r/>
      <w:bookmarkEnd w:id="83"/>
      <w:r/>
      <w:bookmarkEnd w:id="84"/>
      <w:r/>
      <w:bookmarkEnd w:id="85"/>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9.1</w:t>
      </w:r>
      <w:r>
        <w:rPr>
          <w:rFonts w:hint="eastAsia" w:ascii="宋体" w:hAnsi="宋体"/>
          <w:color w:val="auto"/>
          <w:sz w:val="24"/>
          <w:szCs w:val="21"/>
          <w:highlight w:val="none"/>
        </w:rPr>
        <w:t xml:space="preserve">供应商提交的响应文件以及供应商与采购人就有关磋商的所有来往通知、函件和文件均应使用</w:t>
      </w:r>
      <w:r>
        <w:rPr>
          <w:rFonts w:hint="eastAsia" w:ascii="宋体" w:hAnsi="宋体"/>
          <w:b/>
          <w:bCs/>
          <w:color w:val="auto"/>
          <w:sz w:val="24"/>
          <w:szCs w:val="21"/>
          <w:highlight w:val="none"/>
        </w:rPr>
        <w:t xml:space="preserve">简体中文</w:t>
      </w:r>
      <w:r>
        <w:rPr>
          <w:rFonts w:hint="eastAsia" w:ascii="宋体" w:hAnsi="宋体"/>
          <w:color w:val="auto"/>
          <w:sz w:val="24"/>
          <w:szCs w:val="21"/>
          <w:highlight w:val="none"/>
        </w:rPr>
        <w:t xml:space="preserve">。</w:t>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9.2</w:t>
      </w:r>
      <w:r>
        <w:rPr>
          <w:rFonts w:hint="eastAsia" w:ascii="宋体" w:hAnsi="宋体"/>
          <w:color w:val="auto"/>
          <w:sz w:val="24"/>
          <w:szCs w:val="21"/>
          <w:highlight w:val="none"/>
        </w:rPr>
        <w:t xml:space="preserve"> 除技术性能另有规定外，响应文件所使用的度量衡单位，均须采用国家法定计量单位。</w:t>
      </w:r>
      <w:r/>
    </w:p>
    <w:p>
      <w:pPr>
        <w:ind w:firstLine="420"/>
        <w:keepLines/>
        <w:keepNext/>
        <w:spacing w:line="520" w:lineRule="exact"/>
        <w:rPr>
          <w:rFonts w:hint="eastAsia" w:ascii="宋体" w:hAnsi="宋体" w:cs="Arial"/>
          <w:color w:val="auto"/>
          <w:sz w:val="28"/>
          <w:szCs w:val="28"/>
          <w:highlight w:val="none"/>
        </w:rPr>
        <w:outlineLvl w:val="3"/>
      </w:pPr>
      <w:r/>
      <w:bookmarkStart w:id="86" w:name="_Toc16938531"/>
      <w:r/>
      <w:bookmarkStart w:id="87" w:name="_Toc462564074"/>
      <w:r/>
      <w:bookmarkStart w:id="88" w:name="_Toc513029215"/>
      <w:r/>
      <w:bookmarkStart w:id="89" w:name="_Toc20823287"/>
      <w:r>
        <w:rPr>
          <w:rFonts w:hint="eastAsia" w:ascii="宋体" w:hAnsi="宋体" w:cs="Arial"/>
          <w:color w:val="auto"/>
          <w:sz w:val="28"/>
          <w:szCs w:val="28"/>
          <w:highlight w:val="none"/>
        </w:rPr>
        <w:t xml:space="preserve">10.响应文件构成</w:t>
      </w:r>
      <w:bookmarkEnd w:id="86"/>
      <w:r/>
      <w:bookmarkEnd w:id="87"/>
      <w:r/>
      <w:bookmarkEnd w:id="88"/>
      <w:r/>
      <w:bookmarkEnd w:id="89"/>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10.1</w:t>
      </w:r>
      <w:r>
        <w:rPr>
          <w:rFonts w:hint="eastAsia" w:ascii="宋体" w:hAnsi="宋体"/>
          <w:color w:val="auto"/>
          <w:sz w:val="24"/>
          <w:szCs w:val="21"/>
          <w:highlight w:val="none"/>
        </w:rPr>
        <w:t xml:space="preserve">供应商编写的响应文件应包括资格证明文件、符合性证明文件、分项报价表、技术要求响应及偏离表、商务要求响应及偏离表、其他证明文件、磋商响应函等部分。</w:t>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10.2 如标书制作工具中格式和内容与“江苏政府采购网”发布的磋商文件不一致，请以“江苏政府采购网”发布的磋商文件为准。</w:t>
      </w:r>
      <w:r/>
    </w:p>
    <w:p>
      <w:pPr>
        <w:ind w:firstLine="420"/>
        <w:keepLines/>
        <w:keepNext/>
        <w:spacing w:line="520" w:lineRule="exact"/>
        <w:rPr>
          <w:rFonts w:hint="eastAsia" w:ascii="宋体" w:hAnsi="宋体" w:cs="Arial"/>
          <w:color w:val="auto"/>
          <w:sz w:val="28"/>
          <w:szCs w:val="28"/>
          <w:highlight w:val="none"/>
        </w:rPr>
        <w:outlineLvl w:val="3"/>
      </w:pPr>
      <w:r/>
      <w:bookmarkStart w:id="90" w:name="_Hlt26954838"/>
      <w:r/>
      <w:bookmarkEnd w:id="90"/>
      <w:r/>
      <w:bookmarkStart w:id="91" w:name="_Hlt26670360"/>
      <w:r/>
      <w:bookmarkEnd w:id="91"/>
      <w:r/>
      <w:bookmarkStart w:id="92" w:name="_Hlt26668975"/>
      <w:r/>
      <w:bookmarkEnd w:id="92"/>
      <w:r/>
      <w:bookmarkStart w:id="93" w:name="_Toc513029219"/>
      <w:r/>
      <w:bookmarkStart w:id="94" w:name="_Toc14577357"/>
      <w:r/>
      <w:bookmarkStart w:id="95" w:name="_Toc49090509"/>
      <w:r/>
      <w:bookmarkStart w:id="96" w:name="_Toc513029216"/>
      <w:r/>
      <w:bookmarkStart w:id="97" w:name="_Toc49090507"/>
      <w:r/>
      <w:bookmarkStart w:id="98" w:name="_Toc14577354"/>
      <w:r/>
      <w:bookmarkStart w:id="99" w:name="_Toc14577355"/>
      <w:r/>
      <w:bookmarkStart w:id="100" w:name="_Toc49090508"/>
      <w:r>
        <w:rPr>
          <w:rFonts w:hint="eastAsia" w:ascii="宋体" w:hAnsi="宋体" w:cs="Arial"/>
          <w:color w:val="auto"/>
          <w:sz w:val="28"/>
          <w:szCs w:val="28"/>
          <w:highlight w:val="none"/>
        </w:rPr>
        <w:t xml:space="preserve">11.证明磋商响应标的符合磋商文件规定的文件</w:t>
      </w:r>
      <w:bookmarkEnd w:id="93"/>
      <w:r/>
      <w:bookmarkEnd w:id="94"/>
      <w:r/>
      <w:bookmarkEnd w:id="95"/>
      <w:r/>
      <w:bookmarkEnd w:id="96"/>
      <w:r/>
      <w:bookmarkEnd w:id="97"/>
      <w:r/>
      <w:bookmarkEnd w:id="98"/>
      <w:r/>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11.1供应商应按照磋商文件要求提交证明文件，证明其及磋商响应标的符合磋商文件规定。</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11.2磋商文件对证明文件无明确形式要求的，证明文件可以以文字资料、图纸和数据等形式提交。</w:t>
      </w:r>
      <w:bookmarkEnd w:id="99"/>
      <w:r/>
      <w:bookmarkEnd w:id="100"/>
      <w:r/>
      <w:r/>
    </w:p>
    <w:p>
      <w:pPr>
        <w:ind w:firstLine="420"/>
        <w:keepLines/>
        <w:keepNext/>
        <w:spacing w:line="520" w:lineRule="exact"/>
        <w:rPr>
          <w:rFonts w:hint="eastAsia" w:ascii="宋体" w:hAnsi="宋体" w:cs="Arial"/>
          <w:color w:val="auto"/>
          <w:sz w:val="28"/>
          <w:szCs w:val="28"/>
          <w:highlight w:val="none"/>
        </w:rPr>
        <w:outlineLvl w:val="3"/>
      </w:pPr>
      <w:r>
        <w:rPr>
          <w:rFonts w:hint="eastAsia" w:ascii="宋体" w:hAnsi="宋体" w:cs="Arial"/>
          <w:color w:val="auto"/>
          <w:sz w:val="28"/>
          <w:szCs w:val="28"/>
          <w:highlight w:val="none"/>
        </w:rPr>
        <w:t xml:space="preserve">12.分项报价表</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12.1</w:t>
      </w:r>
      <w:r>
        <w:rPr>
          <w:rFonts w:hint="eastAsia" w:ascii="宋体" w:hAnsi="宋体"/>
          <w:color w:val="auto"/>
          <w:sz w:val="24"/>
          <w:szCs w:val="21"/>
          <w:highlight w:val="none"/>
        </w:rPr>
        <w:t xml:space="preserve">供应商应按照磋商文件规定格式填报分项报价表。</w:t>
      </w:r>
      <w:r/>
    </w:p>
    <w:p>
      <w:pPr>
        <w:ind w:firstLine="480"/>
        <w:spacing w:line="52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12.2</w:t>
      </w:r>
      <w:r>
        <w:rPr>
          <w:rFonts w:hint="eastAsia" w:ascii="宋体" w:hAnsi="宋体"/>
          <w:bCs/>
          <w:color w:val="auto"/>
          <w:sz w:val="24"/>
          <w:szCs w:val="21"/>
          <w:highlight w:val="none"/>
        </w:rPr>
        <w:t xml:space="preserve">磋商货币。响应文件中的单价和总价无特殊规定的采用人民币报价，以元为单位标注。</w:t>
      </w:r>
      <w:r>
        <w:rPr>
          <w:rFonts w:hint="eastAsia" w:ascii="宋体" w:hAnsi="宋体"/>
          <w:color w:val="auto"/>
          <w:sz w:val="24"/>
          <w:szCs w:val="21"/>
          <w:highlight w:val="none"/>
        </w:rPr>
        <w:t xml:space="preserve">磋商文件中另有规定的按规定执行。</w:t>
      </w:r>
      <w:r/>
    </w:p>
    <w:p>
      <w:pPr>
        <w:ind w:firstLine="420"/>
        <w:keepLines/>
        <w:keepNext/>
        <w:spacing w:line="520" w:lineRule="exact"/>
        <w:rPr>
          <w:rFonts w:hint="eastAsia" w:ascii="宋体" w:hAnsi="宋体" w:cs="Arial"/>
          <w:color w:val="auto"/>
          <w:sz w:val="28"/>
          <w:szCs w:val="28"/>
          <w:highlight w:val="none"/>
        </w:rPr>
        <w:outlineLvl w:val="3"/>
      </w:pPr>
      <w:r/>
      <w:bookmarkStart w:id="101" w:name="_Hlt26954846"/>
      <w:r/>
      <w:bookmarkEnd w:id="101"/>
      <w:r/>
      <w:bookmarkStart w:id="102" w:name="_Hlt26954848"/>
      <w:r/>
      <w:bookmarkEnd w:id="102"/>
      <w:r/>
      <w:bookmarkStart w:id="103" w:name="_Hlt26954731"/>
      <w:r/>
      <w:bookmarkEnd w:id="103"/>
      <w:r/>
      <w:bookmarkStart w:id="104" w:name="_Hlt26670482"/>
      <w:r/>
      <w:bookmarkEnd w:id="104"/>
      <w:r/>
      <w:bookmarkStart w:id="105" w:name="_Hlt26670486"/>
      <w:r/>
      <w:bookmarkEnd w:id="105"/>
      <w:r>
        <w:rPr>
          <w:rFonts w:hint="eastAsia" w:ascii="宋体" w:hAnsi="宋体" w:cs="Arial"/>
          <w:color w:val="auto"/>
          <w:sz w:val="28"/>
          <w:szCs w:val="28"/>
          <w:highlight w:val="none"/>
        </w:rPr>
        <w:t xml:space="preserve">13.技术要求响应及偏离表、商务要求响应及偏离表</w:t>
      </w:r>
      <w:r/>
    </w:p>
    <w:p>
      <w:pPr>
        <w:ind w:firstLine="480"/>
        <w:spacing w:line="520" w:lineRule="exact"/>
        <w:rPr>
          <w:rFonts w:hint="eastAsia" w:ascii="宋体" w:hAnsi="宋体" w:cs="宋体"/>
          <w:color w:val="auto"/>
          <w:sz w:val="24"/>
          <w:szCs w:val="21"/>
          <w:highlight w:val="none"/>
          <w:lang w:val="zh-CN"/>
        </w:rPr>
      </w:pPr>
      <w:r>
        <w:rPr>
          <w:rFonts w:ascii="宋体" w:hAnsi="宋体" w:cs="宋体"/>
          <w:bCs/>
          <w:color w:val="auto"/>
          <w:sz w:val="24"/>
          <w:szCs w:val="21"/>
          <w:highlight w:val="none"/>
          <w:lang w:val="zh-CN"/>
        </w:rPr>
        <w:t xml:space="preserve">1</w:t>
      </w:r>
      <w:r>
        <w:rPr>
          <w:rFonts w:hint="eastAsia" w:ascii="宋体" w:hAnsi="宋体" w:cs="宋体"/>
          <w:bCs/>
          <w:color w:val="auto"/>
          <w:sz w:val="24"/>
          <w:szCs w:val="21"/>
          <w:highlight w:val="none"/>
          <w:lang w:val="zh-CN"/>
        </w:rPr>
        <w:t xml:space="preserve">3</w:t>
      </w:r>
      <w:r>
        <w:rPr>
          <w:rFonts w:ascii="宋体" w:hAnsi="宋体" w:cs="宋体"/>
          <w:bCs/>
          <w:color w:val="auto"/>
          <w:sz w:val="24"/>
          <w:szCs w:val="21"/>
          <w:highlight w:val="none"/>
          <w:lang w:val="zh-CN"/>
        </w:rPr>
        <w:t xml:space="preserve">.1</w:t>
      </w:r>
      <w:r>
        <w:rPr>
          <w:rFonts w:hint="eastAsia" w:ascii="宋体" w:hAnsi="宋体" w:cs="宋体"/>
          <w:color w:val="auto"/>
          <w:sz w:val="24"/>
          <w:szCs w:val="21"/>
          <w:highlight w:val="none"/>
          <w:lang w:val="zh-CN"/>
        </w:rPr>
        <w:t xml:space="preserve">供应商需对磋商文件中的技术要求与商务要求逐项作出响应或偏离，并说明原因。</w:t>
      </w:r>
      <w:r/>
    </w:p>
    <w:p>
      <w:pPr>
        <w:ind w:firstLine="480"/>
        <w:spacing w:line="520" w:lineRule="exact"/>
        <w:rPr>
          <w:rFonts w:hint="eastAsia" w:ascii="宋体" w:hAnsi="宋体" w:cs="宋体"/>
          <w:color w:val="auto"/>
          <w:sz w:val="24"/>
          <w:szCs w:val="21"/>
          <w:highlight w:val="none"/>
          <w:lang w:val="zh-CN"/>
        </w:rPr>
      </w:pPr>
      <w:r>
        <w:rPr>
          <w:rFonts w:hint="eastAsia" w:ascii="宋体" w:hAnsi="宋体" w:cs="宋体"/>
          <w:color w:val="auto"/>
          <w:sz w:val="24"/>
          <w:szCs w:val="21"/>
          <w:highlight w:val="none"/>
          <w:lang w:val="zh-CN"/>
        </w:rPr>
        <w:t xml:space="preserve">13.2供应商可在响应文件中提供认为需要的其他技术文件或说明。</w:t>
      </w:r>
      <w:r/>
    </w:p>
    <w:p>
      <w:pPr>
        <w:ind w:firstLine="420"/>
        <w:keepLines/>
        <w:keepNext/>
        <w:spacing w:line="520" w:lineRule="exact"/>
        <w:rPr>
          <w:rFonts w:hint="eastAsia" w:ascii="宋体" w:hAnsi="宋体" w:cs="Arial"/>
          <w:color w:val="auto"/>
          <w:sz w:val="28"/>
          <w:szCs w:val="28"/>
          <w:highlight w:val="none"/>
        </w:rPr>
        <w:outlineLvl w:val="3"/>
      </w:pPr>
      <w:r>
        <w:rPr>
          <w:rFonts w:hint="eastAsia" w:ascii="宋体" w:hAnsi="宋体" w:cs="Arial"/>
          <w:color w:val="auto"/>
          <w:sz w:val="28"/>
          <w:szCs w:val="28"/>
          <w:highlight w:val="none"/>
        </w:rPr>
        <w:t xml:space="preserve">14.服务承诺、培训计划、人员安排及其他</w:t>
      </w:r>
      <w:r/>
    </w:p>
    <w:p>
      <w:pPr>
        <w:ind w:firstLine="480"/>
        <w:spacing w:line="52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14.1</w:t>
      </w:r>
      <w:r>
        <w:rPr>
          <w:rFonts w:hint="eastAsia" w:ascii="宋体" w:hAnsi="宋体"/>
          <w:color w:val="auto"/>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14.2供应商需根据磋商文件要求提供培训计划。</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14.3供应商需根据磋商文件要求提供</w:t>
      </w:r>
      <w:r>
        <w:rPr>
          <w:rFonts w:hint="eastAsia" w:ascii="宋体" w:hAnsi="宋体" w:cs="宋体"/>
          <w:color w:val="auto"/>
          <w:sz w:val="24"/>
          <w:szCs w:val="21"/>
          <w:highlight w:val="none"/>
          <w:lang w:val="zh-CN"/>
        </w:rPr>
        <w:t xml:space="preserve">磋商响应标的的主要组成部分、功能设计、实现思路及关键技术等。</w:t>
      </w:r>
      <w:r/>
    </w:p>
    <w:p>
      <w:pPr>
        <w:ind w:firstLine="420"/>
        <w:keepLines/>
        <w:keepNext/>
        <w:spacing w:line="520" w:lineRule="exact"/>
        <w:rPr>
          <w:rFonts w:hint="eastAsia" w:ascii="宋体" w:hAnsi="宋体" w:cs="Arial"/>
          <w:color w:val="auto"/>
          <w:sz w:val="28"/>
          <w:szCs w:val="28"/>
          <w:highlight w:val="none"/>
        </w:rPr>
        <w:outlineLvl w:val="3"/>
      </w:pPr>
      <w:r/>
      <w:bookmarkStart w:id="106" w:name="_Toc49090510"/>
      <w:r/>
      <w:bookmarkStart w:id="107" w:name="_Toc14577359"/>
      <w:r>
        <w:rPr>
          <w:rFonts w:hint="eastAsia" w:ascii="宋体" w:hAnsi="宋体" w:cs="Arial"/>
          <w:color w:val="auto"/>
          <w:sz w:val="28"/>
          <w:szCs w:val="28"/>
          <w:highlight w:val="none"/>
        </w:rPr>
        <w:t xml:space="preserve">15.磋商响应函</w:t>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15.1</w:t>
      </w:r>
      <w:r>
        <w:rPr>
          <w:rFonts w:hint="eastAsia" w:ascii="宋体" w:hAnsi="宋体"/>
          <w:color w:val="auto"/>
          <w:sz w:val="24"/>
          <w:szCs w:val="21"/>
          <w:highlight w:val="none"/>
        </w:rPr>
        <w:t xml:space="preserve">供应商应按照磋商文件中提供的格式完整、正确填写磋商响应函。</w:t>
      </w:r>
      <w:bookmarkEnd w:id="106"/>
      <w:r/>
      <w:bookmarkEnd w:id="107"/>
      <w:r/>
      <w:r/>
    </w:p>
    <w:p>
      <w:pPr>
        <w:ind w:firstLine="420"/>
        <w:keepLines/>
        <w:keepNext/>
        <w:spacing w:line="520" w:lineRule="exact"/>
        <w:rPr>
          <w:rFonts w:hint="eastAsia" w:ascii="宋体" w:hAnsi="宋体" w:cs="Arial"/>
          <w:color w:val="auto"/>
          <w:sz w:val="28"/>
          <w:szCs w:val="28"/>
          <w:highlight w:val="none"/>
        </w:rPr>
        <w:outlineLvl w:val="3"/>
      </w:pPr>
      <w:r/>
      <w:bookmarkStart w:id="108" w:name="_Toc14577360"/>
      <w:r/>
      <w:bookmarkStart w:id="109" w:name="_Toc49090511"/>
      <w:r>
        <w:rPr>
          <w:rFonts w:hint="eastAsia" w:ascii="宋体" w:hAnsi="宋体" w:cs="Arial"/>
          <w:color w:val="auto"/>
          <w:sz w:val="28"/>
          <w:szCs w:val="28"/>
          <w:highlight w:val="none"/>
        </w:rPr>
        <w:t xml:space="preserve">16.磋商有效期</w:t>
      </w:r>
      <w:bookmarkEnd w:id="108"/>
      <w:r/>
      <w:bookmarkEnd w:id="109"/>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16.1磋商有效期为采购人规定的提交响应文件截止之日后</w:t>
      </w:r>
      <w:r>
        <w:rPr>
          <w:rFonts w:hint="eastAsia" w:ascii="宋体" w:hAnsi="宋体"/>
          <w:b/>
          <w:color w:val="auto"/>
          <w:sz w:val="24"/>
          <w:szCs w:val="21"/>
          <w:highlight w:val="none"/>
          <w:u w:val="single"/>
        </w:rPr>
        <w:t xml:space="preserve">六十（60）天</w:t>
      </w:r>
      <w:r>
        <w:rPr>
          <w:rFonts w:hint="eastAsia" w:ascii="宋体" w:hAnsi="宋体"/>
          <w:bCs/>
          <w:color w:val="auto"/>
          <w:sz w:val="24"/>
          <w:szCs w:val="21"/>
          <w:highlight w:val="none"/>
        </w:rPr>
        <w:t xml:space="preserve">。磋商有效期比规定短的将被视为非实质性响应磋商文件而予以拒绝。</w:t>
      </w:r>
      <w:r/>
    </w:p>
    <w:p>
      <w:pPr>
        <w:ind w:firstLine="420"/>
        <w:keepLines/>
        <w:keepNext/>
        <w:spacing w:line="520" w:lineRule="exact"/>
        <w:rPr>
          <w:rFonts w:hint="eastAsia" w:ascii="宋体" w:hAnsi="宋体" w:cs="Arial"/>
          <w:color w:val="auto"/>
          <w:sz w:val="28"/>
          <w:szCs w:val="28"/>
          <w:highlight w:val="none"/>
        </w:rPr>
        <w:outlineLvl w:val="3"/>
      </w:pPr>
      <w:r>
        <w:rPr>
          <w:rFonts w:hint="eastAsia" w:ascii="宋体" w:hAnsi="宋体" w:cs="Arial"/>
          <w:color w:val="auto"/>
          <w:sz w:val="28"/>
          <w:szCs w:val="28"/>
          <w:highlight w:val="none"/>
        </w:rPr>
        <w:t xml:space="preserve">1</w:t>
      </w:r>
      <w:r>
        <w:rPr>
          <w:rFonts w:ascii="宋体" w:hAnsi="宋体" w:cs="Arial"/>
          <w:color w:val="auto"/>
          <w:sz w:val="28"/>
          <w:szCs w:val="28"/>
          <w:highlight w:val="none"/>
        </w:rPr>
        <w:t xml:space="preserve">7</w:t>
      </w:r>
      <w:r>
        <w:rPr>
          <w:rFonts w:hint="eastAsia" w:ascii="宋体" w:hAnsi="宋体" w:cs="Arial"/>
          <w:color w:val="auto"/>
          <w:sz w:val="28"/>
          <w:szCs w:val="28"/>
          <w:highlight w:val="none"/>
        </w:rPr>
        <w:t xml:space="preserve">.磋商有效期的延长</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宋体" w:hAnsi="宋体"/>
          <w:color w:val="auto"/>
          <w:sz w:val="24"/>
          <w:szCs w:val="24"/>
          <w:highlight w:val="none"/>
        </w:rPr>
        <w:t xml:space="preserve">受磋商有效期约束的所有权利与义务均延长至新的有效期</w:t>
      </w:r>
      <w:r>
        <w:rPr>
          <w:rFonts w:hint="eastAsia" w:ascii="宋体" w:hAnsi="宋体"/>
          <w:bCs/>
          <w:color w:val="auto"/>
          <w:sz w:val="24"/>
          <w:szCs w:val="21"/>
          <w:highlight w:val="none"/>
        </w:rPr>
        <w:t xml:space="preserve">。</w:t>
      </w:r>
      <w:r/>
    </w:p>
    <w:p>
      <w:pPr>
        <w:keepLines/>
        <w:keepNext/>
        <w:spacing w:line="520" w:lineRule="exact"/>
        <w:rPr>
          <w:rFonts w:hint="eastAsia" w:ascii="宋体" w:hAnsi="宋体"/>
          <w:b/>
          <w:bCs/>
          <w:color w:val="auto"/>
          <w:sz w:val="32"/>
          <w:szCs w:val="32"/>
          <w:highlight w:val="none"/>
        </w:rPr>
        <w:outlineLvl w:val="2"/>
      </w:pPr>
      <w:r/>
      <w:bookmarkStart w:id="110" w:name="_Hlt26954739"/>
      <w:r/>
      <w:bookmarkEnd w:id="110"/>
      <w:r/>
      <w:bookmarkStart w:id="111" w:name="_Hlt26954852"/>
      <w:r/>
      <w:bookmarkEnd w:id="111"/>
      <w:r/>
      <w:bookmarkStart w:id="112" w:name="_Toc20823296"/>
      <w:r/>
      <w:bookmarkStart w:id="113" w:name="_Toc513029224"/>
      <w:r/>
      <w:bookmarkStart w:id="114" w:name="_Toc120614217"/>
      <w:r/>
      <w:bookmarkStart w:id="115" w:name="_Toc16938540"/>
      <w:r>
        <w:rPr>
          <w:rFonts w:hint="eastAsia" w:ascii="宋体" w:hAnsi="宋体"/>
          <w:b/>
          <w:bCs/>
          <w:color w:val="auto"/>
          <w:sz w:val="32"/>
          <w:szCs w:val="32"/>
          <w:highlight w:val="none"/>
        </w:rPr>
        <w:t xml:space="preserve">四、响应文件的递交</w:t>
      </w:r>
      <w:bookmarkEnd w:id="112"/>
      <w:r/>
      <w:bookmarkEnd w:id="113"/>
      <w:r/>
      <w:bookmarkEnd w:id="114"/>
      <w:r/>
      <w:bookmarkEnd w:id="115"/>
      <w:r/>
      <w:r/>
    </w:p>
    <w:p>
      <w:pPr>
        <w:ind w:firstLine="560"/>
        <w:keepLines/>
        <w:keepNext/>
        <w:spacing w:line="520" w:lineRule="exact"/>
        <w:rPr>
          <w:rFonts w:hint="eastAsia" w:ascii="宋体" w:hAnsi="宋体" w:cs="Arial"/>
          <w:color w:val="auto"/>
          <w:sz w:val="28"/>
          <w:szCs w:val="28"/>
          <w:highlight w:val="none"/>
        </w:rPr>
        <w:outlineLvl w:val="3"/>
      </w:pPr>
      <w:r/>
      <w:bookmarkStart w:id="116" w:name="_Toc20823297"/>
      <w:r/>
      <w:bookmarkStart w:id="117" w:name="_Toc462564084"/>
      <w:r/>
      <w:bookmarkStart w:id="118" w:name="_Toc513029225"/>
      <w:r/>
      <w:bookmarkStart w:id="119" w:name="_Toc16938541"/>
      <w:r>
        <w:rPr>
          <w:rFonts w:hint="eastAsia" w:ascii="宋体" w:hAnsi="宋体" w:cs="Arial"/>
          <w:color w:val="auto"/>
          <w:sz w:val="28"/>
          <w:szCs w:val="28"/>
          <w:highlight w:val="none"/>
        </w:rPr>
        <w:t xml:space="preserve">1</w:t>
      </w:r>
      <w:r>
        <w:rPr>
          <w:rFonts w:ascii="宋体" w:hAnsi="宋体" w:cs="Arial"/>
          <w:color w:val="auto"/>
          <w:sz w:val="28"/>
          <w:szCs w:val="28"/>
          <w:highlight w:val="none"/>
        </w:rPr>
        <w:t xml:space="preserve">8</w:t>
      </w:r>
      <w:r>
        <w:rPr>
          <w:rFonts w:hint="eastAsia" w:ascii="宋体" w:hAnsi="宋体" w:cs="Arial"/>
          <w:color w:val="auto"/>
          <w:sz w:val="28"/>
          <w:szCs w:val="28"/>
          <w:highlight w:val="none"/>
        </w:rPr>
        <w:t xml:space="preserve">.电子磋商</w:t>
      </w:r>
      <w:bookmarkEnd w:id="116"/>
      <w:r/>
      <w:bookmarkEnd w:id="117"/>
      <w:r/>
      <w:bookmarkEnd w:id="118"/>
      <w:r/>
      <w:bookmarkEnd w:id="119"/>
      <w:r>
        <w:rPr>
          <w:rFonts w:hint="eastAsia" w:ascii="宋体" w:hAnsi="宋体" w:cs="Arial"/>
          <w:color w:val="auto"/>
          <w:sz w:val="28"/>
          <w:szCs w:val="28"/>
          <w:highlight w:val="none"/>
        </w:rPr>
        <w:t xml:space="preserve">响应文件的递交</w:t>
      </w:r>
      <w:r/>
    </w:p>
    <w:p>
      <w:pPr>
        <w:ind w:firstLine="60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18.1供应商应当按照《操作手册》规定，在提交响应文件截止时间前</w:t>
      </w:r>
      <w:r>
        <w:rPr>
          <w:rFonts w:ascii="宋体" w:hAnsi="宋体"/>
          <w:bCs/>
          <w:color w:val="auto"/>
          <w:sz w:val="24"/>
          <w:szCs w:val="21"/>
          <w:highlight w:val="none"/>
        </w:rPr>
        <w:t xml:space="preserve">制作</w:t>
      </w:r>
      <w:r>
        <w:rPr>
          <w:rFonts w:hint="eastAsia" w:ascii="宋体" w:hAnsi="宋体"/>
          <w:bCs/>
          <w:color w:val="auto"/>
          <w:sz w:val="24"/>
          <w:szCs w:val="21"/>
          <w:highlight w:val="none"/>
        </w:rPr>
        <w:t xml:space="preserve">并上传电子响应文件。</w:t>
      </w:r>
      <w:bookmarkStart w:id="120" w:name="_Toc20823298"/>
      <w:r/>
      <w:bookmarkStart w:id="121" w:name="_Toc16938542"/>
      <w:r/>
      <w:bookmarkStart w:id="122" w:name="_Toc513029226"/>
      <w:r/>
      <w:r/>
    </w:p>
    <w:p>
      <w:pPr>
        <w:ind w:firstLine="560"/>
        <w:keepLines/>
        <w:keepNext/>
        <w:spacing w:line="520" w:lineRule="exact"/>
        <w:rPr>
          <w:rFonts w:hint="eastAsia" w:ascii="宋体" w:hAnsi="宋体" w:cs="Arial"/>
          <w:bCs/>
          <w:color w:val="auto"/>
          <w:sz w:val="24"/>
          <w:szCs w:val="28"/>
          <w:highlight w:val="none"/>
        </w:rPr>
        <w:outlineLvl w:val="3"/>
      </w:pPr>
      <w:r>
        <w:rPr>
          <w:rFonts w:ascii="宋体" w:hAnsi="宋体" w:cs="Arial"/>
          <w:bCs/>
          <w:color w:val="auto"/>
          <w:sz w:val="28"/>
          <w:szCs w:val="28"/>
          <w:highlight w:val="none"/>
        </w:rPr>
        <w:t xml:space="preserve">19</w:t>
      </w:r>
      <w:r>
        <w:rPr>
          <w:rFonts w:hint="eastAsia" w:ascii="宋体" w:hAnsi="宋体" w:cs="Arial"/>
          <w:bCs/>
          <w:color w:val="auto"/>
          <w:sz w:val="28"/>
          <w:szCs w:val="28"/>
          <w:highlight w:val="none"/>
        </w:rPr>
        <w:t xml:space="preserve">.提交响应文件截止时间</w:t>
      </w:r>
      <w:bookmarkEnd w:id="120"/>
      <w:r/>
      <w:bookmarkEnd w:id="121"/>
      <w:r/>
      <w:bookmarkEnd w:id="122"/>
      <w:r/>
      <w:r/>
    </w:p>
    <w:p>
      <w:pPr>
        <w:ind w:firstLine="480"/>
        <w:spacing w:line="520" w:lineRule="exact"/>
        <w:rPr>
          <w:rFonts w:hint="eastAsia" w:ascii="宋体" w:hAnsi="宋体"/>
          <w:b/>
          <w:bCs/>
          <w:color w:val="auto"/>
          <w:sz w:val="24"/>
          <w:szCs w:val="21"/>
          <w:highlight w:val="none"/>
          <w:u w:val="singl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.1</w:t>
      </w:r>
      <w:r>
        <w:rPr>
          <w:rFonts w:hint="eastAsia" w:ascii="宋体" w:hAnsi="宋体"/>
          <w:b/>
          <w:bCs/>
          <w:color w:val="auto"/>
          <w:sz w:val="24"/>
          <w:szCs w:val="21"/>
          <w:highlight w:val="none"/>
          <w:u w:val="single"/>
        </w:rPr>
        <w:t xml:space="preserve">供应商上传电子响应文件的时间不得迟于磋商公告中规定的提交响应文件截止时间。</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520" w:lineRule="exact"/>
        <w:rPr>
          <w:rFonts w:hint="eastAsia" w:ascii="宋体" w:hAnsi="宋体"/>
          <w:bCs/>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.2</w:t>
      </w:r>
      <w:r>
        <w:rPr>
          <w:rFonts w:hint="eastAsia" w:ascii="宋体" w:hAnsi="宋体"/>
          <w:bCs/>
          <w:color w:val="auto"/>
          <w:sz w:val="24"/>
          <w:szCs w:val="21"/>
          <w:highlight w:val="none"/>
        </w:rPr>
        <w:t xml:space="preserve"> 采购人可以按照规定，通过修改磋商文件酌情延长提交响应文件截止日期，在此情况下，供应商的所有权利和义务以及供应商受制的截止日期均应以延长后新的截止日期为准。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520" w:lineRule="exact"/>
        <w:rPr>
          <w:rFonts w:hint="eastAsia" w:ascii="宋体" w:hAnsi="宋体" w:cs="Arial"/>
          <w:color w:val="auto"/>
          <w:sz w:val="28"/>
          <w:szCs w:val="28"/>
          <w:highlight w:val="none"/>
        </w:rPr>
        <w:outlineLvl w:val="3"/>
      </w:pPr>
      <w:r/>
      <w:bookmarkStart w:id="123" w:name="_Toc20823299"/>
      <w:r/>
      <w:bookmarkStart w:id="124" w:name="_Toc16938543"/>
      <w:r/>
      <w:bookmarkStart w:id="125" w:name="_Toc513029227"/>
      <w:r>
        <w:rPr>
          <w:rFonts w:hint="eastAsia" w:ascii="宋体" w:hAnsi="宋体" w:cs="Arial"/>
          <w:color w:val="auto"/>
          <w:sz w:val="28"/>
          <w:szCs w:val="28"/>
          <w:highlight w:val="none"/>
        </w:rPr>
        <w:t xml:space="preserve">2</w:t>
      </w:r>
      <w:r>
        <w:rPr>
          <w:rFonts w:ascii="宋体" w:hAnsi="宋体" w:cs="Arial"/>
          <w:color w:val="auto"/>
          <w:sz w:val="28"/>
          <w:szCs w:val="28"/>
          <w:highlight w:val="none"/>
        </w:rPr>
        <w:t xml:space="preserve">0</w:t>
      </w:r>
      <w:r>
        <w:rPr>
          <w:rFonts w:hint="eastAsia" w:ascii="宋体" w:hAnsi="宋体" w:cs="Arial"/>
          <w:color w:val="auto"/>
          <w:sz w:val="28"/>
          <w:szCs w:val="28"/>
          <w:highlight w:val="none"/>
        </w:rPr>
        <w:t xml:space="preserve">.响应文件</w:t>
      </w:r>
      <w:bookmarkEnd w:id="123"/>
      <w:r/>
      <w:bookmarkEnd w:id="124"/>
      <w:r/>
      <w:bookmarkEnd w:id="125"/>
      <w:r>
        <w:rPr>
          <w:rFonts w:hint="eastAsia" w:ascii="宋体" w:hAnsi="宋体" w:cs="Arial"/>
          <w:color w:val="auto"/>
          <w:sz w:val="28"/>
          <w:szCs w:val="28"/>
          <w:highlight w:val="none"/>
        </w:rPr>
        <w:t xml:space="preserve">的拒收</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20.1 采购人拒绝接收在其规定的提交响应文件截止时间后上传的任何电子响应文件。</w:t>
      </w:r>
      <w:r/>
    </w:p>
    <w:p>
      <w:pPr>
        <w:ind w:firstLine="420"/>
        <w:keepLines/>
        <w:keepNext/>
        <w:spacing w:line="520" w:lineRule="exact"/>
        <w:rPr>
          <w:rFonts w:hint="eastAsia" w:ascii="宋体" w:hAnsi="宋体" w:cs="Arial"/>
          <w:color w:val="auto"/>
          <w:sz w:val="28"/>
          <w:szCs w:val="28"/>
          <w:highlight w:val="none"/>
        </w:rPr>
        <w:outlineLvl w:val="3"/>
      </w:pPr>
      <w:r/>
      <w:bookmarkStart w:id="126" w:name="_Toc513029228"/>
      <w:r/>
      <w:bookmarkStart w:id="127" w:name="_Toc20823300"/>
      <w:r/>
      <w:bookmarkStart w:id="128" w:name="_Toc16938544"/>
      <w:r>
        <w:rPr>
          <w:rFonts w:hint="eastAsia" w:ascii="宋体" w:hAnsi="宋体" w:cs="Arial"/>
          <w:color w:val="auto"/>
          <w:sz w:val="28"/>
          <w:szCs w:val="28"/>
          <w:highlight w:val="none"/>
        </w:rPr>
        <w:t xml:space="preserve">2</w:t>
      </w:r>
      <w:r>
        <w:rPr>
          <w:rFonts w:ascii="宋体" w:hAnsi="宋体" w:cs="Arial"/>
          <w:color w:val="auto"/>
          <w:sz w:val="28"/>
          <w:szCs w:val="28"/>
          <w:highlight w:val="none"/>
        </w:rPr>
        <w:t xml:space="preserve">1</w:t>
      </w:r>
      <w:r>
        <w:rPr>
          <w:rFonts w:hint="eastAsia" w:ascii="宋体" w:hAnsi="宋体" w:cs="Arial"/>
          <w:color w:val="auto"/>
          <w:sz w:val="28"/>
          <w:szCs w:val="28"/>
          <w:highlight w:val="none"/>
        </w:rPr>
        <w:t xml:space="preserve">.响应文件的撤回和修改</w:t>
      </w:r>
      <w:bookmarkEnd w:id="126"/>
      <w:r/>
      <w:bookmarkEnd w:id="127"/>
      <w:r/>
      <w:bookmarkEnd w:id="128"/>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.1响应文件的撤回</w:t>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.1.1 电子响应文件的撤回</w:t>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供应商可在</w:t>
      </w:r>
      <w:r>
        <w:rPr>
          <w:rFonts w:hint="eastAsia" w:ascii="宋体" w:hAnsi="宋体"/>
          <w:bCs/>
          <w:color w:val="auto"/>
          <w:sz w:val="24"/>
          <w:szCs w:val="21"/>
          <w:highlight w:val="none"/>
        </w:rPr>
        <w:t xml:space="preserve">提交响应文件</w:t>
      </w:r>
      <w:r>
        <w:rPr>
          <w:rFonts w:hint="eastAsia" w:ascii="宋体" w:hAnsi="宋体"/>
          <w:color w:val="auto"/>
          <w:sz w:val="24"/>
          <w:szCs w:val="21"/>
          <w:highlight w:val="none"/>
        </w:rPr>
        <w:t xml:space="preserve">截止时间前，撤回其电子响应文件，具体操作方法见《操作手册》。</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供应商撤回电子响应文件，则认为其不再参与本项目磋商活动。</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.2响应文件的修改</w:t>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供应商可在</w:t>
      </w:r>
      <w:r>
        <w:rPr>
          <w:rFonts w:hint="eastAsia" w:ascii="宋体" w:hAnsi="宋体"/>
          <w:bCs/>
          <w:color w:val="auto"/>
          <w:sz w:val="24"/>
          <w:szCs w:val="21"/>
          <w:highlight w:val="none"/>
        </w:rPr>
        <w:t xml:space="preserve">提交响应文件</w:t>
      </w:r>
      <w:r>
        <w:rPr>
          <w:rFonts w:hint="eastAsia" w:ascii="宋体" w:hAnsi="宋体"/>
          <w:color w:val="auto"/>
          <w:sz w:val="24"/>
          <w:szCs w:val="21"/>
          <w:highlight w:val="none"/>
        </w:rPr>
        <w:t xml:space="preserve">截止时间前，对其电子响应文件进行修改，具体操作方法见《操作手册》。</w:t>
      </w:r>
      <w:r/>
    </w:p>
    <w:p>
      <w:pPr>
        <w:ind w:firstLine="480"/>
        <w:spacing w:line="52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 在提交响应文件截止时间之后，供应商不得对其电子响应文件作任何修改。</w:t>
      </w:r>
      <w:r/>
    </w:p>
    <w:p>
      <w:pPr>
        <w:ind w:firstLine="480"/>
        <w:spacing w:line="52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.4</w:t>
      </w:r>
      <w:r>
        <w:rPr>
          <w:rFonts w:hint="eastAsia" w:ascii="宋体" w:hAnsi="宋体"/>
          <w:bCs/>
          <w:color w:val="auto"/>
          <w:sz w:val="24"/>
          <w:szCs w:val="21"/>
          <w:highlight w:val="none"/>
        </w:rPr>
        <w:t xml:space="preserve"> 在提交响应文件截止时间至磋商文件中规定的磋商有效期满之间的这段时间内，供应商不得撤回其响应文件。</w:t>
      </w:r>
      <w:r/>
    </w:p>
    <w:p>
      <w:pPr>
        <w:keepLines/>
        <w:keepNext/>
        <w:spacing w:line="520" w:lineRule="exact"/>
        <w:rPr>
          <w:rFonts w:hint="eastAsia" w:ascii="宋体" w:hAnsi="宋体"/>
          <w:b/>
          <w:bCs/>
          <w:color w:val="auto"/>
          <w:sz w:val="32"/>
          <w:szCs w:val="32"/>
          <w:highlight w:val="none"/>
        </w:rPr>
        <w:outlineLvl w:val="2"/>
      </w:pPr>
      <w:r/>
      <w:bookmarkStart w:id="129" w:name="_Toc20823301"/>
      <w:r/>
      <w:bookmarkStart w:id="130" w:name="_Toc120614218"/>
      <w:r/>
      <w:bookmarkStart w:id="131" w:name="_Toc16938545"/>
      <w:r/>
      <w:bookmarkStart w:id="132" w:name="_Toc513029229"/>
      <w:r>
        <w:rPr>
          <w:rFonts w:hint="eastAsia" w:ascii="宋体" w:hAnsi="宋体"/>
          <w:b/>
          <w:bCs/>
          <w:color w:val="auto"/>
          <w:sz w:val="32"/>
          <w:szCs w:val="32"/>
          <w:highlight w:val="none"/>
        </w:rPr>
        <w:t xml:space="preserve">五、响应文件的解密与评审</w:t>
      </w:r>
      <w:bookmarkEnd w:id="129"/>
      <w:r/>
      <w:bookmarkEnd w:id="130"/>
      <w:r/>
      <w:bookmarkEnd w:id="131"/>
      <w:r/>
      <w:bookmarkEnd w:id="132"/>
      <w:r/>
      <w:r/>
    </w:p>
    <w:p>
      <w:pPr>
        <w:ind w:firstLine="420"/>
        <w:keepLines/>
        <w:keepNext/>
        <w:spacing w:line="520" w:lineRule="exact"/>
        <w:rPr>
          <w:rFonts w:hint="eastAsia" w:ascii="宋体" w:hAnsi="宋体" w:cs="Arial"/>
          <w:color w:val="auto"/>
          <w:sz w:val="28"/>
          <w:szCs w:val="28"/>
          <w:highlight w:val="none"/>
        </w:rPr>
        <w:outlineLvl w:val="3"/>
      </w:pPr>
      <w:r/>
      <w:bookmarkStart w:id="133" w:name="_Toc20823302"/>
      <w:r/>
      <w:bookmarkStart w:id="134" w:name="_Toc16938546"/>
      <w:r/>
      <w:bookmarkStart w:id="135" w:name="_Toc513029230"/>
      <w:r>
        <w:rPr>
          <w:rFonts w:hint="eastAsia" w:ascii="宋体" w:hAnsi="宋体" w:cs="Arial"/>
          <w:color w:val="auto"/>
          <w:sz w:val="28"/>
          <w:szCs w:val="28"/>
          <w:highlight w:val="none"/>
        </w:rPr>
        <w:t xml:space="preserve">22</w:t>
      </w:r>
      <w:bookmarkEnd w:id="133"/>
      <w:r/>
      <w:bookmarkEnd w:id="134"/>
      <w:r/>
      <w:bookmarkEnd w:id="135"/>
      <w:r>
        <w:rPr>
          <w:rFonts w:hint="eastAsia" w:ascii="宋体" w:hAnsi="宋体" w:cs="Arial"/>
          <w:color w:val="auto"/>
          <w:sz w:val="28"/>
          <w:szCs w:val="28"/>
          <w:highlight w:val="none"/>
        </w:rPr>
        <w:t xml:space="preserve">.响应文件解密</w:t>
      </w:r>
      <w:r/>
    </w:p>
    <w:p>
      <w:pPr>
        <w:ind w:firstLine="360"/>
        <w:spacing w:line="520" w:lineRule="exact"/>
        <w:rPr>
          <w:rFonts w:hint="eastAsia" w:ascii="宋体" w:hAnsi="宋体"/>
          <w:color w:val="auto"/>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2</w:t>
      </w:r>
      <w:r>
        <w:rPr>
          <w:rFonts w:hint="eastAsia" w:ascii="宋体" w:hAnsi="宋体"/>
          <w:color w:val="auto"/>
          <w:sz w:val="24"/>
          <w:szCs w:val="21"/>
          <w:highlight w:val="none"/>
        </w:rPr>
        <w:t xml:space="preserve">.1</w:t>
      </w:r>
      <w:r>
        <w:rPr>
          <w:rFonts w:hint="eastAsia" w:ascii="宋体" w:hAnsi="宋体"/>
          <w:color w:val="auto"/>
          <w:sz w:val="24"/>
          <w:szCs w:val="24"/>
          <w:highlight w:val="none"/>
        </w:rPr>
        <w:t xml:space="preserve">供应商应当按照《操作手册》规定，在苏采云系统规定的时间内对磋商响应文件进行解密。</w:t>
      </w:r>
      <w:r/>
    </w:p>
    <w:p>
      <w:pPr>
        <w:ind w:firstLine="420"/>
        <w:keepLines/>
        <w:keepNext/>
        <w:spacing w:line="520" w:lineRule="exact"/>
        <w:rPr>
          <w:rFonts w:hint="eastAsia" w:ascii="宋体" w:hAnsi="宋体" w:cs="Arial"/>
          <w:color w:val="auto"/>
          <w:sz w:val="28"/>
          <w:szCs w:val="28"/>
          <w:highlight w:val="none"/>
        </w:rPr>
        <w:outlineLvl w:val="3"/>
      </w:pPr>
      <w:r/>
      <w:bookmarkStart w:id="136" w:name="_Toc513029231"/>
      <w:r/>
      <w:bookmarkStart w:id="137" w:name="_Toc20823303"/>
      <w:r/>
      <w:bookmarkStart w:id="138" w:name="_Toc16938547"/>
      <w:r>
        <w:rPr>
          <w:rFonts w:hint="eastAsia" w:ascii="宋体" w:hAnsi="宋体" w:cs="Arial"/>
          <w:color w:val="auto"/>
          <w:sz w:val="28"/>
          <w:szCs w:val="28"/>
          <w:highlight w:val="none"/>
        </w:rPr>
        <w:t xml:space="preserve">2</w:t>
      </w:r>
      <w:r>
        <w:rPr>
          <w:rFonts w:ascii="宋体" w:hAnsi="宋体" w:cs="Arial"/>
          <w:color w:val="auto"/>
          <w:sz w:val="28"/>
          <w:szCs w:val="28"/>
          <w:highlight w:val="none"/>
        </w:rPr>
        <w:t xml:space="preserve">3</w:t>
      </w:r>
      <w:r>
        <w:rPr>
          <w:rFonts w:hint="eastAsia" w:ascii="宋体" w:hAnsi="宋体" w:cs="Arial"/>
          <w:color w:val="auto"/>
          <w:sz w:val="28"/>
          <w:szCs w:val="28"/>
          <w:highlight w:val="none"/>
        </w:rPr>
        <w:t xml:space="preserve">.磋商小组</w:t>
      </w:r>
      <w:r/>
    </w:p>
    <w:p>
      <w:pPr>
        <w:spacing w:line="52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.1</w:t>
      </w:r>
      <w:r>
        <w:rPr>
          <w:rFonts w:hint="eastAsia" w:ascii="宋体" w:hAnsi="宋体"/>
          <w:bCs/>
          <w:color w:val="auto"/>
          <w:sz w:val="24"/>
          <w:szCs w:val="21"/>
          <w:highlight w:val="none"/>
        </w:rPr>
        <w:t xml:space="preserve">采购代理机构</w:t>
      </w:r>
      <w:r>
        <w:rPr>
          <w:rFonts w:hint="eastAsia" w:ascii="宋体" w:hAnsi="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spacing w:line="520" w:lineRule="exact"/>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.2磋商小组独立工作，负责评审所有响应文件并确定成交侯选人。</w:t>
      </w:r>
      <w:r/>
    </w:p>
    <w:p>
      <w:pPr>
        <w:ind w:firstLine="420"/>
        <w:keepLines/>
        <w:keepNext/>
        <w:spacing w:line="520" w:lineRule="exact"/>
        <w:rPr>
          <w:rFonts w:hint="eastAsia" w:ascii="宋体" w:hAnsi="宋体" w:cs="Arial"/>
          <w:color w:val="auto"/>
          <w:sz w:val="28"/>
          <w:szCs w:val="28"/>
          <w:highlight w:val="none"/>
        </w:rPr>
        <w:outlineLvl w:val="3"/>
      </w:pPr>
      <w:r>
        <w:rPr>
          <w:rFonts w:hint="eastAsia" w:ascii="宋体" w:hAnsi="宋体" w:cs="Arial"/>
          <w:color w:val="auto"/>
          <w:sz w:val="28"/>
          <w:szCs w:val="28"/>
          <w:highlight w:val="none"/>
        </w:rPr>
        <w:t xml:space="preserve">2</w:t>
      </w:r>
      <w:r>
        <w:rPr>
          <w:rFonts w:ascii="宋体" w:hAnsi="宋体" w:cs="Arial"/>
          <w:color w:val="auto"/>
          <w:sz w:val="28"/>
          <w:szCs w:val="28"/>
          <w:highlight w:val="none"/>
        </w:rPr>
        <w:t xml:space="preserve">4</w:t>
      </w:r>
      <w:r>
        <w:rPr>
          <w:rFonts w:hint="eastAsia" w:ascii="宋体" w:hAnsi="宋体" w:cs="Arial"/>
          <w:color w:val="auto"/>
          <w:sz w:val="28"/>
          <w:szCs w:val="28"/>
          <w:highlight w:val="none"/>
        </w:rPr>
        <w:t xml:space="preserve">.评审过程的保密与公正</w:t>
      </w:r>
      <w:bookmarkEnd w:id="136"/>
      <w:r/>
      <w:bookmarkEnd w:id="137"/>
      <w:r/>
      <w:bookmarkEnd w:id="138"/>
      <w:r/>
      <w:r/>
    </w:p>
    <w:p>
      <w:pPr>
        <w:ind w:firstLine="480"/>
        <w:spacing w:line="52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磋商小组、采购人和采购代理机构工作人员、相关监督人员等与评审工作有关的人员，对评审情况以及在评审过程中获悉的国家秘密、商业秘密负有保密责任。</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在评审过程中，供应商不得以任何行为影响磋商评审过程，否则其响应文件将被作为无效响应文件。</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.3</w:t>
      </w:r>
      <w:r>
        <w:rPr>
          <w:rFonts w:hint="eastAsia" w:ascii="宋体" w:hAnsi="宋体"/>
          <w:color w:val="auto"/>
          <w:sz w:val="24"/>
          <w:szCs w:val="24"/>
          <w:highlight w:val="none"/>
        </w:rPr>
        <w:t xml:space="preserve">在项目评审期间，采购代理机构将设专门人员与供应商联系。</w:t>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24</w:t>
      </w:r>
      <w:r>
        <w:rPr>
          <w:rFonts w:hint="eastAsia" w:ascii="宋体" w:hAnsi="宋体"/>
          <w:color w:val="auto"/>
          <w:sz w:val="24"/>
          <w:szCs w:val="24"/>
          <w:highlight w:val="none"/>
        </w:rPr>
        <w:t xml:space="preserve">.4 采购人和磋商小组不向未成交的供应商解释未成交原因，也不公布评审过程中的相关细节。</w:t>
      </w:r>
      <w:r/>
    </w:p>
    <w:p>
      <w:pPr>
        <w:ind w:firstLine="420"/>
        <w:keepLines/>
        <w:keepNext/>
        <w:spacing w:line="520" w:lineRule="exact"/>
        <w:rPr>
          <w:rFonts w:hint="eastAsia" w:ascii="宋体" w:hAnsi="宋体" w:cs="Arial"/>
          <w:color w:val="auto"/>
          <w:sz w:val="28"/>
          <w:szCs w:val="28"/>
          <w:highlight w:val="none"/>
        </w:rPr>
        <w:outlineLvl w:val="3"/>
      </w:pPr>
      <w:r/>
      <w:bookmarkStart w:id="139" w:name="_Toc20823304"/>
      <w:r/>
      <w:bookmarkStart w:id="140" w:name="_Toc16938548"/>
      <w:r/>
      <w:bookmarkStart w:id="141" w:name="_Toc513029232"/>
      <w:r>
        <w:rPr>
          <w:rFonts w:hint="eastAsia" w:ascii="宋体" w:hAnsi="宋体" w:cs="Arial"/>
          <w:color w:val="auto"/>
          <w:sz w:val="28"/>
          <w:szCs w:val="28"/>
          <w:highlight w:val="none"/>
        </w:rPr>
        <w:t xml:space="preserve">2</w:t>
      </w:r>
      <w:r>
        <w:rPr>
          <w:rFonts w:ascii="宋体" w:hAnsi="宋体" w:cs="Arial"/>
          <w:color w:val="auto"/>
          <w:sz w:val="28"/>
          <w:szCs w:val="28"/>
          <w:highlight w:val="none"/>
        </w:rPr>
        <w:t xml:space="preserve">5</w:t>
      </w:r>
      <w:r>
        <w:rPr>
          <w:rFonts w:hint="eastAsia" w:ascii="宋体" w:hAnsi="宋体" w:cs="Arial"/>
          <w:color w:val="auto"/>
          <w:sz w:val="28"/>
          <w:szCs w:val="28"/>
          <w:highlight w:val="none"/>
        </w:rPr>
        <w:t xml:space="preserve">.评审过程中的的澄清</w:t>
      </w:r>
      <w:bookmarkEnd w:id="139"/>
      <w:r/>
      <w:bookmarkEnd w:id="140"/>
      <w:r/>
      <w:bookmarkEnd w:id="141"/>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磋商小组并非对每个供应商都作澄清要求。</w:t>
      </w:r>
      <w:r/>
    </w:p>
    <w:p>
      <w:pPr>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2</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.2需要供应商进行澄清、说明和更正的，磋商小组将通过</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向供应商发布“澄清要求函”，接到“澄清要求函”的供应商应当按照要求在</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中提交“澄清响应函”并加盖CA电子公章。澄清、说明和更正的内容作为响应文件的补充部分，具体</w:t>
      </w:r>
      <w:r>
        <w:rPr>
          <w:rFonts w:ascii="宋体" w:hAnsi="宋体" w:cs="宋体"/>
          <w:color w:val="auto"/>
          <w:sz w:val="24"/>
          <w:szCs w:val="24"/>
          <w:highlight w:val="none"/>
        </w:rPr>
        <w:t xml:space="preserve">操作</w:t>
      </w:r>
      <w:r>
        <w:rPr>
          <w:rFonts w:hint="eastAsia" w:ascii="宋体" w:hAnsi="宋体" w:cs="宋体"/>
          <w:color w:val="auto"/>
          <w:sz w:val="24"/>
          <w:szCs w:val="24"/>
          <w:highlight w:val="none"/>
        </w:rPr>
        <w:t xml:space="preserve">方式</w:t>
      </w:r>
      <w:r>
        <w:rPr>
          <w:rFonts w:ascii="宋体" w:hAnsi="宋体" w:cs="宋体"/>
          <w:color w:val="auto"/>
          <w:sz w:val="24"/>
          <w:szCs w:val="24"/>
          <w:highlight w:val="none"/>
        </w:rPr>
        <w:t xml:space="preserve">见</w:t>
      </w:r>
      <w:r>
        <w:rPr>
          <w:rFonts w:hint="eastAsia" w:ascii="宋体" w:hAnsi="宋体" w:cs="宋体"/>
          <w:color w:val="auto"/>
          <w:sz w:val="24"/>
          <w:szCs w:val="24"/>
          <w:highlight w:val="none"/>
        </w:rPr>
        <w:t xml:space="preserve">《操作手册》。</w:t>
      </w:r>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.3 接到磋商小组澄清、说明和更正要求的供应商如未按规定做出澄清、说明和 更正，其风险由供应商自行承担。</w:t>
      </w:r>
      <w:r/>
    </w:p>
    <w:p>
      <w:pPr>
        <w:ind w:firstLine="420"/>
        <w:keepLines/>
        <w:keepNext/>
        <w:spacing w:line="520" w:lineRule="exact"/>
        <w:rPr>
          <w:rFonts w:hint="eastAsia" w:ascii="宋体" w:hAnsi="宋体" w:cs="Arial"/>
          <w:color w:val="auto"/>
          <w:sz w:val="28"/>
          <w:szCs w:val="28"/>
          <w:highlight w:val="none"/>
        </w:rPr>
        <w:outlineLvl w:val="3"/>
      </w:pPr>
      <w:r/>
      <w:bookmarkStart w:id="142" w:name="_Toc513029233"/>
      <w:r/>
      <w:bookmarkStart w:id="143" w:name="_Toc20823305"/>
      <w:r/>
      <w:bookmarkStart w:id="144" w:name="_Toc16938549"/>
      <w:r>
        <w:rPr>
          <w:rFonts w:hint="eastAsia" w:ascii="宋体" w:hAnsi="宋体" w:cs="Arial"/>
          <w:color w:val="auto"/>
          <w:sz w:val="28"/>
          <w:szCs w:val="28"/>
          <w:highlight w:val="none"/>
        </w:rPr>
        <w:t xml:space="preserve">2</w:t>
      </w:r>
      <w:r>
        <w:rPr>
          <w:rFonts w:ascii="宋体" w:hAnsi="宋体" w:cs="Arial"/>
          <w:color w:val="auto"/>
          <w:sz w:val="28"/>
          <w:szCs w:val="28"/>
          <w:highlight w:val="none"/>
        </w:rPr>
        <w:t xml:space="preserve">6</w:t>
      </w:r>
      <w:r>
        <w:rPr>
          <w:rFonts w:hint="eastAsia" w:ascii="宋体" w:hAnsi="宋体" w:cs="Arial"/>
          <w:color w:val="auto"/>
          <w:sz w:val="28"/>
          <w:szCs w:val="28"/>
          <w:highlight w:val="none"/>
        </w:rPr>
        <w:t xml:space="preserve">.对响应文件的审</w:t>
      </w:r>
      <w:bookmarkEnd w:id="142"/>
      <w:r/>
      <w:bookmarkEnd w:id="143"/>
      <w:r/>
      <w:bookmarkEnd w:id="144"/>
      <w:r>
        <w:rPr>
          <w:rFonts w:hint="eastAsia" w:ascii="宋体" w:hAnsi="宋体" w:cs="Arial"/>
          <w:color w:val="auto"/>
          <w:sz w:val="28"/>
          <w:szCs w:val="28"/>
          <w:highlight w:val="none"/>
        </w:rPr>
        <w:t xml:space="preserve">查</w:t>
      </w:r>
      <w:r/>
    </w:p>
    <w:p>
      <w:pPr>
        <w:ind w:firstLine="480"/>
        <w:spacing w:line="52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响应文件审查分为资格审查和符合性审查。</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 资格审查：由采购人依据法律法规和磋商文件的规定，对响应文件中的资格证明文件进行审查，以确定供应商是否具备参加磋商的资格。</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采购人在进行资格审查的同时，将在“信用中国”网站（www.creditchina.gov.cn）查询供应商的信用记录，以确定供应商是否具备磋商资格,查询结果留存并归档。</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.1.2符合性审查：依据磋商文件的规定，由磋商小组从响应文件的有效性、完整性和对磋商文件的响应程度进行审查，以确定是否对磋商文件的实质性要求作出响应。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.1.3未通过资格审查或符合性审查的供应商，采购代理机构将在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中告知未通过资格审查或符合性审查的原因，评审结束后，采购代理机构将不再告知未通过资格审查或符合性审查的原因。</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26.3未实质性响应磋商文件的情形</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26.3.1供应商在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规定的时间内未成功解密电子响应文件的。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26.3.2供应商未按照磋商文件要求上传电子响应文件的。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26.3.3同一供应商提交两个（含两个）以上不同的响应文件或者最后报价的。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26.3.4供应商不具备磋商文件中规定资格要求的。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26.3.5供应商的最后报价超过了采购预算。</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26.3.6不符合磋商文件中规定的实质性要求和条件的。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26.3.8 响应文件含有采购人不能接受的附加条件的。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26.3.10响应文件未按照磋商文件要求加盖CA电子公章的。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26.4未实质性响应磋商文件的响应文件按无效响应处理。</w:t>
      </w:r>
      <w:r/>
    </w:p>
    <w:p>
      <w:pPr>
        <w:ind w:firstLine="480"/>
        <w:spacing w:line="52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.5</w:t>
      </w:r>
      <w:r>
        <w:rPr>
          <w:rFonts w:hint="eastAsia" w:ascii="宋体" w:hAnsi="宋体"/>
          <w:bCs/>
          <w:color w:val="auto"/>
          <w:sz w:val="24"/>
          <w:szCs w:val="21"/>
          <w:highlight w:val="none"/>
        </w:rPr>
        <w:t xml:space="preserve">如果响应文件实质上没有响应磋商文件的要求，磋商小组将予以拒绝，供应商不得通过修改或撤销不合要求的偏离或保留而使其成为实质性响应的文件。</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26.6磋商小组将对确定为实质性响应的文件进行进一步审核，看其是否有计算上或累加上的算术错误，修正错误的原则如下：</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（1）响应文件中报价总表内容与响应文件中相应内容不一致的，以报价总表为准。</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（2）大写金额和小写金额不一致的，以大写金额为准。</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（3）单价金额小数点或者百分比有明显错位的，以报价总表的总价为准，并修改单价。</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（4）总价金额与按单价汇总金额不一致的，以单价金额计算结果为准。</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同时出现两种以上错误的，按照前款规定的顺序修正。</w:t>
      </w:r>
      <w:r/>
    </w:p>
    <w:p>
      <w:pPr>
        <w:ind w:firstLine="480"/>
        <w:spacing w:line="520" w:lineRule="exact"/>
        <w:rPr>
          <w:rFonts w:hint="eastAsia" w:ascii="宋体" w:hAnsi="宋体"/>
          <w:color w:val="auto"/>
          <w:sz w:val="24"/>
          <w:szCs w:val="21"/>
          <w:highlight w:val="none"/>
        </w:rPr>
      </w:pPr>
      <w:r/>
      <w:bookmarkStart w:id="145" w:name="_Toc513029234"/>
      <w:r/>
      <w:bookmarkStart w:id="146" w:name="_Toc16938550"/>
      <w:r/>
      <w:bookmarkStart w:id="147" w:name="_Toc20823306"/>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.7供应商在项目评审全过程中应保持通讯畅通，并安排专人与采购人或采购代理机构及磋商小组联系。</w:t>
      </w:r>
      <w:r/>
    </w:p>
    <w:p>
      <w:pPr>
        <w:ind w:firstLine="420"/>
        <w:keepLines/>
        <w:keepNext/>
        <w:spacing w:line="520" w:lineRule="exact"/>
        <w:rPr>
          <w:rFonts w:hint="eastAsia" w:ascii="宋体" w:hAnsi="宋体" w:cs="Arial"/>
          <w:color w:val="auto"/>
          <w:sz w:val="28"/>
          <w:szCs w:val="28"/>
          <w:highlight w:val="none"/>
        </w:rPr>
        <w:outlineLvl w:val="3"/>
      </w:pPr>
      <w:r>
        <w:rPr>
          <w:rFonts w:hint="eastAsia" w:ascii="宋体" w:hAnsi="宋体" w:cs="Arial"/>
          <w:color w:val="auto"/>
          <w:sz w:val="28"/>
          <w:szCs w:val="28"/>
          <w:highlight w:val="none"/>
        </w:rPr>
        <w:t xml:space="preserve">2</w:t>
      </w:r>
      <w:r>
        <w:rPr>
          <w:rFonts w:ascii="宋体" w:hAnsi="宋体" w:cs="Arial"/>
          <w:color w:val="auto"/>
          <w:sz w:val="28"/>
          <w:szCs w:val="28"/>
          <w:highlight w:val="none"/>
        </w:rPr>
        <w:t xml:space="preserve">7</w:t>
      </w:r>
      <w:bookmarkEnd w:id="145"/>
      <w:r/>
      <w:bookmarkEnd w:id="146"/>
      <w:r/>
      <w:bookmarkEnd w:id="147"/>
      <w:r>
        <w:rPr>
          <w:rFonts w:hint="eastAsia" w:ascii="宋体" w:hAnsi="宋体" w:cs="Arial"/>
          <w:color w:val="auto"/>
          <w:sz w:val="28"/>
          <w:szCs w:val="28"/>
          <w:highlight w:val="none"/>
        </w:rPr>
        <w:t xml:space="preserve">.磋商程序及评审方法和评审标准</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27.1磋商程序</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 27.1.2</w:t>
      </w:r>
      <w:r>
        <w:rPr>
          <w:rFonts w:ascii="宋体" w:hAnsi="宋体"/>
          <w:color w:val="auto"/>
          <w:sz w:val="24"/>
          <w:szCs w:val="24"/>
          <w:highlight w:val="none"/>
        </w:rPr>
        <w:t xml:space="preserve">磋商文件能够详细列明采购标的的技术、服务要求的，磋商结束后，磋商小组</w:t>
      </w:r>
      <w:r>
        <w:rPr>
          <w:rFonts w:hint="eastAsia" w:ascii="宋体" w:hAnsi="宋体"/>
          <w:color w:val="auto"/>
          <w:sz w:val="24"/>
          <w:szCs w:val="24"/>
          <w:highlight w:val="none"/>
        </w:rPr>
        <w:t xml:space="preserve">将在苏采云系统向所有</w:t>
      </w:r>
      <w:r>
        <w:rPr>
          <w:rFonts w:ascii="宋体" w:hAnsi="宋体"/>
          <w:color w:val="auto"/>
          <w:sz w:val="24"/>
          <w:szCs w:val="24"/>
          <w:highlight w:val="none"/>
        </w:rPr>
        <w:t xml:space="preserve">实质性响应的供应商</w:t>
      </w:r>
      <w:r>
        <w:rPr>
          <w:rFonts w:hint="eastAsia" w:ascii="宋体" w:hAnsi="宋体"/>
          <w:color w:val="auto"/>
          <w:sz w:val="24"/>
          <w:szCs w:val="24"/>
          <w:highlight w:val="none"/>
        </w:rPr>
        <w:t xml:space="preserve">发布“最后报价要求函”及最后报价格式表，</w:t>
      </w:r>
      <w:r>
        <w:rPr>
          <w:rFonts w:ascii="宋体" w:hAnsi="宋体"/>
          <w:color w:val="auto"/>
          <w:sz w:val="24"/>
          <w:szCs w:val="24"/>
          <w:highlight w:val="none"/>
        </w:rPr>
        <w:t xml:space="preserve">要求所有实质性响应的供应商在规定时间内提交最后报价。</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27.1.3供应商未在磋商小组规定的时间内在苏采云系统中提交最后报价视为放弃磋商，其响应文件按无效响应处理，最后报价格式表须加盖CA电子公章,否则视为未提交最后报价。</w:t>
      </w:r>
      <w:r>
        <w:rPr>
          <w:rFonts w:ascii="宋体" w:hAnsi="宋体"/>
          <w:color w:val="auto"/>
          <w:sz w:val="24"/>
          <w:szCs w:val="24"/>
          <w:highlight w:val="none"/>
        </w:rPr>
        <w:t xml:space="preserve">已提交响应文件的供应商，在提交最后报价之前，可以根据磋商情况退出磋商</w:t>
      </w:r>
      <w:r>
        <w:rPr>
          <w:rFonts w:hint="eastAsia" w:ascii="宋体" w:hAnsi="宋体"/>
          <w:color w:val="auto"/>
          <w:sz w:val="24"/>
          <w:szCs w:val="24"/>
          <w:highlight w:val="none"/>
        </w:rPr>
        <w:t xml:space="preserve">，并在苏采云系统中提交“退出磋商函”并加盖CA电子公章</w:t>
      </w:r>
      <w:r>
        <w:rPr>
          <w:rFonts w:ascii="宋体" w:hAnsi="宋体"/>
          <w:color w:val="auto"/>
          <w:sz w:val="24"/>
          <w:szCs w:val="24"/>
          <w:highlight w:val="none"/>
        </w:rPr>
        <w:t xml:space="preserve">。</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27.2 评审方法和评审标准</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27.2.2评审标准</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见本磋商文件第四章规定。</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27.3采购活动终止的情况</w:t>
      </w:r>
      <w:r/>
    </w:p>
    <w:p>
      <w:pPr>
        <w:ind w:firstLine="360"/>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出现下列情形之一的，本次竞争性磋商采购活动将被终止：</w:t>
      </w:r>
      <w:r/>
    </w:p>
    <w:p>
      <w:pPr>
        <w:ind w:firstLine="360"/>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27.3.1因情况变化，不再符合规定的竞争性磋商采购方式适用情形的。</w:t>
      </w:r>
      <w:r/>
    </w:p>
    <w:p>
      <w:pPr>
        <w:ind w:firstLine="360"/>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27.3.2出现影响采购公正的违法、违规行为的。</w:t>
      </w:r>
      <w:r/>
    </w:p>
    <w:p>
      <w:pPr>
        <w:ind w:firstLine="360"/>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36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27.3.4在</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规定时间内成功解密电子响应文件的供应商不足3家的。</w:t>
      </w:r>
      <w:r/>
    </w:p>
    <w:p>
      <w:pPr>
        <w:keepLines/>
        <w:keepNext/>
        <w:spacing w:line="520" w:lineRule="exact"/>
        <w:rPr>
          <w:rFonts w:hint="eastAsia" w:ascii="宋体" w:hAnsi="宋体"/>
          <w:b/>
          <w:bCs/>
          <w:color w:val="auto"/>
          <w:sz w:val="32"/>
          <w:szCs w:val="32"/>
          <w:highlight w:val="none"/>
        </w:rPr>
        <w:outlineLvl w:val="2"/>
      </w:pPr>
      <w:r/>
      <w:bookmarkStart w:id="148" w:name="_Toc513029235"/>
      <w:r/>
      <w:bookmarkStart w:id="149" w:name="_Toc16938551"/>
      <w:r/>
      <w:bookmarkStart w:id="150" w:name="_Toc120614219"/>
      <w:r/>
      <w:bookmarkStart w:id="151" w:name="_Toc20823307"/>
      <w:r>
        <w:rPr>
          <w:rFonts w:hint="eastAsia" w:ascii="宋体" w:hAnsi="宋体"/>
          <w:b/>
          <w:bCs/>
          <w:color w:val="auto"/>
          <w:sz w:val="32"/>
          <w:szCs w:val="32"/>
          <w:highlight w:val="none"/>
        </w:rPr>
        <w:t xml:space="preserve">六、</w:t>
      </w:r>
      <w:bookmarkEnd w:id="148"/>
      <w:r/>
      <w:bookmarkEnd w:id="149"/>
      <w:r/>
      <w:bookmarkEnd w:id="150"/>
      <w:r/>
      <w:bookmarkEnd w:id="151"/>
      <w:r>
        <w:rPr>
          <w:rFonts w:hint="eastAsia" w:ascii="宋体" w:hAnsi="宋体"/>
          <w:b/>
          <w:bCs/>
          <w:color w:val="auto"/>
          <w:sz w:val="32"/>
          <w:szCs w:val="32"/>
          <w:highlight w:val="none"/>
        </w:rPr>
        <w:t xml:space="preserve">成交</w:t>
      </w:r>
      <w:r/>
    </w:p>
    <w:p>
      <w:pPr>
        <w:ind w:firstLine="600"/>
        <w:keepLines/>
        <w:keepNext/>
        <w:spacing w:line="520" w:lineRule="exact"/>
        <w:rPr>
          <w:rFonts w:hint="eastAsia" w:ascii="宋体" w:hAnsi="宋体"/>
          <w:bCs/>
          <w:color w:val="auto"/>
          <w:sz w:val="30"/>
          <w:szCs w:val="30"/>
          <w:highlight w:val="none"/>
        </w:rPr>
        <w:outlineLvl w:val="3"/>
      </w:pPr>
      <w:r/>
      <w:bookmarkStart w:id="152" w:name="_Toc513029238"/>
      <w:r/>
      <w:bookmarkStart w:id="153" w:name="_Toc20823310"/>
      <w:r/>
      <w:bookmarkStart w:id="154" w:name="_Toc16938554"/>
      <w:r>
        <w:rPr>
          <w:rFonts w:hint="eastAsia" w:ascii="宋体" w:hAnsi="宋体"/>
          <w:bCs/>
          <w:color w:val="auto"/>
          <w:sz w:val="30"/>
          <w:szCs w:val="30"/>
          <w:highlight w:val="none"/>
        </w:rPr>
        <w:t xml:space="preserve">2</w:t>
      </w:r>
      <w:r>
        <w:rPr>
          <w:rFonts w:ascii="宋体" w:hAnsi="宋体"/>
          <w:bCs/>
          <w:color w:val="auto"/>
          <w:sz w:val="30"/>
          <w:szCs w:val="30"/>
          <w:highlight w:val="none"/>
        </w:rPr>
        <w:t xml:space="preserve">8</w:t>
      </w:r>
      <w:bookmarkEnd w:id="152"/>
      <w:r>
        <w:rPr>
          <w:rFonts w:hint="eastAsia" w:ascii="宋体" w:hAnsi="宋体"/>
          <w:bCs/>
          <w:color w:val="auto"/>
          <w:sz w:val="30"/>
          <w:szCs w:val="30"/>
          <w:highlight w:val="none"/>
        </w:rPr>
        <w:t xml:space="preserve">.确定</w:t>
      </w:r>
      <w:bookmarkEnd w:id="153"/>
      <w:r/>
      <w:bookmarkEnd w:id="154"/>
      <w:r>
        <w:rPr>
          <w:rFonts w:hint="eastAsia" w:ascii="宋体" w:hAnsi="宋体"/>
          <w:bCs/>
          <w:color w:val="auto"/>
          <w:sz w:val="30"/>
          <w:szCs w:val="30"/>
          <w:highlight w:val="none"/>
        </w:rPr>
        <w:t xml:space="preserve">成交单位</w:t>
      </w:r>
      <w:r/>
    </w:p>
    <w:p>
      <w:pPr>
        <w:ind w:firstLine="478"/>
        <w:spacing w:line="520" w:lineRule="exact"/>
        <w:tabs>
          <w:tab w:val="left" w:pos="900" w:leader="none"/>
        </w:tabs>
        <w:rPr>
          <w:rFonts w:hint="eastAsia" w:ascii="宋体" w:hAnsi="宋体"/>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.1</w:t>
      </w:r>
      <w:r>
        <w:rPr>
          <w:rFonts w:hint="eastAsia" w:ascii="宋体" w:hAnsi="宋体"/>
          <w:color w:val="auto"/>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.2采购人应根据磋商小组推荐的成交候选供应商确定成交供应商。采购人确定成交供应商后，采购代理机构将在“江苏政府采购网”发布成交结果公告，公告期限为1个工作日。</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28.3若有充分证据证明，成交供应商出现下列情况之一的，一经查实，将被取消成交资格：</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28.3.1提供虚假材料谋取成交的。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28.3.2与评审专家、采购人、其他供应商或者采购代理机构工作人员恶意串通的。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28.3.3向评审专家、采购人或采购代理机构工作人员行贿或者提供其他不正当利益的。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28.3.4恶意竞争，最后报价明显低于其自身合理成本且又无法提供证明的。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28.3.5不满足本磋商文件规定的实质性要求，但在评审过程中又未被磋商小组发现的。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28.3.6成交后无正当理由拒不与采购人签订政府采购合同或者未按照磋商文件确定的事项签订政府采购合同的。</w:t>
      </w:r>
      <w:r/>
    </w:p>
    <w:p>
      <w:pPr>
        <w:ind w:firstLine="480"/>
        <w:spacing w:line="520" w:lineRule="exact"/>
        <w:rPr>
          <w:rFonts w:hint="eastAsia" w:ascii="宋体" w:hAnsi="宋体"/>
          <w:color w:val="auto"/>
          <w:sz w:val="24"/>
          <w:szCs w:val="24"/>
          <w:highlight w:val="none"/>
        </w:rPr>
      </w:pPr>
      <w:r>
        <w:rPr>
          <w:rFonts w:hint="eastAsia" w:ascii="宋体" w:hAnsi="宋体"/>
          <w:bCs/>
          <w:color w:val="auto"/>
          <w:sz w:val="24"/>
          <w:szCs w:val="21"/>
          <w:highlight w:val="none"/>
        </w:rPr>
        <w:t xml:space="preserve">28.3.7将政府采购合同转包的。</w:t>
      </w:r>
      <w:r/>
    </w:p>
    <w:p>
      <w:pPr>
        <w:ind w:firstLine="600"/>
        <w:keepLines/>
        <w:keepNext/>
        <w:spacing w:line="520" w:lineRule="exact"/>
        <w:rPr>
          <w:rFonts w:hint="eastAsia" w:ascii="宋体" w:hAnsi="宋体"/>
          <w:bCs/>
          <w:color w:val="auto"/>
          <w:sz w:val="30"/>
          <w:szCs w:val="30"/>
          <w:highlight w:val="none"/>
        </w:rPr>
        <w:outlineLvl w:val="3"/>
      </w:pPr>
      <w:r/>
      <w:bookmarkStart w:id="155" w:name="_Toc200451960"/>
      <w:r>
        <w:rPr>
          <w:rFonts w:ascii="宋体" w:hAnsi="宋体"/>
          <w:bCs/>
          <w:color w:val="auto"/>
          <w:sz w:val="30"/>
          <w:szCs w:val="30"/>
          <w:highlight w:val="none"/>
        </w:rPr>
        <w:t xml:space="preserve">29</w:t>
      </w:r>
      <w:r>
        <w:rPr>
          <w:rFonts w:hint="eastAsia" w:ascii="宋体" w:hAnsi="宋体"/>
          <w:bCs/>
          <w:color w:val="auto"/>
          <w:sz w:val="30"/>
          <w:szCs w:val="30"/>
          <w:highlight w:val="none"/>
        </w:rPr>
        <w:t xml:space="preserve">.质疑处理</w:t>
      </w:r>
      <w:bookmarkEnd w:id="155"/>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.1提出质疑的供应商应当是参与所质疑项目采购活动的供应商。潜在供应商依法获取其可质疑的采购文件的，可以对采购文件提出质疑。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s="宋体"/>
          <w:color w:val="auto"/>
          <w:sz w:val="24"/>
          <w:szCs w:val="24"/>
          <w:highlight w:val="none"/>
        </w:rPr>
        <w:t xml:space="preserve">采购人或采购代理机构</w:t>
      </w:r>
      <w:r>
        <w:rPr>
          <w:rFonts w:hint="eastAsia" w:ascii="宋体" w:hAnsi="宋体"/>
          <w:color w:val="auto"/>
          <w:sz w:val="24"/>
          <w:szCs w:val="24"/>
          <w:highlight w:val="none"/>
        </w:rPr>
        <w:t xml:space="preserve">提出质疑。上述应知其权益受到损害之日，是指：</w:t>
      </w:r>
      <w:r/>
    </w:p>
    <w:p>
      <w:pPr>
        <w:ind w:firstLine="480"/>
        <w:spacing w:line="520" w:lineRule="exact"/>
        <w:rPr>
          <w:rFonts w:hint="eastAsia" w:ascii="宋体" w:hAnsi="宋体" w:cs="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.2.1</w:t>
      </w:r>
      <w:r>
        <w:rPr>
          <w:rFonts w:ascii="宋体" w:hAnsi="宋体" w:cs="宋体"/>
          <w:color w:val="auto"/>
          <w:sz w:val="24"/>
          <w:szCs w:val="24"/>
          <w:highlight w:val="none"/>
        </w:rPr>
        <w:t xml:space="preserve">对可以质疑的采购文件提出质疑的，为收到采购文件之日或者采购文件公告期限届满之日</w:t>
      </w:r>
      <w:r>
        <w:rPr>
          <w:rFonts w:hint="eastAsia" w:ascii="宋体" w:hAnsi="宋体" w:cs="宋体"/>
          <w:color w:val="auto"/>
          <w:sz w:val="24"/>
          <w:szCs w:val="24"/>
          <w:highlight w:val="none"/>
        </w:rPr>
        <w:t xml:space="preserve">。</w:t>
      </w:r>
      <w:r/>
    </w:p>
    <w:p>
      <w:pPr>
        <w:ind w:firstLine="480"/>
        <w:spacing w:line="520" w:lineRule="exact"/>
        <w:rPr>
          <w:rFonts w:hint="eastAsia" w:ascii="宋体" w:hAnsi="宋体" w:cs="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.2.2</w:t>
      </w:r>
      <w:r>
        <w:rPr>
          <w:rFonts w:ascii="宋体" w:hAnsi="宋体" w:cs="宋体"/>
          <w:color w:val="auto"/>
          <w:sz w:val="24"/>
          <w:szCs w:val="24"/>
          <w:highlight w:val="none"/>
        </w:rPr>
        <w:t xml:space="preserve">对采购过程提出质疑的，为各采购程序环节结束之日</w:t>
      </w:r>
      <w:r>
        <w:rPr>
          <w:rFonts w:hint="eastAsia" w:ascii="宋体" w:hAnsi="宋体" w:cs="宋体"/>
          <w:color w:val="auto"/>
          <w:sz w:val="24"/>
          <w:szCs w:val="24"/>
          <w:highlight w:val="none"/>
        </w:rPr>
        <w:t xml:space="preserve">。</w:t>
      </w:r>
      <w:r/>
    </w:p>
    <w:p>
      <w:pPr>
        <w:ind w:firstLine="480"/>
        <w:spacing w:line="520" w:lineRule="exact"/>
        <w:rPr>
          <w:rFonts w:hint="eastAsia" w:ascii="宋体" w:hAnsi="宋体" w:cs="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.2.3</w:t>
      </w:r>
      <w:r>
        <w:rPr>
          <w:rFonts w:ascii="宋体" w:hAnsi="宋体" w:cs="宋体"/>
          <w:color w:val="auto"/>
          <w:sz w:val="24"/>
          <w:szCs w:val="24"/>
          <w:highlight w:val="none"/>
        </w:rPr>
        <w:t xml:space="preserve">对成交结果提出质疑的，为成交结果公告期限届满之日。</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供应商应当在法定质疑期内一次性提出针对同一采购程序环节的质疑。供应商如在法定期限内对同一采购程序环节提出多次质疑的，采购人或采购代理机构将只对供应商第一次质疑作出答复。</w:t>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hint="eastAsia" w:ascii="宋体" w:hAnsi="宋体"/>
          <w:b/>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.4供应商（含潜在</w:t>
      </w:r>
      <w:r>
        <w:rPr>
          <w:rFonts w:ascii="宋体" w:hAnsi="宋体"/>
          <w:color w:val="auto"/>
          <w:sz w:val="24"/>
          <w:szCs w:val="24"/>
          <w:highlight w:val="none"/>
        </w:rPr>
        <w:t xml:space="preserve">供应商</w:t>
      </w:r>
      <w:r>
        <w:rPr>
          <w:rFonts w:hint="eastAsia" w:ascii="宋体" w:hAnsi="宋体"/>
          <w:color w:val="auto"/>
          <w:sz w:val="24"/>
          <w:szCs w:val="24"/>
          <w:highlight w:val="none"/>
        </w:rPr>
        <w:t xml:space="preserve">）对</w:t>
      </w:r>
      <w:r>
        <w:rPr>
          <w:rFonts w:ascii="宋体" w:hAnsi="宋体"/>
          <w:color w:val="auto"/>
          <w:sz w:val="24"/>
          <w:szCs w:val="24"/>
          <w:highlight w:val="none"/>
        </w:rPr>
        <w:t xml:space="preserve">采购方式、</w:t>
      </w:r>
      <w:r>
        <w:rPr>
          <w:rFonts w:hint="eastAsia" w:ascii="宋体" w:hAnsi="宋体"/>
          <w:color w:val="auto"/>
          <w:sz w:val="24"/>
          <w:szCs w:val="24"/>
          <w:highlight w:val="none"/>
        </w:rPr>
        <w:t xml:space="preserve">采购文件中采购</w:t>
      </w:r>
      <w:r>
        <w:rPr>
          <w:rFonts w:ascii="宋体" w:hAnsi="宋体"/>
          <w:color w:val="auto"/>
          <w:sz w:val="24"/>
          <w:szCs w:val="24"/>
          <w:highlight w:val="none"/>
        </w:rPr>
        <w:t xml:space="preserve">需求、</w:t>
      </w:r>
      <w:r>
        <w:rPr>
          <w:rFonts w:hint="eastAsia" w:ascii="宋体" w:hAnsi="宋体"/>
          <w:color w:val="auto"/>
          <w:sz w:val="24"/>
          <w:szCs w:val="24"/>
          <w:highlight w:val="none"/>
        </w:rPr>
        <w:t xml:space="preserve">供应商</w:t>
      </w:r>
      <w:r>
        <w:rPr>
          <w:rFonts w:ascii="宋体" w:hAnsi="宋体"/>
          <w:color w:val="auto"/>
          <w:sz w:val="24"/>
          <w:szCs w:val="24"/>
          <w:highlight w:val="none"/>
        </w:rPr>
        <w:t xml:space="preserve">资格条件、</w:t>
      </w:r>
      <w:r>
        <w:rPr>
          <w:rFonts w:hint="eastAsia" w:ascii="宋体" w:hAnsi="宋体"/>
          <w:color w:val="auto"/>
          <w:sz w:val="24"/>
          <w:szCs w:val="24"/>
          <w:highlight w:val="none"/>
        </w:rPr>
        <w:t xml:space="preserve">评审方法</w:t>
      </w:r>
      <w:r>
        <w:rPr>
          <w:rFonts w:ascii="宋体" w:hAnsi="宋体"/>
          <w:color w:val="auto"/>
          <w:sz w:val="24"/>
          <w:szCs w:val="24"/>
          <w:highlight w:val="none"/>
        </w:rPr>
        <w:t xml:space="preserve">和评</w:t>
      </w:r>
      <w:r>
        <w:rPr>
          <w:rFonts w:hint="eastAsia" w:ascii="宋体" w:hAnsi="宋体"/>
          <w:color w:val="auto"/>
          <w:sz w:val="24"/>
          <w:szCs w:val="24"/>
          <w:highlight w:val="none"/>
        </w:rPr>
        <w:t xml:space="preserve">审</w:t>
      </w:r>
      <w:r>
        <w:rPr>
          <w:rFonts w:ascii="宋体" w:hAnsi="宋体"/>
          <w:color w:val="auto"/>
          <w:sz w:val="24"/>
          <w:szCs w:val="24"/>
          <w:highlight w:val="none"/>
        </w:rPr>
        <w:t xml:space="preserve">标准、合同文本</w:t>
      </w:r>
      <w:r>
        <w:rPr>
          <w:rFonts w:hint="eastAsia" w:ascii="宋体" w:hAnsi="宋体"/>
          <w:color w:val="auto"/>
          <w:sz w:val="24"/>
          <w:szCs w:val="24"/>
          <w:highlight w:val="none"/>
        </w:rPr>
        <w:t xml:space="preserve">及</w:t>
      </w:r>
      <w:r>
        <w:rPr>
          <w:rFonts w:ascii="宋体" w:hAnsi="宋体"/>
          <w:color w:val="auto"/>
          <w:sz w:val="24"/>
          <w:szCs w:val="24"/>
          <w:highlight w:val="none"/>
        </w:rPr>
        <w:t xml:space="preserve">资格</w:t>
      </w:r>
      <w:r>
        <w:rPr>
          <w:rFonts w:hint="eastAsia" w:ascii="宋体" w:hAnsi="宋体"/>
          <w:color w:val="auto"/>
          <w:sz w:val="24"/>
          <w:szCs w:val="24"/>
          <w:highlight w:val="none"/>
        </w:rPr>
        <w:t xml:space="preserve">审查结果的</w:t>
      </w:r>
      <w:r>
        <w:rPr>
          <w:rFonts w:ascii="宋体" w:hAnsi="宋体"/>
          <w:color w:val="auto"/>
          <w:sz w:val="24"/>
          <w:szCs w:val="24"/>
          <w:highlight w:val="none"/>
        </w:rPr>
        <w:t xml:space="preserve">询问</w:t>
      </w:r>
      <w:r>
        <w:rPr>
          <w:rFonts w:hint="eastAsia" w:ascii="宋体" w:hAnsi="宋体"/>
          <w:color w:val="auto"/>
          <w:sz w:val="24"/>
          <w:szCs w:val="24"/>
          <w:highlight w:val="none"/>
        </w:rPr>
        <w:t xml:space="preserve">、质疑</w:t>
      </w:r>
      <w:r>
        <w:rPr>
          <w:rFonts w:ascii="宋体" w:hAnsi="宋体"/>
          <w:color w:val="auto"/>
          <w:sz w:val="24"/>
          <w:szCs w:val="24"/>
          <w:highlight w:val="none"/>
        </w:rPr>
        <w:t xml:space="preserve">请向采购人提出，由采购人负责答复。</w:t>
      </w:r>
      <w:r>
        <w:rPr>
          <w:rFonts w:hint="eastAsia" w:ascii="宋体" w:hAnsi="宋体"/>
          <w:color w:val="auto"/>
          <w:sz w:val="24"/>
          <w:szCs w:val="24"/>
          <w:highlight w:val="none"/>
        </w:rPr>
        <w:t xml:space="preserve">关于评审方面的质疑，采购人可以组织原评审委员会协助答复质疑。</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采购人或采购代理机构只接收以纸质原件形式送达的质疑,建议供应商尽量通过邮寄方式提交质疑（采购人或采购代理机构不接受未填写快递运单的快件）。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采购人及采购代理机构质疑接收人及联系方式见本采购文件第一章。</w:t>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 以下情形的质疑不予受理</w:t>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.5.1内容不符合《政府采购质疑和投诉办法》第十二条规定的质疑。</w:t>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.5.2超出政府采购法定期限的质疑。</w:t>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.5.3以传真、电子邮件等方式递交的非原件形式的质疑。</w:t>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.5.4未参加磋商活动的供应商或在磋商活动中自身权益未受到损害的供应商所提出的质疑。</w:t>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.5.5供应商组成联合体参加磋商，联合体中任何一方或多方未按要求签字、盖章、加盖公章的质疑。</w:t>
      </w:r>
      <w:r/>
    </w:p>
    <w:p>
      <w:pPr>
        <w:ind w:firstLine="468"/>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0"/>
        <w:keepLines/>
        <w:keepNext/>
        <w:spacing w:line="520" w:lineRule="exact"/>
        <w:rPr>
          <w:rFonts w:hint="eastAsia" w:ascii="宋体" w:hAnsi="宋体"/>
          <w:bCs/>
          <w:color w:val="auto"/>
          <w:sz w:val="30"/>
          <w:szCs w:val="30"/>
          <w:highlight w:val="none"/>
        </w:rPr>
        <w:outlineLvl w:val="3"/>
      </w:pPr>
      <w:r>
        <w:rPr>
          <w:rFonts w:hint="eastAsia" w:ascii="宋体" w:hAnsi="宋体"/>
          <w:bCs/>
          <w:color w:val="auto"/>
          <w:sz w:val="30"/>
          <w:szCs w:val="30"/>
          <w:highlight w:val="none"/>
        </w:rPr>
        <w:t xml:space="preserve">3</w:t>
      </w:r>
      <w:r>
        <w:rPr>
          <w:rFonts w:ascii="宋体" w:hAnsi="宋体"/>
          <w:bCs/>
          <w:color w:val="auto"/>
          <w:sz w:val="30"/>
          <w:szCs w:val="30"/>
          <w:highlight w:val="none"/>
        </w:rPr>
        <w:t xml:space="preserve">0</w:t>
      </w:r>
      <w:r>
        <w:rPr>
          <w:rFonts w:hint="eastAsia" w:ascii="宋体" w:hAnsi="宋体"/>
          <w:bCs/>
          <w:color w:val="auto"/>
          <w:sz w:val="30"/>
          <w:szCs w:val="30"/>
          <w:highlight w:val="none"/>
        </w:rPr>
        <w:t xml:space="preserve">.成交通知书</w:t>
      </w:r>
      <w:r/>
    </w:p>
    <w:p>
      <w:pPr>
        <w:ind w:firstLine="60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0</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成交结果确定后，采购人将向成交供应商发出成交通知书。</w:t>
      </w:r>
      <w:r>
        <w:rPr>
          <w:rFonts w:hint="eastAsia" w:ascii="宋体" w:hAnsi="宋体" w:cs="宋体"/>
          <w:color w:val="auto"/>
          <w:sz w:val="24"/>
          <w:szCs w:val="24"/>
          <w:highlight w:val="none"/>
        </w:rPr>
        <w:t xml:space="preserve">请成交供应商在成交结果公告届满之日起30日内,使用CA数字证书登录</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及时下载成交通知书。因系统存储空间有限，自成交结果公告届满之日起30日后，</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不再保证提供下载成交通知书服务,因未及时下载而造成的不利后果由成交供应商自行承担。</w:t>
      </w:r>
      <w:r/>
    </w:p>
    <w:p>
      <w:pPr>
        <w:ind w:firstLine="60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0</w:t>
      </w:r>
      <w:r>
        <w:rPr>
          <w:rFonts w:hint="eastAsia" w:ascii="宋体" w:hAnsi="宋体"/>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520" w:lineRule="exact"/>
        <w:rPr>
          <w:rFonts w:hint="eastAsia" w:ascii="宋体" w:hAnsi="宋体"/>
          <w:b/>
          <w:bCs/>
          <w:color w:val="auto"/>
          <w:sz w:val="32"/>
          <w:szCs w:val="32"/>
          <w:highlight w:val="none"/>
        </w:rPr>
        <w:outlineLvl w:val="2"/>
      </w:pPr>
      <w:r/>
      <w:bookmarkStart w:id="156" w:name="_Toc20823308"/>
      <w:r/>
      <w:bookmarkStart w:id="157" w:name="_Toc16938552"/>
      <w:r/>
      <w:bookmarkStart w:id="158" w:name="_Toc120614220"/>
      <w:r/>
      <w:bookmarkStart w:id="159" w:name="_Toc513029236"/>
      <w:r>
        <w:rPr>
          <w:rFonts w:hint="eastAsia" w:ascii="宋体" w:hAnsi="宋体"/>
          <w:b/>
          <w:bCs/>
          <w:color w:val="auto"/>
          <w:sz w:val="32"/>
          <w:szCs w:val="32"/>
          <w:highlight w:val="none"/>
        </w:rPr>
        <w:t xml:space="preserve">七、授予合同</w:t>
      </w:r>
      <w:bookmarkEnd w:id="156"/>
      <w:r/>
      <w:bookmarkEnd w:id="157"/>
      <w:r/>
      <w:bookmarkEnd w:id="158"/>
      <w:r/>
      <w:bookmarkEnd w:id="159"/>
      <w:r/>
      <w:r/>
    </w:p>
    <w:p>
      <w:pPr>
        <w:ind w:firstLine="600"/>
        <w:keepLines/>
        <w:keepNext/>
        <w:spacing w:line="520" w:lineRule="exact"/>
        <w:rPr>
          <w:rFonts w:hint="eastAsia" w:ascii="宋体" w:hAnsi="宋体"/>
          <w:bCs/>
          <w:color w:val="auto"/>
          <w:sz w:val="30"/>
          <w:szCs w:val="30"/>
          <w:highlight w:val="none"/>
        </w:rPr>
        <w:outlineLvl w:val="3"/>
      </w:pPr>
      <w:r/>
      <w:bookmarkStart w:id="160" w:name="_Toc513029237"/>
      <w:r/>
      <w:bookmarkStart w:id="161" w:name="_Toc20823309"/>
      <w:r/>
      <w:bookmarkStart w:id="162" w:name="_Toc16938553"/>
      <w:r>
        <w:rPr>
          <w:rFonts w:hint="eastAsia" w:ascii="宋体" w:hAnsi="宋体"/>
          <w:bCs/>
          <w:color w:val="auto"/>
          <w:sz w:val="30"/>
          <w:szCs w:val="30"/>
          <w:highlight w:val="none"/>
        </w:rPr>
        <w:t xml:space="preserve">3</w:t>
      </w:r>
      <w:r>
        <w:rPr>
          <w:rFonts w:ascii="宋体" w:hAnsi="宋体"/>
          <w:bCs/>
          <w:color w:val="auto"/>
          <w:sz w:val="30"/>
          <w:szCs w:val="30"/>
          <w:highlight w:val="none"/>
        </w:rPr>
        <w:t xml:space="preserve">1</w:t>
      </w:r>
      <w:r>
        <w:rPr>
          <w:rFonts w:hint="eastAsia" w:ascii="宋体" w:hAnsi="宋体"/>
          <w:bCs/>
          <w:color w:val="auto"/>
          <w:sz w:val="30"/>
          <w:szCs w:val="30"/>
          <w:highlight w:val="none"/>
        </w:rPr>
        <w:t xml:space="preserve">.签订合同</w:t>
      </w:r>
      <w:r/>
    </w:p>
    <w:p>
      <w:pPr>
        <w:ind w:firstLine="600"/>
        <w:spacing w:line="52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w:t>
      </w:r>
      <w:r>
        <w:rPr>
          <w:rFonts w:hint="eastAsia" w:ascii="宋体" w:hAnsi="宋体"/>
          <w:color w:val="auto"/>
          <w:sz w:val="24"/>
          <w:szCs w:val="24"/>
          <w:highlight w:val="none"/>
        </w:rPr>
        <w:t xml:space="preserve">.l成交供应商应当在成交通知书发出之日起三十日内，按照磋商文件确定的事项与采购人签订政府采购合同。</w:t>
      </w:r>
      <w:r/>
    </w:p>
    <w:p>
      <w:pPr>
        <w:ind w:firstLine="60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.2磋商文件、成交供应商的响应文件及磋商过程中有关澄清、承诺文件均应作为合同附件。</w:t>
      </w:r>
      <w:r/>
    </w:p>
    <w:p>
      <w:pPr>
        <w:ind w:firstLine="60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.3 签订合同后，</w:t>
      </w:r>
      <w:r>
        <w:rPr>
          <w:rFonts w:hint="eastAsia" w:ascii="宋体" w:hAnsi="宋体"/>
          <w:b/>
          <w:color w:val="auto"/>
          <w:sz w:val="24"/>
          <w:szCs w:val="24"/>
          <w:highlight w:val="none"/>
          <w:u w:val="single"/>
        </w:rPr>
        <w:t xml:space="preserve">成交供应商不得将合同标的进行转包</w:t>
      </w:r>
      <w:r>
        <w:rPr>
          <w:rFonts w:hint="eastAsia" w:ascii="宋体" w:hAnsi="宋体"/>
          <w:color w:val="auto"/>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firstLine="600"/>
        <w:keepLines/>
        <w:keepNext/>
        <w:spacing w:line="520" w:lineRule="exact"/>
        <w:rPr>
          <w:rFonts w:hint="eastAsia" w:ascii="宋体" w:hAnsi="宋体"/>
          <w:bCs/>
          <w:color w:val="auto"/>
          <w:sz w:val="30"/>
          <w:szCs w:val="30"/>
          <w:highlight w:val="none"/>
        </w:rPr>
        <w:outlineLvl w:val="3"/>
      </w:pPr>
      <w:r>
        <w:rPr>
          <w:rFonts w:hint="eastAsia" w:ascii="宋体" w:hAnsi="宋体"/>
          <w:bCs/>
          <w:color w:val="auto"/>
          <w:sz w:val="30"/>
          <w:szCs w:val="30"/>
          <w:highlight w:val="none"/>
        </w:rPr>
        <w:t xml:space="preserve">3</w:t>
      </w:r>
      <w:r>
        <w:rPr>
          <w:rFonts w:ascii="宋体" w:hAnsi="宋体"/>
          <w:bCs/>
          <w:color w:val="auto"/>
          <w:sz w:val="30"/>
          <w:szCs w:val="30"/>
          <w:highlight w:val="none"/>
        </w:rPr>
        <w:t xml:space="preserve">2</w:t>
      </w:r>
      <w:r>
        <w:rPr>
          <w:rFonts w:hint="eastAsia" w:ascii="宋体" w:hAnsi="宋体"/>
          <w:bCs/>
          <w:color w:val="auto"/>
          <w:sz w:val="30"/>
          <w:szCs w:val="30"/>
          <w:highlight w:val="none"/>
        </w:rPr>
        <w:t xml:space="preserve">.标的物的追加</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0"/>
      <w:r/>
      <w:bookmarkEnd w:id="161"/>
      <w:r/>
      <w:bookmarkEnd w:id="162"/>
      <w:r/>
      <w:r/>
    </w:p>
    <w:p>
      <w:pPr>
        <w:ind w:firstLine="600"/>
        <w:keepLines/>
        <w:keepNext/>
        <w:spacing w:line="520" w:lineRule="exact"/>
        <w:rPr>
          <w:rFonts w:ascii="宋体" w:hAnsi="宋体"/>
          <w:bCs/>
          <w:color w:val="auto"/>
          <w:sz w:val="30"/>
          <w:szCs w:val="30"/>
          <w:highlight w:val="none"/>
        </w:rPr>
        <w:outlineLvl w:val="3"/>
      </w:pPr>
      <w:r/>
      <w:bookmarkStart w:id="163" w:name="_Toc479757207"/>
      <w:r/>
      <w:bookmarkStart w:id="164" w:name="_Toc16938558"/>
      <w:r/>
      <w:bookmarkStart w:id="165" w:name="_Toc20823314"/>
      <w:r/>
      <w:bookmarkStart w:id="166" w:name="_Toc120614221"/>
      <w:r/>
      <w:bookmarkStart w:id="167" w:name="_Toc513029242"/>
      <w:r>
        <w:rPr>
          <w:rFonts w:hint="eastAsia" w:ascii="宋体" w:hAnsi="宋体"/>
          <w:bCs/>
          <w:color w:val="auto"/>
          <w:sz w:val="30"/>
          <w:szCs w:val="30"/>
          <w:highlight w:val="none"/>
        </w:rPr>
        <w:t xml:space="preserve">3</w:t>
      </w:r>
      <w:r>
        <w:rPr>
          <w:rFonts w:ascii="宋体" w:hAnsi="宋体"/>
          <w:bCs/>
          <w:color w:val="auto"/>
          <w:sz w:val="30"/>
          <w:szCs w:val="30"/>
          <w:highlight w:val="none"/>
        </w:rPr>
        <w:t xml:space="preserve">3</w:t>
      </w:r>
      <w:r>
        <w:rPr>
          <w:rFonts w:hint="eastAsia" w:ascii="宋体" w:hAnsi="宋体"/>
          <w:bCs/>
          <w:color w:val="auto"/>
          <w:sz w:val="30"/>
          <w:szCs w:val="30"/>
          <w:highlight w:val="none"/>
        </w:rPr>
        <w:t xml:space="preserve">.政府采购履约资金扶持政策</w:t>
      </w:r>
      <w:r/>
    </w:p>
    <w:p>
      <w:pPr>
        <w:ind w:firstLine="555"/>
        <w:spacing w:line="52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成交供应商可凭政府采购合同办理融资贷款，详情请见江苏政府采购网“政采贷”专栏。</w:t>
      </w:r>
      <w:bookmarkEnd w:id="163"/>
      <w:r/>
      <w:bookmarkEnd w:id="164"/>
      <w:r/>
      <w:bookmarkEnd w:id="165"/>
      <w:r/>
      <w:bookmarkEnd w:id="166"/>
      <w:r/>
      <w:bookmarkEnd w:id="167"/>
      <w:r/>
      <w:bookmarkStart w:id="168" w:name="_Hlt16619350"/>
      <w:r/>
      <w:bookmarkStart w:id="169" w:name="_Toc120614244"/>
      <w:r/>
      <w:bookmarkStart w:id="170" w:name="_Toc16938590"/>
      <w:r/>
      <w:bookmarkStart w:id="171" w:name="_Toc20823346"/>
      <w:r/>
      <w:r/>
    </w:p>
    <w:p>
      <w:pPr>
        <w:ind w:firstLine="555"/>
        <w:spacing w:line="52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555"/>
        <w:spacing w:line="52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555"/>
        <w:spacing w:line="52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spacing w:line="560" w:lineRule="exact"/>
        <w:rPr>
          <w:rFonts w:hint="eastAsia" w:ascii="宋体" w:hAnsi="宋体" w:cs="Courier New"/>
          <w:bCs/>
          <w:color w:val="auto"/>
          <w:sz w:val="44"/>
          <w:szCs w:val="21"/>
          <w:highlight w:val="none"/>
        </w:rPr>
      </w:pPr>
      <w:r>
        <w:rPr>
          <w:rFonts w:hint="eastAsia" w:ascii="宋体" w:hAnsi="宋体" w:cs="Courier New"/>
          <w:bCs/>
          <w:color w:val="auto"/>
          <w:sz w:val="44"/>
          <w:szCs w:val="21"/>
          <w:highlight w:val="none"/>
        </w:rPr>
        <w:br w:type="page" w:clear="all"/>
      </w:r>
      <w:r>
        <w:rPr>
          <w:rFonts w:hint="eastAsia" w:ascii="宋体" w:hAnsi="宋体" w:cs="Courier New"/>
          <w:bCs/>
          <w:color w:val="auto"/>
          <w:sz w:val="44"/>
          <w:szCs w:val="21"/>
          <w:highlight w:val="none"/>
        </w:rPr>
        <w:t xml:space="preserve">第</w:t>
      </w:r>
      <w:bookmarkEnd w:id="168"/>
      <w:r>
        <w:rPr>
          <w:rFonts w:hint="eastAsia" w:ascii="宋体" w:hAnsi="宋体" w:cs="Courier New"/>
          <w:bCs/>
          <w:color w:val="auto"/>
          <w:sz w:val="44"/>
          <w:szCs w:val="21"/>
          <w:highlight w:val="none"/>
        </w:rPr>
        <w:t xml:space="preserve">三章 采购需求</w:t>
      </w:r>
      <w:bookmarkEnd w:id="169"/>
      <w:r/>
      <w:bookmarkEnd w:id="170"/>
      <w:r/>
      <w:bookmarkEnd w:id="171"/>
      <w:r/>
      <w:r/>
    </w:p>
    <w:p>
      <w:pPr>
        <w:ind w:firstLine="480"/>
        <w:spacing w:line="560" w:lineRule="exact"/>
        <w:rPr>
          <w:rFonts w:ascii="宋体" w:hAnsi="Courier New" w:cs="Courier New"/>
          <w:color w:val="auto"/>
          <w:sz w:val="24"/>
          <w:szCs w:val="24"/>
          <w:highlight w:val="none"/>
        </w:rPr>
      </w:pPr>
      <w:r>
        <w:rPr>
          <w:rFonts w:hint="eastAsia" w:ascii="宋体" w:hAnsi="Courier New" w:cs="Courier New"/>
          <w:color w:val="auto"/>
          <w:sz w:val="24"/>
          <w:szCs w:val="24"/>
          <w:highlight w:val="none"/>
        </w:rPr>
        <w:t xml:space="preserve">项目属性：货物类项目</w:t>
      </w:r>
      <w:r/>
    </w:p>
    <w:p>
      <w:pPr>
        <w:ind w:firstLine="480"/>
        <w:spacing w:line="5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采购需求包括拟采购的标的及其需要满足的技术、商务要求。</w:t>
      </w:r>
      <w:r/>
    </w:p>
    <w:p>
      <w:pPr>
        <w:ind w:firstLine="480"/>
        <w:spacing w:line="560" w:lineRule="exact"/>
        <w:rPr>
          <w:rFonts w:hint="eastAsia" w:ascii="仿宋" w:hAnsi="仿宋" w:eastAsia="仿宋" w:cs="仿宋_GB2312"/>
          <w:b/>
          <w:color w:val="auto"/>
          <w:sz w:val="28"/>
          <w:szCs w:val="28"/>
          <w:highlight w:val="none"/>
          <w:lang w:val="en-US" w:eastAsia="zh-CN"/>
        </w:rPr>
      </w:pPr>
      <w:r>
        <w:rPr>
          <w:rFonts w:hint="eastAsia" w:ascii="宋体" w:hAnsi="宋体"/>
          <w:bCs/>
          <w:color w:val="auto"/>
          <w:sz w:val="24"/>
          <w:szCs w:val="24"/>
          <w:highlight w:val="none"/>
        </w:rPr>
        <w:t xml:space="preserve">（一）技术要求是指对采购标的功能和质量要求，包括性能、材料、结构、外观、安全，或者服务内容和标准等。</w:t>
      </w:r>
      <w:r/>
    </w:p>
    <w:p>
      <w:pPr>
        <w:ind w:firstLine="480"/>
        <w:spacing w:line="560" w:lineRule="exact"/>
        <w:rPr>
          <w:rFonts w:ascii="宋体" w:hAnsi="宋体"/>
          <w:bCs/>
          <w:color w:val="auto"/>
          <w:sz w:val="24"/>
          <w:szCs w:val="24"/>
          <w:highlight w:val="none"/>
        </w:rPr>
      </w:pPr>
      <w:r>
        <w:rPr>
          <w:rFonts w:hint="eastAsia" w:ascii="宋体" w:hAnsi="宋体"/>
          <w:bCs/>
          <w:color w:val="auto"/>
          <w:sz w:val="24"/>
          <w:szCs w:val="24"/>
          <w:highlight w:val="none"/>
        </w:rPr>
        <w:t xml:space="preserve">（二）商务要求是指取得采购标的的时间、地点、财务和服务要求，包括交付（实施）的时间（期限）和地点（范围），付款条件（进度和方法），包装和运输，售后服务，保险等。</w:t>
      </w:r>
      <w:r/>
    </w:p>
    <w:p>
      <w:pPr>
        <w:ind w:firstLine="480"/>
        <w:spacing w:line="56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其内容包含</w:t>
      </w:r>
      <w:r>
        <w:rPr>
          <w:rFonts w:ascii="宋体" w:hAnsi="宋体"/>
          <w:bCs/>
          <w:color w:val="auto"/>
          <w:sz w:val="24"/>
          <w:szCs w:val="24"/>
          <w:highlight w:val="none"/>
        </w:rPr>
        <w:t xml:space="preserve">但不限于</w:t>
      </w:r>
      <w:r>
        <w:rPr>
          <w:rFonts w:hint="eastAsia" w:ascii="宋体" w:hAnsi="宋体"/>
          <w:bCs/>
          <w:color w:val="auto"/>
          <w:sz w:val="24"/>
          <w:szCs w:val="24"/>
          <w:highlight w:val="none"/>
        </w:rPr>
        <w:t xml:space="preserve">以下</w:t>
      </w:r>
      <w:r>
        <w:rPr>
          <w:rFonts w:ascii="宋体" w:hAnsi="宋体"/>
          <w:bCs/>
          <w:color w:val="auto"/>
          <w:sz w:val="24"/>
          <w:szCs w:val="24"/>
          <w:highlight w:val="none"/>
        </w:rPr>
        <w:t xml:space="preserve">内容：</w:t>
      </w:r>
      <w:r/>
    </w:p>
    <w:p>
      <w:pPr>
        <w:numPr>
          <w:ilvl w:val="0"/>
          <w:numId w:val="2"/>
        </w:numPr>
        <w:ind w:firstLine="480"/>
        <w:spacing w:line="560" w:lineRule="exact"/>
        <w:rPr>
          <w:rFonts w:hint="eastAsia"/>
          <w:color w:val="auto"/>
          <w:highlight w:val="none"/>
        </w:rPr>
      </w:pPr>
      <w:r>
        <w:rPr>
          <w:rFonts w:hint="eastAsia" w:ascii="Times New Roman" w:hAnsi="Times New Roman"/>
          <w:color w:val="auto"/>
          <w:sz w:val="24"/>
          <w:szCs w:val="24"/>
          <w:highlight w:val="none"/>
        </w:rPr>
        <w:t xml:space="preserve">采购标的需实现的功能或者目标，以及为落实政府采购政策需满足的要求：</w:t>
      </w:r>
      <w:r/>
    </w:p>
    <w:p>
      <w:pPr>
        <w:numPr>
          <w:ilvl w:val="0"/>
          <w:numId w:val="0"/>
        </w:numPr>
        <w:ind w:firstLine="480"/>
        <w:spacing w:line="560" w:lineRule="exact"/>
        <w:rPr>
          <w:rFonts w:hint="eastAsia"/>
          <w:color w:val="auto"/>
          <w:highlight w:val="none"/>
        </w:rPr>
      </w:pPr>
      <w:r>
        <w:rPr>
          <w:rFonts w:hint="eastAsia"/>
          <w:color w:val="auto"/>
          <w:sz w:val="24"/>
          <w:szCs w:val="24"/>
          <w:highlight w:val="none"/>
          <w:lang w:val="en-US" w:eastAsia="zh-CN"/>
        </w:rPr>
        <w:t xml:space="preserve">为进一步健全我市全民健身公共服务体系，补齐城乡基层健身设施短板，满足群众日常健身需求，提升市民身体健康水平，需采购全民健身场地设施。</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二、采购标的需执行的国家相关标准、行业标准、地方标准或者其他标准、规范：</w:t>
      </w:r>
      <w:r/>
    </w:p>
    <w:p>
      <w:pPr>
        <w:ind w:firstLine="480"/>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参考国家标准、行业标准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环保标准</w:t>
      </w:r>
      <w:r>
        <w:rPr>
          <w:rFonts w:hint="eastAsia" w:ascii="宋体" w:hAnsi="宋体" w:eastAsia="宋体" w:cs="宋体"/>
          <w:color w:val="auto"/>
          <w:sz w:val="24"/>
          <w:szCs w:val="24"/>
          <w:highlight w:val="none"/>
        </w:rPr>
        <w:t xml:space="preserve">，随着标准的修订，根据修订后的最新标准作为依据。除上述规范标准以外，还须遵循国家、行业及地方现行的相关规范和标准要求。</w:t>
      </w:r>
      <w:r/>
    </w:p>
    <w:p>
      <w:pPr>
        <w:numPr>
          <w:ilvl w:val="0"/>
          <w:numId w:val="3"/>
        </w:num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采购标的需满足的质量、安全、技术规格、物理特性等要求：</w:t>
      </w:r>
      <w:r/>
    </w:p>
    <w:p>
      <w:pPr>
        <w:numPr>
          <w:ilvl w:val="0"/>
          <w:numId w:val="0"/>
        </w:numPr>
        <w:ind w:firstLine="480"/>
        <w:spacing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1.采购标的清单</w:t>
      </w:r>
      <w:r>
        <w:rPr>
          <w:rFonts w:hint="eastAsia" w:ascii="宋体" w:hAnsi="宋体" w:cs="宋体"/>
          <w:b w:val="0"/>
          <w:bCs w:val="0"/>
          <w:color w:val="auto"/>
          <w:sz w:val="24"/>
          <w:szCs w:val="24"/>
          <w:highlight w:val="none"/>
          <w:lang w:val="en-US" w:eastAsia="zh-CN"/>
        </w:rPr>
        <w:t xml:space="preserve">（包一）</w:t>
      </w:r>
      <w:r/>
    </w:p>
    <w:tbl>
      <w:tblPr>
        <w:tblStyle w:val="653"/>
        <w:tblW w:w="47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6"/>
        <w:gridCol w:w="3608"/>
        <w:gridCol w:w="2373"/>
        <w:gridCol w:w="1019"/>
        <w:gridCol w:w="768"/>
      </w:tblGrid>
      <w:tr>
        <w:trPr>
          <w:jc w:val="center"/>
          <w:trHeight w:val="702" w:hRule="exact"/>
        </w:trPr>
        <w:tc>
          <w:tcPr>
            <w:tcW w:w="578" w:type="pct"/>
            <w:vAlign w:val="center"/>
            <w:textDirection w:val="lrTb"/>
            <w:noWrap w:val="false"/>
          </w:tcPr>
          <w:p>
            <w:pPr>
              <w:jc w:val="center"/>
              <w:spacing w:line="240" w:lineRule="atLeast"/>
              <w:rPr>
                <w:rFonts w:hint="eastAsia" w:ascii="宋体" w:hAnsi="宋体"/>
                <w:bCs/>
                <w:color w:val="auto"/>
                <w:sz w:val="24"/>
                <w:szCs w:val="24"/>
                <w:highlight w:val="none"/>
              </w:rPr>
            </w:pPr>
            <w:r>
              <w:rPr>
                <w:rFonts w:hint="eastAsia" w:ascii="宋体" w:hAnsi="宋体"/>
                <w:bCs/>
                <w:color w:val="auto"/>
                <w:sz w:val="24"/>
                <w:szCs w:val="24"/>
                <w:highlight w:val="none"/>
              </w:rPr>
              <w:t xml:space="preserve">序号</w:t>
            </w:r>
            <w:r/>
          </w:p>
        </w:tc>
        <w:tc>
          <w:tcPr>
            <w:tcW w:w="2053" w:type="pct"/>
            <w:vAlign w:val="center"/>
            <w:textDirection w:val="lrTb"/>
            <w:noWrap w:val="false"/>
          </w:tcPr>
          <w:p>
            <w:pPr>
              <w:jc w:val="center"/>
              <w:spacing w:line="240" w:lineRule="atLeast"/>
              <w:rPr>
                <w:rFonts w:hint="eastAsia" w:ascii="宋体" w:hAnsi="宋体"/>
                <w:bCs/>
                <w:color w:val="auto"/>
                <w:sz w:val="24"/>
                <w:szCs w:val="24"/>
                <w:highlight w:val="none"/>
              </w:rPr>
            </w:pPr>
            <w:r>
              <w:rPr>
                <w:rFonts w:hint="eastAsia" w:ascii="宋体" w:hAnsi="宋体"/>
                <w:bCs/>
                <w:color w:val="auto"/>
                <w:sz w:val="24"/>
                <w:szCs w:val="24"/>
                <w:highlight w:val="none"/>
              </w:rPr>
              <w:t xml:space="preserve">设备名称</w:t>
            </w:r>
            <w:r/>
          </w:p>
        </w:tc>
        <w:tc>
          <w:tcPr>
            <w:tcW w:w="1350" w:type="pct"/>
            <w:vAlign w:val="center"/>
            <w:textDirection w:val="lrTb"/>
            <w:noWrap w:val="false"/>
          </w:tcPr>
          <w:p>
            <w:pPr>
              <w:jc w:val="center"/>
              <w:spacing w:line="240" w:lineRule="atLeast"/>
              <w:rPr>
                <w:rFonts w:hint="eastAsia" w:ascii="宋体" w:hAnsi="宋体"/>
                <w:bCs/>
                <w:color w:val="auto"/>
                <w:sz w:val="24"/>
                <w:szCs w:val="24"/>
                <w:highlight w:val="none"/>
              </w:rPr>
            </w:pPr>
            <w:r>
              <w:rPr>
                <w:rFonts w:hint="eastAsia" w:ascii="宋体" w:hAnsi="宋体"/>
                <w:color w:val="auto"/>
                <w:sz w:val="24"/>
                <w:szCs w:val="24"/>
                <w:highlight w:val="none"/>
              </w:rPr>
              <w:t xml:space="preserve">设备规格要求</w:t>
            </w:r>
            <w:r/>
          </w:p>
        </w:tc>
        <w:tc>
          <w:tcPr>
            <w:tcW w:w="580" w:type="pct"/>
            <w:vAlign w:val="center"/>
            <w:textDirection w:val="lrTb"/>
            <w:noWrap w:val="false"/>
          </w:tcPr>
          <w:p>
            <w:pPr>
              <w:jc w:val="center"/>
              <w:spacing w:line="24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单位</w:t>
            </w:r>
            <w:r/>
          </w:p>
        </w:tc>
        <w:tc>
          <w:tcPr>
            <w:tcW w:w="437" w:type="pct"/>
            <w:vAlign w:val="center"/>
            <w:textDirection w:val="lrTb"/>
            <w:noWrap w:val="false"/>
          </w:tcPr>
          <w:p>
            <w:pPr>
              <w:jc w:val="center"/>
              <w:spacing w:line="24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r>
      <w:tr>
        <w:trPr>
          <w:jc w:val="center"/>
          <w:trHeight w:val="510"/>
        </w:trPr>
        <w:tc>
          <w:tcPr>
            <w:shd w:val="clear" w:color="auto" w:fill="auto"/>
            <w:tcW w:w="578" w:type="pct"/>
            <w:vAlign w:val="center"/>
            <w:textDirection w:val="lrTb"/>
            <w:noWrap w:val="false"/>
          </w:tcPr>
          <w:p>
            <w:pPr>
              <w:jc w:val="center"/>
              <w:spacing w:line="240" w:lineRule="atLeas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1</w:t>
            </w:r>
            <w:r/>
          </w:p>
        </w:tc>
        <w:tc>
          <w:tcPr>
            <w:tcW w:w="3608" w:type="dxa"/>
            <w:vAlign w:val="center"/>
            <w:textDirection w:val="lrTb"/>
            <w:noWrap w:val="false"/>
          </w:tcPr>
          <w:p>
            <w:pPr>
              <w:jc w:val="center"/>
              <w:spacing w:line="240" w:lineRule="atLeas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双人漫步机</w:t>
            </w:r>
            <w:r/>
          </w:p>
        </w:tc>
        <w:tc>
          <w:tcPr>
            <w:tcW w:w="1350" w:type="pct"/>
            <w:vAlign w:val="center"/>
            <w:textDirection w:val="lrTb"/>
            <w:noWrap w:val="false"/>
          </w:tcPr>
          <w:p>
            <w:pPr>
              <w:jc w:val="center"/>
              <w:spacing w:line="240" w:lineRule="atLeast"/>
              <w:rPr>
                <w:rFonts w:hint="eastAsia" w:ascii="宋体" w:hAnsi="宋体" w:eastAsia="宋体"/>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包一参数要求</w:t>
            </w:r>
            <w:r/>
          </w:p>
        </w:tc>
        <w:tc>
          <w:tcPr>
            <w:tcW w:w="580" w:type="pct"/>
            <w:vAlign w:val="center"/>
            <w:textDirection w:val="lrTb"/>
            <w:noWrap w:val="false"/>
          </w:tcPr>
          <w:p>
            <w:pPr>
              <w:jc w:val="center"/>
              <w:keepLines w:val="0"/>
              <w:keepNext w:val="0"/>
              <w:pageBreakBefore w:val="0"/>
              <w:spacing w:line="240" w:lineRule="exact"/>
              <w:widowControl/>
              <w:rPr>
                <w:rFonts w:hint="eastAsia" w:ascii="宋体" w:hAnsi="宋体"/>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件</w:t>
            </w:r>
            <w:r/>
          </w:p>
        </w:tc>
        <w:tc>
          <w:tcPr>
            <w:tcW w:w="437" w:type="pct"/>
            <w:vAlign w:val="center"/>
            <w:textDirection w:val="lrTb"/>
            <w:noWrap w:val="false"/>
          </w:tcPr>
          <w:p>
            <w:pPr>
              <w:jc w:val="center"/>
              <w:keepLines w:val="0"/>
              <w:keepNext w:val="0"/>
              <w:pageBreakBefore w:val="0"/>
              <w:spacing w:line="240" w:lineRule="exact"/>
              <w:widowControl/>
              <w:rPr>
                <w:rFonts w:hint="default" w:ascii="宋体" w:hAnsi="宋体"/>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r>
      <w:tr>
        <w:trPr>
          <w:jc w:val="center"/>
          <w:trHeight w:val="510"/>
        </w:trPr>
        <w:tc>
          <w:tcPr>
            <w:shd w:val="clear" w:color="auto" w:fill="auto"/>
            <w:tcW w:w="578" w:type="pct"/>
            <w:vAlign w:val="center"/>
            <w:textDirection w:val="lrTb"/>
            <w:noWrap w:val="false"/>
          </w:tcPr>
          <w:p>
            <w:pPr>
              <w:jc w:val="center"/>
              <w:spacing w:line="240" w:lineRule="atLeast"/>
              <w:rPr>
                <w:rFonts w:hint="default"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2</w:t>
            </w:r>
            <w:r/>
          </w:p>
        </w:tc>
        <w:tc>
          <w:tcPr>
            <w:tcW w:w="3608" w:type="dxa"/>
            <w:vAlign w:val="center"/>
            <w:textDirection w:val="lrTb"/>
            <w:noWrap w:val="false"/>
          </w:tcPr>
          <w:p>
            <w:pPr>
              <w:jc w:val="center"/>
              <w:spacing w:line="240" w:lineRule="atLeas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三人扭腰器</w:t>
            </w:r>
            <w:r/>
          </w:p>
        </w:tc>
        <w:tc>
          <w:tcPr>
            <w:tcW w:w="1350" w:type="pct"/>
            <w:vAlign w:val="center"/>
            <w:textDirection w:val="lrTb"/>
            <w:noWrap w:val="false"/>
          </w:tcPr>
          <w:p>
            <w:pPr>
              <w:jc w:val="center"/>
              <w:spacing w:line="240" w:lineRule="atLeas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包一参数要求</w:t>
            </w:r>
            <w:r/>
          </w:p>
        </w:tc>
        <w:tc>
          <w:tcPr>
            <w:tcW w:w="1019"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件</w:t>
            </w:r>
            <w:r/>
          </w:p>
        </w:tc>
        <w:tc>
          <w:tcPr>
            <w:tcW w:w="768"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r>
      <w:tr>
        <w:trPr>
          <w:jc w:val="center"/>
          <w:trHeight w:val="510"/>
        </w:trPr>
        <w:tc>
          <w:tcPr>
            <w:shd w:val="clear" w:color="auto" w:fill="auto"/>
            <w:tcW w:w="578" w:type="pct"/>
            <w:vAlign w:val="center"/>
            <w:textDirection w:val="lrTb"/>
            <w:noWrap w:val="false"/>
          </w:tcPr>
          <w:p>
            <w:pPr>
              <w:jc w:val="center"/>
              <w:spacing w:line="240" w:lineRule="atLeast"/>
              <w:rPr>
                <w:rFonts w:hint="default"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3</w:t>
            </w:r>
            <w:r/>
          </w:p>
        </w:tc>
        <w:tc>
          <w:tcPr>
            <w:tcW w:w="3608" w:type="dxa"/>
            <w:vAlign w:val="center"/>
            <w:textDirection w:val="lrTb"/>
            <w:noWrap w:val="false"/>
          </w:tcPr>
          <w:p>
            <w:pPr>
              <w:jc w:val="center"/>
              <w:spacing w:line="240" w:lineRule="atLeas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云梯</w:t>
            </w:r>
            <w:r/>
          </w:p>
        </w:tc>
        <w:tc>
          <w:tcPr>
            <w:tcW w:w="1350" w:type="pct"/>
            <w:vAlign w:val="center"/>
            <w:textDirection w:val="lrTb"/>
            <w:noWrap w:val="false"/>
          </w:tcPr>
          <w:p>
            <w:pPr>
              <w:jc w:val="center"/>
              <w:spacing w:line="240" w:lineRule="atLeas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包一参数要求</w:t>
            </w:r>
            <w:r/>
          </w:p>
        </w:tc>
        <w:tc>
          <w:tcPr>
            <w:tcW w:w="1019"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件</w:t>
            </w:r>
            <w:r/>
          </w:p>
        </w:tc>
        <w:tc>
          <w:tcPr>
            <w:tcW w:w="768"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r>
      <w:tr>
        <w:trPr>
          <w:jc w:val="center"/>
          <w:trHeight w:val="510"/>
        </w:trPr>
        <w:tc>
          <w:tcPr>
            <w:shd w:val="clear" w:color="auto" w:fill="auto"/>
            <w:tcW w:w="578" w:type="pct"/>
            <w:vAlign w:val="center"/>
            <w:textDirection w:val="lrTb"/>
            <w:noWrap w:val="false"/>
          </w:tcPr>
          <w:p>
            <w:pPr>
              <w:jc w:val="center"/>
              <w:spacing w:line="240" w:lineRule="atLeast"/>
              <w:rPr>
                <w:rFonts w:hint="default"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4</w:t>
            </w:r>
            <w:r/>
          </w:p>
        </w:tc>
        <w:tc>
          <w:tcPr>
            <w:tcW w:w="3608" w:type="dxa"/>
            <w:vAlign w:val="center"/>
            <w:textDirection w:val="lrTb"/>
            <w:noWrap w:val="false"/>
          </w:tcPr>
          <w:p>
            <w:pPr>
              <w:jc w:val="center"/>
              <w:spacing w:line="240" w:lineRule="atLeas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腰背按摩器</w:t>
            </w:r>
            <w:r/>
          </w:p>
        </w:tc>
        <w:tc>
          <w:tcPr>
            <w:tcW w:w="1350" w:type="pct"/>
            <w:vAlign w:val="center"/>
            <w:textDirection w:val="lrTb"/>
            <w:noWrap w:val="false"/>
          </w:tcPr>
          <w:p>
            <w:pPr>
              <w:jc w:val="center"/>
              <w:spacing w:line="240" w:lineRule="atLeas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包一参数要求</w:t>
            </w:r>
            <w:r/>
          </w:p>
        </w:tc>
        <w:tc>
          <w:tcPr>
            <w:tcW w:w="1019"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件</w:t>
            </w:r>
            <w:r/>
          </w:p>
        </w:tc>
        <w:tc>
          <w:tcPr>
            <w:tcW w:w="768"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r>
      <w:tr>
        <w:trPr>
          <w:jc w:val="center"/>
          <w:trHeight w:val="510"/>
        </w:trPr>
        <w:tc>
          <w:tcPr>
            <w:shd w:val="clear" w:color="auto" w:fill="auto"/>
            <w:tcW w:w="578" w:type="pct"/>
            <w:vAlign w:val="center"/>
            <w:textDirection w:val="lrTb"/>
            <w:noWrap w:val="false"/>
          </w:tcPr>
          <w:p>
            <w:pPr>
              <w:jc w:val="center"/>
              <w:spacing w:line="240" w:lineRule="atLeast"/>
              <w:rPr>
                <w:rFonts w:hint="default"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5</w:t>
            </w:r>
            <w:r/>
          </w:p>
        </w:tc>
        <w:tc>
          <w:tcPr>
            <w:tcW w:w="3608" w:type="dxa"/>
            <w:vAlign w:val="center"/>
            <w:textDirection w:val="lrTb"/>
            <w:noWrap w:val="false"/>
          </w:tcPr>
          <w:p>
            <w:pPr>
              <w:jc w:val="center"/>
              <w:spacing w:line="240" w:lineRule="atLeas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双人蹬力器</w:t>
            </w:r>
            <w:r/>
          </w:p>
        </w:tc>
        <w:tc>
          <w:tcPr>
            <w:tcW w:w="1350" w:type="pct"/>
            <w:vAlign w:val="center"/>
            <w:textDirection w:val="lrTb"/>
            <w:noWrap w:val="false"/>
          </w:tcPr>
          <w:p>
            <w:pPr>
              <w:jc w:val="center"/>
              <w:spacing w:line="240" w:lineRule="atLeas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包一参数要求</w:t>
            </w:r>
            <w:r/>
          </w:p>
        </w:tc>
        <w:tc>
          <w:tcPr>
            <w:tcW w:w="1019"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件</w:t>
            </w:r>
            <w:r/>
          </w:p>
        </w:tc>
        <w:tc>
          <w:tcPr>
            <w:tcW w:w="768"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r>
      <w:tr>
        <w:trPr>
          <w:jc w:val="center"/>
          <w:trHeight w:val="510"/>
        </w:trPr>
        <w:tc>
          <w:tcPr>
            <w:shd w:val="clear" w:color="auto" w:fill="auto"/>
            <w:tcW w:w="578" w:type="pct"/>
            <w:vAlign w:val="center"/>
            <w:textDirection w:val="lrTb"/>
            <w:noWrap w:val="false"/>
          </w:tcPr>
          <w:p>
            <w:pPr>
              <w:jc w:val="center"/>
              <w:spacing w:line="240" w:lineRule="atLeast"/>
              <w:rPr>
                <w:rFonts w:hint="default"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6</w:t>
            </w:r>
            <w:r/>
          </w:p>
        </w:tc>
        <w:tc>
          <w:tcPr>
            <w:tcW w:w="3608" w:type="dxa"/>
            <w:vAlign w:val="center"/>
            <w:textDirection w:val="lrTb"/>
            <w:noWrap w:val="false"/>
          </w:tcPr>
          <w:p>
            <w:pPr>
              <w:jc w:val="center"/>
              <w:spacing w:line="240" w:lineRule="atLeas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肋木</w:t>
            </w:r>
            <w:r/>
          </w:p>
        </w:tc>
        <w:tc>
          <w:tcPr>
            <w:tcW w:w="1350" w:type="pct"/>
            <w:vAlign w:val="center"/>
            <w:textDirection w:val="lrTb"/>
            <w:noWrap w:val="false"/>
          </w:tcPr>
          <w:p>
            <w:pPr>
              <w:jc w:val="center"/>
              <w:spacing w:line="240" w:lineRule="atLeas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包一参数要求</w:t>
            </w:r>
            <w:r/>
          </w:p>
        </w:tc>
        <w:tc>
          <w:tcPr>
            <w:tcW w:w="1019"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件</w:t>
            </w:r>
            <w:r/>
          </w:p>
        </w:tc>
        <w:tc>
          <w:tcPr>
            <w:tcW w:w="768"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r>
      <w:tr>
        <w:trPr>
          <w:jc w:val="center"/>
          <w:trHeight w:val="510"/>
        </w:trPr>
        <w:tc>
          <w:tcPr>
            <w:shd w:val="clear" w:color="auto" w:fill="auto"/>
            <w:tcW w:w="578" w:type="pct"/>
            <w:vAlign w:val="center"/>
            <w:textDirection w:val="lrTb"/>
            <w:noWrap w:val="false"/>
          </w:tcPr>
          <w:p>
            <w:pPr>
              <w:jc w:val="center"/>
              <w:spacing w:line="240" w:lineRule="atLeast"/>
              <w:rPr>
                <w:rFonts w:hint="default"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7</w:t>
            </w:r>
            <w:r/>
          </w:p>
        </w:tc>
        <w:tc>
          <w:tcPr>
            <w:tcW w:w="3608" w:type="dxa"/>
            <w:vAlign w:val="center"/>
            <w:textDirection w:val="lrTb"/>
            <w:noWrap w:val="false"/>
          </w:tcPr>
          <w:p>
            <w:pPr>
              <w:jc w:val="center"/>
              <w:spacing w:line="240" w:lineRule="atLeas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告示牌</w:t>
            </w:r>
            <w:r/>
          </w:p>
        </w:tc>
        <w:tc>
          <w:tcPr>
            <w:tcW w:w="1350" w:type="pct"/>
            <w:vAlign w:val="center"/>
            <w:textDirection w:val="lrTb"/>
            <w:noWrap w:val="false"/>
          </w:tcPr>
          <w:p>
            <w:pPr>
              <w:jc w:val="center"/>
              <w:spacing w:line="240" w:lineRule="atLeas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包一参数要求</w:t>
            </w:r>
            <w:r/>
          </w:p>
        </w:tc>
        <w:tc>
          <w:tcPr>
            <w:tcW w:w="1019"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件</w:t>
            </w:r>
            <w:r/>
          </w:p>
        </w:tc>
        <w:tc>
          <w:tcPr>
            <w:tcW w:w="768"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r>
      <w:tr>
        <w:trPr>
          <w:jc w:val="center"/>
          <w:trHeight w:val="510"/>
        </w:trPr>
        <w:tc>
          <w:tcPr>
            <w:shd w:val="clear" w:color="auto" w:fill="auto"/>
            <w:tcW w:w="578" w:type="pct"/>
            <w:vAlign w:val="center"/>
            <w:textDirection w:val="lrTb"/>
            <w:noWrap w:val="false"/>
          </w:tcPr>
          <w:p>
            <w:pPr>
              <w:jc w:val="center"/>
              <w:spacing w:line="240" w:lineRule="atLeast"/>
              <w:rPr>
                <w:rFonts w:hint="default"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8</w:t>
            </w:r>
            <w:r/>
          </w:p>
        </w:tc>
        <w:tc>
          <w:tcPr>
            <w:tcW w:w="3608" w:type="dxa"/>
            <w:vAlign w:val="center"/>
            <w:textDirection w:val="lrTb"/>
            <w:noWrap w:val="false"/>
          </w:tcPr>
          <w:p>
            <w:pPr>
              <w:jc w:val="center"/>
              <w:spacing w:line="240" w:lineRule="atLeas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上肢牵引器</w:t>
            </w:r>
            <w:r/>
          </w:p>
        </w:tc>
        <w:tc>
          <w:tcPr>
            <w:tcW w:w="1350" w:type="pct"/>
            <w:vAlign w:val="center"/>
            <w:textDirection w:val="lrTb"/>
            <w:noWrap w:val="false"/>
          </w:tcPr>
          <w:p>
            <w:pPr>
              <w:jc w:val="center"/>
              <w:spacing w:line="240" w:lineRule="atLeas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包一参数要求</w:t>
            </w:r>
            <w:r/>
          </w:p>
        </w:tc>
        <w:tc>
          <w:tcPr>
            <w:tcW w:w="1019"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件</w:t>
            </w:r>
            <w:r/>
          </w:p>
        </w:tc>
        <w:tc>
          <w:tcPr>
            <w:tcW w:w="768"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r>
      <w:tr>
        <w:trPr>
          <w:jc w:val="center"/>
          <w:trHeight w:val="510"/>
        </w:trPr>
        <w:tc>
          <w:tcPr>
            <w:shd w:val="clear" w:color="auto" w:fill="auto"/>
            <w:tcW w:w="578" w:type="pct"/>
            <w:vAlign w:val="center"/>
            <w:textDirection w:val="lrTb"/>
            <w:noWrap w:val="false"/>
          </w:tcPr>
          <w:p>
            <w:pPr>
              <w:jc w:val="center"/>
              <w:spacing w:line="240" w:lineRule="atLeast"/>
              <w:rPr>
                <w:rFonts w:hint="default"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9</w:t>
            </w:r>
            <w:r/>
          </w:p>
        </w:tc>
        <w:tc>
          <w:tcPr>
            <w:tcW w:w="3608" w:type="dxa"/>
            <w:vAlign w:val="center"/>
            <w:textDirection w:val="lrTb"/>
            <w:noWrap w:val="false"/>
          </w:tcPr>
          <w:p>
            <w:pPr>
              <w:jc w:val="center"/>
              <w:spacing w:line="240" w:lineRule="atLeas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腿部按摩器</w:t>
            </w:r>
            <w:r/>
          </w:p>
        </w:tc>
        <w:tc>
          <w:tcPr>
            <w:tcW w:w="1350" w:type="pct"/>
            <w:vAlign w:val="center"/>
            <w:textDirection w:val="lrTb"/>
            <w:noWrap w:val="false"/>
          </w:tcPr>
          <w:p>
            <w:pPr>
              <w:jc w:val="center"/>
              <w:spacing w:line="240" w:lineRule="atLeas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包一参数要求</w:t>
            </w:r>
            <w:r/>
          </w:p>
        </w:tc>
        <w:tc>
          <w:tcPr>
            <w:tcW w:w="1019"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件</w:t>
            </w:r>
            <w:r/>
          </w:p>
        </w:tc>
        <w:tc>
          <w:tcPr>
            <w:tcW w:w="768"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r>
      <w:tr>
        <w:trPr>
          <w:jc w:val="center"/>
          <w:trHeight w:val="510"/>
        </w:trPr>
        <w:tc>
          <w:tcPr>
            <w:shd w:val="clear" w:color="auto" w:fill="auto"/>
            <w:tcW w:w="578" w:type="pct"/>
            <w:vAlign w:val="center"/>
            <w:textDirection w:val="lrTb"/>
            <w:noWrap w:val="false"/>
          </w:tcPr>
          <w:p>
            <w:pPr>
              <w:jc w:val="center"/>
              <w:spacing w:line="240" w:lineRule="atLeast"/>
              <w:rPr>
                <w:rFonts w:hint="default"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10</w:t>
            </w:r>
            <w:r/>
          </w:p>
        </w:tc>
        <w:tc>
          <w:tcPr>
            <w:tcW w:w="3608" w:type="dxa"/>
            <w:vAlign w:val="center"/>
            <w:textDirection w:val="lrTb"/>
            <w:noWrap w:val="false"/>
          </w:tcPr>
          <w:p>
            <w:pPr>
              <w:jc w:val="center"/>
              <w:spacing w:line="240" w:lineRule="atLeas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太极揉推器</w:t>
            </w:r>
            <w:r/>
          </w:p>
        </w:tc>
        <w:tc>
          <w:tcPr>
            <w:tcW w:w="2373" w:type="dxa"/>
            <w:vAlign w:val="center"/>
            <w:textDirection w:val="lrTb"/>
            <w:noWrap w:val="false"/>
          </w:tcPr>
          <w:p>
            <w:pPr>
              <w:jc w:val="center"/>
              <w:spacing w:line="240" w:lineRule="atLeas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包一参数要求</w:t>
            </w:r>
            <w:r/>
          </w:p>
        </w:tc>
        <w:tc>
          <w:tcPr>
            <w:tcW w:w="1019"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件</w:t>
            </w:r>
            <w:r/>
          </w:p>
        </w:tc>
        <w:tc>
          <w:tcPr>
            <w:tcW w:w="768"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r>
    </w:tbl>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sectPr>
          <w:headerReference w:type="default" r:id="rId9"/>
          <w:footerReference w:type="default" r:id="rId10"/>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cs="宋体"/>
          <w:color w:val="auto"/>
          <w:sz w:val="24"/>
          <w:szCs w:val="24"/>
          <w:highlight w:val="none"/>
          <w:lang w:val="en-US" w:eastAsia="zh-CN"/>
        </w:rPr>
      </w:r>
      <w:r/>
    </w:p>
    <w:p>
      <w:pPr>
        <w:numPr>
          <w:ilvl w:val="0"/>
          <w:numId w:val="0"/>
        </w:numPr>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包一参数要求：</w:t>
      </w:r>
      <w:r/>
    </w:p>
    <w:tbl>
      <w:tblPr>
        <w:tblStyle w:val="676"/>
        <w:tblW w:w="15383" w:type="dxa"/>
        <w:tblInd w:w="-7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833"/>
        <w:gridCol w:w="12277"/>
        <w:gridCol w:w="750"/>
        <w:gridCol w:w="773"/>
      </w:tblGrid>
      <w:tr>
        <w:trPr/>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bCs/>
                <w:color w:val="auto"/>
                <w:sz w:val="24"/>
                <w:szCs w:val="24"/>
                <w:highlight w:val="none"/>
              </w:rPr>
              <w:t xml:space="preserve">序号</w:t>
            </w:r>
            <w:r/>
          </w:p>
        </w:tc>
        <w:tc>
          <w:tcPr>
            <w:tcW w:w="83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bCs/>
                <w:color w:val="auto"/>
                <w:sz w:val="24"/>
                <w:szCs w:val="24"/>
                <w:highlight w:val="none"/>
              </w:rPr>
              <w:t xml:space="preserve">名称</w:t>
            </w:r>
            <w:r/>
          </w:p>
        </w:tc>
        <w:tc>
          <w:tcPr>
            <w:tcW w:w="12277"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bCs/>
                <w:color w:val="auto"/>
                <w:sz w:val="24"/>
                <w:szCs w:val="24"/>
                <w:highlight w:val="none"/>
              </w:rPr>
              <w:t xml:space="preserve">技术参数</w:t>
            </w:r>
            <w:r/>
          </w:p>
        </w:tc>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bCs/>
                <w:color w:val="auto"/>
                <w:sz w:val="24"/>
                <w:szCs w:val="24"/>
                <w:highlight w:val="none"/>
              </w:rPr>
              <w:t xml:space="preserve">单位</w:t>
            </w:r>
            <w:r/>
          </w:p>
        </w:tc>
        <w:tc>
          <w:tcPr>
            <w:tcW w:w="77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bCs/>
                <w:color w:val="auto"/>
                <w:sz w:val="24"/>
                <w:szCs w:val="24"/>
                <w:highlight w:val="none"/>
              </w:rPr>
              <w:t xml:space="preserve">数量</w:t>
            </w:r>
            <w:r/>
          </w:p>
        </w:tc>
      </w:tr>
      <w:tr>
        <w:trPr>
          <w:trHeight w:val="3848"/>
        </w:trPr>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1</w:t>
            </w:r>
            <w:r/>
          </w:p>
        </w:tc>
        <w:tc>
          <w:tcPr>
            <w:tcW w:w="83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rPr>
              <w:t xml:space="preserve">双人漫步机</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核心产品</w:t>
            </w:r>
            <w:r>
              <w:rPr>
                <w:rFonts w:hint="eastAsia" w:ascii="宋体" w:hAnsi="宋体" w:cs="宋体"/>
                <w:b w:val="0"/>
                <w:bCs w:val="0"/>
                <w:color w:val="auto"/>
                <w:sz w:val="24"/>
                <w:szCs w:val="24"/>
                <w:highlight w:val="none"/>
                <w:lang w:eastAsia="zh-CN"/>
              </w:rPr>
              <w:t xml:space="preserve">）</w:t>
            </w:r>
            <w:r/>
          </w:p>
        </w:tc>
        <w:tc>
          <w:tcPr>
            <w:tcW w:w="12277" w:type="dxa"/>
            <w:vAlign w:val="top"/>
            <w:textDirection w:val="lrTb"/>
            <w:noWrap w:val="false"/>
          </w:tcPr>
          <w:p>
            <w:pPr>
              <w:jc w:val="left"/>
              <w:spacing w:line="32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主要承载立柱采用≥Φ114mm×3.0mm标准管材</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满足GB19272—2024标准中相关静载荷、稳定性要求；转动部位采用国家标准轴承，并采用有效的防水、防尘措施；</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主要承载横梁尺寸：≥80mm×40mm×3mm；</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器材部件间不存在刚性碰撞；踏板的主运动方向和易滑脱方向防滑脱的凸台的高度为30mm，长度大于踏板周长的2/3，摆动幅度有加以约束，且单侧摆动幅度不大于70º；</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安装方式：直埋式；</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主要功能：增强下肢的活动能力，提高身体协调性；</w:t>
            </w:r>
            <w:r/>
          </w:p>
          <w:p>
            <w:pPr>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产品具有可识别的</w:t>
            </w:r>
            <w:r>
              <w:rPr>
                <w:rFonts w:hint="eastAsia" w:ascii="宋体" w:hAnsi="宋体" w:eastAsia="宋体" w:cs="宋体"/>
                <w:color w:val="auto"/>
                <w:sz w:val="24"/>
                <w:szCs w:val="24"/>
                <w:highlight w:val="none"/>
                <w:lang w:val="en-US" w:eastAsia="zh-CN"/>
              </w:rPr>
              <w:t xml:space="preserve">不锈钢</w:t>
            </w:r>
            <w:r>
              <w:rPr>
                <w:rFonts w:hint="eastAsia" w:ascii="宋体" w:hAnsi="宋体" w:eastAsia="宋体" w:cs="宋体"/>
                <w:color w:val="auto"/>
                <w:sz w:val="24"/>
                <w:szCs w:val="24"/>
                <w:highlight w:val="none"/>
              </w:rPr>
              <w:t xml:space="preserve">《江苏体育全民健身设施管理平台》二维码及小程序码</w:t>
            </w:r>
            <w:r>
              <w:rPr>
                <w:rFonts w:hint="eastAsia" w:ascii="宋体" w:hAnsi="宋体" w:eastAsia="宋体" w:cs="宋体"/>
                <w:color w:val="auto"/>
                <w:sz w:val="24"/>
                <w:szCs w:val="24"/>
                <w:highlight w:val="none"/>
                <w:lang w:eastAsia="zh-CN"/>
              </w:rPr>
              <w:t xml:space="preserve">。</w:t>
            </w:r>
            <w:r/>
          </w:p>
          <w:p>
            <w:pPr>
              <w:jc w:val="left"/>
              <w:spacing w:line="3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▲符合GB19272-2024《室外健身器材的安全通用要求》，并提供有效期内带有CMA或CNAS标识的检测报告（检测内容需涵盖上述第1、2项技术参数）并加盖投标人公章。</w:t>
            </w:r>
            <w:r/>
          </w:p>
          <w:p>
            <w:pPr>
              <w:jc w:val="left"/>
              <w:spacing w:line="32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bCs/>
                <w:color w:val="auto"/>
                <w:sz w:val="24"/>
                <w:szCs w:val="24"/>
                <w:highlight w:val="none"/>
              </w:rPr>
              <w:t xml:space="preserve">▲通过经国家认监委批准的体育器材质量认证机构的产品质量认证，提供有效期内的认证证书及确认函并加盖投标人公章。</w:t>
            </w:r>
            <w:r/>
          </w:p>
        </w:tc>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件</w:t>
            </w:r>
            <w:r/>
          </w:p>
        </w:tc>
        <w:tc>
          <w:tcPr>
            <w:tcW w:w="77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30</w:t>
            </w:r>
            <w:r/>
          </w:p>
        </w:tc>
      </w:tr>
      <w:tr>
        <w:trPr/>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2</w:t>
            </w:r>
            <w:r/>
          </w:p>
        </w:tc>
        <w:tc>
          <w:tcPr>
            <w:tcW w:w="83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三人扭腰器</w:t>
            </w:r>
            <w:r/>
          </w:p>
        </w:tc>
        <w:tc>
          <w:tcPr>
            <w:tcW w:w="12277" w:type="dxa"/>
            <w:vAlign w:val="top"/>
            <w:textDirection w:val="lrTb"/>
            <w:noWrap w:val="false"/>
          </w:tcPr>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主要材料：钢管主要承载立柱尺寸：</w:t>
            </w:r>
            <w:r>
              <w:rPr>
                <w:rFonts w:hint="eastAsia" w:ascii="宋体" w:hAnsi="宋体" w:eastAsia="宋体" w:cs="宋体"/>
                <w:color w:val="auto"/>
                <w:sz w:val="24"/>
                <w:szCs w:val="24"/>
                <w:highlight w:val="none"/>
                <w:cs/>
              </w:rPr>
              <w:t xml:space="preserve">Φ</w:t>
            </w:r>
            <w:r>
              <w:rPr>
                <w:rFonts w:hint="eastAsia" w:ascii="宋体" w:hAnsi="宋体" w:eastAsia="宋体" w:cs="宋体"/>
                <w:color w:val="auto"/>
                <w:sz w:val="24"/>
                <w:szCs w:val="24"/>
                <w:highlight w:val="none"/>
              </w:rPr>
              <w:t xml:space="preserve">114mm×3.0mm；主要承载横梁尺寸：</w:t>
            </w:r>
            <w:r>
              <w:rPr>
                <w:rFonts w:hint="eastAsia" w:ascii="宋体" w:hAnsi="宋体" w:eastAsia="宋体" w:cs="宋体"/>
                <w:color w:val="auto"/>
                <w:sz w:val="24"/>
                <w:szCs w:val="24"/>
                <w:highlight w:val="none"/>
                <w:cs/>
              </w:rPr>
              <w:t xml:space="preserve">Φ</w:t>
            </w:r>
            <w:r>
              <w:rPr>
                <w:rFonts w:hint="eastAsia" w:ascii="宋体" w:hAnsi="宋体" w:eastAsia="宋体" w:cs="宋体"/>
                <w:color w:val="auto"/>
                <w:sz w:val="24"/>
                <w:szCs w:val="24"/>
                <w:highlight w:val="none"/>
              </w:rPr>
              <w:t xml:space="preserve">32mm×3.0mm；扭腰盘采用钢板冲压成型，符合人体运动学规律；转动部位采用国家标准轴承；脚踏部位采用防滑结构设计，摩擦系数大于0.5；</w:t>
            </w:r>
            <w:r/>
          </w:p>
          <w:p>
            <w:pPr>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转动部件内设限位装置，防止转动角度过大对使用者或第三者造成伤害，使用6205深沟球轴承，设置防水结构</w:t>
            </w:r>
            <w:r>
              <w:rPr>
                <w:rFonts w:hint="eastAsia" w:ascii="宋体" w:hAnsi="宋体" w:eastAsia="宋体" w:cs="宋体"/>
                <w:color w:val="auto"/>
                <w:sz w:val="24"/>
                <w:szCs w:val="24"/>
                <w:highlight w:val="none"/>
                <w:lang w:eastAsia="zh-CN"/>
              </w:rPr>
              <w:t xml:space="preserve">；</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安装方式：直埋式；</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主要功能：主要锻炼腰、髋部、增强腰部的灵活性和柔韧性。</w:t>
            </w:r>
            <w:r/>
          </w:p>
          <w:p>
            <w:pPr>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产品具有可识别的</w:t>
            </w:r>
            <w:r>
              <w:rPr>
                <w:rFonts w:hint="eastAsia" w:ascii="宋体" w:hAnsi="宋体" w:eastAsia="宋体" w:cs="宋体"/>
                <w:color w:val="auto"/>
                <w:sz w:val="24"/>
                <w:szCs w:val="24"/>
                <w:highlight w:val="none"/>
                <w:lang w:val="en-US" w:eastAsia="zh-CN"/>
              </w:rPr>
              <w:t xml:space="preserve">不锈钢</w:t>
            </w:r>
            <w:r>
              <w:rPr>
                <w:rFonts w:hint="eastAsia" w:ascii="宋体" w:hAnsi="宋体" w:eastAsia="宋体" w:cs="宋体"/>
                <w:color w:val="auto"/>
                <w:sz w:val="24"/>
                <w:szCs w:val="24"/>
                <w:highlight w:val="none"/>
              </w:rPr>
              <w:t xml:space="preserve">《江苏体育全民健身设施管理平台》二维码及小程序码</w:t>
            </w:r>
            <w:r>
              <w:rPr>
                <w:rFonts w:hint="eastAsia" w:ascii="宋体" w:hAnsi="宋体" w:eastAsia="宋体" w:cs="宋体"/>
                <w:color w:val="auto"/>
                <w:sz w:val="24"/>
                <w:szCs w:val="24"/>
                <w:highlight w:val="none"/>
                <w:lang w:eastAsia="zh-CN"/>
              </w:rPr>
              <w:t xml:space="preserve">。</w:t>
            </w:r>
            <w:r/>
          </w:p>
          <w:p>
            <w:pPr>
              <w:jc w:val="left"/>
              <w:spacing w:line="320" w:lineRule="exact"/>
              <w:widowControl/>
              <w:rPr>
                <w:rFonts w:hint="eastAsia" w:ascii="宋体" w:hAnsi="宋体" w:eastAsia="宋体" w:cs="宋体"/>
                <w:b/>
                <w:color w:val="auto"/>
                <w:spacing w:val="7"/>
                <w:sz w:val="24"/>
                <w:szCs w:val="24"/>
                <w:highlight w:val="none"/>
                <w:lang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pacing w:val="8"/>
                <w:sz w:val="24"/>
                <w:szCs w:val="24"/>
                <w:highlight w:val="none"/>
              </w:rPr>
              <w:t xml:space="preserve">符合</w:t>
            </w:r>
            <w:r>
              <w:rPr>
                <w:rFonts w:hint="eastAsia" w:ascii="宋体" w:hAnsi="宋体" w:eastAsia="宋体" w:cs="宋体"/>
                <w:b/>
                <w:color w:val="auto"/>
                <w:sz w:val="24"/>
                <w:szCs w:val="24"/>
                <w:highlight w:val="none"/>
              </w:rPr>
              <w:t xml:space="preserve">GB</w:t>
            </w:r>
            <w:r>
              <w:rPr>
                <w:rFonts w:hint="eastAsia" w:ascii="宋体" w:hAnsi="宋体" w:eastAsia="宋体" w:cs="宋体"/>
                <w:b/>
                <w:color w:val="auto"/>
                <w:spacing w:val="8"/>
                <w:sz w:val="24"/>
                <w:szCs w:val="24"/>
                <w:highlight w:val="none"/>
              </w:rPr>
              <w:t xml:space="preserve">19272-2024《室外健身器材的安全通用要求》，并提供有效</w:t>
            </w:r>
            <w:r>
              <w:rPr>
                <w:rFonts w:hint="eastAsia" w:ascii="宋体" w:hAnsi="宋体" w:eastAsia="宋体" w:cs="宋体"/>
                <w:b/>
                <w:color w:val="auto"/>
                <w:spacing w:val="7"/>
                <w:sz w:val="24"/>
                <w:szCs w:val="24"/>
                <w:highlight w:val="none"/>
              </w:rPr>
              <w:t xml:space="preserve">期内带有</w:t>
            </w:r>
            <w:r>
              <w:rPr>
                <w:rFonts w:hint="eastAsia" w:ascii="宋体" w:hAnsi="宋体" w:eastAsia="宋体" w:cs="宋体"/>
                <w:b/>
                <w:color w:val="auto"/>
                <w:sz w:val="24"/>
                <w:szCs w:val="24"/>
                <w:highlight w:val="none"/>
              </w:rPr>
              <w:t xml:space="preserve">CMA</w:t>
            </w:r>
            <w:r>
              <w:rPr>
                <w:rFonts w:hint="eastAsia" w:ascii="宋体" w:hAnsi="宋体" w:eastAsia="宋体" w:cs="宋体"/>
                <w:b/>
                <w:color w:val="auto"/>
                <w:spacing w:val="7"/>
                <w:sz w:val="24"/>
                <w:szCs w:val="24"/>
                <w:highlight w:val="none"/>
              </w:rPr>
              <w:t xml:space="preserve">或</w:t>
            </w:r>
            <w:r>
              <w:rPr>
                <w:rFonts w:hint="eastAsia" w:ascii="宋体" w:hAnsi="宋体" w:eastAsia="宋体" w:cs="宋体"/>
                <w:b/>
                <w:color w:val="auto"/>
                <w:sz w:val="24"/>
                <w:szCs w:val="24"/>
                <w:highlight w:val="none"/>
              </w:rPr>
              <w:t xml:space="preserve">CNAS</w:t>
            </w:r>
            <w:r>
              <w:rPr>
                <w:rFonts w:hint="eastAsia" w:ascii="宋体" w:hAnsi="宋体" w:eastAsia="宋体" w:cs="宋体"/>
                <w:b/>
                <w:color w:val="auto"/>
                <w:spacing w:val="7"/>
                <w:sz w:val="24"/>
                <w:szCs w:val="24"/>
                <w:highlight w:val="none"/>
              </w:rPr>
              <w:t xml:space="preserve">标识的检测报告（检测内容需涵盖上述第1项技术参数）并加盖投标人公章</w:t>
            </w:r>
            <w:r>
              <w:rPr>
                <w:rFonts w:hint="eastAsia" w:ascii="宋体" w:hAnsi="宋体" w:eastAsia="宋体" w:cs="宋体"/>
                <w:b/>
                <w:color w:val="auto"/>
                <w:spacing w:val="7"/>
                <w:sz w:val="24"/>
                <w:szCs w:val="24"/>
                <w:highlight w:val="none"/>
                <w:lang w:eastAsia="zh-CN"/>
              </w:rPr>
              <w:t xml:space="preserve">。</w:t>
            </w:r>
            <w:r/>
          </w:p>
          <w:p>
            <w:pPr>
              <w:jc w:val="left"/>
              <w:spacing w:line="32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color w:val="auto"/>
                <w:spacing w:val="8"/>
                <w:sz w:val="24"/>
                <w:szCs w:val="24"/>
                <w:highlight w:val="none"/>
              </w:rPr>
              <w:t xml:space="preserve">▲通过经</w:t>
            </w:r>
            <w:r>
              <w:rPr>
                <w:rFonts w:hint="eastAsia" w:ascii="宋体" w:hAnsi="宋体" w:eastAsia="宋体" w:cs="宋体"/>
                <w:b/>
                <w:bCs/>
                <w:color w:val="auto"/>
                <w:sz w:val="24"/>
                <w:szCs w:val="24"/>
                <w:highlight w:val="none"/>
              </w:rPr>
              <w:t xml:space="preserve">国家认监委</w:t>
            </w:r>
            <w:r>
              <w:rPr>
                <w:rFonts w:hint="eastAsia" w:ascii="宋体" w:hAnsi="宋体" w:eastAsia="宋体" w:cs="宋体"/>
                <w:b/>
                <w:color w:val="auto"/>
                <w:spacing w:val="8"/>
                <w:sz w:val="24"/>
                <w:szCs w:val="24"/>
                <w:highlight w:val="none"/>
              </w:rPr>
              <w:t xml:space="preserve">批准的体育器材质量认证机构的产品质量认证，提供有效期内的</w:t>
            </w:r>
            <w:r>
              <w:rPr>
                <w:rFonts w:hint="eastAsia" w:ascii="宋体" w:hAnsi="宋体" w:eastAsia="宋体" w:cs="宋体"/>
                <w:b/>
                <w:color w:val="auto"/>
                <w:spacing w:val="7"/>
                <w:sz w:val="24"/>
                <w:szCs w:val="24"/>
                <w:highlight w:val="none"/>
              </w:rPr>
              <w:t xml:space="preserve">认证证书及确认函并加盖投标人公章。</w:t>
            </w:r>
            <w:r/>
          </w:p>
        </w:tc>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件</w:t>
            </w:r>
            <w:r/>
          </w:p>
        </w:tc>
        <w:tc>
          <w:tcPr>
            <w:tcW w:w="77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30</w:t>
            </w:r>
            <w:r/>
          </w:p>
        </w:tc>
      </w:tr>
      <w:tr>
        <w:trPr/>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3</w:t>
            </w:r>
            <w:r/>
          </w:p>
        </w:tc>
        <w:tc>
          <w:tcPr>
            <w:tcW w:w="83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云梯</w:t>
            </w:r>
            <w:r/>
          </w:p>
        </w:tc>
        <w:tc>
          <w:tcPr>
            <w:tcW w:w="12277" w:type="dxa"/>
            <w:vAlign w:val="top"/>
            <w:textDirection w:val="lrTb"/>
            <w:noWrap w:val="false"/>
          </w:tcPr>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主要承载立柱采用≥Φ114mm×3.0mm；；横梁采用≥Φ32mm×3.0mm的标准管材，满足GB19272—2024标准中相关静载荷、稳定性要求；</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立柱上部无钩挂结构；</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安装方式：直埋式；</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主要功能：</w:t>
            </w:r>
            <w:r>
              <w:rPr>
                <w:rFonts w:hint="eastAsia" w:ascii="宋体" w:hAnsi="宋体" w:eastAsia="宋体" w:cs="宋体"/>
                <w:color w:val="auto"/>
                <w:sz w:val="24"/>
                <w:szCs w:val="24"/>
                <w:highlight w:val="none"/>
                <w:lang w:eastAsia="zh-CN"/>
              </w:rPr>
              <w:t xml:space="preserve">锻炼</w:t>
            </w:r>
            <w:r>
              <w:rPr>
                <w:rFonts w:hint="eastAsia" w:ascii="宋体" w:hAnsi="宋体" w:eastAsia="宋体" w:cs="宋体"/>
                <w:color w:val="auto"/>
                <w:sz w:val="24"/>
                <w:szCs w:val="24"/>
                <w:highlight w:val="none"/>
              </w:rPr>
              <w:t xml:space="preserve">上肢及胸部的力量，提高肩部和后背的灵活性；</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易接触的零部件的其他所有棱边予以圆弧过渡或加以防护；</w:t>
            </w:r>
            <w:r/>
          </w:p>
          <w:p>
            <w:pPr>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产品具有可识别的</w:t>
            </w:r>
            <w:r>
              <w:rPr>
                <w:rFonts w:hint="eastAsia" w:ascii="宋体" w:hAnsi="宋体" w:eastAsia="宋体" w:cs="宋体"/>
                <w:color w:val="auto"/>
                <w:sz w:val="24"/>
                <w:szCs w:val="24"/>
                <w:highlight w:val="none"/>
                <w:lang w:val="en-US" w:eastAsia="zh-CN"/>
              </w:rPr>
              <w:t xml:space="preserve">不锈钢</w:t>
            </w:r>
            <w:r>
              <w:rPr>
                <w:rFonts w:hint="eastAsia" w:ascii="宋体" w:hAnsi="宋体" w:eastAsia="宋体" w:cs="宋体"/>
                <w:color w:val="auto"/>
                <w:sz w:val="24"/>
                <w:szCs w:val="24"/>
                <w:highlight w:val="none"/>
              </w:rPr>
              <w:t xml:space="preserve">《江苏体育全民健身设施管理平台》二维码及小程序码</w:t>
            </w:r>
            <w:r>
              <w:rPr>
                <w:rFonts w:hint="eastAsia" w:ascii="宋体" w:hAnsi="宋体" w:eastAsia="宋体" w:cs="宋体"/>
                <w:color w:val="auto"/>
                <w:sz w:val="24"/>
                <w:szCs w:val="24"/>
                <w:highlight w:val="none"/>
                <w:lang w:eastAsia="zh-CN"/>
              </w:rPr>
              <w:t xml:space="preserve">。</w:t>
            </w:r>
            <w:r/>
          </w:p>
          <w:p>
            <w:pPr>
              <w:jc w:val="left"/>
              <w:spacing w:line="320" w:lineRule="exact"/>
              <w:widowControl/>
              <w:rPr>
                <w:rFonts w:hint="eastAsia" w:ascii="宋体" w:hAnsi="宋体" w:eastAsia="宋体" w:cs="宋体"/>
                <w:b/>
                <w:color w:val="auto"/>
                <w:spacing w:val="7"/>
                <w:sz w:val="24"/>
                <w:szCs w:val="24"/>
                <w:highlight w:val="none"/>
                <w:lang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pacing w:val="8"/>
                <w:sz w:val="24"/>
                <w:szCs w:val="24"/>
                <w:highlight w:val="none"/>
              </w:rPr>
              <w:t xml:space="preserve">符合</w:t>
            </w:r>
            <w:r>
              <w:rPr>
                <w:rFonts w:hint="eastAsia" w:ascii="宋体" w:hAnsi="宋体" w:eastAsia="宋体" w:cs="宋体"/>
                <w:b/>
                <w:color w:val="auto"/>
                <w:sz w:val="24"/>
                <w:szCs w:val="24"/>
                <w:highlight w:val="none"/>
              </w:rPr>
              <w:t xml:space="preserve">GB</w:t>
            </w:r>
            <w:r>
              <w:rPr>
                <w:rFonts w:hint="eastAsia" w:ascii="宋体" w:hAnsi="宋体" w:eastAsia="宋体" w:cs="宋体"/>
                <w:b/>
                <w:color w:val="auto"/>
                <w:spacing w:val="8"/>
                <w:sz w:val="24"/>
                <w:szCs w:val="24"/>
                <w:highlight w:val="none"/>
              </w:rPr>
              <w:t xml:space="preserve">19272-2024《室外健身器材的安全通用要求》，并提供有效</w:t>
            </w:r>
            <w:r>
              <w:rPr>
                <w:rFonts w:hint="eastAsia" w:ascii="宋体" w:hAnsi="宋体" w:eastAsia="宋体" w:cs="宋体"/>
                <w:b/>
                <w:color w:val="auto"/>
                <w:spacing w:val="7"/>
                <w:sz w:val="24"/>
                <w:szCs w:val="24"/>
                <w:highlight w:val="none"/>
              </w:rPr>
              <w:t xml:space="preserve">期内带有</w:t>
            </w:r>
            <w:r>
              <w:rPr>
                <w:rFonts w:hint="eastAsia" w:ascii="宋体" w:hAnsi="宋体" w:eastAsia="宋体" w:cs="宋体"/>
                <w:b/>
                <w:color w:val="auto"/>
                <w:sz w:val="24"/>
                <w:szCs w:val="24"/>
                <w:highlight w:val="none"/>
              </w:rPr>
              <w:t xml:space="preserve">CMA</w:t>
            </w:r>
            <w:r>
              <w:rPr>
                <w:rFonts w:hint="eastAsia" w:ascii="宋体" w:hAnsi="宋体" w:eastAsia="宋体" w:cs="宋体"/>
                <w:b/>
                <w:color w:val="auto"/>
                <w:spacing w:val="7"/>
                <w:sz w:val="24"/>
                <w:szCs w:val="24"/>
                <w:highlight w:val="none"/>
              </w:rPr>
              <w:t xml:space="preserve">或</w:t>
            </w:r>
            <w:r>
              <w:rPr>
                <w:rFonts w:hint="eastAsia" w:ascii="宋体" w:hAnsi="宋体" w:eastAsia="宋体" w:cs="宋体"/>
                <w:b/>
                <w:color w:val="auto"/>
                <w:sz w:val="24"/>
                <w:szCs w:val="24"/>
                <w:highlight w:val="none"/>
              </w:rPr>
              <w:t xml:space="preserve">CNAS</w:t>
            </w:r>
            <w:r>
              <w:rPr>
                <w:rFonts w:hint="eastAsia" w:ascii="宋体" w:hAnsi="宋体" w:eastAsia="宋体" w:cs="宋体"/>
                <w:b/>
                <w:color w:val="auto"/>
                <w:spacing w:val="7"/>
                <w:sz w:val="24"/>
                <w:szCs w:val="24"/>
                <w:highlight w:val="none"/>
              </w:rPr>
              <w:t xml:space="preserve">标识的检测报告（检测内容需涵盖上述第1项技术参数）并加盖投标人公章</w:t>
            </w:r>
            <w:r>
              <w:rPr>
                <w:rFonts w:hint="eastAsia" w:ascii="宋体" w:hAnsi="宋体" w:eastAsia="宋体" w:cs="宋体"/>
                <w:b/>
                <w:color w:val="auto"/>
                <w:spacing w:val="7"/>
                <w:sz w:val="24"/>
                <w:szCs w:val="24"/>
                <w:highlight w:val="none"/>
                <w:lang w:eastAsia="zh-CN"/>
              </w:rPr>
              <w:t xml:space="preserve">。</w:t>
            </w:r>
            <w:r/>
          </w:p>
          <w:p>
            <w:pPr>
              <w:jc w:val="left"/>
              <w:spacing w:line="32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color w:val="auto"/>
                <w:spacing w:val="8"/>
                <w:sz w:val="24"/>
                <w:szCs w:val="24"/>
                <w:highlight w:val="none"/>
              </w:rPr>
              <w:t xml:space="preserve">▲通过经</w:t>
            </w:r>
            <w:r>
              <w:rPr>
                <w:rFonts w:hint="eastAsia" w:ascii="宋体" w:hAnsi="宋体" w:eastAsia="宋体" w:cs="宋体"/>
                <w:b/>
                <w:bCs/>
                <w:color w:val="auto"/>
                <w:sz w:val="24"/>
                <w:szCs w:val="24"/>
                <w:highlight w:val="none"/>
              </w:rPr>
              <w:t xml:space="preserve">国家认监委</w:t>
            </w:r>
            <w:r>
              <w:rPr>
                <w:rFonts w:hint="eastAsia" w:ascii="宋体" w:hAnsi="宋体" w:eastAsia="宋体" w:cs="宋体"/>
                <w:b/>
                <w:color w:val="auto"/>
                <w:spacing w:val="8"/>
                <w:sz w:val="24"/>
                <w:szCs w:val="24"/>
                <w:highlight w:val="none"/>
              </w:rPr>
              <w:t xml:space="preserve">批准的体育器材质量认证机构的产品质量认证，提供有效期内的</w:t>
            </w:r>
            <w:r>
              <w:rPr>
                <w:rFonts w:hint="eastAsia" w:ascii="宋体" w:hAnsi="宋体" w:eastAsia="宋体" w:cs="宋体"/>
                <w:b/>
                <w:color w:val="auto"/>
                <w:spacing w:val="7"/>
                <w:sz w:val="24"/>
                <w:szCs w:val="24"/>
                <w:highlight w:val="none"/>
              </w:rPr>
              <w:t xml:space="preserve">认证证书及确认函并加盖投标人公章。</w:t>
            </w:r>
            <w:r/>
          </w:p>
        </w:tc>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件</w:t>
            </w:r>
            <w:r/>
          </w:p>
        </w:tc>
        <w:tc>
          <w:tcPr>
            <w:tcW w:w="77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30</w:t>
            </w:r>
            <w:r/>
          </w:p>
        </w:tc>
      </w:tr>
      <w:tr>
        <w:trPr/>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4</w:t>
            </w:r>
            <w:r/>
          </w:p>
        </w:tc>
        <w:tc>
          <w:tcPr>
            <w:tcW w:w="83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腰背按摩器</w:t>
            </w:r>
            <w:r/>
          </w:p>
        </w:tc>
        <w:tc>
          <w:tcPr>
            <w:tcW w:w="12277" w:type="dxa"/>
            <w:vAlign w:val="top"/>
            <w:textDirection w:val="lrTb"/>
            <w:noWrap w:val="false"/>
          </w:tcPr>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1.主要承载立柱采用≥Φ114mm×3.0mm；横梁采用≥Φ114mm×3.0mm60mm×40mm×3.0mm的标准管材，满足GB19272—2024标准中相关静载荷、稳定性要求；</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立柱顶部无刚性封闭结构；</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安装方式：直埋式；</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主要功能：两人可同时使用，主要锻炼腰、背部肌肉，缓解腰、背部疲劳；</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易接触的零部件的其他所有棱边予以圆弧过渡或加以防护；</w:t>
            </w:r>
            <w:r/>
          </w:p>
          <w:p>
            <w:pPr>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产品具有可识别的</w:t>
            </w:r>
            <w:r>
              <w:rPr>
                <w:rFonts w:hint="eastAsia" w:ascii="宋体" w:hAnsi="宋体" w:eastAsia="宋体" w:cs="宋体"/>
                <w:color w:val="auto"/>
                <w:sz w:val="24"/>
                <w:szCs w:val="24"/>
                <w:highlight w:val="none"/>
                <w:lang w:val="en-US" w:eastAsia="zh-CN"/>
              </w:rPr>
              <w:t xml:space="preserve">不锈钢</w:t>
            </w:r>
            <w:r>
              <w:rPr>
                <w:rFonts w:hint="eastAsia" w:ascii="宋体" w:hAnsi="宋体" w:eastAsia="宋体" w:cs="宋体"/>
                <w:color w:val="auto"/>
                <w:sz w:val="24"/>
                <w:szCs w:val="24"/>
                <w:highlight w:val="none"/>
              </w:rPr>
              <w:t xml:space="preserve">《江苏体育全民健身设施管理平台》二维码及小程序码</w:t>
            </w:r>
            <w:r>
              <w:rPr>
                <w:rFonts w:hint="eastAsia" w:ascii="宋体" w:hAnsi="宋体" w:eastAsia="宋体" w:cs="宋体"/>
                <w:color w:val="auto"/>
                <w:sz w:val="24"/>
                <w:szCs w:val="24"/>
                <w:highlight w:val="none"/>
                <w:lang w:eastAsia="zh-CN"/>
              </w:rPr>
              <w:t xml:space="preserve">。</w:t>
            </w:r>
            <w:r/>
          </w:p>
          <w:p>
            <w:pPr>
              <w:jc w:val="left"/>
              <w:spacing w:line="320" w:lineRule="exact"/>
              <w:widowControl/>
              <w:rPr>
                <w:rFonts w:hint="eastAsia" w:ascii="宋体" w:hAnsi="宋体" w:eastAsia="宋体" w:cs="宋体"/>
                <w:b/>
                <w:color w:val="auto"/>
                <w:spacing w:val="7"/>
                <w:sz w:val="24"/>
                <w:szCs w:val="24"/>
                <w:highlight w:val="none"/>
                <w:lang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pacing w:val="8"/>
                <w:sz w:val="24"/>
                <w:szCs w:val="24"/>
                <w:highlight w:val="none"/>
              </w:rPr>
              <w:t xml:space="preserve">符合</w:t>
            </w:r>
            <w:r>
              <w:rPr>
                <w:rFonts w:hint="eastAsia" w:ascii="宋体" w:hAnsi="宋体" w:eastAsia="宋体" w:cs="宋体"/>
                <w:b/>
                <w:color w:val="auto"/>
                <w:sz w:val="24"/>
                <w:szCs w:val="24"/>
                <w:highlight w:val="none"/>
              </w:rPr>
              <w:t xml:space="preserve">GB</w:t>
            </w:r>
            <w:r>
              <w:rPr>
                <w:rFonts w:hint="eastAsia" w:ascii="宋体" w:hAnsi="宋体" w:eastAsia="宋体" w:cs="宋体"/>
                <w:b/>
                <w:color w:val="auto"/>
                <w:spacing w:val="8"/>
                <w:sz w:val="24"/>
                <w:szCs w:val="24"/>
                <w:highlight w:val="none"/>
              </w:rPr>
              <w:t xml:space="preserve">19272-2024《室外健身器材的安全通用要求》，并提供有效</w:t>
            </w:r>
            <w:r>
              <w:rPr>
                <w:rFonts w:hint="eastAsia" w:ascii="宋体" w:hAnsi="宋体" w:eastAsia="宋体" w:cs="宋体"/>
                <w:b/>
                <w:color w:val="auto"/>
                <w:spacing w:val="7"/>
                <w:sz w:val="24"/>
                <w:szCs w:val="24"/>
                <w:highlight w:val="none"/>
              </w:rPr>
              <w:t xml:space="preserve">期内带有</w:t>
            </w:r>
            <w:r>
              <w:rPr>
                <w:rFonts w:hint="eastAsia" w:ascii="宋体" w:hAnsi="宋体" w:eastAsia="宋体" w:cs="宋体"/>
                <w:b/>
                <w:color w:val="auto"/>
                <w:sz w:val="24"/>
                <w:szCs w:val="24"/>
                <w:highlight w:val="none"/>
              </w:rPr>
              <w:t xml:space="preserve">CMA</w:t>
            </w:r>
            <w:r>
              <w:rPr>
                <w:rFonts w:hint="eastAsia" w:ascii="宋体" w:hAnsi="宋体" w:eastAsia="宋体" w:cs="宋体"/>
                <w:b/>
                <w:color w:val="auto"/>
                <w:spacing w:val="7"/>
                <w:sz w:val="24"/>
                <w:szCs w:val="24"/>
                <w:highlight w:val="none"/>
              </w:rPr>
              <w:t xml:space="preserve">或</w:t>
            </w:r>
            <w:r>
              <w:rPr>
                <w:rFonts w:hint="eastAsia" w:ascii="宋体" w:hAnsi="宋体" w:eastAsia="宋体" w:cs="宋体"/>
                <w:b/>
                <w:color w:val="auto"/>
                <w:sz w:val="24"/>
                <w:szCs w:val="24"/>
                <w:highlight w:val="none"/>
              </w:rPr>
              <w:t xml:space="preserve">CNAS</w:t>
            </w:r>
            <w:r>
              <w:rPr>
                <w:rFonts w:hint="eastAsia" w:ascii="宋体" w:hAnsi="宋体" w:eastAsia="宋体" w:cs="宋体"/>
                <w:b/>
                <w:color w:val="auto"/>
                <w:spacing w:val="7"/>
                <w:sz w:val="24"/>
                <w:szCs w:val="24"/>
                <w:highlight w:val="none"/>
              </w:rPr>
              <w:t xml:space="preserve">标识的检测报告（检测内容需涵盖上述第1项技术参数）并加盖投标人公章</w:t>
            </w:r>
            <w:r>
              <w:rPr>
                <w:rFonts w:hint="eastAsia" w:ascii="宋体" w:hAnsi="宋体" w:eastAsia="宋体" w:cs="宋体"/>
                <w:b/>
                <w:color w:val="auto"/>
                <w:spacing w:val="7"/>
                <w:sz w:val="24"/>
                <w:szCs w:val="24"/>
                <w:highlight w:val="none"/>
                <w:lang w:eastAsia="zh-CN"/>
              </w:rPr>
              <w:t xml:space="preserve">。</w:t>
            </w:r>
            <w:r/>
          </w:p>
          <w:p>
            <w:pPr>
              <w:jc w:val="left"/>
              <w:spacing w:line="32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color w:val="auto"/>
                <w:spacing w:val="8"/>
                <w:sz w:val="24"/>
                <w:szCs w:val="24"/>
                <w:highlight w:val="none"/>
              </w:rPr>
              <w:t xml:space="preserve">▲通过经</w:t>
            </w:r>
            <w:r>
              <w:rPr>
                <w:rFonts w:hint="eastAsia" w:ascii="宋体" w:hAnsi="宋体" w:eastAsia="宋体" w:cs="宋体"/>
                <w:b/>
                <w:bCs/>
                <w:color w:val="auto"/>
                <w:sz w:val="24"/>
                <w:szCs w:val="24"/>
                <w:highlight w:val="none"/>
              </w:rPr>
              <w:t xml:space="preserve">国家认监委</w:t>
            </w:r>
            <w:r>
              <w:rPr>
                <w:rFonts w:hint="eastAsia" w:ascii="宋体" w:hAnsi="宋体" w:eastAsia="宋体" w:cs="宋体"/>
                <w:b/>
                <w:color w:val="auto"/>
                <w:spacing w:val="8"/>
                <w:sz w:val="24"/>
                <w:szCs w:val="24"/>
                <w:highlight w:val="none"/>
              </w:rPr>
              <w:t xml:space="preserve">批准的体育器材质量认证机构的产品质量认证，提供有效期内的</w:t>
            </w:r>
            <w:r>
              <w:rPr>
                <w:rFonts w:hint="eastAsia" w:ascii="宋体" w:hAnsi="宋体" w:eastAsia="宋体" w:cs="宋体"/>
                <w:b/>
                <w:color w:val="auto"/>
                <w:spacing w:val="7"/>
                <w:sz w:val="24"/>
                <w:szCs w:val="24"/>
                <w:highlight w:val="none"/>
              </w:rPr>
              <w:t xml:space="preserve">认证证书及确认函并加盖投标人公章。</w:t>
            </w:r>
            <w:r/>
          </w:p>
        </w:tc>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件</w:t>
            </w:r>
            <w:r/>
          </w:p>
        </w:tc>
        <w:tc>
          <w:tcPr>
            <w:tcW w:w="77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30</w:t>
            </w:r>
            <w:r/>
          </w:p>
        </w:tc>
      </w:tr>
      <w:tr>
        <w:trPr/>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5</w:t>
            </w:r>
            <w:r/>
          </w:p>
        </w:tc>
        <w:tc>
          <w:tcPr>
            <w:tcW w:w="83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双人蹬力器</w:t>
            </w:r>
            <w:r/>
          </w:p>
        </w:tc>
        <w:tc>
          <w:tcPr>
            <w:tcW w:w="12277" w:type="dxa"/>
            <w:vAlign w:val="top"/>
            <w:textDirection w:val="lrTb"/>
            <w:noWrap w:val="false"/>
          </w:tcPr>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主要承载立柱采用</w:t>
            </w:r>
            <w:r>
              <w:rPr>
                <w:rFonts w:hint="eastAsia" w:ascii="宋体" w:hAnsi="宋体" w:eastAsia="宋体" w:cs="宋体"/>
                <w:color w:val="auto"/>
                <w:sz w:val="24"/>
                <w:szCs w:val="24"/>
                <w:highlight w:val="none"/>
                <w:lang w:val="en-US" w:eastAsia="zh-CN"/>
              </w:rPr>
              <w:t xml:space="preserve">≥Φ114mm×3.0mm</w:t>
            </w:r>
            <w:r>
              <w:rPr>
                <w:rFonts w:hint="eastAsia" w:ascii="宋体" w:hAnsi="宋体" w:eastAsia="宋体" w:cs="宋体"/>
                <w:color w:val="auto"/>
                <w:sz w:val="24"/>
                <w:szCs w:val="24"/>
                <w:highlight w:val="none"/>
              </w:rPr>
              <w:t xml:space="preserve">标准管材，满足GB19272—2024标准中相关静载荷、稳定性要求；</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立柱顶部无刚性封闭结构；</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采用内限位结构。脚踏部位有防滑措施；摩擦系数应不小于0.5；不允许存在剪切点、挤压点、引入点，不允许存在刚性碰撞；</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安装方式：直埋式；</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易接触的其他零部件的棱边予以圆弧过渡；</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主要功能：增强下肢及腰部肌肉力量,强化腿、腰部肌肉；</w:t>
            </w:r>
            <w:r/>
          </w:p>
          <w:p>
            <w:pPr>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产品具有可识别的</w:t>
            </w:r>
            <w:r>
              <w:rPr>
                <w:rFonts w:hint="eastAsia" w:ascii="宋体" w:hAnsi="宋体" w:eastAsia="宋体" w:cs="宋体"/>
                <w:color w:val="auto"/>
                <w:sz w:val="24"/>
                <w:szCs w:val="24"/>
                <w:highlight w:val="none"/>
                <w:lang w:val="en-US" w:eastAsia="zh-CN"/>
              </w:rPr>
              <w:t xml:space="preserve">不锈钢</w:t>
            </w:r>
            <w:r>
              <w:rPr>
                <w:rFonts w:hint="eastAsia" w:ascii="宋体" w:hAnsi="宋体" w:eastAsia="宋体" w:cs="宋体"/>
                <w:color w:val="auto"/>
                <w:sz w:val="24"/>
                <w:szCs w:val="24"/>
                <w:highlight w:val="none"/>
              </w:rPr>
              <w:t xml:space="preserve">《江苏体育全民健身设施管理平台》二维码及小程序码</w:t>
            </w:r>
            <w:r>
              <w:rPr>
                <w:rFonts w:hint="eastAsia" w:ascii="宋体" w:hAnsi="宋体" w:eastAsia="宋体" w:cs="宋体"/>
                <w:color w:val="auto"/>
                <w:sz w:val="24"/>
                <w:szCs w:val="24"/>
                <w:highlight w:val="none"/>
                <w:lang w:eastAsia="zh-CN"/>
              </w:rPr>
              <w:t xml:space="preserve">。</w:t>
            </w:r>
            <w:r/>
          </w:p>
          <w:p>
            <w:pPr>
              <w:jc w:val="left"/>
              <w:spacing w:line="320" w:lineRule="exact"/>
              <w:widowControl/>
              <w:rPr>
                <w:rFonts w:hint="eastAsia" w:ascii="宋体" w:hAnsi="宋体" w:eastAsia="宋体" w:cs="宋体"/>
                <w:b/>
                <w:color w:val="auto"/>
                <w:spacing w:val="7"/>
                <w:sz w:val="24"/>
                <w:szCs w:val="24"/>
                <w:highlight w:val="none"/>
                <w:lang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pacing w:val="8"/>
                <w:sz w:val="24"/>
                <w:szCs w:val="24"/>
                <w:highlight w:val="none"/>
              </w:rPr>
              <w:t xml:space="preserve">符合</w:t>
            </w:r>
            <w:r>
              <w:rPr>
                <w:rFonts w:hint="eastAsia" w:ascii="宋体" w:hAnsi="宋体" w:eastAsia="宋体" w:cs="宋体"/>
                <w:b/>
                <w:color w:val="auto"/>
                <w:sz w:val="24"/>
                <w:szCs w:val="24"/>
                <w:highlight w:val="none"/>
              </w:rPr>
              <w:t xml:space="preserve">GB</w:t>
            </w:r>
            <w:r>
              <w:rPr>
                <w:rFonts w:hint="eastAsia" w:ascii="宋体" w:hAnsi="宋体" w:eastAsia="宋体" w:cs="宋体"/>
                <w:b/>
                <w:color w:val="auto"/>
                <w:spacing w:val="8"/>
                <w:sz w:val="24"/>
                <w:szCs w:val="24"/>
                <w:highlight w:val="none"/>
              </w:rPr>
              <w:t xml:space="preserve">19272-2024《室外健身器材的安全通用要求》，并提供有效</w:t>
            </w:r>
            <w:r>
              <w:rPr>
                <w:rFonts w:hint="eastAsia" w:ascii="宋体" w:hAnsi="宋体" w:eastAsia="宋体" w:cs="宋体"/>
                <w:b/>
                <w:color w:val="auto"/>
                <w:spacing w:val="7"/>
                <w:sz w:val="24"/>
                <w:szCs w:val="24"/>
                <w:highlight w:val="none"/>
              </w:rPr>
              <w:t xml:space="preserve">期内带有</w:t>
            </w:r>
            <w:r>
              <w:rPr>
                <w:rFonts w:hint="eastAsia" w:ascii="宋体" w:hAnsi="宋体" w:eastAsia="宋体" w:cs="宋体"/>
                <w:b/>
                <w:color w:val="auto"/>
                <w:sz w:val="24"/>
                <w:szCs w:val="24"/>
                <w:highlight w:val="none"/>
              </w:rPr>
              <w:t xml:space="preserve">CMA</w:t>
            </w:r>
            <w:r>
              <w:rPr>
                <w:rFonts w:hint="eastAsia" w:ascii="宋体" w:hAnsi="宋体" w:eastAsia="宋体" w:cs="宋体"/>
                <w:b/>
                <w:color w:val="auto"/>
                <w:spacing w:val="7"/>
                <w:sz w:val="24"/>
                <w:szCs w:val="24"/>
                <w:highlight w:val="none"/>
              </w:rPr>
              <w:t xml:space="preserve">或</w:t>
            </w:r>
            <w:r>
              <w:rPr>
                <w:rFonts w:hint="eastAsia" w:ascii="宋体" w:hAnsi="宋体" w:eastAsia="宋体" w:cs="宋体"/>
                <w:b/>
                <w:color w:val="auto"/>
                <w:sz w:val="24"/>
                <w:szCs w:val="24"/>
                <w:highlight w:val="none"/>
              </w:rPr>
              <w:t xml:space="preserve">CNAS</w:t>
            </w:r>
            <w:r>
              <w:rPr>
                <w:rFonts w:hint="eastAsia" w:ascii="宋体" w:hAnsi="宋体" w:eastAsia="宋体" w:cs="宋体"/>
                <w:b/>
                <w:color w:val="auto"/>
                <w:spacing w:val="7"/>
                <w:sz w:val="24"/>
                <w:szCs w:val="24"/>
                <w:highlight w:val="none"/>
              </w:rPr>
              <w:t xml:space="preserve">标识的检测报告（检测内容需涵盖上述第1项技术参数）并加盖投标人公章</w:t>
            </w:r>
            <w:r>
              <w:rPr>
                <w:rFonts w:hint="eastAsia" w:ascii="宋体" w:hAnsi="宋体" w:eastAsia="宋体" w:cs="宋体"/>
                <w:b/>
                <w:color w:val="auto"/>
                <w:spacing w:val="7"/>
                <w:sz w:val="24"/>
                <w:szCs w:val="24"/>
                <w:highlight w:val="none"/>
                <w:lang w:eastAsia="zh-CN"/>
              </w:rPr>
              <w:t xml:space="preserve">。</w:t>
            </w:r>
            <w:r/>
          </w:p>
          <w:p>
            <w:pPr>
              <w:jc w:val="left"/>
              <w:spacing w:line="32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color w:val="auto"/>
                <w:spacing w:val="8"/>
                <w:sz w:val="24"/>
                <w:szCs w:val="24"/>
                <w:highlight w:val="none"/>
              </w:rPr>
              <w:t xml:space="preserve">▲通过经</w:t>
            </w:r>
            <w:r>
              <w:rPr>
                <w:rFonts w:hint="eastAsia" w:ascii="宋体" w:hAnsi="宋体" w:eastAsia="宋体" w:cs="宋体"/>
                <w:b/>
                <w:bCs/>
                <w:color w:val="auto"/>
                <w:sz w:val="24"/>
                <w:szCs w:val="24"/>
                <w:highlight w:val="none"/>
              </w:rPr>
              <w:t xml:space="preserve">国家认监委</w:t>
            </w:r>
            <w:r>
              <w:rPr>
                <w:rFonts w:hint="eastAsia" w:ascii="宋体" w:hAnsi="宋体" w:eastAsia="宋体" w:cs="宋体"/>
                <w:b/>
                <w:color w:val="auto"/>
                <w:spacing w:val="8"/>
                <w:sz w:val="24"/>
                <w:szCs w:val="24"/>
                <w:highlight w:val="none"/>
              </w:rPr>
              <w:t xml:space="preserve">批准的体育器材质量认证机构的产品质量认证，提供有效期内的</w:t>
            </w:r>
            <w:r>
              <w:rPr>
                <w:rFonts w:hint="eastAsia" w:ascii="宋体" w:hAnsi="宋体" w:eastAsia="宋体" w:cs="宋体"/>
                <w:b/>
                <w:color w:val="auto"/>
                <w:spacing w:val="7"/>
                <w:sz w:val="24"/>
                <w:szCs w:val="24"/>
                <w:highlight w:val="none"/>
              </w:rPr>
              <w:t xml:space="preserve">认证证书及确认函并加盖投标人公章。</w:t>
            </w:r>
            <w:r/>
          </w:p>
        </w:tc>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件</w:t>
            </w:r>
            <w:r/>
          </w:p>
        </w:tc>
        <w:tc>
          <w:tcPr>
            <w:tcW w:w="77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30</w:t>
            </w:r>
            <w:r/>
          </w:p>
        </w:tc>
      </w:tr>
      <w:tr>
        <w:trPr/>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6</w:t>
            </w:r>
            <w:r/>
          </w:p>
        </w:tc>
        <w:tc>
          <w:tcPr>
            <w:tcW w:w="83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肋木</w:t>
            </w:r>
            <w:r/>
          </w:p>
        </w:tc>
        <w:tc>
          <w:tcPr>
            <w:tcW w:w="12277" w:type="dxa"/>
            <w:vAlign w:val="top"/>
            <w:textDirection w:val="lrTb"/>
            <w:noWrap w:val="false"/>
          </w:tcPr>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主立柱采用</w:t>
            </w:r>
            <w:r>
              <w:rPr>
                <w:rFonts w:hint="eastAsia" w:ascii="宋体" w:hAnsi="宋体" w:eastAsia="宋体" w:cs="宋体"/>
                <w:color w:val="auto"/>
                <w:sz w:val="24"/>
                <w:szCs w:val="24"/>
                <w:highlight w:val="none"/>
                <w:lang w:val="en-US" w:eastAsia="zh-CN"/>
              </w:rPr>
              <w:t xml:space="preserve">≥Φ114mm×3.0mm</w:t>
            </w:r>
            <w:r>
              <w:rPr>
                <w:rFonts w:hint="eastAsia" w:ascii="宋体" w:hAnsi="宋体" w:eastAsia="宋体" w:cs="宋体"/>
                <w:color w:val="auto"/>
                <w:sz w:val="24"/>
                <w:szCs w:val="24"/>
                <w:highlight w:val="none"/>
              </w:rPr>
              <w:t xml:space="preserve">；横梁采用</w:t>
            </w:r>
            <w:r>
              <w:rPr>
                <w:rFonts w:hint="eastAsia" w:ascii="宋体" w:hAnsi="宋体" w:eastAsia="宋体" w:cs="宋体"/>
                <w:color w:val="auto"/>
                <w:sz w:val="24"/>
                <w:szCs w:val="24"/>
                <w:highlight w:val="none"/>
                <w:lang w:val="en-US" w:eastAsia="zh-CN"/>
              </w:rPr>
              <w:t xml:space="preserve">≥Φ32mm×3.0mm</w:t>
            </w:r>
            <w:r>
              <w:rPr>
                <w:rFonts w:hint="eastAsia" w:ascii="宋体" w:hAnsi="宋体" w:eastAsia="宋体" w:cs="宋体"/>
                <w:color w:val="auto"/>
                <w:sz w:val="24"/>
                <w:szCs w:val="24"/>
                <w:highlight w:val="none"/>
              </w:rPr>
              <w:t xml:space="preserve">标准管材，立柱上部无钩挂结构； 无头部卡夹危险；满足GB19272-2024标准中相关静载荷、稳定性要求。</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最低横杆下缘距地面</w:t>
            </w:r>
            <w:r>
              <w:rPr>
                <w:rFonts w:hint="default" w:ascii="宋体" w:hAnsi="宋体" w:eastAsia="宋体" w:cs="宋体"/>
                <w:color w:val="auto"/>
                <w:sz w:val="24"/>
                <w:szCs w:val="24"/>
                <w:highlight w:val="none"/>
                <w:lang w:val="en-US" w:eastAsia="zh-CN"/>
              </w:rPr>
              <w:t xml:space="preserve">≥420mm</w:t>
            </w:r>
            <w:r>
              <w:rPr>
                <w:rFonts w:hint="eastAsia" w:ascii="宋体" w:hAnsi="宋体" w:eastAsia="宋体" w:cs="宋体"/>
                <w:color w:val="auto"/>
                <w:sz w:val="24"/>
                <w:szCs w:val="24"/>
                <w:highlight w:val="none"/>
              </w:rPr>
              <w:t xml:space="preserve">，无身体卡夹危险；</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器材安全警示采用图示方式提示使用者可能存在风险；</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安装方式：直埋式；</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易接触的零部件的其他所有棱边予以圆弧过渡或加以防护；</w:t>
            </w:r>
            <w:r/>
          </w:p>
          <w:p>
            <w:pPr>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产品具有可识别的</w:t>
            </w:r>
            <w:r>
              <w:rPr>
                <w:rFonts w:hint="eastAsia" w:ascii="宋体" w:hAnsi="宋体" w:eastAsia="宋体" w:cs="宋体"/>
                <w:color w:val="auto"/>
                <w:sz w:val="24"/>
                <w:szCs w:val="24"/>
                <w:highlight w:val="none"/>
                <w:lang w:val="en-US" w:eastAsia="zh-CN"/>
              </w:rPr>
              <w:t xml:space="preserve">不锈钢</w:t>
            </w:r>
            <w:r>
              <w:rPr>
                <w:rFonts w:hint="eastAsia" w:ascii="宋体" w:hAnsi="宋体" w:eastAsia="宋体" w:cs="宋体"/>
                <w:color w:val="auto"/>
                <w:sz w:val="24"/>
                <w:szCs w:val="24"/>
                <w:highlight w:val="none"/>
              </w:rPr>
              <w:t xml:space="preserve">《江苏体育全民健身设施管理平台》二维码及小程序码</w:t>
            </w:r>
            <w:r>
              <w:rPr>
                <w:rFonts w:hint="eastAsia" w:ascii="宋体" w:hAnsi="宋体" w:eastAsia="宋体" w:cs="宋体"/>
                <w:color w:val="auto"/>
                <w:sz w:val="24"/>
                <w:szCs w:val="24"/>
                <w:highlight w:val="none"/>
                <w:lang w:eastAsia="zh-CN"/>
              </w:rPr>
              <w:t xml:space="preserve">。</w:t>
            </w:r>
            <w:r/>
          </w:p>
          <w:p>
            <w:pPr>
              <w:jc w:val="left"/>
              <w:spacing w:line="320" w:lineRule="exact"/>
              <w:widowControl/>
              <w:rPr>
                <w:rFonts w:hint="eastAsia" w:ascii="宋体" w:hAnsi="宋体" w:eastAsia="宋体" w:cs="宋体"/>
                <w:b/>
                <w:color w:val="auto"/>
                <w:spacing w:val="7"/>
                <w:sz w:val="24"/>
                <w:szCs w:val="24"/>
                <w:highlight w:val="none"/>
                <w:lang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pacing w:val="8"/>
                <w:sz w:val="24"/>
                <w:szCs w:val="24"/>
                <w:highlight w:val="none"/>
              </w:rPr>
              <w:t xml:space="preserve">符合</w:t>
            </w:r>
            <w:r>
              <w:rPr>
                <w:rFonts w:hint="eastAsia" w:ascii="宋体" w:hAnsi="宋体" w:eastAsia="宋体" w:cs="宋体"/>
                <w:b/>
                <w:color w:val="auto"/>
                <w:sz w:val="24"/>
                <w:szCs w:val="24"/>
                <w:highlight w:val="none"/>
              </w:rPr>
              <w:t xml:space="preserve">GB</w:t>
            </w:r>
            <w:r>
              <w:rPr>
                <w:rFonts w:hint="eastAsia" w:ascii="宋体" w:hAnsi="宋体" w:eastAsia="宋体" w:cs="宋体"/>
                <w:b/>
                <w:color w:val="auto"/>
                <w:spacing w:val="8"/>
                <w:sz w:val="24"/>
                <w:szCs w:val="24"/>
                <w:highlight w:val="none"/>
              </w:rPr>
              <w:t xml:space="preserve">19272-2024《室外健身器材的安全通用要求》，并提供有效</w:t>
            </w:r>
            <w:r>
              <w:rPr>
                <w:rFonts w:hint="eastAsia" w:ascii="宋体" w:hAnsi="宋体" w:eastAsia="宋体" w:cs="宋体"/>
                <w:b/>
                <w:color w:val="auto"/>
                <w:spacing w:val="7"/>
                <w:sz w:val="24"/>
                <w:szCs w:val="24"/>
                <w:highlight w:val="none"/>
              </w:rPr>
              <w:t xml:space="preserve">期内带有</w:t>
            </w:r>
            <w:r>
              <w:rPr>
                <w:rFonts w:hint="eastAsia" w:ascii="宋体" w:hAnsi="宋体" w:eastAsia="宋体" w:cs="宋体"/>
                <w:b/>
                <w:color w:val="auto"/>
                <w:sz w:val="24"/>
                <w:szCs w:val="24"/>
                <w:highlight w:val="none"/>
              </w:rPr>
              <w:t xml:space="preserve">CMA</w:t>
            </w:r>
            <w:r>
              <w:rPr>
                <w:rFonts w:hint="eastAsia" w:ascii="宋体" w:hAnsi="宋体" w:eastAsia="宋体" w:cs="宋体"/>
                <w:b/>
                <w:color w:val="auto"/>
                <w:spacing w:val="7"/>
                <w:sz w:val="24"/>
                <w:szCs w:val="24"/>
                <w:highlight w:val="none"/>
              </w:rPr>
              <w:t xml:space="preserve">或</w:t>
            </w:r>
            <w:r>
              <w:rPr>
                <w:rFonts w:hint="eastAsia" w:ascii="宋体" w:hAnsi="宋体" w:eastAsia="宋体" w:cs="宋体"/>
                <w:b/>
                <w:color w:val="auto"/>
                <w:sz w:val="24"/>
                <w:szCs w:val="24"/>
                <w:highlight w:val="none"/>
              </w:rPr>
              <w:t xml:space="preserve">CNAS</w:t>
            </w:r>
            <w:r>
              <w:rPr>
                <w:rFonts w:hint="eastAsia" w:ascii="宋体" w:hAnsi="宋体" w:eastAsia="宋体" w:cs="宋体"/>
                <w:b/>
                <w:color w:val="auto"/>
                <w:spacing w:val="7"/>
                <w:sz w:val="24"/>
                <w:szCs w:val="24"/>
                <w:highlight w:val="none"/>
              </w:rPr>
              <w:t xml:space="preserve">标识的检测报告（检测内容需涵盖上述第1项技术参数）并加盖投标人公章</w:t>
            </w:r>
            <w:r>
              <w:rPr>
                <w:rFonts w:hint="eastAsia" w:ascii="宋体" w:hAnsi="宋体" w:eastAsia="宋体" w:cs="宋体"/>
                <w:b/>
                <w:color w:val="auto"/>
                <w:spacing w:val="7"/>
                <w:sz w:val="24"/>
                <w:szCs w:val="24"/>
                <w:highlight w:val="none"/>
                <w:lang w:eastAsia="zh-CN"/>
              </w:rPr>
              <w:t xml:space="preserve">。</w:t>
            </w:r>
            <w:r/>
          </w:p>
          <w:p>
            <w:pPr>
              <w:jc w:val="left"/>
              <w:spacing w:line="32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color w:val="auto"/>
                <w:spacing w:val="8"/>
                <w:sz w:val="24"/>
                <w:szCs w:val="24"/>
                <w:highlight w:val="none"/>
              </w:rPr>
              <w:t xml:space="preserve">▲通过经</w:t>
            </w:r>
            <w:r>
              <w:rPr>
                <w:rFonts w:hint="eastAsia" w:ascii="宋体" w:hAnsi="宋体" w:eastAsia="宋体" w:cs="宋体"/>
                <w:b/>
                <w:bCs/>
                <w:color w:val="auto"/>
                <w:sz w:val="24"/>
                <w:szCs w:val="24"/>
                <w:highlight w:val="none"/>
              </w:rPr>
              <w:t xml:space="preserve">国家认监委</w:t>
            </w:r>
            <w:r>
              <w:rPr>
                <w:rFonts w:hint="eastAsia" w:ascii="宋体" w:hAnsi="宋体" w:eastAsia="宋体" w:cs="宋体"/>
                <w:b/>
                <w:color w:val="auto"/>
                <w:spacing w:val="8"/>
                <w:sz w:val="24"/>
                <w:szCs w:val="24"/>
                <w:highlight w:val="none"/>
              </w:rPr>
              <w:t xml:space="preserve">批准的体育器材质量认证机构的产品质量认证，提供有效期内的</w:t>
            </w:r>
            <w:r>
              <w:rPr>
                <w:rFonts w:hint="eastAsia" w:ascii="宋体" w:hAnsi="宋体" w:eastAsia="宋体" w:cs="宋体"/>
                <w:b/>
                <w:color w:val="auto"/>
                <w:spacing w:val="7"/>
                <w:sz w:val="24"/>
                <w:szCs w:val="24"/>
                <w:highlight w:val="none"/>
              </w:rPr>
              <w:t xml:space="preserve">认证证书及确认函并加盖投标人公章。</w:t>
            </w:r>
            <w:r/>
          </w:p>
        </w:tc>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件</w:t>
            </w:r>
            <w:r/>
          </w:p>
        </w:tc>
        <w:tc>
          <w:tcPr>
            <w:tcW w:w="77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30</w:t>
            </w:r>
            <w:r/>
          </w:p>
        </w:tc>
      </w:tr>
      <w:tr>
        <w:trPr/>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7</w:t>
            </w:r>
            <w:r/>
          </w:p>
        </w:tc>
        <w:tc>
          <w:tcPr>
            <w:tcW w:w="83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告示牌</w:t>
            </w:r>
            <w:r/>
          </w:p>
        </w:tc>
        <w:tc>
          <w:tcPr>
            <w:tcW w:w="12277" w:type="dxa"/>
            <w:vAlign w:val="top"/>
            <w:textDirection w:val="lrTb"/>
            <w:noWrap w:val="false"/>
          </w:tcPr>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主要承载立柱采用</w:t>
            </w:r>
            <w:r>
              <w:rPr>
                <w:rFonts w:hint="eastAsia" w:ascii="宋体" w:hAnsi="宋体" w:eastAsia="宋体" w:cs="宋体"/>
                <w:color w:val="auto"/>
                <w:sz w:val="24"/>
                <w:szCs w:val="24"/>
                <w:highlight w:val="none"/>
                <w:lang w:val="en-US" w:eastAsia="zh-CN"/>
              </w:rPr>
              <w:t xml:space="preserve">≥Φ114mm×3.0mm</w:t>
            </w:r>
            <w:r>
              <w:rPr>
                <w:rFonts w:hint="eastAsia" w:ascii="宋体" w:hAnsi="宋体" w:eastAsia="宋体" w:cs="宋体"/>
                <w:color w:val="auto"/>
                <w:sz w:val="24"/>
                <w:szCs w:val="24"/>
                <w:highlight w:val="none"/>
              </w:rPr>
              <w:t xml:space="preserve">标准管材，满足GB19272—2024标准中相关静载荷、稳定性要求；</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采用横式不锈钢牌面，</w:t>
            </w:r>
            <w:r>
              <w:rPr>
                <w:rFonts w:hint="eastAsia" w:ascii="宋体" w:hAnsi="宋体" w:cs="宋体"/>
                <w:color w:val="auto"/>
                <w:sz w:val="24"/>
                <w:szCs w:val="24"/>
                <w:highlight w:val="none"/>
                <w:lang w:val="zh-CN" w:eastAsia="zh-CN"/>
              </w:rPr>
              <w:t xml:space="preserve">牌面尺寸(800～900)×(500～600)mm，板材厚度≥1mm</w:t>
            </w:r>
            <w:r>
              <w:rPr>
                <w:rFonts w:hint="eastAsia" w:ascii="宋体" w:hAnsi="宋体" w:cs="宋体"/>
                <w:color w:val="auto"/>
                <w:sz w:val="24"/>
                <w:szCs w:val="24"/>
                <w:highlight w:val="none"/>
                <w:lang w:val="en-US" w:eastAsia="zh-CN"/>
              </w:rPr>
              <w:t xml:space="preserve">；牌面内容采用双面蚀字工艺制作；牌面采用内嵌式安装，利用防盗螺丝+防盗帽盖固定，美观又防盗；牌面框三面满缝焊接，美观又防雨水；人体易接触区域没有钩挂、缠绕结构；</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安装方式：直埋式；</w:t>
            </w:r>
            <w:r/>
          </w:p>
          <w:p>
            <w:pPr>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产品具有可识别</w:t>
            </w:r>
            <w:r>
              <w:rPr>
                <w:rFonts w:hint="eastAsia" w:ascii="宋体" w:hAnsi="宋体" w:eastAsia="宋体" w:cs="宋体"/>
                <w:color w:val="auto"/>
                <w:sz w:val="24"/>
                <w:szCs w:val="24"/>
                <w:highlight w:val="none"/>
                <w:lang w:val="en-US" w:eastAsia="zh-CN"/>
              </w:rPr>
              <w:t xml:space="preserve">的不锈钢</w:t>
            </w:r>
            <w:r>
              <w:rPr>
                <w:rFonts w:hint="eastAsia" w:ascii="宋体" w:hAnsi="宋体" w:eastAsia="宋体" w:cs="宋体"/>
                <w:color w:val="auto"/>
                <w:sz w:val="24"/>
                <w:szCs w:val="24"/>
                <w:highlight w:val="none"/>
              </w:rPr>
              <w:t xml:space="preserve">《江苏体育全民健身设施管理平台》二维码及小程序码</w:t>
            </w:r>
            <w:r>
              <w:rPr>
                <w:rFonts w:hint="eastAsia" w:ascii="宋体" w:hAnsi="宋体" w:eastAsia="宋体" w:cs="宋体"/>
                <w:color w:val="auto"/>
                <w:sz w:val="24"/>
                <w:szCs w:val="24"/>
                <w:highlight w:val="none"/>
                <w:lang w:eastAsia="zh-CN"/>
              </w:rPr>
              <w:t xml:space="preserve">。</w:t>
            </w:r>
            <w:r/>
          </w:p>
          <w:p>
            <w:pPr>
              <w:jc w:val="left"/>
              <w:spacing w:line="320" w:lineRule="exact"/>
              <w:widowControl/>
              <w:rPr>
                <w:rFonts w:hint="eastAsia" w:ascii="宋体" w:hAnsi="宋体" w:eastAsia="宋体" w:cs="宋体"/>
                <w:b/>
                <w:color w:val="auto"/>
                <w:spacing w:val="7"/>
                <w:sz w:val="24"/>
                <w:szCs w:val="24"/>
                <w:highlight w:val="none"/>
                <w:lang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pacing w:val="8"/>
                <w:sz w:val="24"/>
                <w:szCs w:val="24"/>
                <w:highlight w:val="none"/>
              </w:rPr>
              <w:t xml:space="preserve">符合</w:t>
            </w:r>
            <w:r>
              <w:rPr>
                <w:rFonts w:hint="eastAsia" w:ascii="宋体" w:hAnsi="宋体" w:eastAsia="宋体" w:cs="宋体"/>
                <w:b/>
                <w:color w:val="auto"/>
                <w:sz w:val="24"/>
                <w:szCs w:val="24"/>
                <w:highlight w:val="none"/>
              </w:rPr>
              <w:t xml:space="preserve">GB</w:t>
            </w:r>
            <w:r>
              <w:rPr>
                <w:rFonts w:hint="eastAsia" w:ascii="宋体" w:hAnsi="宋体" w:eastAsia="宋体" w:cs="宋体"/>
                <w:b/>
                <w:color w:val="auto"/>
                <w:spacing w:val="8"/>
                <w:sz w:val="24"/>
                <w:szCs w:val="24"/>
                <w:highlight w:val="none"/>
              </w:rPr>
              <w:t xml:space="preserve">19272-2024《室外健身器材的安全通用要求》，并提供有效</w:t>
            </w:r>
            <w:r>
              <w:rPr>
                <w:rFonts w:hint="eastAsia" w:ascii="宋体" w:hAnsi="宋体" w:eastAsia="宋体" w:cs="宋体"/>
                <w:b/>
                <w:color w:val="auto"/>
                <w:spacing w:val="7"/>
                <w:sz w:val="24"/>
                <w:szCs w:val="24"/>
                <w:highlight w:val="none"/>
              </w:rPr>
              <w:t xml:space="preserve">期内带有</w:t>
            </w:r>
            <w:r>
              <w:rPr>
                <w:rFonts w:hint="eastAsia" w:ascii="宋体" w:hAnsi="宋体" w:eastAsia="宋体" w:cs="宋体"/>
                <w:b/>
                <w:color w:val="auto"/>
                <w:sz w:val="24"/>
                <w:szCs w:val="24"/>
                <w:highlight w:val="none"/>
              </w:rPr>
              <w:t xml:space="preserve">CMA</w:t>
            </w:r>
            <w:r>
              <w:rPr>
                <w:rFonts w:hint="eastAsia" w:ascii="宋体" w:hAnsi="宋体" w:eastAsia="宋体" w:cs="宋体"/>
                <w:b/>
                <w:color w:val="auto"/>
                <w:spacing w:val="7"/>
                <w:sz w:val="24"/>
                <w:szCs w:val="24"/>
                <w:highlight w:val="none"/>
              </w:rPr>
              <w:t xml:space="preserve">或</w:t>
            </w:r>
            <w:r>
              <w:rPr>
                <w:rFonts w:hint="eastAsia" w:ascii="宋体" w:hAnsi="宋体" w:eastAsia="宋体" w:cs="宋体"/>
                <w:b/>
                <w:color w:val="auto"/>
                <w:sz w:val="24"/>
                <w:szCs w:val="24"/>
                <w:highlight w:val="none"/>
              </w:rPr>
              <w:t xml:space="preserve">CNAS</w:t>
            </w:r>
            <w:r>
              <w:rPr>
                <w:rFonts w:hint="eastAsia" w:ascii="宋体" w:hAnsi="宋体" w:eastAsia="宋体" w:cs="宋体"/>
                <w:b/>
                <w:color w:val="auto"/>
                <w:spacing w:val="7"/>
                <w:sz w:val="24"/>
                <w:szCs w:val="24"/>
                <w:highlight w:val="none"/>
              </w:rPr>
              <w:t xml:space="preserve">标识的检测报告（检测内容需涵盖上述第1、2项技术参数）并加盖投标人公章</w:t>
            </w:r>
            <w:r>
              <w:rPr>
                <w:rFonts w:hint="eastAsia" w:ascii="宋体" w:hAnsi="宋体" w:eastAsia="宋体" w:cs="宋体"/>
                <w:b/>
                <w:color w:val="auto"/>
                <w:spacing w:val="7"/>
                <w:sz w:val="24"/>
                <w:szCs w:val="24"/>
                <w:highlight w:val="none"/>
                <w:lang w:eastAsia="zh-CN"/>
              </w:rPr>
              <w:t xml:space="preserve">。</w:t>
            </w:r>
            <w:r/>
          </w:p>
          <w:p>
            <w:pPr>
              <w:jc w:val="left"/>
              <w:spacing w:line="32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color w:val="auto"/>
                <w:spacing w:val="8"/>
                <w:sz w:val="24"/>
                <w:szCs w:val="24"/>
                <w:highlight w:val="none"/>
              </w:rPr>
              <w:t xml:space="preserve">▲通过经</w:t>
            </w:r>
            <w:r>
              <w:rPr>
                <w:rFonts w:hint="eastAsia" w:ascii="宋体" w:hAnsi="宋体" w:eastAsia="宋体" w:cs="宋体"/>
                <w:b/>
                <w:bCs/>
                <w:color w:val="auto"/>
                <w:sz w:val="24"/>
                <w:szCs w:val="24"/>
                <w:highlight w:val="none"/>
              </w:rPr>
              <w:t xml:space="preserve">国家认监委</w:t>
            </w:r>
            <w:r>
              <w:rPr>
                <w:rFonts w:hint="eastAsia" w:ascii="宋体" w:hAnsi="宋体" w:eastAsia="宋体" w:cs="宋体"/>
                <w:b/>
                <w:color w:val="auto"/>
                <w:spacing w:val="8"/>
                <w:sz w:val="24"/>
                <w:szCs w:val="24"/>
                <w:highlight w:val="none"/>
              </w:rPr>
              <w:t xml:space="preserve">批准的体育器材质量认证机构的产品质量认证，提供有效期内的</w:t>
            </w:r>
            <w:r>
              <w:rPr>
                <w:rFonts w:hint="eastAsia" w:ascii="宋体" w:hAnsi="宋体" w:eastAsia="宋体" w:cs="宋体"/>
                <w:b/>
                <w:color w:val="auto"/>
                <w:spacing w:val="7"/>
                <w:sz w:val="24"/>
                <w:szCs w:val="24"/>
                <w:highlight w:val="none"/>
              </w:rPr>
              <w:t xml:space="preserve">认证证书及确认函并加盖投标人公章。</w:t>
            </w:r>
            <w:r/>
          </w:p>
        </w:tc>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件</w:t>
            </w:r>
            <w:r/>
          </w:p>
        </w:tc>
        <w:tc>
          <w:tcPr>
            <w:tcW w:w="77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30</w:t>
            </w:r>
            <w:r/>
          </w:p>
        </w:tc>
      </w:tr>
      <w:tr>
        <w:trPr/>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8</w:t>
            </w:r>
            <w:r/>
          </w:p>
        </w:tc>
        <w:tc>
          <w:tcPr>
            <w:tcW w:w="83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上肢牵引器</w:t>
            </w:r>
            <w:r/>
          </w:p>
        </w:tc>
        <w:tc>
          <w:tcPr>
            <w:tcW w:w="12277" w:type="dxa"/>
            <w:vAlign w:val="top"/>
            <w:textDirection w:val="lrTb"/>
            <w:noWrap w:val="false"/>
          </w:tcPr>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主要承载立柱采用</w:t>
            </w:r>
            <w:r>
              <w:rPr>
                <w:rFonts w:hint="eastAsia" w:ascii="宋体" w:hAnsi="宋体" w:eastAsia="宋体" w:cs="宋体"/>
                <w:color w:val="auto"/>
                <w:sz w:val="24"/>
                <w:szCs w:val="24"/>
                <w:highlight w:val="none"/>
                <w:lang w:val="en-US" w:eastAsia="zh-CN"/>
              </w:rPr>
              <w:t xml:space="preserve">≥Φ114mm×3mm</w:t>
            </w:r>
            <w:r>
              <w:rPr>
                <w:rFonts w:hint="eastAsia" w:ascii="宋体" w:hAnsi="宋体" w:eastAsia="宋体" w:cs="宋体"/>
                <w:color w:val="auto"/>
                <w:sz w:val="24"/>
                <w:szCs w:val="24"/>
                <w:highlight w:val="none"/>
              </w:rPr>
              <w:t xml:space="preserve">；横梁采用</w:t>
            </w:r>
            <w:r>
              <w:rPr>
                <w:rFonts w:hint="eastAsia" w:ascii="宋体" w:hAnsi="宋体" w:eastAsia="宋体" w:cs="宋体"/>
                <w:color w:val="auto"/>
                <w:sz w:val="24"/>
                <w:szCs w:val="24"/>
                <w:highlight w:val="none"/>
                <w:lang w:val="en-US" w:eastAsia="zh-CN"/>
              </w:rPr>
              <w:t xml:space="preserve">≥Φ89mm×3mm</w:t>
            </w:r>
            <w:r>
              <w:rPr>
                <w:rFonts w:hint="eastAsia" w:ascii="宋体" w:hAnsi="宋体" w:eastAsia="宋体" w:cs="宋体"/>
                <w:color w:val="auto"/>
                <w:sz w:val="24"/>
                <w:szCs w:val="24"/>
                <w:highlight w:val="none"/>
              </w:rPr>
              <w:t xml:space="preserve">标准管材，并与其他管材同时满足GB19272—2024标准中相关静载荷、稳定性要求；</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把手端部直径</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mm，无穿刺危险；轴承座设有限位装置且无刚性碰撞；立柱采用钢制封头，可防止雨水流入；</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安装方式：直埋式；</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主要功能：增强肩关节柔韧力量；</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易接触的零部件的其他所有棱边予以圆弧过渡或加以防护；</w:t>
            </w:r>
            <w:r/>
          </w:p>
          <w:p>
            <w:pPr>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产品具有可识别的</w:t>
            </w:r>
            <w:r>
              <w:rPr>
                <w:rFonts w:hint="eastAsia" w:ascii="宋体" w:hAnsi="宋体" w:eastAsia="宋体" w:cs="宋体"/>
                <w:color w:val="auto"/>
                <w:sz w:val="24"/>
                <w:szCs w:val="24"/>
                <w:highlight w:val="none"/>
                <w:lang w:val="en-US" w:eastAsia="zh-CN"/>
              </w:rPr>
              <w:t xml:space="preserve">不锈钢</w:t>
            </w:r>
            <w:r>
              <w:rPr>
                <w:rFonts w:hint="eastAsia" w:ascii="宋体" w:hAnsi="宋体" w:eastAsia="宋体" w:cs="宋体"/>
                <w:color w:val="auto"/>
                <w:sz w:val="24"/>
                <w:szCs w:val="24"/>
                <w:highlight w:val="none"/>
              </w:rPr>
              <w:t xml:space="preserve">《江苏体育全民健身设施管理平台》二维码及小程序码</w:t>
            </w:r>
            <w:r>
              <w:rPr>
                <w:rFonts w:hint="eastAsia" w:ascii="宋体" w:hAnsi="宋体" w:eastAsia="宋体" w:cs="宋体"/>
                <w:color w:val="auto"/>
                <w:sz w:val="24"/>
                <w:szCs w:val="24"/>
                <w:highlight w:val="none"/>
                <w:lang w:eastAsia="zh-CN"/>
              </w:rPr>
              <w:t xml:space="preserve">。</w:t>
            </w:r>
            <w:r/>
          </w:p>
          <w:p>
            <w:pPr>
              <w:jc w:val="left"/>
              <w:spacing w:line="320" w:lineRule="exact"/>
              <w:widowControl/>
              <w:rPr>
                <w:rFonts w:hint="eastAsia" w:ascii="宋体" w:hAnsi="宋体" w:eastAsia="宋体" w:cs="宋体"/>
                <w:b/>
                <w:color w:val="auto"/>
                <w:spacing w:val="7"/>
                <w:sz w:val="24"/>
                <w:szCs w:val="24"/>
                <w:highlight w:val="none"/>
                <w:lang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pacing w:val="8"/>
                <w:sz w:val="24"/>
                <w:szCs w:val="24"/>
                <w:highlight w:val="none"/>
              </w:rPr>
              <w:t xml:space="preserve">符合</w:t>
            </w:r>
            <w:r>
              <w:rPr>
                <w:rFonts w:hint="eastAsia" w:ascii="宋体" w:hAnsi="宋体" w:eastAsia="宋体" w:cs="宋体"/>
                <w:b/>
                <w:color w:val="auto"/>
                <w:sz w:val="24"/>
                <w:szCs w:val="24"/>
                <w:highlight w:val="none"/>
              </w:rPr>
              <w:t xml:space="preserve">GB</w:t>
            </w:r>
            <w:r>
              <w:rPr>
                <w:rFonts w:hint="eastAsia" w:ascii="宋体" w:hAnsi="宋体" w:eastAsia="宋体" w:cs="宋体"/>
                <w:b/>
                <w:color w:val="auto"/>
                <w:spacing w:val="8"/>
                <w:sz w:val="24"/>
                <w:szCs w:val="24"/>
                <w:highlight w:val="none"/>
              </w:rPr>
              <w:t xml:space="preserve">19272-2024《室外健身器材的安全通用要求》，并提供有效</w:t>
            </w:r>
            <w:r>
              <w:rPr>
                <w:rFonts w:hint="eastAsia" w:ascii="宋体" w:hAnsi="宋体" w:eastAsia="宋体" w:cs="宋体"/>
                <w:b/>
                <w:color w:val="auto"/>
                <w:spacing w:val="7"/>
                <w:sz w:val="24"/>
                <w:szCs w:val="24"/>
                <w:highlight w:val="none"/>
              </w:rPr>
              <w:t xml:space="preserve">期内带有</w:t>
            </w:r>
            <w:r>
              <w:rPr>
                <w:rFonts w:hint="eastAsia" w:ascii="宋体" w:hAnsi="宋体" w:eastAsia="宋体" w:cs="宋体"/>
                <w:b/>
                <w:color w:val="auto"/>
                <w:sz w:val="24"/>
                <w:szCs w:val="24"/>
                <w:highlight w:val="none"/>
              </w:rPr>
              <w:t xml:space="preserve">CMA</w:t>
            </w:r>
            <w:r>
              <w:rPr>
                <w:rFonts w:hint="eastAsia" w:ascii="宋体" w:hAnsi="宋体" w:eastAsia="宋体" w:cs="宋体"/>
                <w:b/>
                <w:color w:val="auto"/>
                <w:spacing w:val="7"/>
                <w:sz w:val="24"/>
                <w:szCs w:val="24"/>
                <w:highlight w:val="none"/>
              </w:rPr>
              <w:t xml:space="preserve">或</w:t>
            </w:r>
            <w:r>
              <w:rPr>
                <w:rFonts w:hint="eastAsia" w:ascii="宋体" w:hAnsi="宋体" w:eastAsia="宋体" w:cs="宋体"/>
                <w:b/>
                <w:color w:val="auto"/>
                <w:sz w:val="24"/>
                <w:szCs w:val="24"/>
                <w:highlight w:val="none"/>
              </w:rPr>
              <w:t xml:space="preserve">CNAS</w:t>
            </w:r>
            <w:r>
              <w:rPr>
                <w:rFonts w:hint="eastAsia" w:ascii="宋体" w:hAnsi="宋体" w:eastAsia="宋体" w:cs="宋体"/>
                <w:b/>
                <w:color w:val="auto"/>
                <w:spacing w:val="7"/>
                <w:sz w:val="24"/>
                <w:szCs w:val="24"/>
                <w:highlight w:val="none"/>
              </w:rPr>
              <w:t xml:space="preserve">标识的检测报告（检测内容需涵盖上述第1项技术参数）并加盖投标人公章</w:t>
            </w:r>
            <w:r>
              <w:rPr>
                <w:rFonts w:hint="eastAsia" w:ascii="宋体" w:hAnsi="宋体" w:eastAsia="宋体" w:cs="宋体"/>
                <w:b/>
                <w:color w:val="auto"/>
                <w:spacing w:val="7"/>
                <w:sz w:val="24"/>
                <w:szCs w:val="24"/>
                <w:highlight w:val="none"/>
                <w:lang w:eastAsia="zh-CN"/>
              </w:rPr>
              <w:t xml:space="preserve">。</w:t>
            </w:r>
            <w:r/>
          </w:p>
          <w:p>
            <w:pPr>
              <w:jc w:val="left"/>
              <w:spacing w:line="32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color w:val="auto"/>
                <w:spacing w:val="8"/>
                <w:sz w:val="24"/>
                <w:szCs w:val="24"/>
                <w:highlight w:val="none"/>
              </w:rPr>
              <w:t xml:space="preserve">▲通过经</w:t>
            </w:r>
            <w:r>
              <w:rPr>
                <w:rFonts w:hint="eastAsia" w:ascii="宋体" w:hAnsi="宋体" w:eastAsia="宋体" w:cs="宋体"/>
                <w:b/>
                <w:bCs/>
                <w:color w:val="auto"/>
                <w:sz w:val="24"/>
                <w:szCs w:val="24"/>
                <w:highlight w:val="none"/>
              </w:rPr>
              <w:t xml:space="preserve">国家认监委</w:t>
            </w:r>
            <w:r>
              <w:rPr>
                <w:rFonts w:hint="eastAsia" w:ascii="宋体" w:hAnsi="宋体" w:eastAsia="宋体" w:cs="宋体"/>
                <w:b/>
                <w:color w:val="auto"/>
                <w:spacing w:val="8"/>
                <w:sz w:val="24"/>
                <w:szCs w:val="24"/>
                <w:highlight w:val="none"/>
              </w:rPr>
              <w:t xml:space="preserve">批准的体育器材质量认证机构的产品质量认证，提供有效期内的</w:t>
            </w:r>
            <w:r>
              <w:rPr>
                <w:rFonts w:hint="eastAsia" w:ascii="宋体" w:hAnsi="宋体" w:eastAsia="宋体" w:cs="宋体"/>
                <w:b/>
                <w:color w:val="auto"/>
                <w:spacing w:val="7"/>
                <w:sz w:val="24"/>
                <w:szCs w:val="24"/>
                <w:highlight w:val="none"/>
              </w:rPr>
              <w:t xml:space="preserve">认证证书及确认函并加盖投标人公章。</w:t>
            </w:r>
            <w:r/>
          </w:p>
        </w:tc>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件</w:t>
            </w:r>
            <w:r/>
          </w:p>
        </w:tc>
        <w:tc>
          <w:tcPr>
            <w:tcW w:w="77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30</w:t>
            </w:r>
            <w:r/>
          </w:p>
        </w:tc>
      </w:tr>
      <w:tr>
        <w:trPr/>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9</w:t>
            </w:r>
            <w:r/>
          </w:p>
        </w:tc>
        <w:tc>
          <w:tcPr>
            <w:tcW w:w="83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腿部按摩器</w:t>
            </w:r>
            <w:r/>
          </w:p>
        </w:tc>
        <w:tc>
          <w:tcPr>
            <w:tcW w:w="12277" w:type="dxa"/>
            <w:vAlign w:val="top"/>
            <w:textDirection w:val="lrTb"/>
            <w:noWrap w:val="false"/>
          </w:tcPr>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主要承载立柱采用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cs/>
              </w:rPr>
              <w:t xml:space="preserve">Φ</w:t>
            </w:r>
            <w:r>
              <w:rPr>
                <w:rFonts w:hint="eastAsia" w:ascii="宋体" w:hAnsi="宋体" w:eastAsia="宋体" w:cs="宋体"/>
                <w:color w:val="auto"/>
                <w:sz w:val="24"/>
                <w:szCs w:val="24"/>
                <w:highlight w:val="none"/>
              </w:rPr>
              <w:t xml:space="preserve">114mm</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3.0mm；横梁</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cs/>
              </w:rPr>
              <w:t xml:space="preserve">Φ</w:t>
            </w:r>
            <w:r>
              <w:rPr>
                <w:rFonts w:hint="eastAsia" w:ascii="宋体" w:hAnsi="宋体" w:eastAsia="宋体" w:cs="宋体"/>
                <w:color w:val="auto"/>
                <w:sz w:val="24"/>
                <w:szCs w:val="24"/>
                <w:highlight w:val="none"/>
              </w:rPr>
              <w:t xml:space="preserve">60mm</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3.0mm，满足GB19272-2024标准中相关静载荷、稳定性要求。</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立柱顶部无刚性封闭结构。</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安装采用直埋方式。</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转动部位采用国家标准轴承，并采用有效的防水、防尘措施；</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主要功能：锻炼腿部肌肉群，消除下肢肌肉疲劳，促进血液循环，缓解肌肉酸胀。</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易接触的零部件的其他所有棱边予以圆弧过渡或加以防护</w:t>
            </w:r>
            <w:r/>
          </w:p>
          <w:p>
            <w:pPr>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产品具有可识别的</w:t>
            </w:r>
            <w:r>
              <w:rPr>
                <w:rFonts w:hint="eastAsia" w:ascii="宋体" w:hAnsi="宋体" w:eastAsia="宋体" w:cs="宋体"/>
                <w:color w:val="auto"/>
                <w:sz w:val="24"/>
                <w:szCs w:val="24"/>
                <w:highlight w:val="none"/>
                <w:lang w:val="en-US" w:eastAsia="zh-CN"/>
              </w:rPr>
              <w:t xml:space="preserve">不锈钢</w:t>
            </w:r>
            <w:r>
              <w:rPr>
                <w:rFonts w:hint="eastAsia" w:ascii="宋体" w:hAnsi="宋体" w:eastAsia="宋体" w:cs="宋体"/>
                <w:color w:val="auto"/>
                <w:sz w:val="24"/>
                <w:szCs w:val="24"/>
                <w:highlight w:val="none"/>
              </w:rPr>
              <w:t xml:space="preserve">《江苏体育全民健身设施管理平台》二维码及小程序码</w:t>
            </w:r>
            <w:r>
              <w:rPr>
                <w:rFonts w:hint="eastAsia" w:ascii="宋体" w:hAnsi="宋体" w:eastAsia="宋体" w:cs="宋体"/>
                <w:color w:val="auto"/>
                <w:sz w:val="24"/>
                <w:szCs w:val="24"/>
                <w:highlight w:val="none"/>
                <w:lang w:eastAsia="zh-CN"/>
              </w:rPr>
              <w:t xml:space="preserve">。</w:t>
            </w:r>
            <w:r/>
          </w:p>
          <w:p>
            <w:pPr>
              <w:jc w:val="left"/>
              <w:spacing w:line="320" w:lineRule="exact"/>
              <w:widowControl/>
              <w:rPr>
                <w:rFonts w:hint="eastAsia" w:ascii="宋体" w:hAnsi="宋体" w:eastAsia="宋体" w:cs="宋体"/>
                <w:b/>
                <w:color w:val="auto"/>
                <w:spacing w:val="7"/>
                <w:sz w:val="24"/>
                <w:szCs w:val="24"/>
                <w:highlight w:val="none"/>
                <w:lang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pacing w:val="8"/>
                <w:sz w:val="24"/>
                <w:szCs w:val="24"/>
                <w:highlight w:val="none"/>
              </w:rPr>
              <w:t xml:space="preserve">符合</w:t>
            </w:r>
            <w:r>
              <w:rPr>
                <w:rFonts w:hint="eastAsia" w:ascii="宋体" w:hAnsi="宋体" w:eastAsia="宋体" w:cs="宋体"/>
                <w:b/>
                <w:color w:val="auto"/>
                <w:sz w:val="24"/>
                <w:szCs w:val="24"/>
                <w:highlight w:val="none"/>
              </w:rPr>
              <w:t xml:space="preserve">GB</w:t>
            </w:r>
            <w:r>
              <w:rPr>
                <w:rFonts w:hint="eastAsia" w:ascii="宋体" w:hAnsi="宋体" w:eastAsia="宋体" w:cs="宋体"/>
                <w:b/>
                <w:color w:val="auto"/>
                <w:spacing w:val="8"/>
                <w:sz w:val="24"/>
                <w:szCs w:val="24"/>
                <w:highlight w:val="none"/>
              </w:rPr>
              <w:t xml:space="preserve">19272-2024《室外健身器材的安全通用要求》，并提供有效</w:t>
            </w:r>
            <w:r>
              <w:rPr>
                <w:rFonts w:hint="eastAsia" w:ascii="宋体" w:hAnsi="宋体" w:eastAsia="宋体" w:cs="宋体"/>
                <w:b/>
                <w:color w:val="auto"/>
                <w:spacing w:val="7"/>
                <w:sz w:val="24"/>
                <w:szCs w:val="24"/>
                <w:highlight w:val="none"/>
              </w:rPr>
              <w:t xml:space="preserve">期内带有</w:t>
            </w:r>
            <w:r>
              <w:rPr>
                <w:rFonts w:hint="eastAsia" w:ascii="宋体" w:hAnsi="宋体" w:eastAsia="宋体" w:cs="宋体"/>
                <w:b/>
                <w:color w:val="auto"/>
                <w:sz w:val="24"/>
                <w:szCs w:val="24"/>
                <w:highlight w:val="none"/>
              </w:rPr>
              <w:t xml:space="preserve">CMA</w:t>
            </w:r>
            <w:r>
              <w:rPr>
                <w:rFonts w:hint="eastAsia" w:ascii="宋体" w:hAnsi="宋体" w:eastAsia="宋体" w:cs="宋体"/>
                <w:b/>
                <w:color w:val="auto"/>
                <w:spacing w:val="7"/>
                <w:sz w:val="24"/>
                <w:szCs w:val="24"/>
                <w:highlight w:val="none"/>
              </w:rPr>
              <w:t xml:space="preserve">或</w:t>
            </w:r>
            <w:r>
              <w:rPr>
                <w:rFonts w:hint="eastAsia" w:ascii="宋体" w:hAnsi="宋体" w:eastAsia="宋体" w:cs="宋体"/>
                <w:b/>
                <w:color w:val="auto"/>
                <w:sz w:val="24"/>
                <w:szCs w:val="24"/>
                <w:highlight w:val="none"/>
              </w:rPr>
              <w:t xml:space="preserve">CNAS</w:t>
            </w:r>
            <w:r>
              <w:rPr>
                <w:rFonts w:hint="eastAsia" w:ascii="宋体" w:hAnsi="宋体" w:eastAsia="宋体" w:cs="宋体"/>
                <w:b/>
                <w:color w:val="auto"/>
                <w:spacing w:val="7"/>
                <w:sz w:val="24"/>
                <w:szCs w:val="24"/>
                <w:highlight w:val="none"/>
              </w:rPr>
              <w:t xml:space="preserve">标识的检测报告（检测内容需涵盖上述第1项技术参数）并加盖投标人公章</w:t>
            </w:r>
            <w:r>
              <w:rPr>
                <w:rFonts w:hint="eastAsia" w:ascii="宋体" w:hAnsi="宋体" w:eastAsia="宋体" w:cs="宋体"/>
                <w:b/>
                <w:color w:val="auto"/>
                <w:spacing w:val="7"/>
                <w:sz w:val="24"/>
                <w:szCs w:val="24"/>
                <w:highlight w:val="none"/>
                <w:lang w:eastAsia="zh-CN"/>
              </w:rPr>
              <w:t xml:space="preserve">。</w:t>
            </w:r>
            <w:r/>
          </w:p>
          <w:p>
            <w:pPr>
              <w:jc w:val="left"/>
              <w:spacing w:line="32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color w:val="auto"/>
                <w:spacing w:val="8"/>
                <w:sz w:val="24"/>
                <w:szCs w:val="24"/>
                <w:highlight w:val="none"/>
              </w:rPr>
              <w:t xml:space="preserve">▲通过经</w:t>
            </w:r>
            <w:r>
              <w:rPr>
                <w:rFonts w:hint="eastAsia" w:ascii="宋体" w:hAnsi="宋体" w:eastAsia="宋体" w:cs="宋体"/>
                <w:b/>
                <w:bCs/>
                <w:color w:val="auto"/>
                <w:sz w:val="24"/>
                <w:szCs w:val="24"/>
                <w:highlight w:val="none"/>
              </w:rPr>
              <w:t xml:space="preserve">国家认监委</w:t>
            </w:r>
            <w:r>
              <w:rPr>
                <w:rFonts w:hint="eastAsia" w:ascii="宋体" w:hAnsi="宋体" w:eastAsia="宋体" w:cs="宋体"/>
                <w:b/>
                <w:color w:val="auto"/>
                <w:spacing w:val="8"/>
                <w:sz w:val="24"/>
                <w:szCs w:val="24"/>
                <w:highlight w:val="none"/>
              </w:rPr>
              <w:t xml:space="preserve">批准的体育器材质量认证机构的产品质量认证，提供有效期内的</w:t>
            </w:r>
            <w:r>
              <w:rPr>
                <w:rFonts w:hint="eastAsia" w:ascii="宋体" w:hAnsi="宋体" w:eastAsia="宋体" w:cs="宋体"/>
                <w:b/>
                <w:color w:val="auto"/>
                <w:spacing w:val="7"/>
                <w:sz w:val="24"/>
                <w:szCs w:val="24"/>
                <w:highlight w:val="none"/>
              </w:rPr>
              <w:t xml:space="preserve">认证证书及确认函并加盖投标人公章。</w:t>
            </w:r>
            <w:r/>
          </w:p>
        </w:tc>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件</w:t>
            </w:r>
            <w:r/>
          </w:p>
        </w:tc>
        <w:tc>
          <w:tcPr>
            <w:tcW w:w="77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30</w:t>
            </w:r>
            <w:r/>
          </w:p>
        </w:tc>
      </w:tr>
      <w:tr>
        <w:trPr/>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10</w:t>
            </w:r>
            <w:r/>
          </w:p>
        </w:tc>
        <w:tc>
          <w:tcPr>
            <w:tcW w:w="83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太极揉推器</w:t>
            </w:r>
            <w:r/>
          </w:p>
        </w:tc>
        <w:tc>
          <w:tcPr>
            <w:tcW w:w="12277" w:type="dxa"/>
            <w:vAlign w:val="top"/>
            <w:textDirection w:val="lrTb"/>
            <w:noWrap w:val="false"/>
          </w:tcPr>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主要承载主立柱采用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cs/>
              </w:rPr>
              <w:t xml:space="preserve">Φ</w:t>
            </w:r>
            <w:r>
              <w:rPr>
                <w:rFonts w:hint="eastAsia" w:ascii="宋体" w:hAnsi="宋体" w:eastAsia="宋体" w:cs="宋体"/>
                <w:color w:val="auto"/>
                <w:sz w:val="24"/>
                <w:szCs w:val="24"/>
                <w:highlight w:val="none"/>
              </w:rPr>
              <w:t xml:space="preserve">114mm</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3.0mm；横梁采用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cs/>
              </w:rPr>
              <w:t xml:space="preserve">Φ</w:t>
            </w:r>
            <w:r>
              <w:rPr>
                <w:rFonts w:hint="eastAsia" w:ascii="宋体" w:hAnsi="宋体" w:eastAsia="宋体" w:cs="宋体"/>
                <w:color w:val="auto"/>
                <w:sz w:val="24"/>
                <w:szCs w:val="24"/>
                <w:highlight w:val="none"/>
              </w:rPr>
              <w:t xml:space="preserve">48mm</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3.0mm标准管材，并与其他管材同时满足GB19272—2024标准中相关静载荷、稳定性要求；</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立柱顶部无刚性封闭结构；</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主要功能：增强肩肘髋膝等部位的活动能力，适于老年人；</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安装方式：直埋式；</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易接触的零部件的其他所有棱边予以圆弧过渡或加以防护；</w:t>
            </w:r>
            <w:r/>
          </w:p>
          <w:p>
            <w:pPr>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产品具有可识别的不锈钢《江苏体育全民健身设施管理平台》二维码及小程序码</w:t>
            </w:r>
            <w:r>
              <w:rPr>
                <w:rFonts w:hint="eastAsia" w:ascii="宋体" w:hAnsi="宋体" w:eastAsia="宋体" w:cs="宋体"/>
                <w:color w:val="auto"/>
                <w:sz w:val="24"/>
                <w:szCs w:val="24"/>
                <w:highlight w:val="none"/>
                <w:lang w:eastAsia="zh-CN"/>
              </w:rPr>
              <w:t xml:space="preserve">。</w:t>
            </w:r>
            <w:r/>
          </w:p>
          <w:p>
            <w:pPr>
              <w:jc w:val="left"/>
              <w:spacing w:line="320" w:lineRule="exact"/>
              <w:widowControl/>
              <w:rPr>
                <w:rFonts w:hint="eastAsia" w:ascii="宋体" w:hAnsi="宋体" w:eastAsia="宋体" w:cs="宋体"/>
                <w:b/>
                <w:color w:val="auto"/>
                <w:spacing w:val="7"/>
                <w:sz w:val="24"/>
                <w:szCs w:val="24"/>
                <w:highlight w:val="none"/>
                <w:lang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pacing w:val="8"/>
                <w:sz w:val="24"/>
                <w:szCs w:val="24"/>
                <w:highlight w:val="none"/>
              </w:rPr>
              <w:t xml:space="preserve">符合</w:t>
            </w:r>
            <w:r>
              <w:rPr>
                <w:rFonts w:hint="eastAsia" w:ascii="宋体" w:hAnsi="宋体" w:eastAsia="宋体" w:cs="宋体"/>
                <w:b/>
                <w:color w:val="auto"/>
                <w:sz w:val="24"/>
                <w:szCs w:val="24"/>
                <w:highlight w:val="none"/>
              </w:rPr>
              <w:t xml:space="preserve">GB</w:t>
            </w:r>
            <w:r>
              <w:rPr>
                <w:rFonts w:hint="eastAsia" w:ascii="宋体" w:hAnsi="宋体" w:eastAsia="宋体" w:cs="宋体"/>
                <w:b/>
                <w:color w:val="auto"/>
                <w:spacing w:val="8"/>
                <w:sz w:val="24"/>
                <w:szCs w:val="24"/>
                <w:highlight w:val="none"/>
              </w:rPr>
              <w:t xml:space="preserve">19272-2024《室外健身器材的安全通用要求》，并提供有效</w:t>
            </w:r>
            <w:r>
              <w:rPr>
                <w:rFonts w:hint="eastAsia" w:ascii="宋体" w:hAnsi="宋体" w:eastAsia="宋体" w:cs="宋体"/>
                <w:b/>
                <w:color w:val="auto"/>
                <w:spacing w:val="7"/>
                <w:sz w:val="24"/>
                <w:szCs w:val="24"/>
                <w:highlight w:val="none"/>
              </w:rPr>
              <w:t xml:space="preserve">期内带有</w:t>
            </w:r>
            <w:r>
              <w:rPr>
                <w:rFonts w:hint="eastAsia" w:ascii="宋体" w:hAnsi="宋体" w:eastAsia="宋体" w:cs="宋体"/>
                <w:b/>
                <w:color w:val="auto"/>
                <w:sz w:val="24"/>
                <w:szCs w:val="24"/>
                <w:highlight w:val="none"/>
              </w:rPr>
              <w:t xml:space="preserve">CMA</w:t>
            </w:r>
            <w:r>
              <w:rPr>
                <w:rFonts w:hint="eastAsia" w:ascii="宋体" w:hAnsi="宋体" w:eastAsia="宋体" w:cs="宋体"/>
                <w:b/>
                <w:color w:val="auto"/>
                <w:spacing w:val="7"/>
                <w:sz w:val="24"/>
                <w:szCs w:val="24"/>
                <w:highlight w:val="none"/>
              </w:rPr>
              <w:t xml:space="preserve">或</w:t>
            </w:r>
            <w:r>
              <w:rPr>
                <w:rFonts w:hint="eastAsia" w:ascii="宋体" w:hAnsi="宋体" w:eastAsia="宋体" w:cs="宋体"/>
                <w:b/>
                <w:color w:val="auto"/>
                <w:sz w:val="24"/>
                <w:szCs w:val="24"/>
                <w:highlight w:val="none"/>
              </w:rPr>
              <w:t xml:space="preserve">CNAS</w:t>
            </w:r>
            <w:r>
              <w:rPr>
                <w:rFonts w:hint="eastAsia" w:ascii="宋体" w:hAnsi="宋体" w:eastAsia="宋体" w:cs="宋体"/>
                <w:b/>
                <w:color w:val="auto"/>
                <w:spacing w:val="7"/>
                <w:sz w:val="24"/>
                <w:szCs w:val="24"/>
                <w:highlight w:val="none"/>
              </w:rPr>
              <w:t xml:space="preserve">标识的检测报告（检测内容需涵盖上述第1项技术参数）并加盖投标人公章</w:t>
            </w:r>
            <w:r>
              <w:rPr>
                <w:rFonts w:hint="eastAsia" w:ascii="宋体" w:hAnsi="宋体" w:eastAsia="宋体" w:cs="宋体"/>
                <w:b/>
                <w:color w:val="auto"/>
                <w:spacing w:val="7"/>
                <w:sz w:val="24"/>
                <w:szCs w:val="24"/>
                <w:highlight w:val="none"/>
                <w:lang w:eastAsia="zh-CN"/>
              </w:rPr>
              <w:t xml:space="preserve">。</w:t>
            </w:r>
            <w:r/>
          </w:p>
          <w:p>
            <w:pPr>
              <w:jc w:val="left"/>
              <w:spacing w:line="32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color w:val="auto"/>
                <w:spacing w:val="8"/>
                <w:sz w:val="24"/>
                <w:szCs w:val="24"/>
                <w:highlight w:val="none"/>
              </w:rPr>
              <w:t xml:space="preserve">▲通过经</w:t>
            </w:r>
            <w:r>
              <w:rPr>
                <w:rFonts w:hint="eastAsia" w:ascii="宋体" w:hAnsi="宋体" w:eastAsia="宋体" w:cs="宋体"/>
                <w:b/>
                <w:bCs/>
                <w:color w:val="auto"/>
                <w:sz w:val="24"/>
                <w:szCs w:val="24"/>
                <w:highlight w:val="none"/>
              </w:rPr>
              <w:t xml:space="preserve">国家认监委</w:t>
            </w:r>
            <w:r>
              <w:rPr>
                <w:rFonts w:hint="eastAsia" w:ascii="宋体" w:hAnsi="宋体" w:eastAsia="宋体" w:cs="宋体"/>
                <w:b/>
                <w:color w:val="auto"/>
                <w:spacing w:val="8"/>
                <w:sz w:val="24"/>
                <w:szCs w:val="24"/>
                <w:highlight w:val="none"/>
              </w:rPr>
              <w:t xml:space="preserve">批准的体育器材质量认证机构的产品质量认证，提供有效期内的</w:t>
            </w:r>
            <w:r>
              <w:rPr>
                <w:rFonts w:hint="eastAsia" w:ascii="宋体" w:hAnsi="宋体" w:eastAsia="宋体" w:cs="宋体"/>
                <w:b/>
                <w:color w:val="auto"/>
                <w:spacing w:val="7"/>
                <w:sz w:val="24"/>
                <w:szCs w:val="24"/>
                <w:highlight w:val="none"/>
              </w:rPr>
              <w:t xml:space="preserve">认证证书及确认函并加盖投标人公章。</w:t>
            </w:r>
            <w:r/>
          </w:p>
        </w:tc>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件</w:t>
            </w:r>
            <w:r/>
          </w:p>
        </w:tc>
        <w:tc>
          <w:tcPr>
            <w:tcW w:w="77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30</w:t>
            </w:r>
            <w:r/>
          </w:p>
        </w:tc>
      </w:tr>
      <w:tr>
        <w:trPr>
          <w:trHeight w:val="7091"/>
        </w:trPr>
        <w:tc>
          <w:tcPr>
            <w:gridSpan w:val="5"/>
            <w:tcW w:w="15383" w:type="dxa"/>
            <w:vAlign w:val="center"/>
            <w:textDirection w:val="lrTb"/>
            <w:noWrap w:val="false"/>
          </w:tcPr>
          <w:p>
            <w:pPr>
              <w:jc w:val="left"/>
              <w:keepLines w:val="0"/>
              <w:keepNext w:val="0"/>
              <w:pageBreakBefore w:val="0"/>
              <w:spacing w:after="0"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通用要求</w:t>
            </w:r>
            <w:r>
              <w:rPr>
                <w:rFonts w:hint="eastAsia" w:ascii="宋体" w:hAnsi="宋体" w:eastAsia="宋体" w:cs="宋体"/>
                <w:color w:val="auto"/>
                <w:sz w:val="24"/>
                <w:szCs w:val="24"/>
                <w:highlight w:val="none"/>
                <w:lang w:eastAsia="zh-CN"/>
              </w:rPr>
              <w:t xml:space="preserve">：</w:t>
            </w:r>
            <w:r/>
          </w:p>
          <w:p>
            <w:pPr>
              <w:numPr>
                <w:ilvl w:val="0"/>
                <w:numId w:val="0"/>
              </w:numPr>
              <w:ind w:left="20" w:hanging="20"/>
              <w:jc w:val="left"/>
              <w:keepLines w:val="0"/>
              <w:keepNext w:val="0"/>
              <w:pageBreakBefore w:val="0"/>
              <w:spacing w:after="0" w:line="320" w:lineRule="exact"/>
              <w:widowControl/>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表面易接触材料有害物质限量应符合GB19272-20</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的要求</w:t>
            </w:r>
            <w:r>
              <w:rPr>
                <w:rFonts w:hint="eastAsia" w:ascii="宋体" w:hAnsi="宋体" w:eastAsia="宋体" w:cs="宋体"/>
                <w:color w:val="auto"/>
                <w:sz w:val="24"/>
                <w:szCs w:val="24"/>
                <w:highlight w:val="none"/>
                <w:lang w:eastAsia="zh-CN"/>
              </w:rPr>
              <w:t xml:space="preserve">。</w:t>
            </w:r>
            <w:r/>
          </w:p>
          <w:p>
            <w:pPr>
              <w:numPr>
                <w:ilvl w:val="0"/>
                <w:numId w:val="0"/>
              </w:numPr>
              <w:ind w:left="20" w:hanging="20"/>
              <w:jc w:val="left"/>
              <w:keepLines w:val="0"/>
              <w:keepNext w:val="0"/>
              <w:pageBreakBefore w:val="0"/>
              <w:spacing w:after="0" w:line="32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器材各部位螺钉、螺母等紧固件应紧固可靠且防锈、防松和防盗；螺纹突出部分不应超过其螺距3倍的长度; 易接触区域的螺栓、螺钉应永久的覆盖住突出的螺栓螺纹或采用覆盖件在其安装面以上直角部分的高度不应超过3mm或采用突出部分外角应不小于105°或不应有易钩挂形状。</w:t>
            </w:r>
            <w:r/>
          </w:p>
          <w:p>
            <w:pPr>
              <w:numPr>
                <w:ilvl w:val="0"/>
                <w:numId w:val="0"/>
              </w:numPr>
              <w:ind w:left="20" w:hanging="20"/>
              <w:jc w:val="left"/>
              <w:keepLines w:val="0"/>
              <w:keepNext w:val="0"/>
              <w:pageBreakBefore w:val="0"/>
              <w:spacing w:after="0" w:line="32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器材各支撑人体的表面所有棱边和尖角，应使其半径不小于3.0mm；使用者或第三者易接触的零部件的其他所有棱边应予以圆滑过渡或加以防护。</w:t>
            </w:r>
            <w:r/>
          </w:p>
          <w:p>
            <w:pPr>
              <w:numPr>
                <w:ilvl w:val="0"/>
                <w:numId w:val="0"/>
              </w:numPr>
              <w:ind w:left="20" w:hanging="20"/>
              <w:jc w:val="left"/>
              <w:keepLines w:val="0"/>
              <w:keepNext w:val="0"/>
              <w:pageBreakBefore w:val="0"/>
              <w:spacing w:after="0" w:line="32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易接触的管材末端应采用零部件或管塞封住，且把手端部直径应不小于50mm，除使用工具外，应不可拆卸。</w:t>
            </w:r>
            <w:r/>
          </w:p>
          <w:p>
            <w:pPr>
              <w:numPr>
                <w:ilvl w:val="0"/>
                <w:numId w:val="0"/>
              </w:numPr>
              <w:ind w:left="20" w:hanging="20"/>
              <w:jc w:val="left"/>
              <w:keepLines w:val="0"/>
              <w:keepNext w:val="0"/>
              <w:pageBreakBefore w:val="0"/>
              <w:spacing w:after="0" w:line="32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器材结构应防止有对人体头部、颈部、躯干、手、手指、脚部的挤压、剪切、卡夹伤害的可能；应防止有对衣物、头发产生钩挂、缠绕伤害的可能；在使用者头部或视线高度范围外，不应有不可预知的障碍物和突起物，防止产生碰撞伤害的可能。扶手直径应不小于16mm且不大于45mm</w:t>
            </w:r>
            <w:r>
              <w:rPr>
                <w:rFonts w:hint="eastAsia" w:ascii="宋体" w:hAnsi="宋体" w:eastAsia="宋体" w:cs="宋体"/>
                <w:color w:val="auto"/>
                <w:sz w:val="24"/>
                <w:szCs w:val="24"/>
                <w:highlight w:val="none"/>
                <w:lang w:eastAsia="zh-CN"/>
              </w:rPr>
              <w:t xml:space="preserve">。</w:t>
            </w:r>
            <w:r/>
          </w:p>
          <w:p>
            <w:pPr>
              <w:numPr>
                <w:ilvl w:val="0"/>
                <w:numId w:val="0"/>
              </w:numPr>
              <w:ind w:left="20" w:hanging="20"/>
              <w:jc w:val="left"/>
              <w:keepLines w:val="0"/>
              <w:keepNext w:val="0"/>
              <w:pageBreakBefore w:val="0"/>
              <w:spacing w:after="0" w:line="32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器材机械部分的安全使用寿命及疲劳性能应符合GB19272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的规定。带有轴承的器材，轴承应采取防水、防尘措施</w:t>
            </w:r>
            <w:r>
              <w:rPr>
                <w:rFonts w:hint="eastAsia" w:ascii="宋体" w:hAnsi="宋体" w:eastAsia="宋体" w:cs="宋体"/>
                <w:color w:val="auto"/>
                <w:sz w:val="24"/>
                <w:szCs w:val="24"/>
                <w:highlight w:val="none"/>
                <w:lang w:eastAsia="zh-CN"/>
              </w:rPr>
              <w:t xml:space="preserve">。</w:t>
            </w:r>
            <w:r/>
          </w:p>
          <w:p>
            <w:pPr>
              <w:numPr>
                <w:ilvl w:val="0"/>
                <w:numId w:val="0"/>
              </w:numPr>
              <w:ind w:left="20" w:hanging="20"/>
              <w:jc w:val="left"/>
              <w:keepLines w:val="0"/>
              <w:keepNext w:val="0"/>
              <w:pageBreakBefore w:val="0"/>
              <w:spacing w:after="0" w:line="32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器材机械部分的稳定应符合GB19272-20</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的规定</w:t>
            </w:r>
            <w:r>
              <w:rPr>
                <w:rFonts w:hint="eastAsia" w:ascii="宋体" w:hAnsi="宋体" w:eastAsia="宋体" w:cs="宋体"/>
                <w:color w:val="auto"/>
                <w:sz w:val="24"/>
                <w:szCs w:val="24"/>
                <w:highlight w:val="none"/>
                <w:lang w:eastAsia="zh-CN"/>
              </w:rPr>
              <w:t xml:space="preserve">。</w:t>
            </w:r>
            <w:r/>
          </w:p>
          <w:p>
            <w:pPr>
              <w:numPr>
                <w:ilvl w:val="0"/>
                <w:numId w:val="0"/>
              </w:numPr>
              <w:ind w:left="20" w:hanging="20"/>
              <w:jc w:val="left"/>
              <w:keepLines w:val="0"/>
              <w:keepNext w:val="0"/>
              <w:pageBreakBefore w:val="0"/>
              <w:spacing w:after="0" w:line="32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器材安全使用寿命不低于8年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 </w:t>
            </w:r>
            <w:r/>
          </w:p>
          <w:p>
            <w:pPr>
              <w:numPr>
                <w:ilvl w:val="0"/>
                <w:numId w:val="0"/>
              </w:numPr>
              <w:ind w:left="20" w:hanging="20"/>
              <w:jc w:val="left"/>
              <w:keepLines w:val="0"/>
              <w:keepNext w:val="0"/>
              <w:pageBreakBefore w:val="0"/>
              <w:spacing w:after="0" w:line="32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可尝试攀爬、踩踏高度大于600mm时，碰撞区域应安装有着陆缓冲层</w:t>
            </w:r>
            <w:r>
              <w:rPr>
                <w:rFonts w:hint="eastAsia" w:ascii="宋体" w:hAnsi="宋体" w:eastAsia="宋体" w:cs="宋体"/>
                <w:color w:val="auto"/>
                <w:sz w:val="24"/>
                <w:szCs w:val="24"/>
                <w:highlight w:val="none"/>
                <w:lang w:eastAsia="zh-CN"/>
              </w:rPr>
              <w:t xml:space="preserve">。</w:t>
            </w:r>
            <w:r/>
          </w:p>
          <w:p>
            <w:pPr>
              <w:numPr>
                <w:ilvl w:val="0"/>
                <w:numId w:val="0"/>
              </w:numPr>
              <w:ind w:left="20" w:hanging="20"/>
              <w:jc w:val="left"/>
              <w:keepLines w:val="0"/>
              <w:keepNext w:val="0"/>
              <w:pageBreakBefore w:val="0"/>
              <w:spacing w:after="0" w:line="320" w:lineRule="exact"/>
              <w:widowControl/>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器材应配有完整的说明书，应包含三图（安装示意图、安装跌落空间图、碰撞区域图）、三表（器材安装检查表、器材定期检查表、易损件明细表）、器材安全使用寿命、器材维护保养注意事项</w:t>
            </w:r>
            <w:r>
              <w:rPr>
                <w:rFonts w:hint="eastAsia" w:ascii="宋体" w:hAnsi="宋体" w:cs="宋体"/>
                <w:color w:val="auto"/>
                <w:sz w:val="24"/>
                <w:szCs w:val="24"/>
                <w:highlight w:val="none"/>
                <w:lang w:eastAsia="zh-CN"/>
              </w:rPr>
              <w:t xml:space="preserve">、以</w:t>
            </w:r>
            <w:r>
              <w:rPr>
                <w:rFonts w:hint="eastAsia" w:ascii="宋体" w:hAnsi="宋体" w:eastAsia="宋体" w:cs="宋体"/>
                <w:color w:val="auto"/>
                <w:sz w:val="24"/>
                <w:szCs w:val="24"/>
                <w:highlight w:val="none"/>
              </w:rPr>
              <w:t xml:space="preserve">及寿命周期内对易损件及时更换的承诺等内容</w:t>
            </w:r>
            <w:r>
              <w:rPr>
                <w:rFonts w:hint="eastAsia" w:ascii="宋体" w:hAnsi="宋体" w:eastAsia="宋体" w:cs="宋体"/>
                <w:color w:val="auto"/>
                <w:sz w:val="24"/>
                <w:szCs w:val="24"/>
                <w:highlight w:val="none"/>
                <w:lang w:eastAsia="zh-CN"/>
              </w:rPr>
              <w:t xml:space="preserve">。</w:t>
            </w:r>
            <w:r/>
          </w:p>
          <w:p>
            <w:pPr>
              <w:numPr>
                <w:ilvl w:val="0"/>
                <w:numId w:val="0"/>
              </w:numPr>
              <w:ind w:left="20" w:hanging="20"/>
              <w:jc w:val="left"/>
              <w:keepLines w:val="0"/>
              <w:keepNext w:val="0"/>
              <w:pageBreakBefore w:val="0"/>
              <w:spacing w:after="0" w:line="320" w:lineRule="exact"/>
              <w:widowControl/>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器材安全警示应采用图示方式提示使用者可能存在风险</w:t>
            </w:r>
            <w:r>
              <w:rPr>
                <w:rFonts w:hint="eastAsia" w:ascii="宋体" w:hAnsi="宋体" w:eastAsia="宋体" w:cs="宋体"/>
                <w:color w:val="auto"/>
                <w:sz w:val="24"/>
                <w:szCs w:val="24"/>
                <w:highlight w:val="none"/>
                <w:lang w:eastAsia="zh-CN"/>
              </w:rPr>
              <w:t xml:space="preserve">。</w:t>
            </w:r>
            <w:r/>
          </w:p>
          <w:p>
            <w:pPr>
              <w:numPr>
                <w:ilvl w:val="0"/>
                <w:numId w:val="0"/>
              </w:numPr>
              <w:ind w:left="20" w:hanging="20"/>
              <w:jc w:val="left"/>
              <w:keepLines w:val="0"/>
              <w:keepNext w:val="0"/>
              <w:pageBreakBefore w:val="0"/>
              <w:spacing w:after="0" w:line="320" w:lineRule="exact"/>
              <w:widowControl/>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器材应有专用二维码标识，用于提报安装信息。</w:t>
            </w:r>
            <w:r/>
          </w:p>
          <w:p>
            <w:pPr>
              <w:numPr>
                <w:ilvl w:val="0"/>
                <w:numId w:val="0"/>
              </w:numPr>
              <w:ind w:left="20" w:hanging="20"/>
              <w:jc w:val="left"/>
              <w:keepLines w:val="0"/>
              <w:keepNext w:val="0"/>
              <w:pageBreakBefore w:val="0"/>
              <w:spacing w:after="0" w:line="320" w:lineRule="exact"/>
              <w:widowControl/>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标供应商禁止对本项目进行分包、转包。</w:t>
            </w:r>
            <w:r/>
          </w:p>
          <w:p>
            <w:pPr>
              <w:numPr>
                <w:ilvl w:val="0"/>
                <w:numId w:val="0"/>
              </w:numPr>
              <w:ind w:left="20" w:hanging="20"/>
              <w:jc w:val="left"/>
              <w:keepLines w:val="0"/>
              <w:keepNext w:val="0"/>
              <w:pageBreakBefore w:val="0"/>
              <w:spacing w:after="0" w:line="32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器材安装应符合</w:t>
            </w:r>
            <w:r>
              <w:rPr>
                <w:rFonts w:hint="eastAsia" w:ascii="宋体" w:hAnsi="宋体" w:eastAsia="宋体" w:cs="宋体"/>
                <w:color w:val="auto"/>
                <w:sz w:val="24"/>
                <w:szCs w:val="24"/>
                <w:highlight w:val="none"/>
              </w:rPr>
              <w:t xml:space="preserve">GB19272-2</w:t>
            </w:r>
            <w:r>
              <w:rPr>
                <w:rFonts w:hint="eastAsia" w:ascii="宋体" w:hAnsi="宋体" w:eastAsia="宋体" w:cs="宋体"/>
                <w:color w:val="auto"/>
                <w:sz w:val="24"/>
                <w:szCs w:val="24"/>
                <w:highlight w:val="none"/>
                <w:lang w:val="en-US" w:eastAsia="zh-CN"/>
              </w:rPr>
              <w:t xml:space="preserve">024</w:t>
            </w:r>
            <w:r>
              <w:rPr>
                <w:rFonts w:hint="eastAsia" w:ascii="宋体" w:hAnsi="宋体" w:eastAsia="宋体" w:cs="宋体"/>
                <w:color w:val="auto"/>
                <w:sz w:val="24"/>
                <w:szCs w:val="24"/>
                <w:highlight w:val="none"/>
              </w:rPr>
              <w:t xml:space="preserve">的要求</w:t>
            </w:r>
            <w:r/>
          </w:p>
          <w:p>
            <w:pPr>
              <w:numPr>
                <w:ilvl w:val="0"/>
                <w:numId w:val="0"/>
              </w:numPr>
              <w:ind w:left="20" w:hanging="20"/>
              <w:jc w:val="left"/>
              <w:keepLines w:val="0"/>
              <w:keepNext w:val="0"/>
              <w:pageBreakBefore w:val="0"/>
              <w:spacing w:after="0"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其它应符合GB19272-2</w:t>
            </w:r>
            <w:r>
              <w:rPr>
                <w:rFonts w:hint="eastAsia" w:ascii="宋体" w:hAnsi="宋体" w:eastAsia="宋体" w:cs="宋体"/>
                <w:color w:val="auto"/>
                <w:sz w:val="24"/>
                <w:szCs w:val="24"/>
                <w:highlight w:val="none"/>
                <w:lang w:val="en-US" w:eastAsia="zh-CN"/>
              </w:rPr>
              <w:t xml:space="preserve">024</w:t>
            </w:r>
            <w:r>
              <w:rPr>
                <w:rFonts w:hint="eastAsia" w:ascii="宋体" w:hAnsi="宋体" w:eastAsia="宋体" w:cs="宋体"/>
                <w:color w:val="auto"/>
                <w:sz w:val="24"/>
                <w:szCs w:val="24"/>
                <w:highlight w:val="none"/>
              </w:rPr>
              <w:t xml:space="preserve">的要求</w:t>
            </w:r>
            <w:r>
              <w:rPr>
                <w:rFonts w:hint="eastAsia" w:ascii="宋体" w:hAnsi="宋体" w:eastAsia="宋体" w:cs="宋体"/>
                <w:color w:val="auto"/>
                <w:sz w:val="24"/>
                <w:szCs w:val="24"/>
                <w:highlight w:val="none"/>
                <w:lang w:eastAsia="zh-CN"/>
              </w:rPr>
              <w:t xml:space="preserve">。</w:t>
            </w:r>
            <w:r/>
          </w:p>
          <w:p>
            <w:pPr>
              <w:numPr>
                <w:ilvl w:val="0"/>
                <w:numId w:val="0"/>
              </w:numPr>
              <w:ind w:left="20" w:hanging="20"/>
              <w:jc w:val="left"/>
              <w:keepLines w:val="0"/>
              <w:keepNext w:val="0"/>
              <w:pageBreakBefore w:val="0"/>
              <w:spacing w:after="0" w:line="320" w:lineRule="exact"/>
              <w:widowControl/>
              <w:rPr>
                <w:rFonts w:hint="default"/>
                <w:color w:val="auto"/>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.所有</w:t>
            </w:r>
            <w:r>
              <w:rPr>
                <w:rFonts w:hint="eastAsia" w:ascii="宋体" w:hAnsi="宋体" w:eastAsia="宋体" w:cs="宋体"/>
                <w:color w:val="auto"/>
                <w:sz w:val="24"/>
                <w:szCs w:val="24"/>
                <w:highlight w:val="none"/>
              </w:rPr>
              <w:t xml:space="preserve">产品</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具有可识别的《江苏体育全民健身设施管理平台》</w:t>
            </w:r>
            <w:r>
              <w:rPr>
                <w:rFonts w:hint="eastAsia" w:ascii="宋体" w:hAnsi="宋体" w:eastAsia="宋体" w:cs="宋体"/>
                <w:color w:val="auto"/>
                <w:sz w:val="24"/>
                <w:szCs w:val="24"/>
                <w:highlight w:val="none"/>
                <w:lang w:val="en-US" w:eastAsia="zh-CN"/>
              </w:rPr>
              <w:t xml:space="preserve">不锈钢材质</w:t>
            </w:r>
            <w:r>
              <w:rPr>
                <w:rFonts w:hint="eastAsia" w:ascii="宋体" w:hAnsi="宋体" w:eastAsia="宋体" w:cs="宋体"/>
                <w:color w:val="auto"/>
                <w:sz w:val="24"/>
                <w:szCs w:val="24"/>
                <w:highlight w:val="none"/>
              </w:rPr>
              <w:t xml:space="preserve">二维码及小程序码</w:t>
            </w:r>
            <w:r>
              <w:rPr>
                <w:rFonts w:hint="eastAsia" w:ascii="宋体" w:hAnsi="宋体" w:eastAsia="宋体" w:cs="宋体"/>
                <w:color w:val="auto"/>
                <w:sz w:val="24"/>
                <w:szCs w:val="24"/>
                <w:highlight w:val="none"/>
                <w:lang w:eastAsia="zh-CN"/>
              </w:rPr>
              <w:t xml:space="preserve">。</w:t>
            </w:r>
            <w:r/>
          </w:p>
        </w:tc>
      </w:tr>
    </w:tbl>
    <w:p>
      <w:pPr>
        <w:spacing w:line="560" w:lineRule="exact"/>
        <w:rPr>
          <w:rFonts w:hint="eastAsia" w:ascii="Times New Roman" w:hAnsi="Times New Roman"/>
          <w:color w:val="auto"/>
          <w:sz w:val="24"/>
          <w:szCs w:val="24"/>
          <w:highlight w:val="none"/>
        </w:rPr>
        <w:sectPr>
          <w:footnotePr/>
          <w:endnotePr/>
          <w:type w:val="nextPage"/>
          <w:pgSz w:w="16838" w:h="11906" w:orient="landscape"/>
          <w:pgMar w:top="1365" w:right="1418" w:bottom="1588" w:left="1418" w:header="851" w:footer="907" w:gutter="0"/>
          <w:pgNumType w:start="0"/>
          <w:cols w:num="1" w:sep="0" w:space="1701" w:equalWidth="1"/>
          <w:docGrid w:linePitch="360"/>
          <w:titlePg/>
        </w:sectPr>
      </w:pPr>
      <w:r>
        <w:rPr>
          <w:rFonts w:hint="eastAsia" w:ascii="Times New Roman" w:hAnsi="Times New Roman"/>
          <w:color w:val="auto"/>
          <w:sz w:val="24"/>
          <w:szCs w:val="24"/>
          <w:highlight w:val="none"/>
        </w:rPr>
      </w:r>
      <w:r/>
    </w:p>
    <w:p>
      <w:pPr>
        <w:numPr>
          <w:ilvl w:val="0"/>
          <w:numId w:val="0"/>
        </w:numPr>
        <w:ind w:firstLine="480"/>
        <w:spacing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2.采购标的清单</w:t>
      </w:r>
      <w:r>
        <w:rPr>
          <w:rFonts w:hint="eastAsia" w:ascii="宋体" w:hAnsi="宋体" w:cs="宋体"/>
          <w:b w:val="0"/>
          <w:bCs w:val="0"/>
          <w:color w:val="auto"/>
          <w:sz w:val="24"/>
          <w:szCs w:val="24"/>
          <w:highlight w:val="none"/>
          <w:lang w:val="en-US" w:eastAsia="zh-CN"/>
        </w:rPr>
        <w:t xml:space="preserve">（包二）</w:t>
      </w:r>
      <w:r/>
    </w:p>
    <w:tbl>
      <w:tblPr>
        <w:tblStyle w:val="653"/>
        <w:tblW w:w="5426" w:type="pct"/>
        <w:tblInd w:w="-4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9"/>
        <w:gridCol w:w="4757"/>
        <w:gridCol w:w="2620"/>
        <w:gridCol w:w="818"/>
        <w:gridCol w:w="736"/>
      </w:tblGrid>
      <w:tr>
        <w:trPr>
          <w:trHeight w:val="702" w:hRule="exact"/>
        </w:trPr>
        <w:tc>
          <w:tcPr>
            <w:tcW w:w="512" w:type="pct"/>
            <w:vAlign w:val="center"/>
            <w:textDirection w:val="lrTb"/>
            <w:noWrap w:val="false"/>
          </w:tcPr>
          <w:p>
            <w:pPr>
              <w:jc w:val="center"/>
              <w:spacing w:line="240" w:lineRule="atLeast"/>
              <w:rPr>
                <w:rFonts w:hint="eastAsia" w:ascii="宋体" w:hAnsi="宋体"/>
                <w:bCs/>
                <w:color w:val="auto"/>
                <w:sz w:val="24"/>
                <w:szCs w:val="24"/>
                <w:highlight w:val="none"/>
              </w:rPr>
            </w:pPr>
            <w:r>
              <w:rPr>
                <w:rFonts w:hint="eastAsia" w:ascii="宋体" w:hAnsi="宋体"/>
                <w:bCs/>
                <w:color w:val="auto"/>
                <w:sz w:val="24"/>
                <w:szCs w:val="24"/>
                <w:highlight w:val="none"/>
              </w:rPr>
              <w:t xml:space="preserve">序号</w:t>
            </w:r>
            <w:r/>
          </w:p>
        </w:tc>
        <w:tc>
          <w:tcPr>
            <w:tcW w:w="2389" w:type="pct"/>
            <w:vAlign w:val="center"/>
            <w:textDirection w:val="lrTb"/>
            <w:noWrap w:val="false"/>
          </w:tcPr>
          <w:p>
            <w:pPr>
              <w:jc w:val="center"/>
              <w:spacing w:line="240" w:lineRule="atLeast"/>
              <w:rPr>
                <w:rFonts w:hint="eastAsia" w:ascii="宋体" w:hAnsi="宋体"/>
                <w:bCs/>
                <w:color w:val="auto"/>
                <w:sz w:val="24"/>
                <w:szCs w:val="24"/>
                <w:highlight w:val="none"/>
              </w:rPr>
            </w:pPr>
            <w:r>
              <w:rPr>
                <w:rFonts w:hint="eastAsia" w:ascii="宋体" w:hAnsi="宋体"/>
                <w:bCs/>
                <w:color w:val="auto"/>
                <w:sz w:val="24"/>
                <w:szCs w:val="24"/>
                <w:highlight w:val="none"/>
              </w:rPr>
              <w:t xml:space="preserve">设备名称</w:t>
            </w:r>
            <w:r/>
          </w:p>
        </w:tc>
        <w:tc>
          <w:tcPr>
            <w:tcW w:w="1316" w:type="pct"/>
            <w:vAlign w:val="center"/>
            <w:textDirection w:val="lrTb"/>
            <w:noWrap w:val="false"/>
          </w:tcPr>
          <w:p>
            <w:pPr>
              <w:jc w:val="center"/>
              <w:spacing w:line="240" w:lineRule="atLeast"/>
              <w:rPr>
                <w:rFonts w:hint="eastAsia" w:ascii="宋体" w:hAnsi="宋体"/>
                <w:bCs/>
                <w:color w:val="auto"/>
                <w:sz w:val="24"/>
                <w:szCs w:val="24"/>
                <w:highlight w:val="none"/>
              </w:rPr>
            </w:pPr>
            <w:r>
              <w:rPr>
                <w:rFonts w:hint="eastAsia" w:ascii="宋体" w:hAnsi="宋体"/>
                <w:color w:val="auto"/>
                <w:sz w:val="24"/>
                <w:szCs w:val="24"/>
                <w:highlight w:val="none"/>
              </w:rPr>
              <w:t xml:space="preserve">设备规格要求</w:t>
            </w:r>
            <w:r/>
          </w:p>
        </w:tc>
        <w:tc>
          <w:tcPr>
            <w:tcW w:w="411" w:type="pct"/>
            <w:vAlign w:val="center"/>
            <w:textDirection w:val="lrTb"/>
            <w:noWrap w:val="false"/>
          </w:tcPr>
          <w:p>
            <w:pPr>
              <w:jc w:val="center"/>
              <w:spacing w:line="24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单位</w:t>
            </w:r>
            <w:r/>
          </w:p>
        </w:tc>
        <w:tc>
          <w:tcPr>
            <w:tcW w:w="369" w:type="pct"/>
            <w:vAlign w:val="center"/>
            <w:textDirection w:val="lrTb"/>
            <w:noWrap w:val="false"/>
          </w:tcPr>
          <w:p>
            <w:pPr>
              <w:jc w:val="center"/>
              <w:spacing w:line="24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r>
      <w:tr>
        <w:trPr>
          <w:trHeight w:val="510"/>
        </w:trPr>
        <w:tc>
          <w:tcPr>
            <w:shd w:val="clear" w:color="auto" w:fill="auto"/>
            <w:tcW w:w="512" w:type="pct"/>
            <w:vAlign w:val="center"/>
            <w:textDirection w:val="lrTb"/>
            <w:noWrap w:val="false"/>
          </w:tcPr>
          <w:p>
            <w:pPr>
              <w:jc w:val="center"/>
              <w:spacing w:line="240" w:lineRule="atLeas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1</w:t>
            </w:r>
            <w:r/>
          </w:p>
        </w:tc>
        <w:tc>
          <w:tcPr>
            <w:tcW w:w="2389" w:type="pct"/>
            <w:vAlign w:val="center"/>
            <w:textDirection w:val="lrTb"/>
            <w:noWrap w:val="false"/>
          </w:tcPr>
          <w:p>
            <w:pPr>
              <w:jc w:val="center"/>
              <w:spacing w:line="240" w:lineRule="atLeas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笼式篮球场</w:t>
            </w:r>
            <w:r/>
          </w:p>
        </w:tc>
        <w:tc>
          <w:tcPr>
            <w:tcW w:w="1316" w:type="pct"/>
            <w:vAlign w:val="center"/>
            <w:textDirection w:val="lrTb"/>
            <w:noWrap w:val="false"/>
          </w:tcPr>
          <w:p>
            <w:pPr>
              <w:jc w:val="center"/>
              <w:spacing w:line="240" w:lineRule="atLeast"/>
              <w:rPr>
                <w:rFonts w:hint="eastAsia" w:ascii="宋体" w:hAnsi="宋体" w:eastAsia="宋体"/>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包二参数要求</w:t>
            </w:r>
            <w:r/>
          </w:p>
        </w:tc>
        <w:tc>
          <w:tcPr>
            <w:tcW w:w="411" w:type="pct"/>
            <w:vAlign w:val="center"/>
            <w:textDirection w:val="lrTb"/>
            <w:noWrap w:val="false"/>
          </w:tcPr>
          <w:p>
            <w:pPr>
              <w:jc w:val="center"/>
              <w:keepLines w:val="0"/>
              <w:keepNext w:val="0"/>
              <w:pageBreakBefore w:val="0"/>
              <w:spacing w:line="240" w:lineRule="exact"/>
              <w:widowControl/>
              <w:rPr>
                <w:rFonts w:hint="eastAsia" w:ascii="宋体" w:hAnsi="宋体"/>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片</w:t>
            </w:r>
            <w:r/>
          </w:p>
        </w:tc>
        <w:tc>
          <w:tcPr>
            <w:tcW w:w="369" w:type="pct"/>
            <w:vAlign w:val="center"/>
            <w:textDirection w:val="lrTb"/>
            <w:noWrap w:val="false"/>
          </w:tcPr>
          <w:p>
            <w:pPr>
              <w:jc w:val="center"/>
              <w:keepLines w:val="0"/>
              <w:keepNext w:val="0"/>
              <w:pageBreakBefore w:val="0"/>
              <w:spacing w:line="240" w:lineRule="exact"/>
              <w:widowControl/>
              <w:rPr>
                <w:rFonts w:hint="default" w:ascii="宋体" w:hAnsi="宋体"/>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r>
    </w:tbl>
    <w:p>
      <w:pPr>
        <w:numPr>
          <w:ilvl w:val="0"/>
          <w:numId w:val="0"/>
        </w:numPr>
        <w:ind w:firstLine="480"/>
        <w:keepLines w:val="0"/>
        <w:keepNext w:val="0"/>
        <w:pageBreakBefore w:val="0"/>
        <w:spacing w:line="560" w:lineRule="exact"/>
        <w:widowControl w:val="off"/>
        <w:rPr>
          <w:rFonts w:hint="eastAsia"/>
          <w:color w:val="auto"/>
          <w:highlight w:val="none"/>
          <w:lang w:val="en-US" w:eastAsia="zh-CN"/>
        </w:rPr>
      </w:pPr>
      <w:r>
        <w:rPr>
          <w:rFonts w:hint="eastAsia" w:ascii="宋体" w:hAnsi="宋体" w:cs="宋体"/>
          <w:color w:val="auto"/>
          <w:sz w:val="24"/>
          <w:szCs w:val="24"/>
          <w:highlight w:val="none"/>
          <w:lang w:val="en-US" w:eastAsia="zh-CN"/>
        </w:rPr>
        <w:t xml:space="preserve">2.1包二参数要求：</w:t>
      </w:r>
      <w:r/>
    </w:p>
    <w:tbl>
      <w:tblPr>
        <w:tblStyle w:val="653"/>
        <w:tblW w:w="99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1"/>
        <w:gridCol w:w="967"/>
        <w:gridCol w:w="1468"/>
        <w:gridCol w:w="721"/>
        <w:gridCol w:w="1703"/>
        <w:gridCol w:w="505"/>
        <w:gridCol w:w="696"/>
        <w:gridCol w:w="3216"/>
      </w:tblGrid>
      <w:tr>
        <w:trPr>
          <w:jc w:val="center"/>
          <w:trHeight w:val="0"/>
          <w:tblHeader/>
        </w:trPr>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地点</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场地及尺寸</w:t>
            </w:r>
            <w:r/>
          </w:p>
          <w:p>
            <w:pPr>
              <w:ind w:left="0" w:right="0" w:firstLine="0"/>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（m）</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数量</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项目名称</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单位</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数量</w:t>
            </w:r>
            <w:r/>
          </w:p>
        </w:tc>
        <w:tc>
          <w:tcPr>
            <w:tcW w:w="3216" w:type="dxa"/>
            <w:vAlign w:val="center"/>
            <w:textDirection w:val="lrTb"/>
            <w:noWrap w:val="false"/>
          </w:tcPr>
          <w:p>
            <w:pPr>
              <w:ind w:left="0" w:right="0" w:firstLine="0"/>
              <w:jc w:val="center"/>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特征描述</w:t>
            </w:r>
            <w:r/>
          </w:p>
        </w:tc>
      </w:tr>
      <w:tr>
        <w:trPr>
          <w:jc w:val="center"/>
          <w:trHeight w:val="361"/>
        </w:trPr>
        <w:tc>
          <w:tcPr>
            <w:tcW w:w="0" w:type="auto"/>
            <w:vAlign w:val="center"/>
            <w:vMerge w:val="restart"/>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w:t>
            </w:r>
            <w:r/>
          </w:p>
        </w:tc>
        <w:tc>
          <w:tcPr>
            <w:tcW w:w="0" w:type="auto"/>
            <w:vAlign w:val="center"/>
            <w:vMerge w:val="restart"/>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星海</w:t>
            </w:r>
            <w:r/>
          </w:p>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花苑</w:t>
            </w:r>
            <w:r/>
          </w:p>
        </w:tc>
        <w:tc>
          <w:tcPr>
            <w:tcW w:w="0" w:type="auto"/>
            <w:vAlign w:val="center"/>
            <w:vMerge w:val="restart"/>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篮球场</w:t>
            </w:r>
            <w:r/>
          </w:p>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（32*35）</w:t>
            </w:r>
            <w:r/>
          </w:p>
        </w:tc>
        <w:tc>
          <w:tcPr>
            <w:tcW w:w="0" w:type="auto"/>
            <w:vAlign w:val="center"/>
            <w:vMerge w:val="restart"/>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2片</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硅PU面层</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1120</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8mm厚</w:t>
            </w:r>
            <w:r/>
          </w:p>
        </w:tc>
      </w:tr>
      <w:tr>
        <w:trPr>
          <w:jc w:val="center"/>
          <w:trHeight w:val="0"/>
        </w:trPr>
        <w:tc>
          <w:tcPr>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vMerge w:val="continue"/>
            <w:textDirection w:val="lrTb"/>
            <w:noWrap w:val="false"/>
          </w:tcPr>
          <w:p>
            <w:pPr>
              <w:ind w:left="0" w:righ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硅PU彩绘定制工艺</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1120</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根据提供的方案进行彩绘定制</w:t>
            </w:r>
            <w:r/>
          </w:p>
        </w:tc>
      </w:tr>
      <w:tr>
        <w:trPr>
          <w:jc w:val="center"/>
          <w:trHeight w:val="405"/>
        </w:trPr>
        <w:tc>
          <w:tcPr>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vMerge w:val="continue"/>
            <w:textDirection w:val="lrTb"/>
            <w:noWrap w:val="false"/>
          </w:tcPr>
          <w:p>
            <w:pPr>
              <w:ind w:left="0" w:righ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地埋式篮球架</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个</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w:t>
            </w:r>
            <w:r>
              <w:rPr>
                <w:rFonts w:hint="eastAsia" w:ascii="宋体" w:hAnsi="宋体" w:cs="宋体"/>
                <w:bCs/>
                <w:color w:val="auto"/>
                <w:sz w:val="24"/>
                <w:szCs w:val="24"/>
                <w:highlight w:val="none"/>
                <w:lang w:val="en-US" w:eastAsia="zh-CN"/>
              </w:rPr>
              <w:t xml:space="preserve">包二</w:t>
            </w:r>
            <w:r>
              <w:rPr>
                <w:rFonts w:hint="eastAsia" w:ascii="宋体" w:hAnsi="宋体" w:eastAsia="宋体" w:cs="宋体"/>
                <w:color w:val="auto"/>
                <w:sz w:val="24"/>
                <w:szCs w:val="24"/>
                <w:highlight w:val="none"/>
                <w:lang w:val="en-US" w:eastAsia="zh-CN"/>
              </w:rPr>
              <w:t xml:space="preserve">技术参数</w:t>
            </w:r>
            <w:r/>
          </w:p>
        </w:tc>
      </w:tr>
      <w:tr>
        <w:trPr>
          <w:jc w:val="center"/>
          <w:trHeight w:val="0"/>
        </w:trPr>
        <w:tc>
          <w:tcPr>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vMerge w:val="continue"/>
            <w:textDirection w:val="lrTb"/>
            <w:noWrap w:val="false"/>
          </w:tcPr>
          <w:p>
            <w:pPr>
              <w:ind w:left="0" w:righ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拼装式4米高围网</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W w:w="696" w:type="dxa"/>
            <w:vAlign w:val="center"/>
            <w:textDirection w:val="lrTb"/>
            <w:noWrap w:val="false"/>
          </w:tcPr>
          <w:p>
            <w:pPr>
              <w:ind w:left="0" w:right="0" w:firstLine="0"/>
              <w:jc w:val="lef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152</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w:t>
            </w:r>
            <w:r>
              <w:rPr>
                <w:rFonts w:hint="eastAsia" w:ascii="宋体" w:hAnsi="宋体" w:cs="宋体"/>
                <w:bCs/>
                <w:color w:val="auto"/>
                <w:sz w:val="24"/>
                <w:szCs w:val="24"/>
                <w:highlight w:val="none"/>
                <w:lang w:val="en-US" w:eastAsia="zh-CN"/>
              </w:rPr>
              <w:t xml:space="preserve">包二</w:t>
            </w:r>
            <w:r>
              <w:rPr>
                <w:rFonts w:hint="eastAsia" w:ascii="宋体" w:hAnsi="宋体" w:eastAsia="宋体" w:cs="宋体"/>
                <w:color w:val="auto"/>
                <w:sz w:val="24"/>
                <w:szCs w:val="24"/>
                <w:highlight w:val="none"/>
                <w:lang w:val="en-US" w:eastAsia="zh-CN"/>
              </w:rPr>
              <w:t xml:space="preserve">技术参数</w:t>
            </w:r>
            <w:r/>
          </w:p>
        </w:tc>
      </w:tr>
      <w:tr>
        <w:trPr>
          <w:jc w:val="center"/>
          <w:trHeight w:val="425"/>
        </w:trPr>
        <w:tc>
          <w:tcPr>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宣传标识牌</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个</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100cm×80cm×1mm</w:t>
            </w:r>
            <w:r/>
          </w:p>
        </w:tc>
      </w:tr>
      <w:tr>
        <w:trPr>
          <w:jc w:val="center"/>
          <w:trHeight w:val="479"/>
        </w:trPr>
        <w:tc>
          <w:tcPr>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标识牌</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块</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警示牌510×200×2mm</w:t>
            </w:r>
            <w:r/>
          </w:p>
        </w:tc>
      </w:tr>
      <w:tr>
        <w:trPr>
          <w:jc w:val="center"/>
          <w:trHeight w:val="0"/>
        </w:trPr>
        <w:tc>
          <w:tcPr>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firstLine="0"/>
              <w:jc w:val="left"/>
              <w:widowControl/>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color w:val="auto"/>
                <w:sz w:val="24"/>
                <w:szCs w:val="24"/>
                <w:highlight w:val="none"/>
                <w:lang w:val="en-US" w:eastAsia="zh-CN"/>
              </w:rPr>
              <w:t xml:space="preserve">旧场地产铲除与恢复</w:t>
            </w:r>
            <w:r/>
          </w:p>
        </w:tc>
        <w:tc>
          <w:tcPr>
            <w:tcW w:w="0" w:type="auto"/>
            <w:vAlign w:val="center"/>
            <w:textDirection w:val="lrTb"/>
            <w:noWrap w:val="false"/>
          </w:tcPr>
          <w:p>
            <w:pPr>
              <w:ind w:left="0" w:right="0" w:firstLine="0"/>
              <w:jc w:val="center"/>
              <w:widowControl/>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1</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原有</w:t>
            </w:r>
            <w:r>
              <w:rPr>
                <w:rFonts w:hint="eastAsia" w:ascii="宋体" w:hAnsi="宋体" w:cs="宋体"/>
                <w:color w:val="auto"/>
                <w:sz w:val="24"/>
                <w:szCs w:val="24"/>
                <w:highlight w:val="none"/>
                <w:lang w:val="en-US" w:eastAsia="zh-CN"/>
              </w:rPr>
              <w:t xml:space="preserve">地面</w:t>
            </w:r>
            <w:r>
              <w:rPr>
                <w:rFonts w:hint="eastAsia" w:ascii="宋体" w:hAnsi="宋体" w:eastAsia="宋体" w:cs="宋体"/>
                <w:color w:val="auto"/>
                <w:sz w:val="24"/>
                <w:szCs w:val="24"/>
                <w:highlight w:val="none"/>
                <w:lang w:val="en-US" w:eastAsia="zh-CN"/>
              </w:rPr>
              <w:t xml:space="preserve">铲除垃圾清运，经过无害化处理；场地填补、打磨、找补平整；对现有管网</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基础设施</w:t>
            </w:r>
            <w:r>
              <w:rPr>
                <w:rFonts w:hint="eastAsia" w:ascii="宋体" w:hAnsi="宋体" w:cs="宋体"/>
                <w:color w:val="auto"/>
                <w:sz w:val="24"/>
                <w:szCs w:val="24"/>
                <w:highlight w:val="none"/>
                <w:lang w:val="en-US" w:eastAsia="zh-CN"/>
              </w:rPr>
              <w:t xml:space="preserve">及绿化</w:t>
            </w:r>
            <w:r>
              <w:rPr>
                <w:rFonts w:hint="eastAsia" w:ascii="宋体" w:hAnsi="宋体" w:eastAsia="宋体" w:cs="宋体"/>
                <w:color w:val="auto"/>
                <w:sz w:val="24"/>
                <w:szCs w:val="24"/>
                <w:highlight w:val="none"/>
                <w:lang w:val="en-US" w:eastAsia="zh-CN"/>
              </w:rPr>
              <w:t xml:space="preserve">等的保护与恢复</w:t>
            </w:r>
            <w:r/>
          </w:p>
        </w:tc>
      </w:tr>
      <w:tr>
        <w:trPr>
          <w:jc w:val="center"/>
          <w:trHeight w:val="360"/>
        </w:trPr>
        <w:tc>
          <w:tcPr>
            <w:tcW w:w="0" w:type="auto"/>
            <w:vAlign w:val="center"/>
            <w:vMerge w:val="restart"/>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0" w:type="auto"/>
            <w:vAlign w:val="center"/>
            <w:vMerge w:val="restart"/>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南莫镇</w:t>
            </w:r>
            <w:r/>
          </w:p>
        </w:tc>
        <w:tc>
          <w:tcPr>
            <w:tcW w:w="0" w:type="auto"/>
            <w:vAlign w:val="center"/>
            <w:vMerge w:val="restart"/>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篮球场</w:t>
            </w:r>
            <w:r/>
          </w:p>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w:t>
            </w:r>
            <w:r/>
          </w:p>
        </w:tc>
        <w:tc>
          <w:tcPr>
            <w:tcW w:w="0" w:type="auto"/>
            <w:vAlign w:val="center"/>
            <w:vMerge w:val="restart"/>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1片</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硅PU面层</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p>
        </w:tc>
        <w:tc>
          <w:tcPr>
            <w:tcW w:w="0" w:type="auto"/>
            <w:vAlign w:val="center"/>
            <w:textDirection w:val="lrTb"/>
            <w:noWrap w:val="false"/>
          </w:tcPr>
          <w:p>
            <w:pPr>
              <w:ind w:left="0" w:right="0" w:firstLine="0"/>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 xml:space="preserve">608</w:t>
            </w:r>
            <w:r/>
          </w:p>
        </w:tc>
        <w:tc>
          <w:tcPr>
            <w:tcW w:w="3216" w:type="dxa"/>
            <w:vAlign w:val="center"/>
            <w:textDirection w:val="lrTb"/>
            <w:noWrap w:val="false"/>
          </w:tcPr>
          <w:p>
            <w:pPr>
              <w:ind w:left="0" w:right="0" w:firstLine="0"/>
              <w:jc w:val="left"/>
              <w:widowControl/>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color w:val="auto"/>
                <w:sz w:val="24"/>
                <w:szCs w:val="24"/>
                <w:highlight w:val="none"/>
              </w:rPr>
              <w:t xml:space="preserve">8mm厚</w:t>
            </w:r>
            <w:r/>
          </w:p>
        </w:tc>
      </w:tr>
      <w:tr>
        <w:trPr>
          <w:jc w:val="center"/>
          <w:trHeight w:val="0"/>
        </w:trPr>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硅PU彩绘定制工艺</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608</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根据提供的方案进行彩绘定制</w:t>
            </w:r>
            <w:r/>
          </w:p>
        </w:tc>
      </w:tr>
      <w:tr>
        <w:trPr>
          <w:jc w:val="center"/>
          <w:trHeight w:val="0"/>
        </w:trPr>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拼装式4米高围网</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408</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含2个1.4×2m双开式门</w:t>
            </w:r>
            <w:r/>
          </w:p>
        </w:tc>
      </w:tr>
      <w:tr>
        <w:trPr>
          <w:jc w:val="center"/>
          <w:trHeight w:val="0"/>
        </w:trPr>
        <w:tc>
          <w:tcPr>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地埋式篮球架</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个</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w:t>
            </w:r>
            <w:r>
              <w:rPr>
                <w:rFonts w:hint="eastAsia" w:ascii="宋体" w:hAnsi="宋体" w:cs="宋体"/>
                <w:bCs/>
                <w:color w:val="auto"/>
                <w:sz w:val="24"/>
                <w:szCs w:val="24"/>
                <w:highlight w:val="none"/>
                <w:lang w:val="en-US" w:eastAsia="zh-CN"/>
              </w:rPr>
              <w:t xml:space="preserve">包二</w:t>
            </w:r>
            <w:r>
              <w:rPr>
                <w:rFonts w:hint="eastAsia" w:ascii="宋体" w:hAnsi="宋体" w:eastAsia="宋体" w:cs="宋体"/>
                <w:color w:val="auto"/>
                <w:sz w:val="24"/>
                <w:szCs w:val="24"/>
                <w:highlight w:val="none"/>
                <w:lang w:val="en-US" w:eastAsia="zh-CN"/>
              </w:rPr>
              <w:t xml:space="preserve">技术参数</w:t>
            </w:r>
            <w:r/>
          </w:p>
        </w:tc>
      </w:tr>
      <w:tr>
        <w:trPr>
          <w:jc w:val="center"/>
          <w:trHeight w:val="0"/>
        </w:trPr>
        <w:tc>
          <w:tcPr>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宣传标识牌</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个</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100cm×80cm×1mm</w:t>
            </w:r>
            <w:r/>
          </w:p>
        </w:tc>
      </w:tr>
      <w:tr>
        <w:trPr>
          <w:jc w:val="center"/>
          <w:trHeight w:val="0"/>
        </w:trPr>
        <w:tc>
          <w:tcPr>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标识牌</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块</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警示牌，安全处出、入口标识牌等。510×200×2mm</w:t>
            </w:r>
            <w:r/>
          </w:p>
        </w:tc>
      </w:tr>
      <w:tr>
        <w:trPr>
          <w:jc w:val="center"/>
          <w:trHeight w:val="0"/>
        </w:trPr>
        <w:tc>
          <w:tcPr>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firstLine="0"/>
              <w:jc w:val="left"/>
              <w:widowControl/>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color w:val="auto"/>
                <w:sz w:val="24"/>
                <w:szCs w:val="24"/>
                <w:highlight w:val="none"/>
                <w:lang w:val="en-US" w:eastAsia="zh-CN"/>
              </w:rPr>
              <w:t xml:space="preserve">旧场地产铲除与恢复</w:t>
            </w:r>
            <w:r/>
          </w:p>
        </w:tc>
        <w:tc>
          <w:tcPr>
            <w:tcW w:w="0" w:type="auto"/>
            <w:vAlign w:val="center"/>
            <w:textDirection w:val="lrTb"/>
            <w:noWrap w:val="false"/>
          </w:tcPr>
          <w:p>
            <w:pPr>
              <w:ind w:left="0" w:right="0" w:firstLine="0"/>
              <w:jc w:val="center"/>
              <w:widowControl/>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1</w:t>
            </w:r>
            <w:r/>
          </w:p>
        </w:tc>
        <w:tc>
          <w:tcPr>
            <w:tcW w:w="0" w:type="auto"/>
            <w:vAlign w:val="center"/>
            <w:textDirection w:val="lrTb"/>
            <w:noWrap w:val="false"/>
          </w:tcPr>
          <w:p>
            <w:pPr>
              <w:ind w:left="0" w:right="0" w:firstLine="0"/>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原有</w:t>
            </w:r>
            <w:r>
              <w:rPr>
                <w:rFonts w:hint="eastAsia" w:ascii="宋体" w:hAnsi="宋体" w:cs="宋体"/>
                <w:color w:val="auto"/>
                <w:sz w:val="24"/>
                <w:szCs w:val="24"/>
                <w:highlight w:val="none"/>
                <w:lang w:val="en-US" w:eastAsia="zh-CN"/>
              </w:rPr>
              <w:t xml:space="preserve">地面</w:t>
            </w:r>
            <w:r>
              <w:rPr>
                <w:rFonts w:hint="eastAsia" w:ascii="宋体" w:hAnsi="宋体" w:eastAsia="宋体" w:cs="宋体"/>
                <w:color w:val="auto"/>
                <w:sz w:val="24"/>
                <w:szCs w:val="24"/>
                <w:highlight w:val="none"/>
                <w:lang w:val="en-US" w:eastAsia="zh-CN"/>
              </w:rPr>
              <w:t xml:space="preserve">铲除垃圾清运，经过无害化处理；场地填补、打磨、找补平整；对现有管网</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基础设施</w:t>
            </w:r>
            <w:r>
              <w:rPr>
                <w:rFonts w:hint="eastAsia" w:ascii="宋体" w:hAnsi="宋体" w:cs="宋体"/>
                <w:color w:val="auto"/>
                <w:sz w:val="24"/>
                <w:szCs w:val="24"/>
                <w:highlight w:val="none"/>
                <w:lang w:val="en-US" w:eastAsia="zh-CN"/>
              </w:rPr>
              <w:t xml:space="preserve">及绿化</w:t>
            </w:r>
            <w:r>
              <w:rPr>
                <w:rFonts w:hint="eastAsia" w:ascii="宋体" w:hAnsi="宋体" w:eastAsia="宋体" w:cs="宋体"/>
                <w:color w:val="auto"/>
                <w:sz w:val="24"/>
                <w:szCs w:val="24"/>
                <w:highlight w:val="none"/>
                <w:lang w:val="en-US" w:eastAsia="zh-CN"/>
              </w:rPr>
              <w:t xml:space="preserve">等的保护与恢复</w:t>
            </w:r>
            <w:r/>
          </w:p>
        </w:tc>
      </w:tr>
      <w:tr>
        <w:trPr>
          <w:jc w:val="center"/>
          <w:trHeight w:val="0"/>
        </w:trPr>
        <w:tc>
          <w:tcPr>
            <w:tcW w:w="0" w:type="auto"/>
            <w:vAlign w:val="center"/>
            <w:vMerge w:val="restart"/>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0" w:type="auto"/>
            <w:vAlign w:val="center"/>
            <w:vMerge w:val="restart"/>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白甸镇</w:t>
            </w:r>
            <w:r/>
          </w:p>
        </w:tc>
        <w:tc>
          <w:tcPr>
            <w:tcW w:w="0" w:type="auto"/>
            <w:vAlign w:val="center"/>
            <w:vMerge w:val="restart"/>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篮球场</w:t>
            </w:r>
            <w:r/>
          </w:p>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w:t>
            </w:r>
            <w:r/>
          </w:p>
        </w:tc>
        <w:tc>
          <w:tcPr>
            <w:tcW w:w="0" w:type="auto"/>
            <w:vAlign w:val="center"/>
            <w:vMerge w:val="restart"/>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1片</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硅PU面层</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608</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8mm厚</w:t>
            </w:r>
            <w:r/>
          </w:p>
        </w:tc>
      </w:tr>
      <w:tr>
        <w:trPr>
          <w:jc w:val="center"/>
          <w:trHeight w:val="0"/>
        </w:trPr>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vMerge w:val="continue"/>
            <w:textDirection w:val="lrTb"/>
            <w:noWrap w:val="false"/>
          </w:tcPr>
          <w:p>
            <w:pPr>
              <w:ind w:left="0" w:righ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硅PU彩绘定制工艺</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608</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根据提供的方案进行彩绘定制</w:t>
            </w:r>
            <w:r/>
          </w:p>
        </w:tc>
      </w:tr>
      <w:tr>
        <w:trPr>
          <w:jc w:val="center"/>
          <w:trHeight w:val="0"/>
        </w:trPr>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vMerge w:val="continue"/>
            <w:textDirection w:val="lrTb"/>
            <w:noWrap w:val="false"/>
          </w:tcPr>
          <w:p>
            <w:pPr>
              <w:ind w:left="0" w:righ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拼装式4米高围网</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408</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含2个1.4×2m双开式门</w:t>
            </w:r>
            <w:r/>
          </w:p>
        </w:tc>
      </w:tr>
      <w:tr>
        <w:trPr>
          <w:jc w:val="center"/>
          <w:trHeight w:val="0"/>
        </w:trPr>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vMerge w:val="continue"/>
            <w:textDirection w:val="lrTb"/>
            <w:noWrap w:val="false"/>
          </w:tcPr>
          <w:p>
            <w:pPr>
              <w:ind w:left="0" w:righ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高杆照明灯</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6米高度，球场专用灯具</w:t>
            </w:r>
            <w:r/>
          </w:p>
        </w:tc>
      </w:tr>
      <w:tr>
        <w:trPr>
          <w:jc w:val="center"/>
          <w:trHeight w:val="0"/>
        </w:trPr>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vMerge w:val="continue"/>
            <w:textDirection w:val="lrTb"/>
            <w:noWrap w:val="false"/>
          </w:tcPr>
          <w:p>
            <w:pPr>
              <w:ind w:left="0" w:righ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地埋式篮球架</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个</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w:t>
            </w:r>
            <w:r>
              <w:rPr>
                <w:rFonts w:hint="eastAsia" w:ascii="宋体" w:hAnsi="宋体" w:cs="宋体"/>
                <w:bCs/>
                <w:color w:val="auto"/>
                <w:sz w:val="24"/>
                <w:szCs w:val="24"/>
                <w:highlight w:val="none"/>
                <w:lang w:val="en-US" w:eastAsia="zh-CN"/>
              </w:rPr>
              <w:t xml:space="preserve">包二</w:t>
            </w:r>
            <w:r>
              <w:rPr>
                <w:rFonts w:hint="eastAsia" w:ascii="宋体" w:hAnsi="宋体" w:eastAsia="宋体" w:cs="宋体"/>
                <w:color w:val="auto"/>
                <w:sz w:val="24"/>
                <w:szCs w:val="24"/>
                <w:highlight w:val="none"/>
                <w:lang w:val="en-US" w:eastAsia="zh-CN"/>
              </w:rPr>
              <w:t xml:space="preserve">技术参数</w:t>
            </w:r>
            <w:r/>
          </w:p>
        </w:tc>
      </w:tr>
      <w:tr>
        <w:trPr>
          <w:jc w:val="center"/>
          <w:trHeight w:val="0"/>
        </w:trPr>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vMerge w:val="continue"/>
            <w:textDirection w:val="lrTb"/>
            <w:noWrap w:val="false"/>
          </w:tcPr>
          <w:p>
            <w:pPr>
              <w:ind w:left="0" w:righ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宣传标识牌</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个</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100cm×80cm×1mm</w:t>
            </w:r>
            <w:r/>
          </w:p>
        </w:tc>
      </w:tr>
      <w:tr>
        <w:trPr>
          <w:jc w:val="center"/>
          <w:trHeight w:val="0"/>
        </w:trPr>
        <w:tc>
          <w:tcPr>
            <w:tcW w:w="721" w:type="dxa"/>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967" w:type="dxa"/>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468" w:type="dxa"/>
            <w:vAlign w:val="center"/>
            <w:vMerge w:val="continue"/>
            <w:textDirection w:val="lrTb"/>
            <w:noWrap w:val="false"/>
          </w:tcPr>
          <w:p>
            <w:pPr>
              <w:ind w:left="0" w:righ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1" w:type="dxa"/>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3"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标识牌</w:t>
            </w:r>
            <w:r/>
          </w:p>
        </w:tc>
        <w:tc>
          <w:tcPr>
            <w:tcW w:w="505"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块</w:t>
            </w:r>
            <w:r/>
          </w:p>
        </w:tc>
        <w:tc>
          <w:tcPr>
            <w:tcW w:w="69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警示牌，安全处出、入口标识牌等。510×200×2mm</w:t>
            </w:r>
            <w:r/>
          </w:p>
        </w:tc>
      </w:tr>
    </w:tbl>
    <w:p>
      <w:pPr>
        <w:ind w:firstLine="482"/>
        <w:spacing w:line="560" w:lineRule="exact"/>
        <w:rPr>
          <w:rFonts w:hint="eastAsia"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注：如所投产品</w:t>
      </w:r>
      <w:r>
        <w:rPr>
          <w:rFonts w:hint="eastAsia" w:ascii="Times New Roman" w:hAnsi="Times New Roman"/>
          <w:b/>
          <w:bCs/>
          <w:color w:val="auto"/>
          <w:sz w:val="24"/>
          <w:szCs w:val="24"/>
          <w:highlight w:val="none"/>
          <w:lang w:eastAsia="zh-CN"/>
        </w:rPr>
        <w:t xml:space="preserve">（</w:t>
      </w:r>
      <w:r>
        <w:rPr>
          <w:rFonts w:hint="eastAsia" w:ascii="Times New Roman" w:hAnsi="Times New Roman"/>
          <w:b/>
          <w:bCs/>
          <w:color w:val="auto"/>
          <w:sz w:val="24"/>
          <w:szCs w:val="24"/>
          <w:highlight w:val="none"/>
          <w:lang w:val="en-US" w:eastAsia="zh-CN"/>
        </w:rPr>
        <w:t xml:space="preserve">包一、包二</w:t>
      </w:r>
      <w:r>
        <w:rPr>
          <w:rFonts w:hint="eastAsia" w:ascii="Times New Roman" w:hAnsi="Times New Roman"/>
          <w:b/>
          <w:bCs/>
          <w:color w:val="auto"/>
          <w:sz w:val="24"/>
          <w:szCs w:val="24"/>
          <w:highlight w:val="none"/>
          <w:lang w:eastAsia="zh-CN"/>
        </w:rPr>
        <w:t xml:space="preserve">）</w:t>
      </w:r>
      <w:r>
        <w:rPr>
          <w:rFonts w:hint="eastAsia" w:ascii="Times New Roman" w:hAnsi="Times New Roman"/>
          <w:b/>
          <w:bCs/>
          <w:color w:val="auto"/>
          <w:sz w:val="24"/>
          <w:szCs w:val="24"/>
          <w:highlight w:val="none"/>
        </w:rPr>
        <w:t xml:space="preserve">技术参数条件与采购清单中参数条款不符，须在《技术条款响应正负偏离表》中注明，并给予解释。</w:t>
      </w:r>
      <w:r/>
    </w:p>
    <w:p>
      <w:pPr>
        <w:contextualSpacing/>
        <w:ind w:firstLine="480"/>
        <w:keepLines w:val="0"/>
        <w:keepNext w:val="0"/>
        <w:pageBreakBefore w:val="0"/>
        <w:spacing w:line="560" w:lineRule="exact"/>
        <w:tabs>
          <w:tab w:val="left" w:pos="5325" w:leader="none"/>
        </w:tabs>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2.2.包二技术参数</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2.2.</w:t>
      </w:r>
      <w:r>
        <w:rPr>
          <w:rFonts w:hint="eastAsia" w:ascii="宋体" w:hAnsi="宋体" w:eastAsia="宋体" w:cs="宋体"/>
          <w:bCs/>
          <w:color w:val="auto"/>
          <w:sz w:val="24"/>
          <w:szCs w:val="24"/>
          <w:highlight w:val="none"/>
        </w:rPr>
        <w:t xml:space="preserve">1</w:t>
      </w:r>
      <w:r>
        <w:rPr>
          <w:rFonts w:ascii="宋体" w:hAnsi="宋体" w:eastAsia="宋体" w:cs="宋体"/>
          <w:color w:val="auto"/>
          <w:sz w:val="21"/>
          <w:highlight w:val="none"/>
        </w:rPr>
        <w:t xml:space="preserve">▲</w:t>
      </w:r>
      <w:r>
        <w:rPr>
          <w:rFonts w:hint="eastAsia" w:ascii="宋体" w:hAnsi="宋体" w:eastAsia="宋体" w:cs="宋体"/>
          <w:bCs/>
          <w:color w:val="auto"/>
          <w:sz w:val="24"/>
          <w:szCs w:val="24"/>
          <w:highlight w:val="none"/>
        </w:rPr>
        <w:t xml:space="preserve">硅PU面层：硅pu必须符合GB36246-2018相关规定</w:t>
      </w:r>
      <w:r>
        <w:rPr>
          <w:rFonts w:hint="eastAsia" w:ascii="宋体" w:hAnsi="宋体" w:cs="宋体"/>
          <w:bCs/>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提供相关证明加盖公章</w:t>
      </w:r>
      <w:r>
        <w:rPr>
          <w:rFonts w:hint="eastAsia" w:ascii="宋体" w:hAnsi="宋体" w:eastAsia="宋体" w:cs="宋体"/>
          <w:bCs/>
          <w:color w:val="auto"/>
          <w:sz w:val="24"/>
          <w:szCs w:val="24"/>
          <w:highlight w:val="none"/>
        </w:rPr>
        <w:t xml:space="preserve">；</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2.2.</w:t>
      </w:r>
      <w:r>
        <w:rPr>
          <w:rFonts w:hint="eastAsia" w:ascii="宋体" w:hAnsi="宋体" w:eastAsia="宋体" w:cs="宋体"/>
          <w:bCs/>
          <w:color w:val="auto"/>
          <w:sz w:val="24"/>
          <w:szCs w:val="24"/>
          <w:highlight w:val="none"/>
        </w:rPr>
        <w:t xml:space="preserve">1.1技术要求：单组份硅PU材料，厚度为8mm，主场颜色为墨绿色或定制颜色。</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2.2.</w:t>
      </w:r>
      <w:r>
        <w:rPr>
          <w:rFonts w:hint="eastAsia" w:ascii="宋体" w:hAnsi="宋体" w:eastAsia="宋体" w:cs="宋体"/>
          <w:bCs/>
          <w:color w:val="auto"/>
          <w:sz w:val="24"/>
          <w:szCs w:val="24"/>
          <w:highlight w:val="none"/>
        </w:rPr>
        <w:t xml:space="preserve">1.2</w:t>
      </w:r>
      <w:r>
        <w:rPr>
          <w:rFonts w:hint="eastAsia" w:ascii="宋体" w:hAnsi="宋体" w:eastAsia="宋体" w:cs="宋体"/>
          <w:bCs/>
          <w:color w:val="auto"/>
          <w:sz w:val="24"/>
          <w:szCs w:val="24"/>
          <w:highlight w:val="none"/>
          <w:lang w:val="en-US" w:eastAsia="zh-CN"/>
        </w:rPr>
        <w:t xml:space="preserve">根据场地实际情况划线，尽量</w:t>
      </w:r>
      <w:r>
        <w:rPr>
          <w:rFonts w:hint="eastAsia" w:ascii="宋体" w:hAnsi="宋体" w:eastAsia="宋体" w:cs="宋体"/>
          <w:bCs/>
          <w:color w:val="auto"/>
          <w:sz w:val="24"/>
          <w:szCs w:val="24"/>
          <w:highlight w:val="none"/>
        </w:rPr>
        <w:t xml:space="preserve">按标准尺寸量度定位，标出界线位置，用美纹纸沿界线两边贴在球场上，用专用划线漆涂刷于美纹纸间，待表干后撕掉美纹纸。专用划线漆为双组份材料，必须按规定比例充分混合均匀，分一道涂刷。若球场表面为粗糙面，第一道可加适量的球场专用砂涂刷，以防渗边。</w:t>
      </w:r>
      <w:r/>
    </w:p>
    <w:p>
      <w:pPr>
        <w:contextualSpacing/>
        <w:ind w:firstLine="482"/>
        <w:keepLines w:val="0"/>
        <w:keepNext w:val="0"/>
        <w:pageBreakBefore w:val="0"/>
        <w:spacing w:line="560" w:lineRule="exact"/>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val="en-US" w:eastAsia="zh-CN"/>
        </w:rPr>
        <w:t xml:space="preserve">2.2</w:t>
      </w:r>
      <w:r>
        <w:rPr>
          <w:rFonts w:hint="eastAsia" w:ascii="宋体" w:hAnsi="宋体" w:eastAsia="宋体" w:cs="宋体"/>
          <w:b/>
          <w:bCs/>
          <w:color w:val="auto"/>
          <w:sz w:val="24"/>
          <w:szCs w:val="24"/>
          <w:highlight w:val="none"/>
        </w:rPr>
        <w:t xml:space="preserve">框架式场地围网系统：</w:t>
      </w:r>
      <w:r/>
    </w:p>
    <w:p>
      <w:pPr>
        <w:contextualSpacing/>
        <w:ind w:firstLine="480"/>
        <w:keepLines w:val="0"/>
        <w:keepNext w:val="0"/>
        <w:pageBreakBefore w:val="0"/>
        <w:spacing w:line="560" w:lineRule="exact"/>
        <w:tabs>
          <w:tab w:val="left" w:pos="5325" w:leader="none"/>
        </w:tabs>
        <w:rPr>
          <w:rFonts w:hint="eastAsia" w:ascii="宋体" w:hAnsi="宋体" w:eastAsia="宋体" w:cs="宋体"/>
          <w:b/>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2.2.1</w:t>
      </w:r>
      <w:r>
        <w:rPr>
          <w:rFonts w:ascii="宋体" w:hAnsi="宋体" w:eastAsia="宋体" w:cs="宋体"/>
          <w:color w:val="auto"/>
          <w:sz w:val="21"/>
          <w:highlight w:val="none"/>
        </w:rPr>
        <w:t xml:space="preserve">▲</w:t>
      </w:r>
      <w:r>
        <w:rPr>
          <w:rFonts w:hint="eastAsia" w:ascii="宋体" w:hAnsi="宋体" w:eastAsia="宋体" w:cs="宋体"/>
          <w:bCs/>
          <w:color w:val="auto"/>
          <w:sz w:val="24"/>
          <w:szCs w:val="24"/>
          <w:highlight w:val="none"/>
        </w:rPr>
        <w:t xml:space="preserve">笼式设施：须符合GB/T34279-2017《笼式足球场围网设施安全通用要求》的有关要求</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提供相关证明加盖公章</w:t>
      </w:r>
      <w:r>
        <w:rPr>
          <w:rFonts w:hint="eastAsia" w:ascii="宋体" w:hAnsi="宋体" w:eastAsia="宋体" w:cs="宋体"/>
          <w:b/>
          <w:bCs/>
          <w:color w:val="auto"/>
          <w:sz w:val="24"/>
          <w:szCs w:val="24"/>
          <w:highlight w:val="none"/>
        </w:rPr>
        <w:t xml:space="preserve">。</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2.2.2</w:t>
      </w:r>
      <w:r>
        <w:rPr>
          <w:rFonts w:hint="eastAsia" w:ascii="宋体" w:hAnsi="宋体" w:eastAsia="宋体" w:cs="宋体"/>
          <w:bCs/>
          <w:color w:val="auto"/>
          <w:sz w:val="24"/>
          <w:szCs w:val="24"/>
          <w:highlight w:val="none"/>
        </w:rPr>
        <w:t xml:space="preserve">框架：围网立柱采用（Q235B材质）Ф76mm，管壁厚度为3mm的优质钢管，围网采用模块拼接式，围网总高度4000mm。现场立柱预埋后安装网片，立柱选用独立地埋固定方式，围网框架采用（Q235B材质）Ф60mm，管壁厚度3.0mm的优质钢管或者60×40×3mm的优质U形方管，立柱间隔≤3m，所有管材表面须经过静电粉末喷塑处理，颜色为墨绿色或根据提供方案定制颜色，立柱埋入地下深度400mm，地基尺寸490mm×400mm。</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2.2.3</w:t>
      </w:r>
      <w:r>
        <w:rPr>
          <w:rFonts w:hint="eastAsia" w:ascii="宋体" w:hAnsi="宋体" w:eastAsia="宋体" w:cs="宋体"/>
          <w:bCs/>
          <w:color w:val="auto"/>
          <w:sz w:val="24"/>
          <w:szCs w:val="24"/>
          <w:highlight w:val="none"/>
        </w:rPr>
        <w:t xml:space="preserve">围网带有一个1.4m宽、2m高的双开式框架进出口，采用50×50×t 2.5mm的方管。围网网片使用压框覆盖包塑网，防止刮伤。围网全部采用防盗不锈钢螺栓，并采用防松螺母防松方式，保证连接长期可靠。立柱与连接横管采用固态粉静电喷涂工艺，颜色为墨绿色或或根据提供方案定制颜色，色泽保持八年不变，围网风载荷标准值0.35Kn/m2。</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2.2.4</w:t>
      </w:r>
      <w:r>
        <w:rPr>
          <w:rFonts w:hint="eastAsia" w:ascii="宋体" w:hAnsi="宋体" w:eastAsia="宋体" w:cs="宋体"/>
          <w:bCs/>
          <w:color w:val="auto"/>
          <w:sz w:val="24"/>
          <w:szCs w:val="24"/>
          <w:highlight w:val="none"/>
        </w:rPr>
        <w:t xml:space="preserve">网丝：包塑网片丝浸塑处理后网片径Ф4.0mm, 采用优质低碳镀锌钢丝，处理前丝径≥Ф3 mm，网孔50 mm，勾花网或链式网，受到撞击后可迅速恢复原形，并有效保护使用者在撞击围网时不受伤害；颜色为墨绿色或根据提供方案定制颜色，表面光滑细腻，吸水率为0%。围网孔径与运动功能相适应，具有防止球脱出的功能。</w:t>
      </w:r>
      <w:r/>
    </w:p>
    <w:p>
      <w:pPr>
        <w:contextualSpacing/>
        <w:ind w:firstLine="482"/>
        <w:keepLines w:val="0"/>
        <w:keepNext w:val="0"/>
        <w:pageBreakBefore w:val="0"/>
        <w:spacing w:line="560" w:lineRule="exact"/>
        <w:tabs>
          <w:tab w:val="left" w:pos="5325" w:leader="none"/>
        </w:tabs>
        <w:rPr>
          <w:rFonts w:hint="eastAsia" w:ascii="宋体" w:hAnsi="宋体" w:eastAsia="宋体" w:cs="宋体"/>
          <w:color w:val="auto"/>
          <w:sz w:val="24"/>
          <w:szCs w:val="24"/>
          <w:highlight w:val="none"/>
        </w:rPr>
      </w:pPr>
      <w:r>
        <w:rPr>
          <w:rFonts w:hint="eastAsia" w:ascii="宋体" w:hAnsi="宋体" w:cs="宋体"/>
          <w:b/>
          <w:bCs w:val="0"/>
          <w:color w:val="auto"/>
          <w:sz w:val="24"/>
          <w:szCs w:val="24"/>
          <w:highlight w:val="none"/>
          <w:lang w:val="en-US" w:eastAsia="zh-CN"/>
        </w:rPr>
        <w:t xml:space="preserve">2.</w:t>
      </w:r>
      <w:r>
        <w:rPr>
          <w:rFonts w:hint="eastAsia" w:ascii="宋体" w:hAnsi="宋体" w:eastAsia="宋体" w:cs="宋体"/>
          <w:b/>
          <w:bCs w:val="0"/>
          <w:color w:val="auto"/>
          <w:sz w:val="24"/>
          <w:szCs w:val="24"/>
          <w:highlight w:val="none"/>
          <w:lang w:val="en-US" w:eastAsia="zh-CN"/>
        </w:rPr>
        <w:t xml:space="preserve">2.3地埋式篮球架：</w:t>
      </w:r>
      <w:r/>
    </w:p>
    <w:p>
      <w:pPr>
        <w:contextualSpacing/>
        <w:ind w:firstLine="480"/>
        <w:jc w:val="both"/>
        <w:keepLines w:val="0"/>
        <w:keepNext w:val="0"/>
        <w:pageBreakBefore w:val="0"/>
        <w:spacing w:line="560" w:lineRule="exact"/>
        <w:tabs>
          <w:tab w:val="left" w:pos="5325" w:leader="none"/>
        </w:tabs>
        <w:rPr>
          <w:rFonts w:hint="eastAsia" w:ascii="宋体" w:hAnsi="宋体" w:eastAsia="宋体" w:cs="宋体"/>
          <w:b/>
          <w:bCs w:val="0"/>
          <w:color w:val="auto"/>
          <w:sz w:val="24"/>
          <w:szCs w:val="24"/>
          <w:highlight w:val="none"/>
          <w:lang w:eastAsia="zh-CN"/>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1.</w:t>
      </w:r>
      <w:r>
        <w:rPr>
          <w:rFonts w:ascii="宋体" w:hAnsi="宋体" w:eastAsia="宋体" w:cs="宋体"/>
          <w:color w:val="auto"/>
          <w:sz w:val="21"/>
          <w:highlight w:val="none"/>
        </w:rPr>
        <w:t xml:space="preserve">▲</w:t>
      </w:r>
      <w:r>
        <w:rPr>
          <w:rFonts w:hint="eastAsia" w:ascii="宋体" w:hAnsi="宋体" w:eastAsia="宋体" w:cs="宋体"/>
          <w:b/>
          <w:bCs w:val="0"/>
          <w:color w:val="auto"/>
          <w:sz w:val="24"/>
          <w:szCs w:val="24"/>
          <w:highlight w:val="none"/>
        </w:rPr>
        <w:t xml:space="preserve">地埋式篮球架须符合“室外健身室器材的安全通用要求（GB19272-20</w:t>
      </w:r>
      <w:r>
        <w:rPr>
          <w:rFonts w:hint="eastAsia" w:ascii="宋体" w:hAnsi="宋体" w:eastAsia="宋体" w:cs="宋体"/>
          <w:b/>
          <w:bCs w:val="0"/>
          <w:color w:val="auto"/>
          <w:sz w:val="24"/>
          <w:szCs w:val="24"/>
          <w:highlight w:val="none"/>
          <w:lang w:val="en-US" w:eastAsia="zh-CN"/>
        </w:rPr>
        <w:t xml:space="preserve">24</w:t>
      </w:r>
      <w:r>
        <w:rPr>
          <w:rFonts w:hint="eastAsia" w:ascii="宋体" w:hAnsi="宋体" w:eastAsia="宋体" w:cs="宋体"/>
          <w:b/>
          <w:bCs w:val="0"/>
          <w:color w:val="auto"/>
          <w:sz w:val="24"/>
          <w:szCs w:val="24"/>
          <w:highlight w:val="none"/>
        </w:rPr>
        <w:t xml:space="preserve">）”有关要求</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提供有效期内带有CMA或CNAS的</w:t>
      </w:r>
      <w:r>
        <w:rPr>
          <w:rFonts w:hint="eastAsia" w:ascii="宋体" w:hAnsi="宋体" w:cs="宋体"/>
          <w:b/>
          <w:bCs w:val="0"/>
          <w:color w:val="auto"/>
          <w:sz w:val="24"/>
          <w:szCs w:val="24"/>
          <w:highlight w:val="none"/>
          <w:lang w:eastAsia="zh-CN"/>
        </w:rPr>
        <w:t xml:space="preserve">检测报告或者产品认证证书。</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2.产品规格</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ascii="宋体" w:hAnsi="宋体" w:eastAsia="宋体" w:cs="宋体"/>
          <w:color w:val="auto"/>
          <w:sz w:val="24"/>
          <w:szCs w:val="24"/>
          <w:highlight w:val="none"/>
        </w:rPr>
        <w:t xml:space="preserve">篮球架外廓长宽高尺寸满足使用需求，底座横向长度</w:t>
      </w:r>
      <w:r>
        <w:rPr>
          <w:rFonts w:hint="default" w:ascii="Arial" w:hAnsi="Arial" w:eastAsia="宋体" w:cs="Arial"/>
          <w:b w:val="0"/>
          <w:bCs/>
          <w:color w:val="auto"/>
          <w:sz w:val="24"/>
          <w:szCs w:val="24"/>
          <w:highlight w:val="none"/>
        </w:rPr>
        <w:t xml:space="preserve">≥</w:t>
      </w:r>
      <w:r>
        <w:rPr>
          <w:rFonts w:hint="eastAsia" w:ascii="宋体" w:hAnsi="宋体" w:cs="宋体"/>
          <w:b w:val="0"/>
          <w:bCs/>
          <w:color w:val="auto"/>
          <w:sz w:val="24"/>
          <w:szCs w:val="24"/>
          <w:highlight w:val="none"/>
          <w:lang w:val="en-US" w:eastAsia="zh-CN"/>
        </w:rPr>
        <w:t xml:space="preserve">2580</w:t>
      </w:r>
      <w:r>
        <w:rPr>
          <w:rFonts w:ascii="宋体" w:hAnsi="宋体" w:eastAsia="宋体" w:cs="宋体"/>
          <w:b w:val="0"/>
          <w:bCs/>
          <w:color w:val="auto"/>
          <w:sz w:val="24"/>
          <w:szCs w:val="24"/>
          <w:highlight w:val="none"/>
        </w:rPr>
        <w:t xml:space="preserve">mm、</w:t>
      </w:r>
      <w:r>
        <w:rPr>
          <w:rFonts w:ascii="宋体" w:hAnsi="宋体" w:eastAsia="宋体" w:cs="宋体"/>
          <w:color w:val="auto"/>
          <w:sz w:val="24"/>
          <w:szCs w:val="24"/>
          <w:highlight w:val="none"/>
        </w:rPr>
        <w:t xml:space="preserve">底座宽度</w:t>
      </w:r>
      <w:r>
        <w:rPr>
          <w:rFonts w:hint="default" w:ascii="Arial" w:hAnsi="Arial" w:eastAsia="宋体" w:cs="Arial"/>
          <w:bCs/>
          <w:color w:val="auto"/>
          <w:sz w:val="24"/>
          <w:szCs w:val="24"/>
          <w:highlight w:val="none"/>
        </w:rPr>
        <w:t xml:space="preserve">≥</w:t>
      </w:r>
      <w:r>
        <w:rPr>
          <w:rFonts w:ascii="宋体" w:hAnsi="宋体" w:eastAsia="宋体" w:cs="宋体"/>
          <w:color w:val="auto"/>
          <w:sz w:val="24"/>
          <w:szCs w:val="24"/>
          <w:highlight w:val="none"/>
        </w:rPr>
        <w:t xml:space="preserve">1800mm、整机总高度</w:t>
      </w:r>
      <w:r>
        <w:rPr>
          <w:rFonts w:hint="default" w:ascii="Arial" w:hAnsi="Arial" w:eastAsia="宋体" w:cs="Arial"/>
          <w:bCs/>
          <w:color w:val="auto"/>
          <w:sz w:val="24"/>
          <w:szCs w:val="24"/>
          <w:highlight w:val="none"/>
        </w:rPr>
        <w:t xml:space="preserve">≥</w:t>
      </w:r>
      <w:r>
        <w:rPr>
          <w:rFonts w:ascii="宋体" w:hAnsi="宋体" w:eastAsia="宋体" w:cs="宋体"/>
          <w:color w:val="auto"/>
          <w:sz w:val="24"/>
          <w:szCs w:val="24"/>
          <w:highlight w:val="none"/>
        </w:rPr>
        <w:t xml:space="preserve">3900mm，满足场地安装及安全配重要求</w:t>
      </w:r>
      <w:r>
        <w:rPr>
          <w:rFonts w:hint="eastAsia" w:ascii="宋体" w:hAnsi="宋体" w:eastAsia="宋体" w:cs="宋体"/>
          <w:bCs/>
          <w:color w:val="auto"/>
          <w:sz w:val="24"/>
          <w:szCs w:val="24"/>
          <w:highlight w:val="none"/>
        </w:rPr>
        <w:t xml:space="preserve">。篮球架立柱采用外径</w:t>
      </w:r>
      <w:r>
        <w:rPr>
          <w:rFonts w:hint="default" w:ascii="Arial" w:hAnsi="Arial" w:eastAsia="宋体" w:cs="Arial"/>
          <w:bCs/>
          <w:color w:val="auto"/>
          <w:sz w:val="24"/>
          <w:szCs w:val="24"/>
          <w:highlight w:val="none"/>
        </w:rPr>
        <w:t xml:space="preserve">≥</w:t>
      </w:r>
      <w:r>
        <w:rPr>
          <w:rFonts w:hint="eastAsia" w:ascii="宋体" w:hAnsi="宋体" w:eastAsia="宋体" w:cs="宋体"/>
          <w:bCs/>
          <w:color w:val="auto"/>
          <w:sz w:val="24"/>
          <w:szCs w:val="24"/>
          <w:highlight w:val="none"/>
        </w:rPr>
        <w:t xml:space="preserve">219mm，壁厚</w:t>
      </w:r>
      <w:r>
        <w:rPr>
          <w:rFonts w:hint="default" w:ascii="Arial" w:hAnsi="Arial" w:eastAsia="宋体" w:cs="Arial"/>
          <w:bCs/>
          <w:color w:val="auto"/>
          <w:sz w:val="24"/>
          <w:szCs w:val="24"/>
          <w:highlight w:val="none"/>
        </w:rPr>
        <w:t xml:space="preserve">≥</w:t>
      </w:r>
      <w:r>
        <w:rPr>
          <w:rFonts w:hint="eastAsia" w:ascii="宋体" w:hAnsi="宋体" w:eastAsia="宋体" w:cs="宋体"/>
          <w:bCs/>
          <w:color w:val="auto"/>
          <w:sz w:val="24"/>
          <w:szCs w:val="24"/>
          <w:highlight w:val="none"/>
        </w:rPr>
        <w:t xml:space="preserve">4mm优质圆钢管，立柱边角圆弧过渡，圆弧半径不小于R40mm；；篮架伸臂采用</w:t>
      </w:r>
      <w:r>
        <w:rPr>
          <w:rFonts w:hint="default" w:ascii="Arial" w:hAnsi="Arial" w:eastAsia="宋体" w:cs="Arial"/>
          <w:bCs/>
          <w:color w:val="auto"/>
          <w:sz w:val="24"/>
          <w:szCs w:val="24"/>
          <w:highlight w:val="none"/>
        </w:rPr>
        <w:t xml:space="preserve">≥</w:t>
      </w:r>
      <w:r>
        <w:rPr>
          <w:rFonts w:hint="eastAsia" w:ascii="宋体" w:hAnsi="宋体" w:eastAsia="宋体" w:cs="宋体"/>
          <w:bCs/>
          <w:color w:val="auto"/>
          <w:sz w:val="24"/>
          <w:szCs w:val="24"/>
          <w:highlight w:val="none"/>
        </w:rPr>
        <w:t xml:space="preserve">3优质铁板一次冲压成型，造型美观大方，性能安全可靠。</w:t>
      </w:r>
      <w:r>
        <w:rPr>
          <w:rFonts w:ascii="宋体" w:hAnsi="宋体" w:eastAsia="宋体" w:cs="宋体"/>
          <w:color w:val="auto"/>
          <w:sz w:val="24"/>
          <w:szCs w:val="24"/>
          <w:highlight w:val="none"/>
        </w:rPr>
        <w:t xml:space="preserve">拉杆圆管外径</w:t>
      </w:r>
      <w:r>
        <w:rPr>
          <w:rFonts w:hint="default" w:ascii="Arial" w:hAnsi="Arial" w:eastAsia="宋体" w:cs="Arial"/>
          <w:bCs/>
          <w:color w:val="auto"/>
          <w:sz w:val="24"/>
          <w:szCs w:val="24"/>
          <w:highlight w:val="none"/>
        </w:rPr>
        <w:t xml:space="preserve">≥</w:t>
      </w:r>
      <w:r>
        <w:rPr>
          <w:rFonts w:ascii="宋体" w:hAnsi="宋体" w:eastAsia="宋体" w:cs="宋体"/>
          <w:color w:val="auto"/>
          <w:sz w:val="24"/>
          <w:szCs w:val="24"/>
          <w:highlight w:val="none"/>
        </w:rPr>
        <w:t xml:space="preserve">48mm、壁厚</w:t>
      </w:r>
      <w:r>
        <w:rPr>
          <w:rFonts w:hint="default" w:ascii="Arial" w:hAnsi="Arial" w:eastAsia="宋体" w:cs="Arial"/>
          <w:bCs/>
          <w:color w:val="auto"/>
          <w:sz w:val="24"/>
          <w:szCs w:val="24"/>
          <w:highlight w:val="none"/>
        </w:rPr>
        <w:t xml:space="preserve">≥</w:t>
      </w:r>
      <w:r>
        <w:rPr>
          <w:rFonts w:ascii="宋体" w:hAnsi="宋体" w:eastAsia="宋体" w:cs="宋体"/>
          <w:color w:val="auto"/>
          <w:sz w:val="24"/>
          <w:szCs w:val="24"/>
          <w:highlight w:val="none"/>
        </w:rPr>
        <w:t xml:space="preserve">3mm一体折弯成型；</w:t>
      </w:r>
      <w:r>
        <w:rPr>
          <w:rFonts w:hint="eastAsia" w:ascii="宋体" w:hAnsi="宋体" w:eastAsia="宋体" w:cs="宋体"/>
          <w:bCs/>
          <w:color w:val="auto"/>
          <w:sz w:val="24"/>
          <w:szCs w:val="24"/>
          <w:highlight w:val="none"/>
        </w:rPr>
        <w:t xml:space="preserve">篮球架通过调节拉杆可调节篮板的平面度和垂直度，通</w:t>
      </w:r>
      <w:r>
        <w:rPr>
          <w:rFonts w:hint="eastAsia" w:ascii="宋体" w:hAnsi="宋体" w:cs="宋体"/>
          <w:bCs/>
          <w:color w:val="auto"/>
          <w:sz w:val="24"/>
          <w:szCs w:val="24"/>
          <w:highlight w:val="none"/>
          <w:lang w:val="en-US" w:eastAsia="zh-CN"/>
        </w:rPr>
        <w:t xml:space="preserve">过</w:t>
      </w:r>
      <w:r>
        <w:rPr>
          <w:rFonts w:hint="eastAsia" w:ascii="宋体" w:hAnsi="宋体" w:eastAsia="宋体" w:cs="宋体"/>
          <w:bCs/>
          <w:color w:val="auto"/>
          <w:sz w:val="24"/>
          <w:szCs w:val="24"/>
          <w:highlight w:val="none"/>
        </w:rPr>
        <w:t xml:space="preserve">调节下拉杆，可调节篮圈与地面的平行度。</w:t>
      </w:r>
      <w:r>
        <w:rPr>
          <w:rFonts w:hint="eastAsia" w:ascii="宋体" w:hAnsi="宋体" w:eastAsia="宋体" w:cs="宋体"/>
          <w:bCs/>
          <w:color w:val="auto"/>
          <w:sz w:val="24"/>
          <w:szCs w:val="24"/>
          <w:highlight w:val="none"/>
          <w:lang w:val="en-US" w:eastAsia="zh-CN"/>
        </w:rPr>
        <w:t xml:space="preserve">篮架采用专用铁制预埋件。地基预埋尺寸</w:t>
      </w:r>
      <w:r>
        <w:rPr>
          <w:rFonts w:hint="default" w:ascii="Arial" w:hAnsi="Arial" w:eastAsia="宋体" w:cs="Arial"/>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800mm×800mm×1000mm</w:t>
      </w:r>
      <w:r>
        <w:rPr>
          <w:rFonts w:hint="eastAsia" w:ascii="宋体" w:hAnsi="宋体" w:cs="宋体"/>
          <w:bCs/>
          <w:color w:val="auto"/>
          <w:sz w:val="24"/>
          <w:szCs w:val="24"/>
          <w:highlight w:val="none"/>
          <w:lang w:val="en-US" w:eastAsia="zh-CN"/>
        </w:rPr>
        <w:t xml:space="preserve">；</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3.</w:t>
      </w:r>
      <w:r>
        <w:rPr>
          <w:rFonts w:ascii="宋体" w:hAnsi="宋体" w:eastAsia="宋体" w:cs="宋体"/>
          <w:color w:val="auto"/>
          <w:sz w:val="24"/>
          <w:szCs w:val="24"/>
          <w:highlight w:val="none"/>
        </w:rPr>
        <w:t xml:space="preserve">篮圈实心圆钢直径</w:t>
      </w:r>
      <w:r>
        <w:rPr>
          <w:rFonts w:hint="default" w:ascii="Arial" w:hAnsi="Arial" w:eastAsia="宋体" w:cs="Arial"/>
          <w:bCs/>
          <w:color w:val="auto"/>
          <w:sz w:val="24"/>
          <w:szCs w:val="24"/>
          <w:highlight w:val="none"/>
        </w:rPr>
        <w:t xml:space="preserve">≥</w:t>
      </w:r>
      <w:r>
        <w:rPr>
          <w:rFonts w:ascii="宋体" w:hAnsi="宋体" w:eastAsia="宋体" w:cs="宋体"/>
          <w:color w:val="auto"/>
          <w:sz w:val="24"/>
          <w:szCs w:val="24"/>
          <w:highlight w:val="none"/>
        </w:rPr>
        <w:t xml:space="preserve">17mm，配套固定板厚度</w:t>
      </w:r>
      <w:r>
        <w:rPr>
          <w:rFonts w:hint="default" w:ascii="Arial" w:hAnsi="Arial" w:eastAsia="宋体" w:cs="Arial"/>
          <w:bCs/>
          <w:color w:val="auto"/>
          <w:sz w:val="24"/>
          <w:szCs w:val="24"/>
          <w:highlight w:val="none"/>
        </w:rPr>
        <w:t xml:space="preserve">≥</w:t>
      </w:r>
      <w:r>
        <w:rPr>
          <w:rFonts w:ascii="宋体" w:hAnsi="宋体" w:eastAsia="宋体" w:cs="宋体"/>
          <w:color w:val="auto"/>
          <w:sz w:val="24"/>
          <w:szCs w:val="24"/>
          <w:highlight w:val="none"/>
        </w:rPr>
        <w:t xml:space="preserve">6mm，材质Q235B</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篮圈下沿预留篮网悬挂结构，采用直径不小于4mm 圆钢制成悬挂环，悬挂点位不少于12处，均匀分布，适配不锈钢篮网。</w:t>
      </w:r>
      <w:r>
        <w:rPr>
          <w:rFonts w:hint="eastAsia" w:ascii="宋体" w:hAnsi="宋体" w:eastAsia="宋体" w:cs="宋体"/>
          <w:bCs/>
          <w:color w:val="auto"/>
          <w:sz w:val="24"/>
          <w:szCs w:val="24"/>
          <w:highlight w:val="none"/>
        </w:rPr>
        <w:t xml:space="preserve">篮圈抗弯性能好，水平固定在篮板上，与篮架连接的钢板和篮圈盖板均采用优质钢板一次冲压成型。</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2.4</w:t>
      </w:r>
      <w:r>
        <w:rPr>
          <w:rFonts w:hint="eastAsia" w:ascii="宋体" w:hAnsi="宋体" w:eastAsia="宋体" w:cs="宋体"/>
          <w:bCs/>
          <w:color w:val="auto"/>
          <w:sz w:val="24"/>
          <w:szCs w:val="24"/>
          <w:highlight w:val="none"/>
        </w:rPr>
        <w:t xml:space="preserve">篮架所有紧固件均采用热镀锌处理，能保证长年不生锈。</w:t>
      </w:r>
      <w:r/>
    </w:p>
    <w:p>
      <w:pPr>
        <w:contextualSpacing/>
        <w:ind w:firstLine="482"/>
        <w:keepLines w:val="0"/>
        <w:keepNext w:val="0"/>
        <w:pageBreakBefore w:val="0"/>
        <w:spacing w:line="560" w:lineRule="exact"/>
        <w:tabs>
          <w:tab w:val="left" w:pos="5325" w:leader="none"/>
        </w:tabs>
        <w:rPr>
          <w:rFonts w:hint="eastAsia" w:ascii="宋体" w:hAnsi="宋体" w:eastAsia="宋体" w:cs="宋体"/>
          <w:b/>
          <w:bCs/>
          <w:color w:val="auto"/>
          <w:sz w:val="24"/>
          <w:szCs w:val="24"/>
          <w:highlight w:val="none"/>
          <w:lang w:val="en-US" w:eastAsia="zh-CN"/>
        </w:rPr>
      </w:pPr>
      <w:r>
        <w:rPr>
          <w:rFonts w:hint="eastAsia" w:ascii="宋体" w:hAnsi="宋体" w:cs="宋体"/>
          <w:b/>
          <w:bCs/>
          <w:i w:val="0"/>
          <w:iCs w:val="0"/>
          <w:color w:val="auto"/>
          <w:sz w:val="24"/>
          <w:szCs w:val="24"/>
          <w:highlight w:val="none"/>
          <w:u w:val="none"/>
          <w:lang w:val="en-US" w:eastAsia="zh-CN" w:bidi="ar-SA"/>
        </w:rPr>
        <w:t xml:space="preserve">2.</w:t>
      </w:r>
      <w:r>
        <w:rPr>
          <w:rFonts w:hint="eastAsia" w:ascii="宋体" w:hAnsi="宋体" w:eastAsia="宋体" w:cs="宋体"/>
          <w:b/>
          <w:bCs/>
          <w:i w:val="0"/>
          <w:iCs w:val="0"/>
          <w:color w:val="auto"/>
          <w:sz w:val="24"/>
          <w:szCs w:val="24"/>
          <w:highlight w:val="none"/>
          <w:u w:val="none"/>
          <w:lang w:val="en-US" w:eastAsia="zh-CN" w:bidi="ar-SA"/>
        </w:rPr>
        <w:t xml:space="preserve">2.5高杆照明灯：</w:t>
      </w:r>
      <w:r/>
    </w:p>
    <w:p>
      <w:pPr>
        <w:contextualSpacing/>
        <w:ind w:firstLine="480"/>
        <w:keepLines w:val="0"/>
        <w:keepNext w:val="0"/>
        <w:pageBreakBefore w:val="0"/>
        <w:spacing w:line="560" w:lineRule="exact"/>
        <w:tabs>
          <w:tab w:val="left" w:pos="532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灯柱为围网的一部分，在整场围网中亦为围网的主立柱，增强围网的稳定性。灯光系统：灯柱采用直径Ф114×3.0mm的钢管，6米高低杆照明灯柱</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根，采用</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套200WLED投光照明灯。配电柜及线路：电线（场内RVV4平方线配备100米，灯柱内RVV2.5平方线），</w:t>
      </w:r>
      <w:r>
        <w:rPr>
          <w:rFonts w:hint="eastAsia" w:ascii="宋体" w:hAnsi="宋体" w:eastAsia="宋体" w:cs="宋体"/>
          <w:color w:val="auto"/>
          <w:sz w:val="24"/>
          <w:szCs w:val="24"/>
          <w:highlight w:val="none"/>
          <w:lang w:eastAsia="zh-CN"/>
        </w:rPr>
        <w:t xml:space="preserve">配备</w:t>
      </w:r>
      <w:r>
        <w:rPr>
          <w:rFonts w:hint="eastAsia" w:ascii="宋体" w:hAnsi="宋体" w:eastAsia="宋体" w:cs="宋体"/>
          <w:color w:val="auto"/>
          <w:sz w:val="24"/>
          <w:szCs w:val="24"/>
          <w:highlight w:val="none"/>
        </w:rPr>
        <w:t xml:space="preserve">三相100A漏电开关及双极15A空气开关，分组控制，分两个回路，使用一半灯照明时，相隔灯亮。带漏电保护（采用配电箱，开关、电线与电负荷相匹配）。所有电线均需用PVC管穿套后地埋，地埋深度不低于10cm，通过灯柱内与顶端的灯具连接，PVC管的连接处必须密封，严禁PVC套管及电线裸露在外。灯柱采用预埋或直埋方式，预埋深度600mm，地基尺寸600×600mm。</w:t>
      </w:r>
      <w:r>
        <w:rPr>
          <w:rFonts w:hint="eastAsia" w:ascii="宋体" w:hAnsi="宋体" w:eastAsia="宋体" w:cs="宋体"/>
          <w:color w:val="auto"/>
          <w:sz w:val="24"/>
          <w:szCs w:val="24"/>
          <w:highlight w:val="none"/>
          <w:lang w:val="en-US" w:eastAsia="zh-CN"/>
        </w:rPr>
        <w:t xml:space="preserve">灯光产品须为体育场地照明专业LED灯具，灯具额定功率200W，输入电压AC 100V-240V，频率50/60Hz；采用一体化散热结构设计，且散热翅片需与灯具散热器为铸造一体成型。为控制眩光和外溢光，灯具采用隐藏式偏光设计，反光罩采用纳米级光学处理；有效控制眩光及外溢光，防范光污染。灯具安装支架选用轻型高压铸铝材质，机械强度好，耐蚀性能强，支架采用齿轮啮合结构，每齿旋转≤10°，齿轮上带刻度值，方便出厂设置好投射角度。</w:t>
      </w:r>
      <w:r/>
    </w:p>
    <w:p>
      <w:pPr>
        <w:contextualSpacing/>
        <w:ind w:firstLine="480"/>
        <w:keepLines w:val="0"/>
        <w:keepNext w:val="0"/>
        <w:pageBreakBefore w:val="0"/>
        <w:spacing w:line="560" w:lineRule="exact"/>
        <w:tabs>
          <w:tab w:val="left" w:pos="5325" w:leader="none"/>
        </w:tabs>
        <w:rPr>
          <w:rFonts w:hint="eastAsia" w:ascii="宋体" w:hAnsi="宋体" w:eastAsia="宋体" w:cs="宋体"/>
          <w:color w:val="auto"/>
          <w:sz w:val="24"/>
          <w:szCs w:val="24"/>
          <w:highlight w:val="none"/>
          <w:lang w:val="en-US" w:eastAsia="zh-CN"/>
        </w:rPr>
      </w:pPr>
      <w:r>
        <w:rPr>
          <w:rFonts w:ascii="宋体" w:hAnsi="宋体" w:eastAsia="宋体" w:cs="宋体"/>
          <w:color w:val="000000"/>
          <w:sz w:val="21"/>
          <w:highlight w:val="none"/>
        </w:rPr>
        <w:t xml:space="preserve">▲</w:t>
      </w:r>
      <w:r>
        <w:rPr>
          <w:rFonts w:ascii="宋体" w:hAnsi="宋体" w:eastAsia="宋体" w:cs="宋体"/>
          <w:color w:val="000000"/>
          <w:sz w:val="24"/>
          <w:highlight w:val="none"/>
        </w:rPr>
        <w:t xml:space="preserve">灯具符合 GB/T 7000.205-2023《灯具 第 2-5 部分：特殊要求 投光灯具》要</w:t>
      </w:r>
      <w:r>
        <w:rPr>
          <w:rFonts w:ascii="宋体" w:hAnsi="宋体" w:eastAsia="宋体" w:cs="宋体"/>
          <w:color w:val="000000"/>
          <w:sz w:val="24"/>
          <w:highlight w:val="none"/>
        </w:rPr>
        <w:t xml:space="preserve">求的振动试验</w:t>
      </w:r>
      <w:r>
        <w:rPr>
          <w:rFonts w:hint="eastAsia" w:ascii="宋体" w:hAnsi="宋体" w:eastAsia="宋体" w:cs="宋体"/>
          <w:color w:val="auto"/>
          <w:sz w:val="24"/>
          <w:szCs w:val="24"/>
          <w:highlight w:val="none"/>
          <w:lang w:val="en-US" w:eastAsia="zh-CN"/>
        </w:rPr>
        <w:t xml:space="preserve">。灯具一般显色指数≥80，色温≥5,000K。</w:t>
      </w:r>
      <w:r>
        <w:rPr>
          <w:rFonts w:hint="eastAsia" w:ascii="宋体" w:hAnsi="宋体" w:eastAsia="宋体" w:cs="宋体"/>
          <w:color w:val="auto"/>
          <w:sz w:val="24"/>
          <w:szCs w:val="24"/>
          <w:highlight w:val="none"/>
          <w:lang w:val="zh-CN" w:eastAsia="zh-CN"/>
        </w:rPr>
        <w:t xml:space="preserve">整灯防护等级≥IP66，且为Ⅰ类防触电保护类型</w:t>
      </w:r>
      <w:r>
        <w:rPr>
          <w:rFonts w:hint="eastAsia" w:ascii="宋体" w:hAnsi="宋体" w:eastAsia="宋体" w:cs="宋体"/>
          <w:color w:val="auto"/>
          <w:sz w:val="24"/>
          <w:szCs w:val="24"/>
          <w:highlight w:val="none"/>
          <w:lang w:val="en-US" w:eastAsia="zh-CN"/>
        </w:rPr>
        <w:t xml:space="preserve">。</w:t>
      </w:r>
      <w:r/>
      <w:r>
        <w:rPr>
          <w:rFonts w:hint="eastAsia" w:ascii="宋体" w:hAnsi="宋体" w:eastAsia="宋体" w:cs="宋体"/>
          <w:color w:val="auto"/>
          <w:sz w:val="24"/>
          <w:szCs w:val="24"/>
          <w:highlight w:val="none"/>
          <w:lang w:val="en-US" w:eastAsia="zh-CN"/>
        </w:rPr>
        <w:t xml:space="preserve">灯具实测功率200W±1％，整灯效能≥130lm/W，光通量≥26000lm，功率因数≥0.98</w:t>
      </w:r>
      <w:r>
        <w:rPr>
          <w:rFonts w:hint="eastAsia" w:ascii="宋体" w:hAnsi="宋体" w:cs="宋体"/>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提供国家级检测中心检测报告，或有效期内带CMA或CNAS标识的产品检测报告</w:t>
      </w:r>
      <w:r>
        <w:rPr>
          <w:rFonts w:hint="eastAsia" w:ascii="宋体" w:hAnsi="宋体" w:eastAsia="宋体" w:cs="宋体"/>
          <w:b/>
          <w:bCs/>
          <w:color w:val="auto"/>
          <w:sz w:val="24"/>
          <w:szCs w:val="24"/>
          <w:highlight w:val="none"/>
          <w:lang w:val="en-US" w:eastAsia="zh-CN"/>
        </w:rPr>
        <w:t xml:space="preserve">）</w:t>
      </w:r>
      <w:r/>
      <w:r>
        <w:rPr>
          <w:rFonts w:hint="eastAsia" w:ascii="宋体" w:hAnsi="宋体" w:eastAsia="宋体" w:cs="宋体"/>
          <w:color w:val="auto"/>
          <w:sz w:val="24"/>
          <w:szCs w:val="24"/>
          <w:highlight w:val="none"/>
          <w:lang w:val="en-US" w:eastAsia="zh-CN"/>
        </w:rPr>
      </w:r>
    </w:p>
    <w:p>
      <w:pPr>
        <w:contextualSpacing/>
        <w:ind w:firstLine="420"/>
        <w:keepLines w:val="0"/>
        <w:keepNext w:val="0"/>
        <w:pageBreakBefore w:val="0"/>
        <w:spacing w:line="560" w:lineRule="exact"/>
        <w:tabs>
          <w:tab w:val="left" w:pos="5325" w:leader="none"/>
        </w:tabs>
        <w:rPr>
          <w:rFonts w:hint="eastAsia" w:ascii="宋体" w:hAnsi="宋体" w:eastAsia="宋体" w:cs="宋体"/>
          <w:b/>
          <w:bCs/>
          <w:color w:val="auto"/>
          <w:sz w:val="24"/>
          <w:szCs w:val="24"/>
          <w:highlight w:val="none"/>
        </w:rPr>
      </w:pPr>
      <w:r>
        <w:rPr>
          <w:rFonts w:ascii="宋体" w:hAnsi="宋体" w:eastAsia="宋体" w:cs="宋体"/>
          <w:color w:val="auto"/>
          <w:sz w:val="21"/>
          <w:highlight w:val="none"/>
        </w:rPr>
        <w:t xml:space="preserve">▲</w:t>
      </w:r>
      <w:r>
        <w:rPr>
          <w:rFonts w:hint="eastAsia" w:ascii="宋体" w:hAnsi="宋体" w:eastAsia="宋体" w:cs="宋体"/>
          <w:color w:val="auto"/>
          <w:sz w:val="24"/>
          <w:szCs w:val="24"/>
          <w:highlight w:val="none"/>
        </w:rPr>
        <w:t xml:space="preserve">光源及灯具质保6年</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投标供应商</w:t>
      </w:r>
      <w:r>
        <w:rPr>
          <w:rFonts w:hint="eastAsia" w:ascii="宋体" w:hAnsi="宋体" w:eastAsia="宋体" w:cs="宋体"/>
          <w:b/>
          <w:bCs/>
          <w:color w:val="auto"/>
          <w:sz w:val="24"/>
          <w:szCs w:val="24"/>
          <w:highlight w:val="none"/>
        </w:rPr>
        <w:t xml:space="preserve">售后服务承诺书</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格式自拟</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p>
    <w:p>
      <w:pPr>
        <w:contextualSpacing/>
        <w:ind w:firstLine="480"/>
        <w:keepLines w:val="0"/>
        <w:keepNext w:val="0"/>
        <w:pageBreakBefore w:val="0"/>
        <w:spacing w:line="560" w:lineRule="exact"/>
        <w:tabs>
          <w:tab w:val="left" w:pos="53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禁止使用假冒伪劣产品，必须是原厂灯具，验收交付所使用的灯具必须与投标灯具一致，否则</w:t>
      </w:r>
      <w:r>
        <w:rPr>
          <w:rFonts w:hint="eastAsia" w:ascii="宋体" w:hAnsi="宋体" w:cs="宋体"/>
          <w:color w:val="auto"/>
          <w:sz w:val="24"/>
          <w:szCs w:val="24"/>
          <w:highlight w:val="none"/>
          <w:lang w:val="en-US" w:eastAsia="zh-CN"/>
        </w:rPr>
        <w:t xml:space="preserve">取消其中标资格并追究责任</w:t>
      </w:r>
      <w:r>
        <w:rPr>
          <w:rFonts w:hint="eastAsia" w:ascii="宋体" w:hAnsi="宋体" w:eastAsia="宋体" w:cs="宋体"/>
          <w:color w:val="auto"/>
          <w:sz w:val="24"/>
          <w:szCs w:val="24"/>
          <w:highlight w:val="none"/>
        </w:rPr>
        <w:t xml:space="preserve">。</w:t>
      </w:r>
      <w:r/>
    </w:p>
    <w:p>
      <w:pPr>
        <w:contextualSpacing/>
        <w:ind w:firstLine="640"/>
        <w:keepLines w:val="0"/>
        <w:keepNext w:val="0"/>
        <w:pageBreakBefore w:val="0"/>
        <w:spacing w:line="560" w:lineRule="exact"/>
        <w:tabs>
          <w:tab w:val="left" w:pos="5325" w:leader="none"/>
        </w:tabs>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2.6</w:t>
      </w:r>
      <w:r>
        <w:rPr>
          <w:rFonts w:hint="eastAsia" w:ascii="宋体" w:hAnsi="宋体" w:eastAsia="宋体" w:cs="宋体"/>
          <w:b/>
          <w:bCs/>
          <w:color w:val="auto"/>
          <w:sz w:val="24"/>
          <w:szCs w:val="24"/>
          <w:highlight w:val="none"/>
        </w:rPr>
        <w:t xml:space="preserve">宣传标示牌：</w:t>
      </w:r>
      <w:r/>
    </w:p>
    <w:p>
      <w:pPr>
        <w:contextualSpacing/>
        <w:ind w:firstLine="640"/>
        <w:keepLines w:val="0"/>
        <w:keepNext w:val="0"/>
        <w:pageBreakBefore w:val="0"/>
        <w:spacing w:line="560" w:lineRule="exact"/>
        <w:tabs>
          <w:tab w:val="left" w:pos="53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应牢固固定于进出口区域，面板采用不锈钢材质，耐蚀性能相当于0Cr18Ni9（SUS304），厚度1mm，面板边缘及尖角不得翘起，图样及字样蚀刻处理；</w:t>
      </w:r>
      <w:r/>
    </w:p>
    <w:p>
      <w:pPr>
        <w:contextualSpacing/>
        <w:ind w:firstLine="640"/>
        <w:keepLines w:val="0"/>
        <w:keepNext w:val="0"/>
        <w:pageBreakBefore w:val="0"/>
        <w:spacing w:line="560" w:lineRule="exact"/>
        <w:tabs>
          <w:tab w:val="left" w:pos="53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包含：中国体育彩票公益金资助标识；产品名称、型号；简明的科学健身提示，功能介绍、使用方法，产品使用安全注意事项、必要的警示标志；产品供应商的全称、生产地址、安装日期、安全使用年限、执行标准，售后服务电话及督查电话，产品认证标志；管理维护单位及联系电话等。</w:t>
      </w:r>
      <w:r/>
    </w:p>
    <w:p>
      <w:pPr>
        <w:contextualSpacing/>
        <w:ind w:firstLine="640"/>
        <w:keepLines w:val="0"/>
        <w:keepNext w:val="0"/>
        <w:pageBreakBefore w:val="0"/>
        <w:spacing w:line="560" w:lineRule="exact"/>
        <w:tabs>
          <w:tab w:val="left" w:pos="53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安全警示，应有禁止攀爬的警示语，安全出/入口的</w:t>
      </w:r>
      <w:r>
        <w:rPr>
          <w:rFonts w:hint="eastAsia" w:ascii="宋体" w:hAnsi="宋体" w:cs="宋体"/>
          <w:color w:val="auto"/>
          <w:sz w:val="24"/>
          <w:szCs w:val="24"/>
          <w:highlight w:val="none"/>
          <w:lang w:eastAsia="zh-CN"/>
        </w:rPr>
        <w:t xml:space="preserve">标</w:t>
      </w:r>
      <w:r>
        <w:rPr>
          <w:rFonts w:hint="eastAsia" w:ascii="宋体" w:hAnsi="宋体" w:cs="宋体"/>
          <w:color w:val="auto"/>
          <w:sz w:val="24"/>
          <w:szCs w:val="24"/>
          <w:highlight w:val="none"/>
          <w:lang w:val="en-US" w:eastAsia="zh-CN"/>
        </w:rPr>
        <w:t xml:space="preserve">示</w:t>
      </w:r>
      <w:r>
        <w:rPr>
          <w:rFonts w:hint="eastAsia" w:ascii="宋体" w:hAnsi="宋体" w:eastAsia="宋体" w:cs="宋体"/>
          <w:color w:val="auto"/>
          <w:sz w:val="24"/>
          <w:szCs w:val="24"/>
          <w:highlight w:val="none"/>
        </w:rPr>
        <w:t xml:space="preserve">。</w:t>
      </w:r>
      <w:r/>
    </w:p>
    <w:p>
      <w:pPr>
        <w:pStyle w:val="656"/>
        <w:ind w:firstLine="482"/>
        <w:keepLines w:val="0"/>
        <w:keepNext w:val="0"/>
        <w:pageBreakBefore w:val="0"/>
        <w:spacing w:line="560" w:lineRule="exact"/>
        <w:rPr>
          <w:rFonts w:hint="eastAsia" w:ascii="宋体" w:hAnsi="宋体" w:eastAsia="宋体" w:cs="宋体"/>
          <w:b/>
          <w:bCs w:val="0"/>
          <w:color w:val="auto"/>
          <w:sz w:val="24"/>
          <w:szCs w:val="24"/>
          <w:highlight w:val="none"/>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2.7</w:t>
      </w:r>
      <w:r>
        <w:rPr>
          <w:rFonts w:hint="eastAsia" w:ascii="宋体" w:hAnsi="宋体" w:eastAsia="宋体" w:cs="宋体"/>
          <w:b/>
          <w:bCs w:val="0"/>
          <w:color w:val="auto"/>
          <w:sz w:val="24"/>
          <w:szCs w:val="24"/>
          <w:highlight w:val="none"/>
        </w:rPr>
        <w:t xml:space="preserve">踏勘现场 </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lang w:val="en-US" w:eastAsia="zh-CN"/>
        </w:rPr>
        <w:t xml:space="preserve">.7.1</w:t>
      </w:r>
      <w:r>
        <w:rPr>
          <w:rFonts w:hint="eastAsia" w:ascii="宋体" w:hAnsi="宋体" w:eastAsia="宋体" w:cs="宋体"/>
          <w:bCs/>
          <w:color w:val="auto"/>
          <w:sz w:val="24"/>
          <w:szCs w:val="24"/>
          <w:highlight w:val="none"/>
        </w:rPr>
        <w:t xml:space="preserve">采购人不组织供应商踏勘现场，供应商可自行对施工现场和周围环境进行勘察，以获取编制响应文件和签署合同所需的所有资料。 </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lang w:val="en-US" w:eastAsia="zh-CN"/>
        </w:rPr>
        <w:t xml:space="preserve">.7.2</w:t>
      </w:r>
      <w:r>
        <w:rPr>
          <w:rFonts w:hint="eastAsia" w:ascii="宋体" w:hAnsi="宋体" w:eastAsia="宋体" w:cs="宋体"/>
          <w:bCs/>
          <w:color w:val="auto"/>
          <w:sz w:val="24"/>
          <w:szCs w:val="24"/>
          <w:highlight w:val="none"/>
        </w:rPr>
        <w:t xml:space="preserve">供应商踏勘现场发生的费用自理。 </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lang w:val="en-US" w:eastAsia="zh-CN"/>
        </w:rPr>
        <w:t xml:space="preserve">.7.3</w:t>
      </w:r>
      <w:r>
        <w:rPr>
          <w:rFonts w:hint="eastAsia" w:ascii="宋体" w:hAnsi="宋体" w:eastAsia="宋体" w:cs="宋体"/>
          <w:bCs/>
          <w:color w:val="auto"/>
          <w:sz w:val="24"/>
          <w:szCs w:val="24"/>
          <w:highlight w:val="none"/>
        </w:rPr>
        <w:t xml:space="preserve">供应商自行负责在踏勘现场中所发生的人员伤亡和财产损失。 </w:t>
      </w:r>
      <w:r/>
    </w:p>
    <w:p>
      <w:pPr>
        <w:ind w:firstLine="480"/>
        <w:keepLines w:val="0"/>
        <w:keepNext w:val="0"/>
        <w:pageBreakBefore w:val="0"/>
        <w:spacing w:line="560" w:lineRule="exact"/>
        <w:rPr>
          <w:rFonts w:hint="default" w:ascii="宋体" w:hAnsi="宋体" w:eastAsia="宋体" w:cs="宋体"/>
          <w:bCs/>
          <w:color w:val="auto"/>
          <w:sz w:val="24"/>
          <w:szCs w:val="24"/>
          <w:highlight w:val="none"/>
          <w:lang w:val="en-US"/>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2.7.4勘探现场联系</w:t>
      </w:r>
      <w:r>
        <w:rPr>
          <w:rFonts w:hint="eastAsia" w:ascii="宋体" w:hAnsi="宋体" w:cs="宋体"/>
          <w:bCs/>
          <w:color w:val="auto"/>
          <w:sz w:val="24"/>
          <w:szCs w:val="24"/>
          <w:highlight w:val="none"/>
          <w:lang w:val="en-US" w:eastAsia="zh-CN"/>
        </w:rPr>
        <w:t xml:space="preserve">电话：0513-88919916</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四、采购标的的数量、采购项目交付或者实施的时间和地点： </w:t>
      </w:r>
      <w:r/>
    </w:p>
    <w:p>
      <w:pPr>
        <w:ind w:firstLine="480"/>
        <w:spacing w:line="560" w:lineRule="exact"/>
        <w:rPr>
          <w:rFonts w:hint="eastAsia" w:ascii="宋体" w:hAnsi="宋体"/>
          <w:color w:val="auto"/>
          <w:sz w:val="24"/>
          <w:szCs w:val="24"/>
          <w:highlight w:val="none"/>
          <w:lang w:val="en-US" w:eastAsia="zh-CN"/>
        </w:rPr>
      </w:pPr>
      <w:r>
        <w:rPr>
          <w:rFonts w:hint="eastAsia" w:ascii="Times New Roman" w:hAnsi="Times New Roman"/>
          <w:color w:val="auto"/>
          <w:sz w:val="24"/>
          <w:szCs w:val="24"/>
          <w:highlight w:val="none"/>
        </w:rPr>
        <w:t xml:space="preserve">项目交付或者实施的时间：</w:t>
      </w:r>
      <w:r>
        <w:rPr>
          <w:rFonts w:hint="eastAsia" w:ascii="宋体" w:hAnsi="宋体"/>
          <w:color w:val="auto"/>
          <w:sz w:val="24"/>
          <w:szCs w:val="24"/>
          <w:highlight w:val="none"/>
          <w:lang w:val="en-US" w:eastAsia="zh-CN"/>
        </w:rPr>
        <w:t xml:space="preserve">包一</w:t>
      </w:r>
      <w:r>
        <w:rPr>
          <w:rFonts w:hint="eastAsia" w:ascii="宋体" w:hAnsi="宋体"/>
          <w:color w:val="auto"/>
          <w:sz w:val="24"/>
          <w:szCs w:val="24"/>
          <w:highlight w:val="none"/>
        </w:rPr>
        <w:t xml:space="preserve">自合同签定之日起</w:t>
      </w:r>
      <w:r>
        <w:rPr>
          <w:rFonts w:hint="eastAsia" w:ascii="宋体" w:hAnsi="宋体"/>
          <w:color w:val="auto"/>
          <w:sz w:val="24"/>
          <w:szCs w:val="24"/>
          <w:highlight w:val="none"/>
          <w:lang w:val="en-US" w:eastAsia="zh-CN"/>
        </w:rPr>
        <w:t xml:space="preserve">45</w:t>
      </w:r>
      <w:r>
        <w:rPr>
          <w:rFonts w:hint="eastAsia" w:ascii="宋体" w:hAnsi="宋体"/>
          <w:color w:val="auto"/>
          <w:sz w:val="24"/>
          <w:szCs w:val="24"/>
          <w:highlight w:val="none"/>
        </w:rPr>
        <w:t xml:space="preserve">天内完成供货安装，</w:t>
      </w:r>
      <w:r>
        <w:rPr>
          <w:rFonts w:hint="eastAsia" w:ascii="宋体" w:hAnsi="宋体"/>
          <w:color w:val="auto"/>
          <w:sz w:val="24"/>
          <w:szCs w:val="24"/>
          <w:highlight w:val="none"/>
          <w:lang w:val="en-US" w:eastAsia="zh-CN"/>
        </w:rPr>
        <w:t xml:space="preserve">包二</w:t>
      </w:r>
      <w:r>
        <w:rPr>
          <w:rFonts w:hint="eastAsia" w:ascii="宋体" w:hAnsi="宋体"/>
          <w:color w:val="auto"/>
          <w:sz w:val="24"/>
          <w:szCs w:val="24"/>
          <w:highlight w:val="none"/>
        </w:rPr>
        <w:t xml:space="preserve">自合同签定之日起</w:t>
      </w:r>
      <w:r>
        <w:rPr>
          <w:rFonts w:hint="eastAsia" w:ascii="宋体" w:hAnsi="宋体"/>
          <w:color w:val="auto"/>
          <w:sz w:val="24"/>
          <w:szCs w:val="24"/>
          <w:highlight w:val="none"/>
          <w:lang w:val="en-US" w:eastAsia="zh-CN"/>
        </w:rPr>
        <w:t xml:space="preserve">60</w:t>
      </w:r>
      <w:r>
        <w:rPr>
          <w:rFonts w:hint="eastAsia" w:ascii="宋体" w:hAnsi="宋体"/>
          <w:color w:val="auto"/>
          <w:sz w:val="24"/>
          <w:szCs w:val="24"/>
          <w:highlight w:val="none"/>
        </w:rPr>
        <w:t xml:space="preserve">天内完成供货安装</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因天气情况或不可抗拒等因素，可适当延长安装期间</w:t>
      </w:r>
      <w:r>
        <w:rPr>
          <w:rFonts w:hint="eastAsia" w:ascii="宋体" w:hAnsi="宋体"/>
          <w:color w:val="auto"/>
          <w:sz w:val="24"/>
          <w:szCs w:val="24"/>
          <w:highlight w:val="none"/>
          <w:lang w:eastAsia="zh-CN"/>
        </w:rPr>
        <w:t xml:space="preserve">。（供应商逾期交付货物的，应按逾期交货总额每日0.1%向采购人支付违约金，由采购人从待付货款中扣除。逾期超过约定日期</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lang w:eastAsia="zh-CN"/>
        </w:rPr>
        <w:t xml:space="preserve">个工作日不能交货的，采购人可解除本合同。供应商因逾期交货或因其他违约行为导致甲方解除合同的，供应商应向采购人支付合同总值5%的违约金，如造成采购人损失超过违约金的，超出部分由供应商继续承担赔偿责任。供应商所提交的货物品种、型号、规格、技术参数、质量不符合国家标准及采购文件规定标准的，采购人有权拒收该货物，供应商愿意更换货物但逾期交货的，按供应商逾期交货处理。供应商拒绝更换货物的，采购人可单方面解除合同。）</w:t>
      </w:r>
      <w:r>
        <w:rPr>
          <w:rFonts w:hint="eastAsia" w:ascii="宋体" w:hAnsi="宋体"/>
          <w:color w:val="auto"/>
          <w:sz w:val="24"/>
          <w:szCs w:val="24"/>
          <w:highlight w:val="none"/>
          <w:lang w:val="en-US" w:eastAsia="zh-CN"/>
        </w:rPr>
        <w:t xml:space="preserve">            </w:t>
      </w:r>
      <w:r/>
    </w:p>
    <w:p>
      <w:pPr>
        <w:ind w:firstLine="480"/>
        <w:spacing w:line="5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rPr>
        <w:t xml:space="preserve">项目交付地点：采购人指定地点，并负责安装、调试。货物装卸、运输涉及的保险，其费用包含在合同总价中。合同项目</w:t>
      </w:r>
      <w:r>
        <w:rPr>
          <w:rFonts w:hint="eastAsia"/>
          <w:color w:val="auto"/>
          <w:sz w:val="24"/>
          <w:szCs w:val="24"/>
          <w:highlight w:val="none"/>
          <w:lang w:eastAsia="zh-CN"/>
        </w:rPr>
        <w:t xml:space="preserve">涉及</w:t>
      </w:r>
      <w:r>
        <w:rPr>
          <w:rFonts w:hint="eastAsia" w:ascii="Times New Roman" w:hAnsi="Times New Roman"/>
          <w:color w:val="auto"/>
          <w:sz w:val="24"/>
          <w:szCs w:val="24"/>
          <w:highlight w:val="none"/>
        </w:rPr>
        <w:t xml:space="preserve">的需求产品交货时，外包装应完整无破损。</w:t>
      </w:r>
      <w:r>
        <w:rPr>
          <w:rFonts w:hint="eastAsia"/>
          <w:color w:val="auto"/>
          <w:sz w:val="24"/>
          <w:szCs w:val="24"/>
          <w:highlight w:val="none"/>
          <w:lang w:val="en-US" w:eastAsia="zh-CN"/>
        </w:rPr>
        <w:t xml:space="preserve">  </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五、采购标的需满足的服务标准、期限、效率等要求： </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质保</w:t>
      </w:r>
      <w:r>
        <w:rPr>
          <w:rFonts w:hint="eastAsia" w:ascii="Times New Roman" w:hAnsi="Times New Roman"/>
          <w:color w:val="auto"/>
          <w:sz w:val="24"/>
          <w:szCs w:val="24"/>
          <w:highlight w:val="none"/>
        </w:rPr>
        <w:t xml:space="preserve">期限：本次采购项目建设整体和涉及的所有产品设备，其质保期限均至少为8年。免费质保期为8年，</w:t>
      </w:r>
      <w:r>
        <w:rPr>
          <w:rFonts w:hint="eastAsia"/>
          <w:color w:val="auto"/>
          <w:sz w:val="24"/>
          <w:szCs w:val="24"/>
          <w:highlight w:val="none"/>
          <w:lang w:val="en-US" w:eastAsia="zh-CN"/>
        </w:rPr>
        <w:t xml:space="preserve">其中</w:t>
      </w:r>
      <w:r>
        <w:rPr>
          <w:rFonts w:hint="eastAsia" w:ascii="Times New Roman" w:hAnsi="Times New Roman"/>
          <w:color w:val="auto"/>
          <w:sz w:val="24"/>
          <w:szCs w:val="24"/>
          <w:highlight w:val="none"/>
        </w:rPr>
        <w:t xml:space="preserve">光源</w:t>
      </w:r>
      <w:r>
        <w:rPr>
          <w:rFonts w:hint="eastAsia"/>
          <w:color w:val="auto"/>
          <w:sz w:val="24"/>
          <w:szCs w:val="24"/>
          <w:highlight w:val="none"/>
          <w:lang w:val="en-US" w:eastAsia="zh-CN"/>
        </w:rPr>
        <w:t xml:space="preserve">及灯具</w:t>
      </w:r>
      <w:r>
        <w:rPr>
          <w:rFonts w:hint="eastAsia" w:ascii="Times New Roman" w:hAnsi="Times New Roman"/>
          <w:color w:val="auto"/>
          <w:sz w:val="24"/>
          <w:szCs w:val="24"/>
          <w:highlight w:val="none"/>
        </w:rPr>
        <w:t xml:space="preserve">免费质保6年</w:t>
      </w:r>
      <w:r>
        <w:rPr>
          <w:rFonts w:hint="eastAsia" w:ascii="Times New Roman" w:hAnsi="Times New Roman"/>
          <w:color w:val="auto"/>
          <w:sz w:val="24"/>
          <w:szCs w:val="24"/>
          <w:highlight w:val="none"/>
          <w:lang w:eastAsia="zh-CN"/>
        </w:rPr>
        <w:t xml:space="preserve">，自项目整体验收合格之日起算。质保期内，因设备质量、施工工艺缺陷等非人为因素导致的问题，成交供应商须提供免费维修、更换服务，维修及更换所需的配件、人工、上门服务等全部费用均由成交供应商承担。</w:t>
      </w:r>
      <w:r/>
    </w:p>
    <w:p>
      <w:pPr>
        <w:ind w:firstLine="480"/>
        <w:spacing w:line="560" w:lineRule="exact"/>
        <w:rPr>
          <w:rFonts w:hint="eastAsia"/>
          <w:color w:val="auto"/>
          <w:sz w:val="24"/>
          <w:szCs w:val="24"/>
          <w:highlight w:val="none"/>
          <w:lang w:val="en-US" w:eastAsia="zh-CN"/>
        </w:rPr>
      </w:pPr>
      <w:r>
        <w:rPr>
          <w:rFonts w:hint="eastAsia" w:ascii="Times New Roman" w:hAnsi="Times New Roman"/>
          <w:color w:val="auto"/>
          <w:sz w:val="24"/>
          <w:szCs w:val="24"/>
          <w:highlight w:val="none"/>
        </w:rPr>
        <w:t xml:space="preserve">质量要求：</w:t>
      </w:r>
      <w:r>
        <w:rPr>
          <w:rFonts w:hint="eastAsia"/>
          <w:color w:val="auto"/>
          <w:sz w:val="24"/>
          <w:szCs w:val="24"/>
          <w:highlight w:val="none"/>
          <w:lang w:val="en-US" w:eastAsia="zh-CN"/>
        </w:rPr>
        <w:t xml:space="preserve">符合相关标准。在质保期内，成交人所供产品出现质量问题时，在接到采购人通知后须及时响应，免费修复或更换；如成交人在接到通知后24小时内没有答复或处理问题，则视为成交人承认质量问题并承担由此而发生的一切费用。因质保期间的一切质量问题，造成的货物更换或退货相关费用及产品本身质量原因造成的直接经济损失应全部由成交人负责；</w:t>
      </w:r>
      <w:r/>
    </w:p>
    <w:p>
      <w:pPr>
        <w:ind w:firstLine="480"/>
        <w:spacing w:line="56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在质保期满后，产品出现问题时，成交人仍需做好售后服务，并在采购单位要求的时限内赶到现场，及时处理解决；</w:t>
      </w:r>
      <w:r/>
    </w:p>
    <w:p>
      <w:pPr>
        <w:ind w:firstLine="480"/>
        <w:spacing w:line="56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合同履行期间涉及安全由成交供应商全部负责，涉及安全所产生的相关费用一律由成交供应商承担；</w:t>
      </w:r>
      <w:r/>
    </w:p>
    <w:p>
      <w:pPr>
        <w:ind w:firstLine="480"/>
        <w:spacing w:line="56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响应供应商需提前自行踏勘现场，充分考虑场地及场地周边情况，施工时涉及到的部分绿化移栽，成交供应商需提前与采购方确认。施工过程中须做好成品保护和安全防护，如有破坏按原样修复到位，相关费用供应商在投标标价中综合考虑，结算时不调整。</w:t>
      </w:r>
      <w:r/>
    </w:p>
    <w:p>
      <w:pPr>
        <w:contextualSpacing/>
        <w:ind w:firstLine="482"/>
        <w:keepLines w:val="0"/>
        <w:keepNext w:val="0"/>
        <w:pageBreakBefore w:val="0"/>
        <w:spacing w:line="560" w:lineRule="exact"/>
        <w:tabs>
          <w:tab w:val="left" w:pos="5325"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现场条件</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 </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施工现场拆迁及平整情况：以施工场地的现状为准。采购人提供的现状场地，成交供应商必须无条件接受。各供应商根据踏勘现场的情况自行制定相应措施，施工期间不得损坏周边绿化及现有相关设施。若有损坏，成交人必须无条件恢复原样，所发生的费用由各供应商自行考虑，并列入投标报价，项目结算时不作调整。若成交人拒绝恢复，采购人有权找相应施工单位恢复，产生的费用由采购人直接从合同价款中扣除。  </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施工用水、电：施工现场临时用水、用电，由成交供应商自行解决，相关费用列入报价，结算时不予调整。 </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场内外道路：以施工场地的现状为准。施工便道由供应商自行考虑，并列入投标报价，工程结算时不作调整。 </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其他：供应商应认真对现场环境进行踏勘，对施工现场情况和影响施工的因素以及困难条件进行周密的勘察和研究，</w:t>
      </w:r>
      <w:r>
        <w:rPr>
          <w:rFonts w:hint="eastAsia" w:ascii="宋体" w:hAnsi="宋体" w:eastAsia="宋体" w:cs="宋体"/>
          <w:bCs/>
          <w:color w:val="auto"/>
          <w:sz w:val="24"/>
          <w:szCs w:val="24"/>
          <w:highlight w:val="none"/>
          <w:lang w:eastAsia="zh-CN"/>
        </w:rPr>
        <w:t xml:space="preserve">做出</w:t>
      </w:r>
      <w:r>
        <w:rPr>
          <w:rFonts w:hint="eastAsia" w:ascii="宋体" w:hAnsi="宋体" w:eastAsia="宋体" w:cs="宋体"/>
          <w:bCs/>
          <w:color w:val="auto"/>
          <w:sz w:val="24"/>
          <w:szCs w:val="24"/>
          <w:highlight w:val="none"/>
        </w:rPr>
        <w:t xml:space="preserve">自己的判断结论和估价。成交后和签订合同时及施工过程中，供应商均不得以不了解现场情况为由，提出任何形式增加</w:t>
      </w:r>
      <w:r>
        <w:rPr>
          <w:rFonts w:hint="eastAsia" w:ascii="宋体" w:hAnsi="宋体" w:eastAsia="宋体" w:cs="宋体"/>
          <w:bCs/>
          <w:color w:val="auto"/>
          <w:sz w:val="24"/>
          <w:szCs w:val="24"/>
          <w:highlight w:val="none"/>
          <w:lang w:val="en-US" w:eastAsia="zh-CN"/>
        </w:rPr>
        <w:t xml:space="preserve">项目</w:t>
      </w:r>
      <w:r>
        <w:rPr>
          <w:rFonts w:hint="eastAsia" w:ascii="宋体" w:hAnsi="宋体" w:eastAsia="宋体" w:cs="宋体"/>
          <w:bCs/>
          <w:color w:val="auto"/>
          <w:sz w:val="24"/>
          <w:szCs w:val="24"/>
          <w:highlight w:val="none"/>
        </w:rPr>
        <w:t xml:space="preserve">造价的要求，施工时因场地问题（包括施工场地及临时施工场地）引起的成本费用增加，均由供应商自行承担，结算时不予调整。成交供应商应独立、有效的做好该工程周边的有关群众工作，并充分考虑工程实施范围内外的施工单位、个人和其他可能出现阻挠施工等不可预料突发的情况，若因此发生的机械台班停置费、二次机械进退场费、人员窝工、处理周边群众纠纷等费用和损失等，由供应商自行考虑，并列入投标报价，工程结算时不</w:t>
      </w:r>
      <w:r>
        <w:rPr>
          <w:rFonts w:hint="eastAsia" w:ascii="宋体" w:hAnsi="宋体" w:eastAsia="宋体" w:cs="宋体"/>
          <w:bCs/>
          <w:color w:val="auto"/>
          <w:sz w:val="24"/>
          <w:szCs w:val="24"/>
          <w:highlight w:val="none"/>
          <w:lang w:eastAsia="zh-CN"/>
        </w:rPr>
        <w:t xml:space="preserve">做</w:t>
      </w:r>
      <w:r>
        <w:rPr>
          <w:rFonts w:hint="eastAsia" w:ascii="宋体" w:hAnsi="宋体" w:eastAsia="宋体" w:cs="宋体"/>
          <w:bCs/>
          <w:color w:val="auto"/>
          <w:sz w:val="24"/>
          <w:szCs w:val="24"/>
          <w:highlight w:val="none"/>
        </w:rPr>
        <w:t xml:space="preserve">调整，并无条件接受建设单位、监理单位的协调、管理，做好与其他专业分包单位的配套、成品保护、防盗等工作。</w:t>
      </w:r>
      <w:r/>
    </w:p>
    <w:p>
      <w:pPr>
        <w:ind w:firstLine="480"/>
        <w:keepLines w:val="0"/>
        <w:keepNext w:val="0"/>
        <w:pageBreakBefore w:val="0"/>
        <w:spacing w:line="560" w:lineRule="exact"/>
        <w:rPr>
          <w:rFonts w:hint="eastAsia" w:ascii="宋体" w:hAnsi="宋体" w:eastAsia="宋体" w:cs="宋体"/>
          <w:color w:val="auto"/>
          <w:spacing w:val="-2"/>
          <w:sz w:val="24"/>
          <w:szCs w:val="24"/>
          <w:highlight w:val="none"/>
          <w:lang w:eastAsia="zh-CN"/>
        </w:rPr>
      </w:pPr>
      <w:r>
        <w:rPr>
          <w:rFonts w:hint="eastAsia" w:ascii="宋体" w:hAnsi="宋体" w:eastAsia="宋体" w:cs="宋体"/>
          <w:b w:val="0"/>
          <w:bCs/>
          <w:color w:val="auto"/>
          <w:sz w:val="24"/>
          <w:szCs w:val="24"/>
          <w:highlight w:val="none"/>
        </w:rPr>
        <w:t xml:space="preserve">供应商须对</w:t>
      </w:r>
      <w:r>
        <w:rPr>
          <w:rFonts w:hint="eastAsia" w:ascii="宋体" w:hAnsi="宋体" w:eastAsia="宋体" w:cs="宋体"/>
          <w:b w:val="0"/>
          <w:bCs/>
          <w:color w:val="auto"/>
          <w:sz w:val="24"/>
          <w:szCs w:val="24"/>
          <w:highlight w:val="none"/>
          <w:lang w:val="en-US" w:eastAsia="zh-CN"/>
        </w:rPr>
        <w:t xml:space="preserve">所有器材</w:t>
      </w:r>
      <w:r>
        <w:rPr>
          <w:rFonts w:hint="eastAsia" w:ascii="宋体" w:hAnsi="宋体" w:eastAsia="宋体" w:cs="宋体"/>
          <w:b w:val="0"/>
          <w:bCs/>
          <w:color w:val="auto"/>
          <w:sz w:val="24"/>
          <w:szCs w:val="24"/>
          <w:highlight w:val="none"/>
        </w:rPr>
        <w:t xml:space="preserve">进行编码，统一</w:t>
      </w:r>
      <w:r>
        <w:rPr>
          <w:rFonts w:hint="eastAsia" w:ascii="宋体" w:hAnsi="宋体" w:eastAsia="宋体" w:cs="宋体"/>
          <w:b w:val="0"/>
          <w:bCs/>
          <w:color w:val="auto"/>
          <w:sz w:val="24"/>
          <w:szCs w:val="24"/>
          <w:highlight w:val="none"/>
          <w:lang w:val="en-US" w:eastAsia="zh-CN"/>
        </w:rPr>
        <w:t xml:space="preserve">在器材上印制不锈钢铭牌标识</w:t>
      </w:r>
      <w:r>
        <w:rPr>
          <w:rFonts w:hint="eastAsia" w:ascii="宋体" w:hAnsi="宋体" w:eastAsia="宋体" w:cs="宋体"/>
          <w:b w:val="0"/>
          <w:bCs/>
          <w:color w:val="auto"/>
          <w:sz w:val="24"/>
          <w:szCs w:val="24"/>
          <w:highlight w:val="none"/>
        </w:rPr>
        <w:t xml:space="preserve">，</w:t>
      </w:r>
      <w:r>
        <w:rPr>
          <w:rFonts w:hint="eastAsia" w:ascii="宋体" w:hAnsi="宋体" w:eastAsia="宋体" w:cs="宋体"/>
          <w:color w:val="auto"/>
          <w:sz w:val="24"/>
          <w:szCs w:val="24"/>
          <w:highlight w:val="none"/>
        </w:rPr>
        <w:t xml:space="preserve">将站点和器材详细信息按要求</w:t>
      </w:r>
      <w:r>
        <w:rPr>
          <w:rFonts w:hint="eastAsia" w:ascii="宋体" w:hAnsi="宋体" w:eastAsia="宋体" w:cs="宋体"/>
          <w:color w:val="auto"/>
          <w:spacing w:val="-2"/>
          <w:sz w:val="24"/>
          <w:szCs w:val="24"/>
          <w:highlight w:val="none"/>
        </w:rPr>
        <w:t xml:space="preserve">录入</w:t>
      </w:r>
      <w:r>
        <w:rPr>
          <w:rFonts w:hint="eastAsia" w:ascii="宋体" w:hAnsi="宋体" w:cs="宋体"/>
          <w:color w:val="auto"/>
          <w:spacing w:val="-2"/>
          <w:sz w:val="24"/>
          <w:szCs w:val="24"/>
          <w:highlight w:val="none"/>
          <w:lang w:val="en-US" w:eastAsia="zh-CN"/>
        </w:rPr>
        <w:t xml:space="preserve">江苏</w:t>
      </w:r>
      <w:r>
        <w:rPr>
          <w:rFonts w:hint="eastAsia" w:ascii="宋体" w:hAnsi="宋体" w:eastAsia="宋体" w:cs="宋体"/>
          <w:color w:val="auto"/>
          <w:spacing w:val="-2"/>
          <w:sz w:val="24"/>
          <w:szCs w:val="24"/>
          <w:highlight w:val="none"/>
        </w:rPr>
        <w:t xml:space="preserve">省全民健身设施管理维护信息平台，并激活编码。</w:t>
      </w:r>
      <w:r>
        <w:rPr>
          <w:rFonts w:hint="eastAsia" w:ascii="宋体" w:hAnsi="宋体" w:cs="宋体"/>
          <w:color w:val="auto"/>
          <w:spacing w:val="-2"/>
          <w:sz w:val="24"/>
          <w:szCs w:val="24"/>
          <w:highlight w:val="none"/>
          <w:lang w:val="en-US" w:eastAsia="zh-CN"/>
        </w:rPr>
        <w:t xml:space="preserve">所有器材显著位置需</w:t>
      </w:r>
      <w:r>
        <w:rPr>
          <w:rFonts w:hint="eastAsia" w:ascii="宋体" w:hAnsi="宋体" w:eastAsia="宋体" w:cs="宋体"/>
          <w:color w:val="auto"/>
          <w:spacing w:val="-2"/>
          <w:sz w:val="24"/>
          <w:szCs w:val="24"/>
          <w:highlight w:val="none"/>
        </w:rPr>
        <w:t xml:space="preserve">标明“中国体育彩票”标志</w:t>
      </w:r>
      <w:r>
        <w:rPr>
          <w:rFonts w:hint="eastAsia" w:ascii="宋体" w:hAnsi="宋体" w:cs="宋体"/>
          <w:color w:val="auto"/>
          <w:spacing w:val="-2"/>
          <w:sz w:val="24"/>
          <w:szCs w:val="24"/>
          <w:highlight w:val="none"/>
          <w:lang w:val="en-US" w:eastAsia="zh-CN"/>
        </w:rPr>
        <w:t xml:space="preserve">标志，安装要求须符合《江苏省体育彩票公益金资助项目宣传管理办法》</w:t>
      </w:r>
      <w:r>
        <w:rPr>
          <w:rFonts w:hint="eastAsia" w:ascii="宋体" w:hAnsi="宋体" w:cs="宋体"/>
          <w:color w:val="auto"/>
          <w:spacing w:val="-2"/>
          <w:sz w:val="24"/>
          <w:szCs w:val="24"/>
          <w:highlight w:val="none"/>
          <w:lang w:eastAsia="zh-CN"/>
        </w:rPr>
        <w:t xml:space="preserve">。</w:t>
      </w:r>
      <w:r/>
    </w:p>
    <w:p>
      <w:pPr>
        <w:ind w:firstLine="472"/>
        <w:keepLines w:val="0"/>
        <w:keepNext w:val="0"/>
        <w:pageBreakBefore w:val="0"/>
        <w:spacing w:line="560" w:lineRule="exact"/>
        <w:rPr>
          <w:rFonts w:hint="default"/>
          <w:color w:val="auto"/>
          <w:highlight w:val="none"/>
          <w:lang w:val="en-US" w:eastAsia="zh-CN"/>
        </w:rPr>
      </w:pPr>
      <w:r>
        <w:rPr>
          <w:rFonts w:hint="eastAsia" w:ascii="宋体" w:hAnsi="宋体" w:eastAsia="宋体" w:cs="宋体"/>
          <w:color w:val="auto"/>
          <w:spacing w:val="-2"/>
          <w:sz w:val="24"/>
          <w:szCs w:val="24"/>
          <w:highlight w:val="none"/>
        </w:rPr>
        <w:t xml:space="preserve">3.在设施或场地现场为体育彩票机构提</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六、采购标的的验收标准：</w:t>
      </w:r>
      <w:r/>
    </w:p>
    <w:p>
      <w:pPr>
        <w:ind w:firstLine="560"/>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严格根据采购文件、响应文件以及国家相关规定、标准进行验收，在规定期限内提供服务，服务清单与采购文件相符，服务能够完全满足文件技术要求、国家相关行业标准和采购人相关要求。</w:t>
      </w:r>
      <w:r/>
    </w:p>
    <w:p>
      <w:pPr>
        <w:ind w:firstLine="560"/>
        <w:spacing w:line="500" w:lineRule="exac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所有设备、设施、器材符合国家/行业对应标准及招标文件约定，为全新合格正品，且具备完整的产品质保书、出厂合格证及必要的检验或试验报告等证明材料；</w:t>
      </w:r>
      <w:r/>
    </w:p>
    <w:p>
      <w:pPr>
        <w:ind w:firstLine="560"/>
        <w:spacing w:line="500" w:lineRule="exact"/>
        <w:rPr>
          <w:rFonts w:hint="eastAsia"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 xml:space="preserve">采购</w:t>
      </w:r>
      <w:r>
        <w:rPr>
          <w:rFonts w:hint="eastAsia" w:ascii="Times New Roman" w:hAnsi="Times New Roman" w:eastAsia="宋体" w:cs="Times New Roman"/>
          <w:color w:val="auto"/>
          <w:sz w:val="24"/>
          <w:szCs w:val="24"/>
          <w:highlight w:val="none"/>
        </w:rPr>
        <w:t xml:space="preserve">人应就项目的整体标准，提供明确的验收方案，该方案须符合国家相关行业标准和验收标准。</w:t>
      </w:r>
      <w:r/>
    </w:p>
    <w:p>
      <w:pPr>
        <w:ind w:firstLine="560"/>
        <w:spacing w:line="500" w:lineRule="exact"/>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采购</w:t>
      </w:r>
      <w:r>
        <w:rPr>
          <w:rFonts w:hint="eastAsia" w:ascii="Times New Roman" w:hAnsi="Times New Roman" w:eastAsia="宋体" w:cs="Times New Roman"/>
          <w:color w:val="auto"/>
          <w:sz w:val="24"/>
          <w:szCs w:val="24"/>
          <w:highlight w:val="none"/>
          <w:lang w:val="en-US" w:eastAsia="zh-CN"/>
        </w:rPr>
        <w:t xml:space="preserve">人在接到中标人以书面形式提出验收申请后，在7个工作日内及时组织相关专业技术人员，必要时邀请质检等部门共同参与验收，并出具验收报告，作为支付货款的依据。如验收不合格，采购人有权终止合同，验收期间发生的一切费用由中标供应商承担。</w:t>
      </w:r>
      <w:r/>
    </w:p>
    <w:p>
      <w:pPr>
        <w:ind w:firstLine="560"/>
        <w:spacing w:line="50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项目建设整体在通过专项验收时，供应商应对其中的产品设备由于设计、工艺或材料的缺陷而发生的任何不足或故障负责，并承担由此引起的一切后果。</w:t>
      </w:r>
      <w:r/>
    </w:p>
    <w:p>
      <w:pPr>
        <w:ind w:firstLine="560"/>
        <w:spacing w:line="50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对于涉及因检测不合格的产品设备（批次），无条件退场，且采购人有权据此认定为是供应商自身的原因而导致该种结果，采购人有权单方面解除本项目的采购合同。</w:t>
      </w:r>
      <w:r/>
    </w:p>
    <w:p>
      <w:pPr>
        <w:ind w:firstLine="560"/>
        <w:spacing w:line="50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采购人有权拒收未通过验收而涉及到的产品设备。</w:t>
      </w:r>
      <w:r/>
    </w:p>
    <w:p>
      <w:pPr>
        <w:ind w:firstLine="560"/>
        <w:spacing w:line="500" w:lineRule="exact"/>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项</w:t>
      </w:r>
      <w:r>
        <w:rPr>
          <w:rFonts w:hint="eastAsia" w:ascii="Times New Roman" w:hAnsi="Times New Roman" w:eastAsia="宋体" w:cs="Times New Roman"/>
          <w:color w:val="auto"/>
          <w:sz w:val="24"/>
          <w:szCs w:val="24"/>
          <w:highlight w:val="none"/>
          <w:lang w:val="en-US" w:eastAsia="zh-CN"/>
        </w:rPr>
        <w:t xml:space="preserve">目建设整体验收合格的同时，供应商需提供项目内涉及的产品设备的质保书、保修证明等书面资料给采购人。</w:t>
      </w:r>
      <w:r/>
    </w:p>
    <w:p>
      <w:pPr>
        <w:ind w:firstLine="482"/>
        <w:spacing w:line="360" w:lineRule="auto"/>
        <w:rPr>
          <w:rFonts w:hint="eastAsia"/>
          <w:color w:val="auto"/>
          <w:highlight w:val="none"/>
        </w:rPr>
        <w:outlineLvl w:val="1"/>
      </w:pPr>
      <w:r>
        <w:rPr>
          <w:rFonts w:hint="eastAsia" w:eastAsia="宋体" w:cs="宋体"/>
          <w:b w:val="0"/>
          <w:bCs/>
          <w:color w:val="auto"/>
          <w:sz w:val="24"/>
          <w:szCs w:val="24"/>
          <w:highlight w:val="none"/>
          <w:lang w:val="en-US" w:eastAsia="zh-CN" w:bidi="ar-SA"/>
        </w:rPr>
        <w:t xml:space="preserve">本项目结算数量以现场实际验收合格的货物数量为准。中标人供货数量超出采购需求的部分，不予计量、不予增加合同价款，产生的所有费用由中标人自行承担；若实际供货合格数量少于采购数量，按中标综合单价据实扣减合同价款。</w:t>
      </w:r>
      <w:r/>
    </w:p>
    <w:p>
      <w:pPr>
        <w:ind w:firstLine="560"/>
        <w:spacing w:line="500" w:lineRule="exact"/>
        <w:rPr>
          <w:rFonts w:hint="eastAsia"/>
          <w:color w:val="auto"/>
          <w:highlight w:val="none"/>
        </w:rPr>
      </w:pPr>
      <w:r>
        <w:rPr>
          <w:rFonts w:hint="eastAsia" w:ascii="Times New Roman" w:hAnsi="Times New Roman" w:eastAsia="宋体" w:cs="Times New Roman"/>
          <w:color w:val="auto"/>
          <w:sz w:val="24"/>
          <w:szCs w:val="24"/>
          <w:highlight w:val="none"/>
        </w:rPr>
        <w:t xml:space="preserve">满足验收标准及采购人要求；由采购方组织验收，必要时邀请第三方检验检测认证机构专业技术力量参与，验收合格后方可投入使用，相关费用由采购方负责。如验收不合格，采购方有权中止合同，所产生的一切费用由成交供应商承担。</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七、采购标的的其他技术、服务等要求：</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7.1保密要求和安全协议。响应供应商应对项目中接触的点位、设备等信息资料保密；成交人应保证其公司人员对项目期间所接触的采购方各类文件、数据、资料、操作流程及要求等，严格保密，不得向第三方透露；严格遵守公安信息网络和图像专网的各项安全规定及要求，落实涉密责任。对投、成交方人员发生的泄密引起后果，采购方将严格追究相关单位和责任人责任，直至追究法律责任。签订合同后进行保密协议和相关安全协议的签订。</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7.2包装要求： </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7.2.1商品包装环保要求：应当按《关于印发〈商品包装政府采购需求标准（试行）〉、〈快递包装政府采购需求标准（试行）〉的通知》（财办库〔2020〕123号）文件执行。</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（1）商品包装层数不得超过 3 层，空隙率不大于 40%；</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（2）商品包装尽可能使用单一材质的包装材料，如因功能需求必需使用不同材质，不同材质间应便于分离；</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（3）商品包装中铅、汞、镉、六价铬的总含量应不大于100mg/kg；</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（4）商品包装印刷使用的油墨中挥发性有机化合物(VOCs)含量应不大于 5%（以重量计）；</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（5）塑料材质商品包装上呈现的印刷颜色不得超过6色；</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（6）纸质商品包装应使用75%以上的可再生纤维原料生产；</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（7）木质商品包装的原料应来源于可持续性森林。</w:t>
      </w:r>
      <w:r/>
    </w:p>
    <w:p>
      <w:pPr>
        <w:ind w:firstLine="480"/>
        <w:spacing w:line="560" w:lineRule="exact"/>
        <w:rPr>
          <w:rFonts w:ascii="Times New Roman" w:hAnsi="Times New Roman"/>
          <w:color w:val="auto"/>
          <w:sz w:val="24"/>
          <w:szCs w:val="24"/>
          <w:highlight w:val="none"/>
          <w:lang w:val="en-US" w:eastAsia="zh-CN"/>
        </w:rPr>
      </w:pPr>
      <w:r>
        <w:rPr>
          <w:rFonts w:hint="eastAsia" w:ascii="Times New Roman" w:hAnsi="Times New Roman"/>
          <w:color w:val="auto"/>
          <w:sz w:val="24"/>
          <w:szCs w:val="24"/>
          <w:highlight w:val="none"/>
        </w:rPr>
        <w:t xml:space="preserve">7.2.2快递包装环保要求：</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（1）快递包装中重金属（铅、汞、镉、六价铬）总量应不大于 100mg/kg；</w:t>
      </w:r>
      <w:r/>
    </w:p>
    <w:p>
      <w:pPr>
        <w:ind w:firstLine="480"/>
        <w:spacing w:line="560" w:lineRule="exact"/>
        <w:rPr>
          <w:rFonts w:ascii="Times New Roman" w:hAnsi="Times New Roman"/>
          <w:color w:val="auto"/>
          <w:sz w:val="24"/>
          <w:szCs w:val="24"/>
          <w:highlight w:val="none"/>
          <w:lang w:val="en-US" w:eastAsia="zh-CN"/>
        </w:rPr>
      </w:pPr>
      <w:r>
        <w:rPr>
          <w:rFonts w:hint="eastAsia" w:ascii="Times New Roman" w:hAnsi="Times New Roman"/>
          <w:color w:val="auto"/>
          <w:sz w:val="24"/>
          <w:szCs w:val="24"/>
          <w:highlight w:val="none"/>
        </w:rPr>
        <w:t xml:space="preserve">（2）快递包装印刷使用的油墨中不应添加邻苯二甲酸酯，其挥发性有机化合物(VOCs)含量应不大于5%（以重量计）；</w:t>
      </w:r>
      <w:r/>
    </w:p>
    <w:p>
      <w:pPr>
        <w:ind w:firstLine="480"/>
        <w:spacing w:line="560" w:lineRule="exact"/>
        <w:rPr>
          <w:rFonts w:ascii="Times New Roman" w:hAnsi="Times New Roman"/>
          <w:color w:val="auto"/>
          <w:sz w:val="24"/>
          <w:szCs w:val="24"/>
          <w:highlight w:val="none"/>
          <w:lang w:val="en-US" w:eastAsia="zh-CN"/>
        </w:rPr>
      </w:pPr>
      <w:r>
        <w:rPr>
          <w:rFonts w:hint="eastAsia" w:ascii="Times New Roman" w:hAnsi="Times New Roman"/>
          <w:color w:val="auto"/>
          <w:sz w:val="24"/>
          <w:szCs w:val="24"/>
          <w:highlight w:val="none"/>
        </w:rPr>
        <w:t xml:space="preserve">（3）快递包装中使用纸基材的包装材料，纸基材中的有机氯的含量应不大于 150 mg/kg；</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（5）快递中使用的塑料包装袋不得使用聚氯乙烯作为原料，且原料应为单一材质制成，生物分解率大于60%；</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（6）快递中使用的充气类填充物不得使用聚氯乙烯作为 原料，且原料为单一材质制成，生物分解率大于60%；</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（7）快递中使用的集装袋应为单一材质制成，其重复使用次数应不小于 80 次；</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（8）快递中应使用幅宽不大于45mm 的生物降解胶带；</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（9）快递包装中不得使用溶剂型胶粘剂；</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（11）快递应使用电子面单；</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（12）直接使用商品包装作为快递包装的商品，其商品包装满足《商品包装政府采购需求标准（试行）》即可；</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（13）快递包装产品质量和封装方式应符合相关国家或行业标准技术指标要求。</w:t>
      </w:r>
      <w:r/>
    </w:p>
    <w:p>
      <w:pPr>
        <w:ind w:firstLine="480"/>
        <w:spacing w:line="560" w:lineRule="exact"/>
        <w:rPr>
          <w:rFonts w:hint="eastAsia" w:ascii="Times New Roman" w:hAnsi="Times New Roman" w:eastAsia="宋体"/>
          <w:strike/>
          <w:color w:val="auto"/>
          <w:sz w:val="24"/>
          <w:szCs w:val="24"/>
          <w:highlight w:val="none"/>
          <w:lang w:eastAsia="zh-CN"/>
        </w:rPr>
      </w:pPr>
      <w:r>
        <w:rPr>
          <w:rFonts w:hint="eastAsia" w:ascii="Times New Roman" w:hAnsi="Times New Roman"/>
          <w:color w:val="auto"/>
          <w:sz w:val="24"/>
          <w:szCs w:val="24"/>
          <w:highlight w:val="none"/>
        </w:rPr>
        <w:t xml:space="preserve">7.3绿色数据中心</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7.4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7.5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7.6绿色低碳管理目标和服务要求：在物业、合同能源管理等服务类采购项目需求中，要强化绿色低碳管理目标和服务要求，促进绿色产品和服务推广应用。</w:t>
      </w:r>
      <w:r/>
    </w:p>
    <w:p>
      <w:pPr>
        <w:numPr>
          <w:ilvl w:val="0"/>
          <w:numId w:val="4"/>
        </w:num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（1）非单一产品采购项目，采购标的中的核心产品：双人漫步机</w:t>
      </w:r>
      <w:r>
        <w:rPr>
          <w:rFonts w:hint="eastAsia"/>
          <w:color w:val="auto"/>
          <w:sz w:val="24"/>
          <w:szCs w:val="24"/>
          <w:highlight w:val="none"/>
          <w:lang w:eastAsia="zh-CN"/>
        </w:rPr>
        <w:t xml:space="preserve">、笼式篮球场</w:t>
      </w:r>
      <w:r/>
    </w:p>
    <w:p>
      <w:pPr>
        <w:numPr>
          <w:ilvl w:val="0"/>
          <w:numId w:val="0"/>
        </w:numPr>
        <w:ind w:firstLine="960"/>
        <w:spacing w:line="5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rPr>
        <w:t xml:space="preserve">（2）本项目的主要标的：双人漫步机、笼式篮球场</w:t>
      </w:r>
      <w:r/>
    </w:p>
    <w:p>
      <w:pPr>
        <w:ind w:firstLine="480"/>
        <w:spacing w:line="560" w:lineRule="exact"/>
        <w:rPr>
          <w:rFonts w:hint="eastAsia"/>
          <w:color w:val="auto"/>
          <w:sz w:val="24"/>
          <w:szCs w:val="24"/>
          <w:highlight w:val="none"/>
          <w:lang w:val="en-US" w:eastAsia="zh-CN"/>
        </w:rPr>
      </w:pPr>
      <w:r>
        <w:rPr>
          <w:rFonts w:hint="eastAsia" w:ascii="Times New Roman" w:hAnsi="Times New Roman"/>
          <w:color w:val="auto"/>
          <w:sz w:val="24"/>
          <w:szCs w:val="24"/>
          <w:highlight w:val="none"/>
        </w:rPr>
        <w:t xml:space="preserve">九、</w:t>
      </w:r>
      <w:r>
        <w:rPr>
          <w:rFonts w:hint="eastAsia"/>
          <w:color w:val="auto"/>
          <w:sz w:val="24"/>
          <w:szCs w:val="24"/>
          <w:highlight w:val="none"/>
          <w:lang w:val="en-US" w:eastAsia="zh-CN"/>
        </w:rPr>
        <w:t xml:space="preserve">采购需求中必须满足的实质性需求</w:t>
      </w:r>
      <w:r/>
    </w:p>
    <w:p>
      <w:pPr>
        <w:ind w:firstLine="482"/>
        <w:spacing w:line="560" w:lineRule="exact"/>
        <w:rPr>
          <w:rFonts w:hint="default"/>
          <w:color w:val="auto"/>
          <w:highlight w:val="none"/>
          <w:lang w:val="en-US" w:eastAsia="zh-CN"/>
        </w:rPr>
      </w:pPr>
      <w:r>
        <w:rPr>
          <w:rFonts w:ascii="宋体" w:hAnsi="宋体" w:eastAsia="宋体" w:cs="宋体"/>
          <w:b/>
          <w:color w:val="000000"/>
          <w:sz w:val="24"/>
          <w:highlight w:val="none"/>
        </w:rPr>
        <w:t xml:space="preserve">项目需求内标注▲条目均属于实质性要求，未按要求响应或存在负偏离的，为无效响应文件。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十、</w:t>
      </w:r>
      <w:r>
        <w:rPr>
          <w:rFonts w:hint="eastAsia" w:ascii="宋体" w:hAnsi="宋体"/>
          <w:color w:val="auto"/>
          <w:sz w:val="24"/>
          <w:szCs w:val="24"/>
          <w:highlight w:val="none"/>
        </w:rPr>
        <w:t xml:space="preserve">付款方式</w:t>
      </w:r>
      <w:r/>
    </w:p>
    <w:p>
      <w:pPr>
        <w:ind w:firstLine="480"/>
        <w:spacing w:line="560" w:lineRule="exact"/>
        <w:rPr>
          <w:rFonts w:hint="eastAsia" w:ascii="宋体" w:hAnsi="宋体"/>
          <w:color w:val="auto"/>
          <w:sz w:val="24"/>
          <w:szCs w:val="24"/>
          <w:highlight w:val="none"/>
        </w:rPr>
      </w:pPr>
      <w:r>
        <w:rPr>
          <w:rFonts w:hint="eastAsia" w:ascii="宋体" w:hAnsi="宋体" w:eastAsia="宋体" w:cs="Times New Roman"/>
          <w:color w:val="auto"/>
          <w:sz w:val="24"/>
          <w:szCs w:val="24"/>
          <w:highlight w:val="none"/>
        </w:rPr>
        <w:t xml:space="preserve">合同签订生效后，采购人自收到发票后的</w:t>
      </w:r>
      <w:r>
        <w:rPr>
          <w:rFonts w:hint="eastAsia" w:ascii="宋体" w:hAnsi="宋体" w:cs="Times New Roman"/>
          <w:color w:val="auto"/>
          <w:sz w:val="24"/>
          <w:szCs w:val="24"/>
          <w:highlight w:val="none"/>
          <w:lang w:val="en-US" w:eastAsia="zh-CN"/>
        </w:rPr>
        <w:t xml:space="preserve">20</w:t>
      </w:r>
      <w:r>
        <w:rPr>
          <w:rFonts w:hint="eastAsia" w:ascii="宋体" w:hAnsi="宋体" w:eastAsia="宋体" w:cs="Times New Roman"/>
          <w:color w:val="auto"/>
          <w:sz w:val="24"/>
          <w:szCs w:val="24"/>
          <w:highlight w:val="none"/>
        </w:rPr>
        <w:t xml:space="preserve">日个工作日内支付合同总价款的40%作为项目建设实施的预付款；所有产品送达指定地点、安装完毕并通过验收后付至合同价款的100%。</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十</w:t>
      </w:r>
      <w:r>
        <w:rPr>
          <w:rFonts w:hint="eastAsia" w:ascii="宋体" w:hAnsi="宋体"/>
          <w:color w:val="auto"/>
          <w:sz w:val="24"/>
          <w:szCs w:val="24"/>
          <w:highlight w:val="none"/>
          <w:lang w:val="en-US" w:eastAsia="zh-CN"/>
        </w:rPr>
        <w:t xml:space="preserve">一</w:t>
      </w:r>
      <w:r>
        <w:rPr>
          <w:rFonts w:hint="eastAsia" w:ascii="宋体" w:hAnsi="宋体"/>
          <w:color w:val="auto"/>
          <w:sz w:val="24"/>
          <w:szCs w:val="24"/>
          <w:highlight w:val="none"/>
        </w:rPr>
        <w:t xml:space="preserve">、履约保证金：</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.1本项目成交后的履约保证金为项目成交价的</w:t>
      </w:r>
      <w:r>
        <w:rPr>
          <w:rFonts w:hint="eastAsia" w:ascii="宋体" w:hAnsi="宋体"/>
          <w:color w:val="auto"/>
          <w:sz w:val="24"/>
          <w:szCs w:val="24"/>
          <w:highlight w:val="none"/>
          <w:u w:val="single"/>
        </w:rPr>
        <w:t xml:space="preserve"> 5</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成交供应商的履约保证金须在成交通知书发出之日起至合同签订前汇入采购单位账户（可以数字人民币、支票、汇票或者金融机构、担保机构出具的保函等非现金形式提交），成交供应商凭成交通知书与采购单位签订合同。超期或未有协商，则视为自动放弃成交资格。</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.2成交供应商全部履约合同义务，经采购单位验收合格无质量、进度等问题的，采购人在验收合格后一次性退还履约保证金，采购人若逾期退还履约保证金的，按照逾期部分的每日0.05%支付违约金；    </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.3发生以下情况的，履约保证金不予退还或部分退还：</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a.签订合同后，成交供应商不履行合同义务的，采购单位有权全额扣除履约保证金，全额不予退还，同时采购单位亦有权终止合同，成交供应商还须承担相应的法律赔偿责任。</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十</w:t>
      </w:r>
      <w:r>
        <w:rPr>
          <w:rFonts w:hint="eastAsia" w:ascii="宋体" w:hAnsi="宋体"/>
          <w:color w:val="auto"/>
          <w:sz w:val="24"/>
          <w:szCs w:val="24"/>
          <w:highlight w:val="none"/>
          <w:lang w:val="en-US" w:eastAsia="zh-CN"/>
        </w:rPr>
        <w:t xml:space="preserve">二</w:t>
      </w:r>
      <w:r>
        <w:rPr>
          <w:rFonts w:hint="eastAsia" w:ascii="宋体" w:hAnsi="宋体"/>
          <w:color w:val="auto"/>
          <w:sz w:val="24"/>
          <w:szCs w:val="24"/>
          <w:highlight w:val="none"/>
        </w:rPr>
        <w:t xml:space="preserve">、合同条款（详见附件）</w:t>
      </w:r>
      <w:r/>
    </w:p>
    <w:p>
      <w:pPr>
        <w:ind w:firstLine="480"/>
        <w:spacing w:line="56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十三、其他</w:t>
      </w:r>
      <w:r/>
    </w:p>
    <w:p>
      <w:pPr>
        <w:ind w:firstLine="480"/>
        <w:spacing w:line="560" w:lineRule="exact"/>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13.1</w:t>
      </w:r>
      <w:r>
        <w:rPr>
          <w:rFonts w:hint="eastAsia" w:ascii="宋体" w:hAnsi="宋体"/>
          <w:color w:val="auto"/>
          <w:sz w:val="24"/>
          <w:szCs w:val="24"/>
          <w:highlight w:val="none"/>
        </w:rPr>
        <w:t xml:space="preserve">产品</w:t>
      </w:r>
      <w:r>
        <w:rPr>
          <w:rFonts w:hint="eastAsia" w:ascii="宋体" w:hAnsi="宋体"/>
          <w:color w:val="auto"/>
          <w:sz w:val="24"/>
          <w:szCs w:val="24"/>
          <w:highlight w:val="none"/>
          <w:lang w:val="en-US" w:eastAsia="zh-CN"/>
        </w:rPr>
        <w:t xml:space="preserve">质量要求</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a.</w:t>
      </w:r>
      <w:r>
        <w:rPr>
          <w:rFonts w:hint="eastAsia" w:ascii="宋体" w:hAnsi="宋体"/>
          <w:color w:val="auto"/>
          <w:sz w:val="24"/>
          <w:szCs w:val="24"/>
          <w:highlight w:val="none"/>
        </w:rPr>
        <w:t xml:space="preserve">投标人应保证货物是全新、未使用过的原厂合格产品，并完全符合招标文件规定的质量、规格和参数的要求。验收过程中发现产品不符合上述要求的，将视作不合格产品，采购人有权终止合同，造成的一切损失由投标人承担。 </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b.投标产品的技术标准按国家标准执行，无国家标准的，按行业标准执行，无国家和行业标准的，按企业标准执行；但在招标文件中有特别要求的，按招标文件中规定的要求执行，并且符合相关法律、法规规定的要求。</w:t>
      </w:r>
      <w:r/>
    </w:p>
    <w:p>
      <w:pPr>
        <w:ind w:firstLine="480"/>
        <w:spacing w:line="560" w:lineRule="exact"/>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c</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产品的包装，国家或行业主管部门有规定的，按规定执行。</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d</w:t>
      </w:r>
      <w:r>
        <w:rPr>
          <w:rFonts w:hint="eastAsia" w:ascii="宋体" w:hAnsi="宋体"/>
          <w:color w:val="auto"/>
          <w:sz w:val="24"/>
          <w:szCs w:val="24"/>
          <w:highlight w:val="none"/>
        </w:rPr>
        <w:t xml:space="preserve">.投标人应保证提供的产品不得侵犯第三方专利权、商标权和设计权、版权等。否则，投标人应负全部责任，并承担由此引起的一切后果。</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e</w:t>
      </w:r>
      <w:r>
        <w:rPr>
          <w:rFonts w:hint="eastAsia" w:ascii="宋体" w:hAnsi="宋体"/>
          <w:color w:val="auto"/>
          <w:sz w:val="24"/>
          <w:szCs w:val="24"/>
          <w:highlight w:val="none"/>
        </w:rPr>
        <w:t xml:space="preserve">.投标人应保证其货物在正确安装、正常使用下，在其使用寿命期内应具有满意的性能。</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f</w:t>
      </w:r>
      <w:r>
        <w:rPr>
          <w:rFonts w:hint="eastAsia" w:ascii="宋体" w:hAnsi="宋体"/>
          <w:color w:val="auto"/>
          <w:sz w:val="24"/>
          <w:szCs w:val="24"/>
          <w:highlight w:val="none"/>
        </w:rPr>
        <w:t xml:space="preserve">.投标人应采取必要的安全措施保证货物的运输及安装的安全，并承担货物的运输及安装过程中产生的风险。</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g</w:t>
      </w:r>
      <w:r>
        <w:rPr>
          <w:rFonts w:hint="eastAsia" w:ascii="宋体" w:hAnsi="宋体"/>
          <w:color w:val="auto"/>
          <w:sz w:val="24"/>
          <w:szCs w:val="24"/>
          <w:highlight w:val="none"/>
        </w:rPr>
        <w:t xml:space="preserve">.投标人必须保证所提供的产品符合国家相应质量要求。</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h</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除特别约定外，合同条款内项目（标的物）的质保期均自项目（标的物）通过最终验收之日起计算，质保期按投标承诺。</w:t>
      </w:r>
      <w:r/>
    </w:p>
    <w:p>
      <w:pPr>
        <w:ind w:firstLine="480"/>
        <w:spacing w:line="56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13.2项目建设实施步骤</w:t>
      </w:r>
      <w:r/>
    </w:p>
    <w:p>
      <w:pPr>
        <w:ind w:firstLine="480"/>
        <w:spacing w:line="56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a.项目建设产品设备到货及报验</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项目建设需求的产品设备到达采购人指定现场前，应提前3天电</w:t>
      </w:r>
      <w:r>
        <w:rPr>
          <w:rFonts w:hint="eastAsia" w:ascii="宋体" w:hAnsi="宋体"/>
          <w:color w:val="auto"/>
          <w:sz w:val="24"/>
          <w:szCs w:val="24"/>
          <w:highlight w:val="none"/>
          <w:lang w:val="en-US" w:eastAsia="zh-CN"/>
        </w:rPr>
        <w:t xml:space="preserve">话</w:t>
      </w:r>
      <w:r>
        <w:rPr>
          <w:rFonts w:hint="eastAsia" w:ascii="宋体" w:hAnsi="宋体"/>
          <w:color w:val="auto"/>
          <w:sz w:val="24"/>
          <w:szCs w:val="24"/>
          <w:highlight w:val="none"/>
        </w:rPr>
        <w:t xml:space="preserve">通知采购人做好准备，由采购人会同有关单位和人员根据供应商提供的项目产品设备清单，现场对项目需求产品进行点验收货。</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b.提供项目产品设备的安装、调试</w:t>
      </w:r>
      <w:r/>
    </w:p>
    <w:p>
      <w:pPr>
        <w:ind w:firstLine="480"/>
        <w:spacing w:line="56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供应商应根据采购单位的要求，在指定地点，根据项目建设要求进行产品设备的安装和调试。为此，</w:t>
      </w:r>
      <w:r>
        <w:rPr>
          <w:rFonts w:hint="eastAsia" w:ascii="宋体" w:hAnsi="宋体"/>
          <w:color w:val="auto"/>
          <w:sz w:val="24"/>
          <w:szCs w:val="24"/>
          <w:highlight w:val="none"/>
          <w:lang w:val="en-US" w:eastAsia="zh-CN"/>
        </w:rPr>
        <w:t xml:space="preserve">投标</w:t>
      </w:r>
      <w:r>
        <w:rPr>
          <w:rFonts w:hint="eastAsia" w:ascii="宋体" w:hAnsi="宋体"/>
          <w:color w:val="auto"/>
          <w:sz w:val="24"/>
          <w:szCs w:val="24"/>
          <w:highlight w:val="none"/>
        </w:rPr>
        <w:t xml:space="preserve">供应商须提供详细明确的安装标准，包含供货承诺、供货时间及具体安排，并根据用户需求提供详细明确的安装计划，其中含安装人员安排等。</w:t>
      </w:r>
      <w:r>
        <w:rPr>
          <w:rFonts w:hint="eastAsia" w:ascii="宋体" w:hAnsi="宋体"/>
          <w:color w:val="auto"/>
          <w:sz w:val="24"/>
          <w:szCs w:val="24"/>
          <w:highlight w:val="none"/>
          <w:lang w:val="en-US" w:eastAsia="zh-CN"/>
        </w:rPr>
        <w:t xml:space="preserve">   </w:t>
      </w:r>
      <w:r/>
    </w:p>
    <w:p>
      <w:pPr>
        <w:ind w:firstLine="480"/>
        <w:spacing w:line="56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13.3售后服务要求</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a.</w:t>
      </w:r>
      <w:r>
        <w:rPr>
          <w:rFonts w:hint="eastAsia" w:ascii="宋体" w:hAnsi="宋体"/>
          <w:color w:val="auto"/>
          <w:sz w:val="24"/>
          <w:szCs w:val="24"/>
          <w:highlight w:val="none"/>
        </w:rPr>
        <w:t xml:space="preserve">供应商应就本项目提供详细的售后服务方案。</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b.</w:t>
      </w:r>
      <w:r>
        <w:rPr>
          <w:rFonts w:hint="eastAsia" w:ascii="宋体" w:hAnsi="宋体"/>
          <w:color w:val="auto"/>
          <w:sz w:val="24"/>
          <w:szCs w:val="24"/>
          <w:highlight w:val="none"/>
        </w:rPr>
        <w:t xml:space="preserve">中标人应为招标人提供免费培训服务，并指派专人负责与招标人联系售后服务事宜。主要培训内容为货物的基本结构、性能、主要部件的构造及处理，日常使用操作、保养与管理、常见故障的排除、紧急情况的处理等，如招标人未使用过同类型货物，中标人还需就货物的功能对招标人人员进行相应的技术培训，培训地点主要在货物安装现场或由招标人安排。</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c.</w:t>
      </w:r>
      <w:r>
        <w:rPr>
          <w:rFonts w:hint="eastAsia" w:ascii="宋体" w:hAnsi="宋体"/>
          <w:color w:val="auto"/>
          <w:sz w:val="24"/>
          <w:szCs w:val="24"/>
          <w:highlight w:val="none"/>
        </w:rPr>
        <w:t xml:space="preserve">保修期内，中标人负责对其提供的货物整机进行维修和系统维护，不再收取任何费用，但不可抗力（如火灾、雷击等）造成的故障除外。</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d.</w:t>
      </w:r>
      <w:r>
        <w:rPr>
          <w:rFonts w:hint="eastAsia" w:ascii="宋体" w:hAnsi="宋体"/>
          <w:color w:val="auto"/>
          <w:sz w:val="24"/>
          <w:szCs w:val="24"/>
          <w:highlight w:val="none"/>
        </w:rPr>
        <w:t xml:space="preserve">若货物故障在检修24工作小时后仍无法排除，中标人应免费提供不低于故障货物规格型号档次的备用货物供招标人使用，直至故障货物修复，如因此给招标人造成损失，中标人应负责赔偿。</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中标人在接到招标人提出的技术服务要求或维修通知后4小时内没有响应、拒绝或24小时没有派员到达现场提供技术服务、修理或退换货物，招标人有权委托第三人对合同货物进行维修或提供技术服务，由此产生的一切费用由中标人承担。</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因中标人提供的货物硬件或软件有缺陷，或中标人提供的技术资料有错误，或中标人在现场的技术人员指导有错误而使合同货物不能达到合同规定的指标和技术性能，中标人应负责修理或更换有缺陷和损坏的货物硬件或软件，使合同货物运行指标和技术性能达到合同规定，由此引起的全部费用由中标人承担。</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在合同货物保修期内，如果由于中标人更换、修理和续补货物，而造成本合同货物不得不停止运行，货物保修期应依照停止运行的实际时间加以延长，如因此给招标人造成损失，中标人应负责赔偿。</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所有货物保修服务方式均为中标人上门保修，即由中标人派员到货物使用现场维修，由此产生的一切费用均由中标人承担。如中标人在接到招标人通知后不到场，则招标人有权聘请其他技术人员到场进行技术支持，相关费用由中标人承担，招标人有权在尾款中直接扣除相关费用。</w:t>
      </w:r>
      <w:r/>
    </w:p>
    <w:p>
      <w:pPr>
        <w:ind w:firstLine="480"/>
        <w:spacing w:line="560" w:lineRule="exact"/>
        <w:rPr>
          <w:rFonts w:hint="default"/>
          <w:color w:val="auto"/>
          <w:sz w:val="24"/>
          <w:szCs w:val="24"/>
          <w:highlight w:val="none"/>
          <w:lang w:val="en-US" w:eastAsia="zh-CN"/>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合同货物保修期届满后，中标人保证继续为招标人提供货物的维修服务，招标人应按卖方提供的优惠价格向中标人支付相关费用，中标人保证在合同货物使用期内以不高于本合同货物和相关配件的价格向招标人提供备品备件。</w:t>
      </w:r>
      <w:r/>
    </w:p>
    <w:p>
      <w:pPr>
        <w:ind w:firstLine="482"/>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十四</w:t>
      </w:r>
      <w:r>
        <w:rPr>
          <w:rFonts w:hint="eastAsia" w:ascii="宋体" w:hAnsi="宋体"/>
          <w:b/>
          <w:color w:val="auto"/>
          <w:sz w:val="24"/>
          <w:szCs w:val="24"/>
          <w:highlight w:val="none"/>
        </w:rPr>
        <w:t xml:space="preserve">、政府采购中实施本国产品标准及相关政策</w:t>
      </w:r>
      <w:r/>
    </w:p>
    <w:p>
      <w:pPr>
        <w:ind w:firstLine="482"/>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采购本国产品的支持政策</w:t>
      </w:r>
      <w:r/>
    </w:p>
    <w:p>
      <w:pPr>
        <w:ind w:firstLine="508"/>
        <w:jc w:val="left"/>
        <w:spacing w:line="56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pacing w:val="7"/>
          <w:sz w:val="24"/>
          <w:szCs w:val="24"/>
          <w:highlight w:val="none"/>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08"/>
        <w:jc w:val="left"/>
        <w:spacing w:line="56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pacing w:val="7"/>
          <w:sz w:val="24"/>
          <w:szCs w:val="24"/>
          <w:highlight w:val="none"/>
        </w:rPr>
        <w:t xml:space="preserve">2.本项目政府采购活动中既有本国产品又有非本国产品参与竞争的，依法对本国产品给予价格评审优惠，对本国产品的报价给予20%的价格扣除，用扣除后的价格参与评审。本国产品和小微企业产品的价格评审优惠，相关相关价格评审扣除优惠，均在供应商原始报价基础上计算，用扣除后的价格参与评审。</w:t>
      </w:r>
      <w:r/>
    </w:p>
    <w:p>
      <w:pPr>
        <w:ind w:firstLine="508"/>
        <w:jc w:val="left"/>
        <w:spacing w:line="56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pacing w:val="7"/>
          <w:sz w:val="24"/>
          <w:szCs w:val="24"/>
          <w:highlight w:val="none"/>
        </w:rPr>
        <w:t xml:space="preserve">3.当采购项目或者采购包中含有多种产品，供应商为该采购项目或者采购包提供的符合本国产品标准的产品成本之和占该供应商提供的全部产品成本之和的比例达到80%以上时（供应商需在“分项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10"/>
        <w:jc w:val="left"/>
        <w:spacing w:line="560" w:lineRule="exact"/>
        <w:shd w:val="clear" w:color="auto" w:fill="ffffff"/>
        <w:widowControl/>
        <w:rPr>
          <w:rFonts w:hint="eastAsia" w:ascii="宋体" w:hAnsi="宋体" w:cs="宋体"/>
          <w:b/>
          <w:color w:val="auto"/>
          <w:sz w:val="24"/>
          <w:szCs w:val="24"/>
          <w:highlight w:val="none"/>
        </w:rPr>
      </w:pPr>
      <w:r>
        <w:rPr>
          <w:rFonts w:hint="eastAsia" w:ascii="宋体" w:hAnsi="宋体" w:cs="宋体"/>
          <w:b/>
          <w:color w:val="auto"/>
          <w:spacing w:val="7"/>
          <w:sz w:val="24"/>
          <w:szCs w:val="24"/>
          <w:highlight w:val="none"/>
        </w:rPr>
        <w:t xml:space="preserve">4.供应商需按照招标文件的要求提供《关于符合本国产品标准的声明函》，如不提供将不享受本国产品价格评审优惠。</w:t>
      </w:r>
      <w:r/>
    </w:p>
    <w:p>
      <w:pPr>
        <w:ind w:firstLine="508"/>
        <w:jc w:val="left"/>
        <w:spacing w:line="56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pacing w:val="7"/>
          <w:sz w:val="24"/>
          <w:szCs w:val="24"/>
          <w:highlight w:val="none"/>
        </w:rPr>
        <w:t xml:space="preserve">供应商需在《声明函》中逐一、准确填写产品名称、厂名、生产厂址三项信息（《声明函》中用删除线划除的地方无需填写），三项信息中任意一项未填写的视为该项产品不符合本国产品标准，不享受本国产品价格评审优惠。</w:t>
      </w:r>
      <w:r/>
    </w:p>
    <w:p>
      <w:pPr>
        <w:ind w:firstLine="508"/>
        <w:jc w:val="left"/>
        <w:spacing w:line="560" w:lineRule="exact"/>
        <w:shd w:val="clear" w:color="auto" w:fill="ffffff"/>
        <w:widowControl/>
        <w:rPr>
          <w:rFonts w:hint="eastAsia"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评标（评审）过程中，如发现供应商在《声明函》内容含义不明确、同类事项与投标（响应）文件表述不一致或者有明显文字错误等情况的，谈判小组（评审小组）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10"/>
        <w:jc w:val="left"/>
        <w:spacing w:line="560" w:lineRule="exact"/>
        <w:shd w:val="clear" w:color="auto" w:fill="ffffff"/>
        <w:widowControl/>
        <w:rPr>
          <w:rFonts w:hint="eastAsia" w:ascii="宋体" w:hAnsi="宋体" w:cs="宋体"/>
          <w:b/>
          <w:color w:val="auto"/>
          <w:spacing w:val="7"/>
          <w:sz w:val="24"/>
          <w:szCs w:val="24"/>
          <w:highlight w:val="none"/>
        </w:rPr>
      </w:pPr>
      <w:r>
        <w:rPr>
          <w:rFonts w:hint="eastAsia" w:ascii="宋体" w:hAnsi="宋体" w:cs="宋体"/>
          <w:b/>
          <w:color w:val="auto"/>
          <w:spacing w:val="7"/>
          <w:sz w:val="24"/>
          <w:szCs w:val="24"/>
          <w:highlight w:val="none"/>
        </w:rPr>
        <w:t xml:space="preserve">5.对于仅有本国产品参与竞争的政府采购项目，本国产品不享受价格扣除评审优惠。</w:t>
      </w:r>
      <w:r/>
    </w:p>
    <w:p>
      <w:pPr>
        <w:pStyle w:val="654"/>
        <w:rPr>
          <w:rFonts w:hint="default"/>
          <w:color w:val="auto"/>
          <w:sz w:val="24"/>
          <w:szCs w:val="24"/>
          <w:highlight w:val="none"/>
          <w:lang w:val="en-US" w:eastAsia="zh-CN"/>
        </w:rPr>
        <w:sectPr>
          <w:footnotePr/>
          <w:endnotePr/>
          <w:type w:val="nextPage"/>
          <w:pgSz w:w="11906" w:h="16838" w:orient="portrait"/>
          <w:pgMar w:top="1418" w:right="1588" w:bottom="1418" w:left="1365" w:header="851" w:footer="907" w:gutter="0"/>
          <w:pgNumType w:start="0"/>
          <w:cols w:num="1" w:sep="0" w:space="1701" w:equalWidth="1"/>
          <w:docGrid w:linePitch="360"/>
          <w:titlePg/>
        </w:sectPr>
      </w:pPr>
      <w:r>
        <w:rPr>
          <w:rFonts w:hint="default"/>
          <w:color w:val="auto"/>
          <w:sz w:val="24"/>
          <w:szCs w:val="24"/>
          <w:highlight w:val="none"/>
          <w:lang w:val="en-US" w:eastAsia="zh-CN"/>
        </w:rPr>
      </w:r>
      <w:r/>
    </w:p>
    <w:p>
      <w:pPr>
        <w:jc w:val="center"/>
        <w:keepNext/>
        <w:spacing w:line="560" w:lineRule="exact"/>
        <w:rPr>
          <w:rFonts w:hint="eastAsia" w:ascii="宋体" w:hAnsi="宋体"/>
          <w:b/>
          <w:bCs/>
          <w:color w:val="auto"/>
          <w:sz w:val="44"/>
          <w:szCs w:val="28"/>
          <w:highlight w:val="none"/>
        </w:rPr>
        <w:outlineLvl w:val="0"/>
      </w:pPr>
      <w:r/>
      <w:bookmarkStart w:id="172" w:name="_Toc120614281"/>
      <w:r>
        <w:rPr>
          <w:rFonts w:hint="eastAsia" w:ascii="宋体" w:hAnsi="宋体"/>
          <w:bCs/>
          <w:color w:val="auto"/>
          <w:sz w:val="44"/>
          <w:szCs w:val="28"/>
          <w:highlight w:val="none"/>
        </w:rPr>
        <w:t xml:space="preserve">第四章  </w:t>
      </w:r>
      <w:r>
        <w:rPr>
          <w:rFonts w:hint="eastAsia" w:ascii="宋体" w:hAnsi="宋体"/>
          <w:b/>
          <w:bCs/>
          <w:color w:val="auto"/>
          <w:sz w:val="44"/>
          <w:szCs w:val="28"/>
          <w:highlight w:val="none"/>
        </w:rPr>
        <w:t xml:space="preserve">评审方法与评审标准</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评委在认真审阅响应文件的基础上，根据各响应文件的响应程度独立评判，不得统一打分。</w:t>
      </w:r>
      <w:r/>
    </w:p>
    <w:p>
      <w:pPr>
        <w:ind w:firstLine="482"/>
        <w:spacing w:line="56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（一）采购人（代表）对供应商资格进行审查。</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供应商资格不合格的，其响应文件判定为无效响应文件。</w:t>
      </w:r>
      <w:r/>
    </w:p>
    <w:p>
      <w:pPr>
        <w:ind w:firstLine="482"/>
        <w:spacing w:line="56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（二）磋商小组对符合资格供应商的响应文件进行符合性审查。</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未通过符合性审查的响应文件，将被判为不满足磋商文件实质性要求。 </w:t>
      </w:r>
      <w:r/>
    </w:p>
    <w:p>
      <w:pPr>
        <w:ind w:firstLine="482"/>
        <w:jc w:val="left"/>
        <w:spacing w:line="500" w:lineRule="exact"/>
        <w:rPr>
          <w:rFonts w:hint="eastAsia" w:ascii="宋体" w:hAnsi="宋体" w:cs="宋体"/>
          <w:color w:val="auto"/>
          <w:sz w:val="24"/>
          <w:szCs w:val="24"/>
          <w:highlight w:val="none"/>
          <w:lang w:val="zh-CN"/>
        </w:rPr>
      </w:pPr>
      <w:r>
        <w:rPr>
          <w:rFonts w:hint="eastAsia" w:ascii="宋体" w:hAnsi="宋体" w:cs="宋体"/>
          <w:b/>
          <w:color w:val="auto"/>
          <w:sz w:val="24"/>
          <w:szCs w:val="24"/>
          <w:highlight w:val="none"/>
        </w:rPr>
        <w:t xml:space="preserve">（三）</w:t>
      </w:r>
      <w:r>
        <w:rPr>
          <w:rFonts w:hint="eastAsia" w:ascii="宋体" w:hAnsi="宋体" w:cs="宋体"/>
          <w:b/>
          <w:color w:val="auto"/>
          <w:sz w:val="24"/>
          <w:szCs w:val="24"/>
          <w:highlight w:val="none"/>
          <w:lang w:val="zh-CN"/>
        </w:rPr>
        <w:t xml:space="preserve">商务技术分</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70</w:t>
      </w:r>
      <w:r>
        <w:rPr>
          <w:rFonts w:hint="eastAsia" w:ascii="宋体" w:hAnsi="宋体" w:cs="宋体"/>
          <w:color w:val="auto"/>
          <w:sz w:val="24"/>
          <w:szCs w:val="24"/>
          <w:highlight w:val="none"/>
          <w:lang w:val="zh-CN"/>
        </w:rPr>
        <w:t xml:space="preserve">分</w:t>
      </w:r>
      <w:r/>
    </w:p>
    <w:p>
      <w:pPr>
        <w:ind w:firstLine="482"/>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各供应商得分为磋商小组成员评分的算术平均分，分值保留小数点后两位。</w:t>
      </w:r>
      <w:r/>
    </w:p>
    <w:p>
      <w:pPr>
        <w:pStyle w:val="654"/>
        <w:ind w:firstLine="480"/>
        <w:rPr>
          <w:rFonts w:hint="default" w:eastAsia="宋体"/>
          <w:b/>
          <w:bCs/>
          <w:color w:val="auto"/>
          <w:highlight w:val="none"/>
          <w:lang w:val="en-US" w:eastAsia="zh-CN"/>
        </w:rPr>
      </w:pPr>
      <w:r>
        <w:rPr>
          <w:rFonts w:hint="eastAsia" w:ascii="宋体" w:hAnsi="宋体"/>
          <w:color w:val="auto"/>
          <w:sz w:val="24"/>
          <w:szCs w:val="24"/>
          <w:highlight w:val="none"/>
          <w:lang w:val="en-US" w:eastAsia="zh-CN"/>
        </w:rPr>
        <w:t xml:space="preserve">包一评分标准：</w:t>
      </w:r>
      <w:r/>
    </w:p>
    <w:tbl>
      <w:tblPr>
        <w:tblStyle w:val="653"/>
        <w:tblW w:w="978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473"/>
        <w:gridCol w:w="728"/>
        <w:gridCol w:w="6680"/>
      </w:tblGrid>
      <w:tr>
        <w:trPr>
          <w:jc w:val="center"/>
          <w:trHeight w:val="89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 </w:t>
            </w:r>
            <w:r/>
          </w:p>
        </w:tc>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评分点名称 </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评审标准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类似项目业绩</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自2023年</w:t>
            </w:r>
            <w:r>
              <w:rPr>
                <w:rFonts w:hint="eastAsia" w:ascii="宋体" w:hAnsi="宋体" w:cs="宋体"/>
                <w:i w:val="0"/>
                <w:iCs w:val="0"/>
                <w:color w:val="auto"/>
                <w:sz w:val="24"/>
                <w:szCs w:val="24"/>
                <w:highlight w:val="none"/>
                <w:u w:val="none"/>
                <w:lang w:val="en-US" w:eastAsia="zh-CN" w:bidi="ar"/>
              </w:rPr>
              <w:t xml:space="preserve">以来</w:t>
            </w:r>
            <w:r>
              <w:rPr>
                <w:rFonts w:hint="eastAsia" w:ascii="宋体" w:hAnsi="宋体" w:eastAsia="宋体" w:cs="宋体"/>
                <w:i w:val="0"/>
                <w:iCs w:val="0"/>
                <w:color w:val="auto"/>
                <w:sz w:val="24"/>
                <w:szCs w:val="24"/>
                <w:highlight w:val="none"/>
                <w:u w:val="none"/>
                <w:lang w:val="en-US" w:eastAsia="zh-CN" w:bidi="ar"/>
              </w:rPr>
              <w:t xml:space="preserve">，供应商承担过类似健身器材销售业绩的每个得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分，本项最高得</w:t>
            </w: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分，不重复计分。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注：业绩证明材料至少包括完整的合同文本、对应项目验收报告，业绩时间以合同订立时间为准。未提供或提供不全不得分。</w:t>
            </w:r>
            <w:r/>
          </w:p>
        </w:tc>
      </w:tr>
      <w:tr>
        <w:trPr>
          <w:jc w:val="center"/>
          <w:trHeight w:val="144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认证体系及核心产品保障</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供应商或产品制造商具备有效的质量管理体系认证证书ISO9001、环境管理体系认证ISO14001，有一个得2分，最高得</w:t>
            </w: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分，不提供不得分。提供有效的证书复印件加盖公章</w:t>
            </w:r>
            <w:r>
              <w:rPr>
                <w:rFonts w:hint="eastAsia" w:ascii="宋体" w:hAnsi="宋体" w:cs="宋体"/>
                <w:i w:val="0"/>
                <w:iCs w:val="0"/>
                <w:color w:val="auto"/>
                <w:sz w:val="24"/>
                <w:szCs w:val="24"/>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投标供应商具备核心产品的有效产品责任险、产品质量险、公众责任险，有一个得2分，最高得6分，不提供不得分。提供有效期内的保单证书复印件加盖公章。</w:t>
            </w:r>
            <w:r/>
          </w:p>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eastAsia="宋体" w:cs="宋体"/>
                <w:color w:val="auto"/>
                <w:sz w:val="24"/>
                <w:szCs w:val="24"/>
                <w:highlight w:val="none"/>
                <w:lang w:val="en-US" w:eastAsia="zh-CN"/>
              </w:rPr>
              <w:t xml:space="preserve">供应商</w:t>
            </w:r>
            <w:r>
              <w:rPr>
                <w:rFonts w:ascii="宋体" w:hAnsi="宋体" w:eastAsia="宋体" w:cs="宋体"/>
                <w:color w:val="auto"/>
                <w:sz w:val="24"/>
                <w:szCs w:val="24"/>
                <w:highlight w:val="none"/>
              </w:rPr>
              <w:t xml:space="preserve">提供</w:t>
            </w:r>
            <w:r>
              <w:rPr>
                <w:rStyle w:val="677"/>
                <w:rFonts w:ascii="宋体" w:hAnsi="宋体" w:eastAsia="宋体" w:cs="宋体"/>
                <w:b w:val="0"/>
                <w:bCs/>
                <w:color w:val="auto"/>
                <w:sz w:val="24"/>
                <w:szCs w:val="24"/>
                <w:highlight w:val="none"/>
              </w:rPr>
              <w:t xml:space="preserve">具备CMA/CNAS资质第三方机构</w:t>
            </w:r>
            <w:r>
              <w:rPr>
                <w:rFonts w:ascii="宋体" w:hAnsi="宋体" w:eastAsia="宋体" w:cs="宋体"/>
                <w:color w:val="auto"/>
                <w:sz w:val="24"/>
                <w:szCs w:val="24"/>
                <w:highlight w:val="none"/>
              </w:rPr>
              <w:t xml:space="preserve">出具的本型号产品专项检测报告，盐雾测试时长</w:t>
            </w:r>
            <w:r>
              <w:rPr>
                <w:rFonts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500</w:t>
            </w:r>
            <w:r>
              <w:rPr>
                <w:rFonts w:ascii="宋体" w:hAnsi="宋体" w:eastAsia="宋体" w:cs="宋体"/>
                <w:color w:val="auto"/>
                <w:sz w:val="24"/>
                <w:szCs w:val="24"/>
                <w:highlight w:val="none"/>
              </w:rPr>
              <w:t xml:space="preserve">h</w:t>
            </w:r>
            <w:r>
              <w:rPr>
                <w:rFonts w:ascii="宋体" w:hAnsi="宋体" w:eastAsia="宋体" w:cs="宋体"/>
                <w:color w:val="auto"/>
                <w:sz w:val="24"/>
                <w:szCs w:val="24"/>
                <w:highlight w:val="none"/>
              </w:rPr>
              <w:t xml:space="preserve">；腐蚀评级GB/T 6461-2002达到10级</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分</w:t>
            </w:r>
            <w:r>
              <w:rPr>
                <w:rFonts w:ascii="宋体" w:hAnsi="宋体" w:eastAsia="宋体" w:cs="宋体"/>
                <w:color w:val="auto"/>
                <w:sz w:val="24"/>
                <w:szCs w:val="24"/>
                <w:highlight w:val="none"/>
              </w:rPr>
              <w:t xml:space="preserve">；涂层外观老化评级GB/T 1766-2008达到 0 级</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分，</w:t>
            </w:r>
            <w:r>
              <w:rPr>
                <w:rFonts w:ascii="宋体" w:hAnsi="宋体" w:eastAsia="宋体" w:cs="宋体"/>
                <w:color w:val="auto"/>
                <w:sz w:val="24"/>
                <w:szCs w:val="24"/>
                <w:highlight w:val="none"/>
              </w:rPr>
              <w:t xml:space="preserve">达到 </w:t>
            </w:r>
            <w:r>
              <w:rPr>
                <w:rFonts w:hint="eastAsia" w:ascii="宋体" w:hAnsi="宋体" w:cs="宋体"/>
                <w:color w:val="auto"/>
                <w:sz w:val="24"/>
                <w:szCs w:val="24"/>
                <w:highlight w:val="none"/>
                <w:lang w:val="en-US" w:eastAsia="zh-CN"/>
              </w:rPr>
              <w:t xml:space="preserve">1</w:t>
            </w:r>
            <w:r>
              <w:rPr>
                <w:rFonts w:ascii="宋体" w:hAnsi="宋体" w:eastAsia="宋体" w:cs="宋体"/>
                <w:color w:val="auto"/>
                <w:sz w:val="24"/>
                <w:szCs w:val="24"/>
                <w:highlight w:val="none"/>
              </w:rPr>
              <w:t xml:space="preserve"> 级</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得1分</w:t>
            </w:r>
            <w:r>
              <w:rPr>
                <w:rFonts w:ascii="宋体" w:hAnsi="宋体" w:eastAsia="宋体" w:cs="宋体"/>
                <w:color w:val="auto"/>
                <w:sz w:val="24"/>
                <w:szCs w:val="24"/>
                <w:highlight w:val="none"/>
              </w:rPr>
              <w:t xml:space="preserve">。</w:t>
            </w:r>
            <w:r>
              <w:rPr>
                <w:rFonts w:hint="eastAsia" w:ascii="宋体" w:hAnsi="宋体" w:eastAsia="宋体" w:cs="宋体"/>
                <w:i w:val="0"/>
                <w:iCs w:val="0"/>
                <w:color w:val="auto"/>
                <w:sz w:val="24"/>
                <w:szCs w:val="24"/>
                <w:highlight w:val="none"/>
                <w:u w:val="none"/>
                <w:lang w:val="en-US" w:eastAsia="zh-CN" w:bidi="ar"/>
              </w:rPr>
              <w:t xml:space="preserve">提供有效的检测报告加盖公章</w:t>
            </w:r>
            <w:r>
              <w:rPr>
                <w:rFonts w:hint="eastAsia" w:ascii="宋体" w:hAnsi="宋体" w:cs="宋体"/>
                <w:i w:val="0"/>
                <w:iCs w:val="0"/>
                <w:color w:val="auto"/>
                <w:sz w:val="24"/>
                <w:szCs w:val="24"/>
                <w:highlight w:val="none"/>
                <w:u w:val="none"/>
                <w:lang w:val="en-US" w:eastAsia="zh-CN" w:bidi="ar"/>
              </w:rPr>
              <w:t xml:space="preserve">。</w:t>
            </w:r>
            <w:r/>
          </w:p>
          <w:p>
            <w:pPr>
              <w:jc w:val="left"/>
              <w:keepLines w:val="0"/>
              <w:keepNext w:val="0"/>
              <w:widowControl/>
              <w:rPr>
                <w:rFonts w:hint="eastAsia"/>
                <w:color w:val="auto"/>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4.供应商</w:t>
            </w:r>
            <w:r>
              <w:rPr>
                <w:rFonts w:ascii="宋体" w:hAnsi="宋体" w:eastAsia="宋体" w:cs="宋体"/>
                <w:color w:val="auto"/>
                <w:sz w:val="24"/>
                <w:szCs w:val="24"/>
                <w:highlight w:val="none"/>
              </w:rPr>
              <w:t xml:space="preserve">提供具备 CMA/CNAS 资质第三方磁粉无损检测报告，钢管磁粉检测按GB/T 42673-2023达到M1级、表面无缺陷</w:t>
            </w:r>
            <w:r>
              <w:rPr>
                <w:rFonts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ascii="宋体" w:hAnsi="宋体" w:eastAsia="宋体" w:cs="宋体"/>
                <w:color w:val="auto"/>
                <w:sz w:val="24"/>
                <w:szCs w:val="24"/>
                <w:highlight w:val="none"/>
              </w:rPr>
              <w:t xml:space="preserve">达到M</w:t>
            </w: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级</w:t>
            </w:r>
            <w:r>
              <w:rPr>
                <w:rFonts w:hint="eastAsia" w:ascii="宋体" w:hAnsi="宋体" w:cs="宋体"/>
                <w:color w:val="auto"/>
                <w:sz w:val="24"/>
                <w:szCs w:val="24"/>
                <w:highlight w:val="none"/>
                <w:lang w:val="en-US" w:eastAsia="zh-CN"/>
              </w:rPr>
              <w:t xml:space="preserve">得1分</w:t>
            </w:r>
            <w:r>
              <w:rPr>
                <w:rFonts w:ascii="宋体" w:hAnsi="宋体" w:eastAsia="宋体" w:cs="宋体"/>
                <w:color w:val="auto"/>
                <w:sz w:val="24"/>
                <w:szCs w:val="24"/>
                <w:highlight w:val="none"/>
              </w:rPr>
              <w:t xml:space="preserve">。</w:t>
            </w:r>
            <w:r>
              <w:rPr>
                <w:rFonts w:hint="eastAsia" w:ascii="宋体" w:hAnsi="宋体" w:eastAsia="宋体" w:cs="宋体"/>
                <w:i w:val="0"/>
                <w:iCs w:val="0"/>
                <w:color w:val="auto"/>
                <w:sz w:val="24"/>
                <w:szCs w:val="24"/>
                <w:highlight w:val="none"/>
                <w:u w:val="none"/>
                <w:lang w:val="en-US" w:eastAsia="zh-CN" w:bidi="ar"/>
              </w:rPr>
              <w:t xml:space="preserve">提供有效的检测报告加盖公章</w:t>
            </w:r>
            <w:r>
              <w:rPr>
                <w:rFonts w:hint="eastAsia" w:ascii="宋体" w:hAnsi="宋体" w:cs="宋体"/>
                <w:i w:val="0"/>
                <w:iCs w:val="0"/>
                <w:color w:val="auto"/>
                <w:sz w:val="24"/>
                <w:szCs w:val="24"/>
                <w:highlight w:val="none"/>
                <w:u w:val="none"/>
                <w:lang w:val="en-US" w:eastAsia="zh-CN" w:bidi="ar"/>
              </w:rPr>
              <w:t xml:space="preserve">。</w:t>
            </w:r>
            <w:r/>
          </w:p>
        </w:tc>
      </w:tr>
      <w:tr>
        <w:trPr>
          <w:jc w:val="center"/>
          <w:trHeight w:val="408"/>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供货安装方案</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r>
            <w:r/>
          </w:p>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供应商</w:t>
            </w:r>
            <w:r>
              <w:rPr>
                <w:rFonts w:hint="eastAsia" w:ascii="宋体" w:hAnsi="宋体" w:cs="宋体"/>
                <w:i w:val="0"/>
                <w:iCs w:val="0"/>
                <w:color w:val="auto"/>
                <w:sz w:val="24"/>
                <w:szCs w:val="24"/>
                <w:highlight w:val="none"/>
                <w:u w:val="none"/>
                <w:lang w:val="en-US" w:eastAsia="zh-CN" w:bidi="ar"/>
              </w:rPr>
              <w:t xml:space="preserve">提供</w:t>
            </w:r>
            <w:r>
              <w:rPr>
                <w:rFonts w:hint="eastAsia" w:ascii="宋体" w:hAnsi="宋体" w:eastAsia="宋体" w:cs="宋体"/>
                <w:i w:val="0"/>
                <w:iCs w:val="0"/>
                <w:color w:val="auto"/>
                <w:sz w:val="24"/>
                <w:szCs w:val="24"/>
                <w:highlight w:val="none"/>
                <w:u w:val="none"/>
                <w:lang w:val="en-US" w:eastAsia="zh-CN" w:bidi="ar"/>
              </w:rPr>
              <w:t xml:space="preserve">的供货方案，包含但不限于以下内容：①供货渠道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②货物检验检测</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③货物包装</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④运输方案</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⑤质量保证</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⑥安装调试方案</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⑦团队人员配备分工</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⑧培训方案</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⑨验收方案</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⑩应急处理预案。</w:t>
            </w:r>
            <w:r>
              <w:rPr>
                <w:rFonts w:hint="eastAsia" w:ascii="宋体" w:hAnsi="宋体" w:eastAsia="宋体" w:cs="宋体"/>
                <w:i w:val="0"/>
                <w:iCs w:val="0"/>
                <w:color w:val="auto"/>
                <w:sz w:val="24"/>
                <w:szCs w:val="24"/>
                <w:highlight w:val="none"/>
                <w:u w:val="none"/>
                <w:lang w:val="en-US" w:eastAsia="zh-CN"/>
              </w:rPr>
              <w:t xml:space="preserve">每项得</w:t>
            </w:r>
            <w:r>
              <w:rPr>
                <w:rFonts w:hint="eastAsia" w:ascii="宋体" w:hAnsi="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lang w:val="en-US" w:eastAsia="zh-CN"/>
              </w:rPr>
              <w:t xml:space="preserve">分，共计</w:t>
            </w:r>
            <w:r>
              <w:rPr>
                <w:rFonts w:hint="eastAsia" w:ascii="宋体" w:hAnsi="宋体" w:cs="宋体"/>
                <w:i w:val="0"/>
                <w:iCs w:val="0"/>
                <w:color w:val="auto"/>
                <w:sz w:val="24"/>
                <w:szCs w:val="24"/>
                <w:highlight w:val="none"/>
                <w:u w:val="none"/>
                <w:lang w:val="en-US" w:eastAsia="zh-CN"/>
              </w:rPr>
              <w:t xml:space="preserve">20</w:t>
            </w:r>
            <w:r>
              <w:rPr>
                <w:rFonts w:hint="eastAsia" w:ascii="宋体" w:hAnsi="宋体" w:eastAsia="宋体" w:cs="宋体"/>
                <w:i w:val="0"/>
                <w:iCs w:val="0"/>
                <w:color w:val="auto"/>
                <w:sz w:val="24"/>
                <w:szCs w:val="24"/>
                <w:highlight w:val="none"/>
                <w:u w:val="none"/>
                <w:lang w:val="en-US" w:eastAsia="zh-CN"/>
              </w:rPr>
              <w:t xml:space="preserve">分，每有一项缺项的扣</w:t>
            </w:r>
            <w:r>
              <w:rPr>
                <w:rFonts w:hint="eastAsia" w:ascii="宋体" w:hAnsi="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lang w:val="en-US" w:eastAsia="zh-CN"/>
              </w:rPr>
              <w:t xml:space="preserve">分，每有一项内容不完整或有缺陷的扣1分，扣完为止，未提供不得分。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jc w:val="center"/>
          <w:trHeight w:val="144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售后服务方案</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供应商</w:t>
            </w:r>
            <w:r>
              <w:rPr>
                <w:rFonts w:hint="eastAsia" w:ascii="宋体" w:hAnsi="宋体" w:cs="宋体"/>
                <w:i w:val="0"/>
                <w:iCs w:val="0"/>
                <w:color w:val="auto"/>
                <w:sz w:val="24"/>
                <w:szCs w:val="24"/>
                <w:highlight w:val="none"/>
                <w:u w:val="none"/>
                <w:lang w:val="en-US" w:eastAsia="zh-CN" w:bidi="ar"/>
              </w:rPr>
              <w:t xml:space="preserve">提供</w:t>
            </w:r>
            <w:r>
              <w:rPr>
                <w:rFonts w:hint="eastAsia" w:ascii="宋体" w:hAnsi="宋体" w:eastAsia="宋体" w:cs="宋体"/>
                <w:i w:val="0"/>
                <w:iCs w:val="0"/>
                <w:color w:val="auto"/>
                <w:sz w:val="24"/>
                <w:szCs w:val="24"/>
                <w:highlight w:val="none"/>
                <w:u w:val="none"/>
                <w:lang w:val="en-US" w:eastAsia="zh-CN" w:bidi="ar"/>
              </w:rPr>
              <w:t xml:space="preserve">的售后服务方案，方案包含但不限于以下内容：①售后服务响应时效</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②售后服务体系</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③售后团队</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④定期服务</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⑤备件供应</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⑥软件升级</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⑦突发故障应急能力</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⑧故障解决方案</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⑨售后巡检服务</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⑩售后培训体系及培训方案。</w:t>
            </w:r>
            <w:r>
              <w:rPr>
                <w:rFonts w:hint="eastAsia" w:ascii="宋体" w:hAnsi="宋体" w:eastAsia="宋体" w:cs="宋体"/>
                <w:i w:val="0"/>
                <w:iCs w:val="0"/>
                <w:color w:val="auto"/>
                <w:sz w:val="24"/>
                <w:szCs w:val="24"/>
                <w:highlight w:val="none"/>
                <w:u w:val="none"/>
                <w:lang w:val="en-US" w:eastAsia="zh-CN"/>
              </w:rPr>
              <w:t xml:space="preserve">每项得</w:t>
            </w:r>
            <w:r>
              <w:rPr>
                <w:rFonts w:hint="eastAsia" w:ascii="宋体" w:hAnsi="宋体" w:cs="宋体"/>
                <w:i w:val="0"/>
                <w:iCs w:val="0"/>
                <w:color w:val="auto"/>
                <w:sz w:val="24"/>
                <w:szCs w:val="24"/>
                <w:highlight w:val="none"/>
                <w:u w:val="none"/>
                <w:lang w:val="en-US" w:eastAsia="zh-CN"/>
              </w:rPr>
              <w:t xml:space="preserve">1.5</w:t>
            </w:r>
            <w:r>
              <w:rPr>
                <w:rFonts w:hint="eastAsia" w:ascii="宋体" w:hAnsi="宋体" w:eastAsia="宋体" w:cs="宋体"/>
                <w:i w:val="0"/>
                <w:iCs w:val="0"/>
                <w:color w:val="auto"/>
                <w:sz w:val="24"/>
                <w:szCs w:val="24"/>
                <w:highlight w:val="none"/>
                <w:u w:val="none"/>
                <w:lang w:val="en-US" w:eastAsia="zh-CN"/>
              </w:rPr>
              <w:t xml:space="preserve">分，共计</w:t>
            </w:r>
            <w:r>
              <w:rPr>
                <w:rFonts w:hint="eastAsia" w:ascii="宋体" w:hAnsi="宋体" w:cs="宋体"/>
                <w:i w:val="0"/>
                <w:iCs w:val="0"/>
                <w:color w:val="auto"/>
                <w:sz w:val="24"/>
                <w:szCs w:val="24"/>
                <w:highlight w:val="none"/>
                <w:u w:val="none"/>
                <w:lang w:val="en-US" w:eastAsia="zh-CN"/>
              </w:rPr>
              <w:t xml:space="preserve">15</w:t>
            </w:r>
            <w:r>
              <w:rPr>
                <w:rFonts w:hint="eastAsia" w:ascii="宋体" w:hAnsi="宋体" w:eastAsia="宋体" w:cs="宋体"/>
                <w:i w:val="0"/>
                <w:iCs w:val="0"/>
                <w:color w:val="auto"/>
                <w:sz w:val="24"/>
                <w:szCs w:val="24"/>
                <w:highlight w:val="none"/>
                <w:u w:val="none"/>
                <w:lang w:val="en-US" w:eastAsia="zh-CN"/>
              </w:rPr>
              <w:t xml:space="preserve">分，每有一项缺项的扣</w:t>
            </w:r>
            <w:r>
              <w:rPr>
                <w:rFonts w:hint="eastAsia" w:ascii="宋体" w:hAnsi="宋体" w:cs="宋体"/>
                <w:i w:val="0"/>
                <w:iCs w:val="0"/>
                <w:color w:val="auto"/>
                <w:sz w:val="24"/>
                <w:szCs w:val="24"/>
                <w:highlight w:val="none"/>
                <w:u w:val="none"/>
                <w:lang w:val="en-US" w:eastAsia="zh-CN"/>
              </w:rPr>
              <w:t xml:space="preserve">1.5</w:t>
            </w:r>
            <w:r>
              <w:rPr>
                <w:rFonts w:hint="eastAsia" w:ascii="宋体" w:hAnsi="宋体" w:eastAsia="宋体" w:cs="宋体"/>
                <w:i w:val="0"/>
                <w:iCs w:val="0"/>
                <w:color w:val="auto"/>
                <w:sz w:val="24"/>
                <w:szCs w:val="24"/>
                <w:highlight w:val="none"/>
                <w:u w:val="none"/>
                <w:lang w:val="en-US" w:eastAsia="zh-CN"/>
              </w:rPr>
              <w:t xml:space="preserve">分，每有一项内容不完整或有缺陷的扣</w:t>
            </w:r>
            <w:r>
              <w:rPr>
                <w:rFonts w:hint="eastAsia" w:ascii="宋体" w:hAnsi="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lang w:val="en-US" w:eastAsia="zh-CN"/>
              </w:rPr>
              <w:t xml:space="preserve">分，扣完为止，未提供不得分。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jc w:val="center"/>
          <w:trHeight w:val="1297"/>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履约能力</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pStyle w:val="654"/>
              <w:rPr>
                <w:rFonts w:hint="default" w:ascii="宋体" w:hAnsi="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承诺拟投入不少4人的售后服务团队的基础上，承诺每增加一人得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分，最多得</w:t>
            </w: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分，提供承诺函，承诺函须包括人员配置详细清单（包括姓名、手机号码、岗位职责等，以上人员需提供近半年内任意</w:t>
            </w:r>
            <w:r>
              <w:rPr>
                <w:rFonts w:hint="eastAsia" w:ascii="宋体" w:hAnsi="宋体" w:cs="宋体"/>
                <w:i w:val="0"/>
                <w:iCs w:val="0"/>
                <w:color w:val="auto"/>
                <w:sz w:val="24"/>
                <w:szCs w:val="24"/>
                <w:highlight w:val="none"/>
                <w:u w:val="none"/>
                <w:lang w:val="en-US" w:eastAsia="zh-CN" w:bidi="ar"/>
              </w:rPr>
              <w:t xml:space="preserve">一</w:t>
            </w:r>
            <w:r>
              <w:rPr>
                <w:rFonts w:hint="eastAsia" w:ascii="宋体" w:hAnsi="宋体" w:eastAsia="宋体" w:cs="宋体"/>
                <w:i w:val="0"/>
                <w:iCs w:val="0"/>
                <w:color w:val="auto"/>
                <w:sz w:val="24"/>
                <w:szCs w:val="24"/>
                <w:highlight w:val="none"/>
                <w:u w:val="none"/>
                <w:lang w:val="en-US" w:eastAsia="zh-CN" w:bidi="ar"/>
              </w:rPr>
              <w:t xml:space="preserve">个月的社保缴纳证明材料），缺一不得分。</w:t>
            </w:r>
            <w:r/>
          </w:p>
        </w:tc>
      </w:tr>
      <w:tr>
        <w:trPr>
          <w:jc w:val="center"/>
          <w:trHeight w:val="49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节能环保</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spacing w:line="360" w:lineRule="auto"/>
              <w:rPr>
                <w:rFonts w:hint="default"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1.投标产品属于财政部、国家发改委公布的“节能产品品目清单”范围内的，投标人提供国家确定的认证机构出具的、处于有效期之内的该节能产品认证证书复印件的，有1个得</w:t>
            </w:r>
            <w:r>
              <w:rPr>
                <w:rFonts w:hint="eastAsia" w:ascii="宋体" w:hAnsi="宋体" w:cs="宋体"/>
                <w:i w:val="0"/>
                <w:iCs w:val="0"/>
                <w:color w:val="auto"/>
                <w:sz w:val="24"/>
                <w:szCs w:val="24"/>
                <w:highlight w:val="none"/>
                <w:u w:val="none"/>
                <w:lang w:val="en-US" w:eastAsia="zh-CN" w:bidi="ar"/>
              </w:rPr>
              <w:t xml:space="preserve">0.5</w:t>
            </w:r>
            <w:r>
              <w:rPr>
                <w:rFonts w:hint="eastAsia" w:ascii="宋体" w:hAnsi="宋体" w:eastAsia="宋体" w:cs="宋体"/>
                <w:i w:val="0"/>
                <w:iCs w:val="0"/>
                <w:color w:val="auto"/>
                <w:sz w:val="24"/>
                <w:szCs w:val="24"/>
                <w:highlight w:val="none"/>
                <w:u w:val="none"/>
                <w:lang w:val="en-US" w:eastAsia="zh-CN" w:bidi="ar"/>
              </w:rPr>
              <w:t xml:space="preserve">分，最多得</w:t>
            </w: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分。如投标产品均属于政府强制采购节能产品品目清单范围内，本项不得分。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2.投标产品属于财政部、生态环境部公布的“环境标志产品品目清单”范围内的，投标人提供国家确定的认证机构出具的、处于有效期内的该环保产品认证证书复印件的，有1个得</w:t>
            </w: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分，最多得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w:t>
            </w:r>
            <w:r/>
          </w:p>
          <w:p>
            <w:pPr>
              <w:jc w:val="left"/>
              <w:spacing w:line="24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3.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分（投标时须提供相应使用低VOCs 含量的有效证明材料，否则不得分）。</w:t>
            </w:r>
            <w:r/>
          </w:p>
        </w:tc>
      </w:tr>
    </w:tbl>
    <w:p>
      <w:pPr>
        <w:spacing w:line="48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480"/>
        <w:spacing w:line="48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包二评分标准：</w:t>
      </w:r>
      <w:r/>
    </w:p>
    <w:tbl>
      <w:tblPr>
        <w:tblStyle w:val="653"/>
        <w:tblW w:w="955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12"/>
        <w:gridCol w:w="1447"/>
        <w:gridCol w:w="735"/>
        <w:gridCol w:w="6559"/>
      </w:tblGrid>
      <w:tr>
        <w:trPr>
          <w:jc w:val="center"/>
          <w:trHeight w:val="890"/>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 </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评分点名称 </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655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评审标准</w:t>
            </w:r>
            <w:r/>
          </w:p>
        </w:tc>
      </w:tr>
      <w:tr>
        <w:trPr>
          <w:jc w:val="center"/>
          <w:trHeight w:val="1440"/>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76" w:lineRule="auto"/>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w:t xml:space="preserve">技术参数</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54"/>
              <w:jc w:val="center"/>
              <w:rPr>
                <w:rFonts w:hint="default" w:ascii="宋体" w:hAnsi="宋体" w:eastAsia="宋体" w:cs="宋体"/>
                <w:i w:val="0"/>
                <w:iCs w:val="0"/>
                <w:color w:val="auto"/>
                <w:sz w:val="24"/>
                <w:szCs w:val="24"/>
                <w:highlight w:val="none"/>
                <w:u w:val="none"/>
                <w:lang w:val="en-US"/>
              </w:rPr>
            </w:pPr>
            <w:r>
              <w:rPr>
                <w:rFonts w:hint="eastAsia" w:ascii="宋体" w:hAnsi="宋体" w:cs="宋体"/>
                <w:color w:val="auto"/>
                <w:sz w:val="24"/>
                <w:szCs w:val="24"/>
                <w:highlight w:val="none"/>
                <w:lang w:val="en-US" w:eastAsia="zh-CN"/>
              </w:rPr>
              <w:t xml:space="preserve">16</w:t>
            </w:r>
            <w:bookmarkStart w:id="184" w:name="_GoBack"/>
            <w:r/>
            <w:bookmarkEnd w:id="184"/>
            <w:r/>
            <w:r/>
          </w:p>
        </w:tc>
        <w:tc>
          <w:tcPr>
            <w:tcBorders>
              <w:top w:val="single" w:color="000000" w:sz="4" w:space="0"/>
              <w:left w:val="single" w:color="000000" w:sz="4" w:space="0"/>
              <w:bottom w:val="single" w:color="000000" w:sz="4" w:space="0"/>
              <w:right w:val="single" w:color="000000" w:sz="4" w:space="0"/>
            </w:tcBorders>
            <w:tcW w:w="6559" w:type="dxa"/>
            <w:vAlign w:val="center"/>
            <w:textDirection w:val="lrTb"/>
            <w:noWrap w:val="false"/>
          </w:tcPr>
          <w:p>
            <w:pPr>
              <w:numPr>
                <w:ilvl w:val="0"/>
                <w:numId w:val="0"/>
              </w:numPr>
              <w:jc w:val="left"/>
              <w:spacing w:line="240" w:lineRule="auto"/>
              <w:widowControl/>
              <w:rPr>
                <w:rFonts w:hint="eastAsia"/>
                <w:color w:val="auto"/>
                <w:sz w:val="24"/>
                <w:szCs w:val="24"/>
                <w:highlight w:val="none"/>
                <w:lang w:val="en-US" w:eastAsia="zh-CN"/>
              </w:rPr>
            </w:pPr>
            <w:r>
              <w:rPr>
                <w:rFonts w:hint="eastAsia" w:ascii="宋体" w:hAnsi="宋体" w:cs="宋体"/>
                <w:color w:val="auto"/>
                <w:sz w:val="24"/>
                <w:szCs w:val="24"/>
                <w:highlight w:val="none"/>
                <w:lang w:val="en-US" w:eastAsia="zh-CN" w:bidi="ar-SA"/>
              </w:rPr>
              <w:t xml:space="preserve">1.球场面层依据GB/T 43353-2023检测气味浓度OC及气味强度OI，要求OI≤2.5级且OC≤250ou/m3（</w:t>
            </w:r>
            <w:r>
              <w:rPr>
                <w:rFonts w:ascii="宋体" w:hAnsi="宋体" w:eastAsia="宋体" w:cs="宋体"/>
                <w:color w:val="auto"/>
                <w:sz w:val="24"/>
                <w:szCs w:val="24"/>
                <w:highlight w:val="none"/>
              </w:rPr>
              <w:t xml:space="preserve">A 类释放等级</w:t>
            </w:r>
            <w:r>
              <w:rPr>
                <w:rFonts w:hint="eastAsia" w:ascii="宋体" w:hAnsi="宋体" w:cs="宋体"/>
                <w:color w:val="auto"/>
                <w:sz w:val="24"/>
                <w:szCs w:val="24"/>
                <w:highlight w:val="none"/>
                <w:lang w:val="en-US" w:eastAsia="zh-CN" w:bidi="ar-SA"/>
              </w:rPr>
              <w:t xml:space="preserve">），</w:t>
            </w:r>
            <w:r>
              <w:rPr>
                <w:rFonts w:ascii="宋体" w:hAnsi="宋体" w:eastAsia="宋体" w:cs="宋体"/>
                <w:color w:val="auto"/>
                <w:sz w:val="24"/>
                <w:szCs w:val="24"/>
                <w:highlight w:val="none"/>
              </w:rPr>
              <w:t xml:space="preserve">全部达标得</w:t>
            </w:r>
            <w:r>
              <w:rPr>
                <w:rFonts w:hint="eastAsia" w:ascii="宋体" w:hAnsi="宋体" w:cs="宋体"/>
                <w:color w:val="auto"/>
                <w:sz w:val="24"/>
                <w:szCs w:val="24"/>
                <w:highlight w:val="none"/>
                <w:lang w:val="en-US" w:eastAsia="zh-CN"/>
              </w:rPr>
              <w:t xml:space="preserve">4</w:t>
            </w:r>
            <w:r>
              <w:rPr>
                <w:rFonts w:ascii="宋体" w:hAnsi="宋体" w:eastAsia="宋体" w:cs="宋体"/>
                <w:color w:val="auto"/>
                <w:sz w:val="24"/>
                <w:szCs w:val="24"/>
                <w:highlight w:val="none"/>
              </w:rPr>
              <w:t xml:space="preserve">分；无检测报告</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bidi="ar-SA"/>
              </w:rPr>
              <w:t xml:space="preserve">提供加盖公章的履约承诺函得1分。无检测报告、无承诺函不得分。</w:t>
            </w:r>
            <w:r/>
          </w:p>
          <w:p>
            <w:pPr>
              <w:numPr>
                <w:ilvl w:val="0"/>
                <w:numId w:val="0"/>
              </w:numPr>
              <w:jc w:val="left"/>
              <w:spacing w:line="240" w:lineRule="auto"/>
              <w:widowControl/>
              <w:rPr>
                <w:rFonts w:hint="eastAsia"/>
                <w:color w:val="auto"/>
                <w:sz w:val="24"/>
                <w:szCs w:val="24"/>
                <w:highlight w:val="none"/>
                <w:lang w:val="en-US" w:eastAsia="zh-CN"/>
              </w:rPr>
            </w:pPr>
            <w:r>
              <w:rPr>
                <w:rFonts w:hint="eastAsia" w:ascii="宋体" w:hAnsi="宋体" w:cs="宋体"/>
                <w:strike w:val="0"/>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球场面漆层材料耐人工气候老化500h后，要求变色色差值≤3，</w:t>
            </w:r>
            <w:r>
              <w:rPr>
                <w:rFonts w:hint="eastAsia" w:ascii="宋体" w:hAnsi="宋体" w:eastAsia="宋体" w:cs="宋体"/>
                <w:sz w:val="24"/>
                <w:szCs w:val="24"/>
                <w:highlight w:val="none"/>
                <w:lang w:val="en-US" w:eastAsia="zh-CN" w:bidi="ar-SA"/>
              </w:rPr>
              <w:t xml:space="preserve">色牢度符合GB/T 43565-2023干、湿状态下均无脱色</w:t>
            </w:r>
            <w:r>
              <w:rPr>
                <w:rFonts w:hint="eastAsia" w:ascii="宋体" w:hAnsi="宋体" w:cs="宋体"/>
                <w:sz w:val="24"/>
                <w:szCs w:val="24"/>
                <w:highlight w:val="none"/>
                <w:lang w:val="en-US" w:eastAsia="zh-CN" w:bidi="ar-SA"/>
              </w:rPr>
              <w:t xml:space="preserve">的</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全部达标得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rPr>
                <w:rFonts w:ascii="宋体" w:hAnsi="宋体" w:eastAsia="宋体" w:cs="宋体"/>
                <w:color w:val="auto"/>
                <w:sz w:val="24"/>
                <w:szCs w:val="24"/>
                <w:highlight w:val="none"/>
              </w:rPr>
              <w:t xml:space="preserve">无检测报告</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bidi="ar-SA"/>
              </w:rPr>
              <w:t xml:space="preserve">提供加盖公章的承诺函得1分。无检测报告、无承诺不得分。</w:t>
            </w:r>
            <w:r/>
          </w:p>
          <w:p>
            <w:pPr>
              <w:numPr>
                <w:ilvl w:val="0"/>
                <w:numId w:val="0"/>
              </w:numPr>
              <w:jc w:val="left"/>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3.围网满足依据GB/T 2423.2-2008进行70°C高温测试48h，表面无起泡，无变形，全部达标得4分；无检测报告，提供加盖</w:t>
            </w:r>
            <w:r>
              <w:rPr>
                <w:rFonts w:hint="eastAsia" w:ascii="宋体" w:hAnsi="宋体" w:eastAsia="宋体" w:cs="宋体"/>
                <w:color w:val="auto"/>
                <w:sz w:val="24"/>
                <w:szCs w:val="24"/>
                <w:highlight w:val="none"/>
                <w:lang w:val="en-US" w:eastAsia="zh-CN" w:bidi="ar-SA"/>
              </w:rPr>
              <w:t xml:space="preserve">公章的承诺函得1分。无检测报告、无承诺不得分。</w:t>
            </w:r>
            <w:r/>
          </w:p>
          <w:p>
            <w:pPr>
              <w:numPr>
                <w:ilvl w:val="0"/>
                <w:numId w:val="0"/>
              </w:numPr>
              <w:jc w:val="left"/>
              <w:spacing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4.提供地埋式篮球架GB/T 23176</w:t>
            </w:r>
            <w:r>
              <w:rPr>
                <w:rFonts w:hint="eastAsia" w:ascii="宋体" w:hAnsi="宋体" w:eastAsia="宋体" w:cs="宋体"/>
                <w:color w:val="auto"/>
                <w:sz w:val="24"/>
                <w:szCs w:val="24"/>
                <w:highlight w:val="none"/>
                <w:lang w:val="en-US" w:eastAsia="zh-CN" w:bidi="ar-SA"/>
              </w:rPr>
              <w:noBreakHyphen/>
            </w:r>
            <w:r>
              <w:rPr>
                <w:rFonts w:hint="eastAsia" w:ascii="宋体" w:hAnsi="宋体" w:eastAsia="宋体" w:cs="宋体"/>
                <w:color w:val="auto"/>
                <w:sz w:val="24"/>
                <w:szCs w:val="24"/>
                <w:highlight w:val="none"/>
                <w:lang w:val="en-US" w:eastAsia="zh-CN" w:bidi="ar-SA"/>
              </w:rPr>
              <w:t xml:space="preserve">2008 结构尺寸、篮板性能、篮圈、架体整机性能、外观涂层等整体检测报告得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无检测报告，提供加盖公章的承诺函得1分。无检测报告、无承诺不得分。</w:t>
            </w:r>
            <w:r/>
          </w:p>
          <w:p>
            <w:pP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w:t xml:space="preserve">注：以上所有检测报告须由通过CMA或CNAS认证的检测机构出具</w:t>
            </w:r>
            <w:r>
              <w:rPr>
                <w:rFonts w:hint="eastAsia" w:ascii="宋体" w:hAnsi="宋体" w:eastAsia="宋体" w:cs="宋体"/>
                <w:color w:val="auto"/>
                <w:sz w:val="24"/>
                <w:szCs w:val="24"/>
                <w:highlight w:val="none"/>
                <w:lang w:val="en-US" w:eastAsia="zh-CN"/>
              </w:rPr>
              <w:t xml:space="preserve">。履约承诺函格式自拟，承</w:t>
            </w:r>
            <w:r>
              <w:rPr>
                <w:rFonts w:hint="eastAsia" w:ascii="宋体" w:hAnsi="宋体" w:cs="宋体"/>
                <w:color w:val="auto"/>
                <w:sz w:val="24"/>
                <w:szCs w:val="24"/>
                <w:highlight w:val="none"/>
                <w:lang w:val="en-US" w:eastAsia="zh-CN" w:bidi="ar-SA"/>
              </w:rPr>
              <w:t xml:space="preserve">诺所投产品满足上述全部指标，中标后供货前7日内提交检测报告核验，不达标视为违约。</w:t>
            </w:r>
            <w:r/>
          </w:p>
        </w:tc>
      </w:tr>
      <w:tr>
        <w:trPr>
          <w:jc w:val="center"/>
          <w:trHeight w:val="1440"/>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76"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Cs/>
                <w:color w:val="auto"/>
                <w:sz w:val="24"/>
                <w:szCs w:val="24"/>
                <w:highlight w:val="none"/>
              </w:rPr>
              <w:t xml:space="preserve">业绩</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spacing w:line="276" w:lineRule="auto"/>
              <w:rPr>
                <w:rFonts w:hint="eastAsia" w:ascii="宋体" w:hAnsi="宋体" w:eastAsia="宋体" w:cs="宋体"/>
                <w:i w:val="0"/>
                <w:iCs w:val="0"/>
                <w:color w:val="auto"/>
                <w:sz w:val="24"/>
                <w:szCs w:val="24"/>
                <w:highlight w:val="none"/>
                <w:u w:val="none"/>
              </w:rPr>
            </w:pPr>
            <w:r>
              <w:rPr>
                <w:rFonts w:hint="eastAsia" w:ascii="宋体" w:hAnsi="宋体" w:cs="宋体"/>
                <w:bCs/>
                <w:color w:val="auto"/>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6559" w:type="dxa"/>
            <w:vAlign w:val="center"/>
            <w:textDirection w:val="lrTb"/>
            <w:noWrap w:val="false"/>
          </w:tcPr>
          <w:p>
            <w:pPr>
              <w:spacing w:line="276"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自2023年（以竣工验收证明时间为准）以来，承担过类似项目业绩每有一个得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spacing w:line="276" w:lineRule="auto"/>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i w:val="0"/>
                <w:iCs w:val="0"/>
                <w:color w:val="auto"/>
                <w:sz w:val="24"/>
                <w:szCs w:val="24"/>
                <w:highlight w:val="none"/>
                <w:u w:val="none"/>
                <w:lang w:val="en-US" w:eastAsia="zh-CN" w:bidi="ar"/>
              </w:rPr>
              <w:t xml:space="preserve">业绩证明材料至少包括完整的合同文本、对应项目验收报告，业绩时间以合同订立时间为准。未提供或提供不全不得分。</w:t>
            </w:r>
            <w:r/>
          </w:p>
        </w:tc>
      </w:tr>
      <w:tr>
        <w:trPr>
          <w:jc w:val="center"/>
          <w:trHeight w:val="1200"/>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76"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Cs/>
                <w:color w:val="auto"/>
                <w:sz w:val="24"/>
                <w:szCs w:val="24"/>
                <w:highlight w:val="none"/>
                <w:lang w:val="en-US" w:eastAsia="zh-CN"/>
              </w:rPr>
              <w:t xml:space="preserve">认证体系</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spacing w:line="276" w:lineRule="auto"/>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65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shd w:val="clear" w:color="auto" w:fill="auto"/>
              </w:rPr>
              <w:t xml:space="preserve">供应商具备有效期内的质量管理体系认证证书，环境管理体系认证证书，</w:t>
            </w:r>
            <w:r>
              <w:rPr>
                <w:rFonts w:hint="eastAsia" w:ascii="宋体" w:hAnsi="宋体" w:eastAsia="宋体" w:cs="宋体"/>
                <w:i w:val="0"/>
                <w:iCs w:val="0"/>
                <w:color w:val="auto"/>
                <w:sz w:val="24"/>
                <w:szCs w:val="24"/>
                <w:highlight w:val="none"/>
                <w:u w:val="none"/>
                <w:lang w:val="en-US" w:eastAsia="zh-CN" w:bidi="ar"/>
              </w:rPr>
              <w:t xml:space="preserve">有一个得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分，最高得</w:t>
            </w: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分</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不提供不得分</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提供有效的证书复印件加盖公章</w:t>
            </w:r>
            <w:r>
              <w:rPr>
                <w:rFonts w:hint="eastAsia" w:ascii="宋体" w:hAnsi="宋体" w:cs="宋体"/>
                <w:i w:val="0"/>
                <w:iCs w:val="0"/>
                <w:color w:val="auto"/>
                <w:sz w:val="24"/>
                <w:szCs w:val="24"/>
                <w:highlight w:val="none"/>
                <w:u w:val="none"/>
                <w:lang w:val="en-US" w:eastAsia="zh-CN" w:bidi="ar"/>
              </w:rPr>
              <w:t xml:space="preserve">。</w:t>
            </w:r>
            <w:r/>
          </w:p>
        </w:tc>
      </w:tr>
      <w:tr>
        <w:trPr>
          <w:jc w:val="center"/>
          <w:trHeight w:val="5797"/>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76" w:lineRule="auto"/>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w:t xml:space="preserve">设计方案</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spacing w:line="276" w:lineRule="auto"/>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6559" w:type="dxa"/>
            <w:vAlign w:val="center"/>
            <w:textDirection w:val="lrTb"/>
            <w:noWrap w:val="false"/>
          </w:tcPr>
          <w:p>
            <w:pPr>
              <w:spacing w:line="276"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供应商提供的</w:t>
            </w:r>
            <w:r>
              <w:rPr>
                <w:rFonts w:hint="eastAsia" w:ascii="宋体" w:hAnsi="宋体" w:eastAsia="宋体" w:cs="宋体"/>
                <w:color w:val="auto"/>
                <w:sz w:val="24"/>
                <w:szCs w:val="24"/>
                <w:highlight w:val="none"/>
              </w:rPr>
              <w:t xml:space="preserve">设计方案</w:t>
            </w:r>
            <w:r>
              <w:rPr>
                <w:rFonts w:hint="eastAsia" w:ascii="宋体" w:hAnsi="宋体" w:eastAsia="宋体" w:cs="宋体"/>
                <w:i w:val="0"/>
                <w:iCs w:val="0"/>
                <w:color w:val="auto"/>
                <w:sz w:val="24"/>
                <w:szCs w:val="24"/>
                <w:highlight w:val="none"/>
                <w:u w:val="none"/>
                <w:lang w:val="en-US" w:eastAsia="zh-CN"/>
              </w:rPr>
              <w:t xml:space="preserve">，内容包括但不限于：①</w:t>
            </w:r>
            <w:r>
              <w:rPr>
                <w:rFonts w:hint="eastAsia" w:ascii="宋体" w:hAnsi="宋体" w:eastAsia="宋体" w:cs="宋体"/>
                <w:color w:val="auto"/>
                <w:sz w:val="24"/>
                <w:szCs w:val="24"/>
                <w:highlight w:val="none"/>
                <w:lang w:val="en-US" w:eastAsia="zh-CN"/>
              </w:rPr>
              <w:t xml:space="preserve">至少三个适用于</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的笼式篮球场</w:t>
            </w:r>
            <w:r>
              <w:rPr>
                <w:rFonts w:hint="eastAsia" w:ascii="宋体" w:hAnsi="宋体" w:eastAsia="宋体" w:cs="宋体"/>
                <w:color w:val="auto"/>
                <w:sz w:val="24"/>
                <w:szCs w:val="24"/>
                <w:highlight w:val="none"/>
              </w:rPr>
              <w:t xml:space="preserve">设计</w:t>
            </w:r>
            <w:r>
              <w:rPr>
                <w:rFonts w:hint="eastAsia" w:ascii="宋体" w:hAnsi="宋体" w:eastAsia="宋体" w:cs="宋体"/>
                <w:color w:val="auto"/>
                <w:sz w:val="24"/>
                <w:szCs w:val="24"/>
                <w:highlight w:val="none"/>
                <w:lang w:val="en-US" w:eastAsia="zh-CN"/>
              </w:rPr>
              <w:t xml:space="preserve">方案</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②</w:t>
            </w:r>
            <w:r>
              <w:rPr>
                <w:rFonts w:hint="eastAsia" w:ascii="宋体" w:hAnsi="宋体" w:eastAsia="宋体" w:cs="宋体"/>
                <w:color w:val="auto"/>
                <w:sz w:val="24"/>
                <w:szCs w:val="24"/>
                <w:highlight w:val="none"/>
                <w:lang w:val="en-US" w:eastAsia="zh-CN"/>
              </w:rPr>
              <w:t xml:space="preserve">至少三个</w:t>
            </w:r>
            <w:r>
              <w:rPr>
                <w:rFonts w:hint="eastAsia" w:ascii="宋体" w:hAnsi="宋体" w:eastAsia="宋体" w:cs="宋体"/>
                <w:color w:val="auto"/>
                <w:sz w:val="24"/>
                <w:szCs w:val="24"/>
                <w:highlight w:val="none"/>
              </w:rPr>
              <w:t xml:space="preserve">整体设计新颖，合理规划空间，与周边环境相融合，综合考虑空中俯瞰效果，合理运用色彩搭配、线条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图案营造愉悦运动氛围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凸显</w:t>
            </w:r>
            <w:r>
              <w:rPr>
                <w:rFonts w:hint="eastAsia" w:ascii="宋体" w:hAnsi="宋体" w:eastAsia="宋体" w:cs="宋体"/>
                <w:color w:val="auto"/>
                <w:sz w:val="24"/>
                <w:szCs w:val="24"/>
                <w:highlight w:val="none"/>
              </w:rPr>
              <w:t xml:space="preserve">独特</w:t>
            </w:r>
            <w:r>
              <w:rPr>
                <w:rFonts w:hint="eastAsia" w:ascii="宋体" w:hAnsi="宋体" w:eastAsia="宋体" w:cs="宋体"/>
                <w:color w:val="auto"/>
                <w:sz w:val="24"/>
                <w:szCs w:val="24"/>
                <w:highlight w:val="none"/>
                <w:lang w:val="en-US" w:eastAsia="zh-CN"/>
              </w:rPr>
              <w:t xml:space="preserve">的篮球时尚</w:t>
            </w:r>
            <w:r>
              <w:rPr>
                <w:rFonts w:hint="eastAsia" w:ascii="宋体" w:hAnsi="宋体" w:eastAsia="宋体" w:cs="宋体"/>
                <w:color w:val="auto"/>
                <w:sz w:val="24"/>
                <w:szCs w:val="24"/>
                <w:highlight w:val="none"/>
              </w:rPr>
              <w:t xml:space="preserve">风格</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lang w:val="en-US" w:eastAsia="zh-CN"/>
              </w:rPr>
              <w:t xml:space="preserve">设计图</w:t>
            </w:r>
            <w:r>
              <w:rPr>
                <w:rFonts w:hint="eastAsia" w:ascii="宋体" w:hAnsi="宋体" w:cs="宋体"/>
                <w:color w:val="auto"/>
                <w:sz w:val="24"/>
                <w:szCs w:val="24"/>
                <w:highlight w:val="none"/>
                <w:lang w:val="en-US" w:eastAsia="zh-CN"/>
              </w:rPr>
              <w:t xml:space="preserve">，设计图纸需兼顾场地后期维修，场地翻新等需求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设计</w:t>
            </w:r>
            <w:r>
              <w:rPr>
                <w:rFonts w:hint="eastAsia" w:ascii="宋体" w:hAnsi="宋体" w:eastAsia="宋体" w:cs="宋体"/>
                <w:color w:val="auto"/>
                <w:sz w:val="24"/>
                <w:szCs w:val="24"/>
                <w:highlight w:val="none"/>
                <w:lang w:val="en-US" w:eastAsia="zh-CN"/>
              </w:rPr>
              <w:t xml:space="preserve">效果</w:t>
            </w:r>
            <w:r>
              <w:rPr>
                <w:rFonts w:hint="eastAsia" w:ascii="宋体" w:hAnsi="宋体" w:eastAsia="宋体" w:cs="宋体"/>
                <w:color w:val="auto"/>
                <w:sz w:val="24"/>
                <w:szCs w:val="24"/>
                <w:highlight w:val="none"/>
              </w:rPr>
              <w:t xml:space="preserve">图经采购方确认后方可实施</w:t>
            </w:r>
            <w:r>
              <w:rPr>
                <w:rFonts w:hint="eastAsia" w:ascii="宋体" w:hAnsi="宋体" w:cs="宋体"/>
                <w:color w:val="auto"/>
                <w:sz w:val="24"/>
                <w:szCs w:val="24"/>
                <w:highlight w:val="none"/>
                <w:lang w:eastAsia="zh-CN"/>
              </w:rPr>
              <w:t xml:space="preserve">）；③</w:t>
            </w:r>
            <w:r>
              <w:rPr>
                <w:rFonts w:hint="eastAsia" w:ascii="宋体" w:hAnsi="宋体" w:cs="宋体"/>
                <w:color w:val="auto"/>
                <w:sz w:val="24"/>
                <w:szCs w:val="24"/>
                <w:highlight w:val="none"/>
                <w:lang w:val="en-US" w:eastAsia="zh-CN"/>
              </w:rPr>
              <w:t xml:space="preserve">施工落地配套方案，提供现场实地勘测交底，明确施工场地尺寸等，</w:t>
            </w:r>
            <w:r>
              <w:rPr>
                <w:rFonts w:hint="eastAsia" w:ascii="宋体" w:hAnsi="宋体" w:eastAsia="宋体" w:cs="宋体"/>
                <w:i w:val="0"/>
                <w:iCs w:val="0"/>
                <w:color w:val="auto"/>
                <w:sz w:val="24"/>
                <w:szCs w:val="24"/>
                <w:highlight w:val="none"/>
                <w:u w:val="none"/>
                <w:lang w:val="en-US" w:eastAsia="zh-CN"/>
              </w:rPr>
              <w:t xml:space="preserve">每项得</w:t>
            </w:r>
            <w:r>
              <w:rPr>
                <w:rFonts w:hint="eastAsia" w:ascii="宋体" w:hAnsi="宋体" w:cs="宋体"/>
                <w:i w:val="0"/>
                <w:iCs w:val="0"/>
                <w:color w:val="auto"/>
                <w:sz w:val="24"/>
                <w:szCs w:val="24"/>
                <w:highlight w:val="none"/>
                <w:u w:val="none"/>
                <w:lang w:val="en-US" w:eastAsia="zh-CN"/>
              </w:rPr>
              <w:t xml:space="preserve">4</w:t>
            </w:r>
            <w:r>
              <w:rPr>
                <w:rFonts w:hint="eastAsia" w:ascii="宋体" w:hAnsi="宋体" w:eastAsia="宋体" w:cs="宋体"/>
                <w:i w:val="0"/>
                <w:iCs w:val="0"/>
                <w:color w:val="auto"/>
                <w:sz w:val="24"/>
                <w:szCs w:val="24"/>
                <w:highlight w:val="none"/>
                <w:u w:val="none"/>
                <w:lang w:val="en-US" w:eastAsia="zh-CN"/>
              </w:rPr>
              <w:t xml:space="preserve">分，共计</w:t>
            </w:r>
            <w:r>
              <w:rPr>
                <w:rFonts w:hint="eastAsia" w:ascii="宋体" w:hAnsi="宋体" w:cs="宋体"/>
                <w:i w:val="0"/>
                <w:iCs w:val="0"/>
                <w:color w:val="auto"/>
                <w:sz w:val="24"/>
                <w:szCs w:val="24"/>
                <w:highlight w:val="none"/>
                <w:u w:val="none"/>
                <w:lang w:val="en-US" w:eastAsia="zh-CN"/>
              </w:rPr>
              <w:t xml:space="preserve">12</w:t>
            </w:r>
            <w:r>
              <w:rPr>
                <w:rFonts w:hint="eastAsia" w:ascii="宋体" w:hAnsi="宋体" w:eastAsia="宋体" w:cs="宋体"/>
                <w:i w:val="0"/>
                <w:iCs w:val="0"/>
                <w:color w:val="auto"/>
                <w:sz w:val="24"/>
                <w:szCs w:val="24"/>
                <w:highlight w:val="none"/>
                <w:u w:val="none"/>
                <w:lang w:val="en-US" w:eastAsia="zh-CN"/>
              </w:rPr>
              <w:t xml:space="preserve">分，每有一项缺项的扣</w:t>
            </w:r>
            <w:r>
              <w:rPr>
                <w:rFonts w:hint="eastAsia" w:ascii="宋体" w:hAnsi="宋体" w:cs="宋体"/>
                <w:i w:val="0"/>
                <w:iCs w:val="0"/>
                <w:color w:val="auto"/>
                <w:sz w:val="24"/>
                <w:szCs w:val="24"/>
                <w:highlight w:val="none"/>
                <w:u w:val="none"/>
                <w:lang w:val="en-US" w:eastAsia="zh-CN"/>
              </w:rPr>
              <w:t xml:space="preserve">4</w:t>
            </w:r>
            <w:r>
              <w:rPr>
                <w:rFonts w:hint="eastAsia" w:ascii="宋体" w:hAnsi="宋体" w:eastAsia="宋体" w:cs="宋体"/>
                <w:i w:val="0"/>
                <w:iCs w:val="0"/>
                <w:color w:val="auto"/>
                <w:sz w:val="24"/>
                <w:szCs w:val="24"/>
                <w:highlight w:val="none"/>
                <w:u w:val="none"/>
                <w:lang w:val="en-US" w:eastAsia="zh-CN"/>
              </w:rPr>
              <w:t xml:space="preserve">分，每有一项内容不完整或有缺陷的扣</w:t>
            </w:r>
            <w:r>
              <w:rPr>
                <w:rFonts w:hint="eastAsia" w:ascii="宋体" w:hAnsi="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lang w:val="en-US" w:eastAsia="zh-CN"/>
              </w:rPr>
              <w:t xml:space="preserve">分，扣完为止，未提供不得分。</w:t>
            </w:r>
            <w:r/>
          </w:p>
          <w:p>
            <w:pPr>
              <w:spacing w:line="276" w:lineRule="auto"/>
              <w:rPr>
                <w:rFonts w:hint="default"/>
                <w:color w:val="auto"/>
                <w:highlight w:val="none"/>
                <w:lang w:val="en-US"/>
              </w:rPr>
            </w:pPr>
            <w:r>
              <w:rPr>
                <w:rFonts w:hint="eastAsia" w:ascii="宋体" w:hAnsi="宋体" w:eastAsia="宋体" w:cs="宋体"/>
                <w:i w:val="0"/>
                <w:iCs w:val="0"/>
                <w:color w:val="auto"/>
                <w:sz w:val="24"/>
                <w:szCs w:val="24"/>
                <w:highlight w:val="none"/>
                <w:u w:val="none"/>
                <w:lang w:val="en-US" w:eastAsia="zh-CN"/>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jc w:val="center"/>
          <w:trHeight w:val="1297"/>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76" w:lineRule="auto"/>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w:t xml:space="preserve">项目实施方案</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spacing w:line="276" w:lineRule="auto"/>
              <w:rPr>
                <w:rFonts w:hint="default" w:ascii="宋体" w:hAnsi="宋体" w:eastAsia="宋体" w:cs="宋体"/>
                <w:i w:val="0"/>
                <w:iCs w:val="0"/>
                <w:color w:val="auto"/>
                <w:sz w:val="24"/>
                <w:szCs w:val="24"/>
                <w:highlight w:val="none"/>
                <w:u w:val="none"/>
                <w:lang w:val="en-US"/>
              </w:rPr>
            </w:pPr>
            <w:r>
              <w:rPr>
                <w:rFonts w:hint="eastAsia" w:ascii="宋体" w:hAnsi="宋体" w:cs="宋体"/>
                <w:bCs/>
                <w:color w:val="auto"/>
                <w:sz w:val="24"/>
                <w:szCs w:val="24"/>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65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供应商提供的项目实施方案，内容包括但不限于：①</w:t>
            </w:r>
            <w:r>
              <w:rPr>
                <w:rFonts w:hint="eastAsia" w:ascii="宋体" w:hAnsi="宋体" w:eastAsia="宋体" w:cs="宋体"/>
                <w:color w:val="auto"/>
                <w:sz w:val="24"/>
                <w:szCs w:val="24"/>
                <w:highlight w:val="none"/>
                <w:lang w:val="en-US" w:eastAsia="zh-CN"/>
              </w:rPr>
              <w:t xml:space="preserve">施工组织设计</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②</w:t>
            </w:r>
            <w:r>
              <w:rPr>
                <w:rFonts w:hint="eastAsia" w:ascii="宋体" w:hAnsi="宋体" w:eastAsia="宋体" w:cs="宋体"/>
                <w:color w:val="auto"/>
                <w:sz w:val="24"/>
                <w:szCs w:val="24"/>
                <w:highlight w:val="none"/>
                <w:lang w:val="en-US" w:eastAsia="zh-CN"/>
              </w:rPr>
              <w:t xml:space="preserve">施工技术和工艺</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③</w:t>
            </w:r>
            <w:r>
              <w:rPr>
                <w:rFonts w:hint="eastAsia" w:ascii="宋体" w:hAnsi="宋体" w:eastAsia="宋体" w:cs="宋体"/>
                <w:color w:val="auto"/>
                <w:sz w:val="24"/>
                <w:szCs w:val="24"/>
                <w:highlight w:val="none"/>
                <w:lang w:val="en-US" w:eastAsia="zh-CN"/>
              </w:rPr>
              <w:t xml:space="preserve">施工进度计划和各阶段进度的保证措施</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④</w:t>
            </w:r>
            <w:r>
              <w:rPr>
                <w:rFonts w:hint="eastAsia" w:ascii="宋体" w:hAnsi="宋体" w:eastAsia="宋体" w:cs="宋体"/>
                <w:color w:val="auto"/>
                <w:sz w:val="24"/>
                <w:szCs w:val="24"/>
                <w:highlight w:val="none"/>
                <w:lang w:val="en-US" w:eastAsia="zh-CN"/>
              </w:rPr>
              <w:t xml:space="preserve">安全文明施工及环境保护</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⑤</w:t>
            </w:r>
            <w:r>
              <w:rPr>
                <w:rFonts w:hint="eastAsia" w:ascii="宋体" w:hAnsi="宋体" w:eastAsia="宋体" w:cs="宋体"/>
                <w:color w:val="auto"/>
                <w:sz w:val="24"/>
                <w:szCs w:val="24"/>
                <w:highlight w:val="none"/>
                <w:lang w:val="en-US" w:eastAsia="zh-CN"/>
              </w:rPr>
              <w:t xml:space="preserve">针对本项目关键施工技术</w:t>
            </w:r>
            <w:r>
              <w:rPr>
                <w:rFonts w:hint="eastAsia" w:ascii="宋体" w:hAnsi="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val="en-US" w:eastAsia="zh-CN"/>
              </w:rPr>
              <w:t xml:space="preserve">⑥质量保证体系与验收标准</w:t>
            </w:r>
            <w:r>
              <w:rPr>
                <w:rFonts w:hint="eastAsia" w:ascii="宋体" w:hAnsi="宋体" w:cs="宋体"/>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u w:val="none"/>
                <w:lang w:val="en-US" w:eastAsia="zh-CN"/>
              </w:rPr>
              <w:t xml:space="preserve">每项得</w:t>
            </w:r>
            <w:r>
              <w:rPr>
                <w:rFonts w:hint="eastAsia" w:ascii="宋体" w:hAnsi="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lang w:val="en-US" w:eastAsia="zh-CN"/>
              </w:rPr>
              <w:t xml:space="preserve">分，共计</w:t>
            </w:r>
            <w:r>
              <w:rPr>
                <w:rFonts w:hint="eastAsia" w:ascii="宋体" w:hAnsi="宋体" w:cs="宋体"/>
                <w:i w:val="0"/>
                <w:iCs w:val="0"/>
                <w:color w:val="auto"/>
                <w:sz w:val="24"/>
                <w:szCs w:val="24"/>
                <w:highlight w:val="none"/>
                <w:u w:val="none"/>
                <w:lang w:val="en-US" w:eastAsia="zh-CN"/>
              </w:rPr>
              <w:t xml:space="preserve">12</w:t>
            </w:r>
            <w:r>
              <w:rPr>
                <w:rFonts w:hint="eastAsia" w:ascii="宋体" w:hAnsi="宋体" w:eastAsia="宋体" w:cs="宋体"/>
                <w:i w:val="0"/>
                <w:iCs w:val="0"/>
                <w:color w:val="auto"/>
                <w:sz w:val="24"/>
                <w:szCs w:val="24"/>
                <w:highlight w:val="none"/>
                <w:u w:val="none"/>
                <w:lang w:val="en-US" w:eastAsia="zh-CN"/>
              </w:rPr>
              <w:t xml:space="preserve">分，每有一项缺项的扣</w:t>
            </w:r>
            <w:r>
              <w:rPr>
                <w:rFonts w:hint="eastAsia" w:ascii="宋体" w:hAnsi="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lang w:val="en-US" w:eastAsia="zh-CN"/>
              </w:rPr>
              <w:t xml:space="preserve">分，每有一项内容不完整或有缺陷的扣</w:t>
            </w:r>
            <w:r>
              <w:rPr>
                <w:rFonts w:hint="eastAsia" w:ascii="宋体" w:hAnsi="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lang w:val="en-US" w:eastAsia="zh-CN"/>
              </w:rPr>
              <w:t xml:space="preserve">分，扣完为止，未提供不得分。</w:t>
            </w:r>
            <w:r/>
          </w:p>
          <w:p>
            <w:pPr>
              <w:numPr>
                <w:ilvl w:val="0"/>
                <w:numId w:val="0"/>
              </w:numPr>
              <w:ind w:left="0" w:firstLine="0"/>
              <w:spacing w:line="276"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注：内容不完整或有缺陷是指：非专门针对本项目或内容不全面与</w:t>
            </w:r>
            <w:r>
              <w:rPr>
                <w:rFonts w:hint="eastAsia" w:ascii="宋体" w:hAnsi="宋体" w:eastAsia="宋体" w:cs="宋体"/>
                <w:color w:val="auto"/>
                <w:sz w:val="24"/>
                <w:szCs w:val="24"/>
                <w:highlight w:val="none"/>
              </w:rPr>
              <w:t xml:space="preserve">响应供应商承诺终身维修并提供维修方案</w:t>
            </w:r>
            <w:r>
              <w:rPr>
                <w:rFonts w:hint="eastAsia" w:ascii="宋体" w:hAnsi="宋体" w:eastAsia="宋体" w:cs="宋体"/>
                <w:i w:val="0"/>
                <w:iCs w:val="0"/>
                <w:color w:val="auto"/>
                <w:sz w:val="24"/>
                <w:szCs w:val="24"/>
                <w:highlight w:val="none"/>
                <w:u w:val="none"/>
                <w:lang w:val="en-US" w:eastAsia="zh-CN"/>
              </w:rPr>
              <w:t xml:space="preserve">有纲要且未展开阐述、内容前后矛盾、涉及的规范及标准错误等任意一种情形。</w:t>
            </w:r>
            <w:r/>
          </w:p>
        </w:tc>
      </w:tr>
      <w:tr>
        <w:trPr>
          <w:jc w:val="center"/>
          <w:trHeight w:val="327"/>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76" w:lineRule="auto"/>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w:t xml:space="preserve">售后服务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spacing w:line="276" w:lineRule="auto"/>
              <w:rPr>
                <w:rFonts w:hint="default" w:ascii="宋体" w:hAnsi="宋体" w:eastAsia="宋体" w:cs="宋体"/>
                <w:i w:val="0"/>
                <w:iCs w:val="0"/>
                <w:color w:val="auto"/>
                <w:sz w:val="24"/>
                <w:szCs w:val="24"/>
                <w:highlight w:val="none"/>
                <w:u w:val="none"/>
                <w:lang w:val="en-US"/>
              </w:rPr>
            </w:pPr>
            <w:r>
              <w:rPr>
                <w:rFonts w:hint="eastAsia" w:ascii="宋体" w:hAnsi="宋体" w:cs="宋体"/>
                <w:bCs/>
                <w:color w:val="auto"/>
                <w:sz w:val="24"/>
                <w:szCs w:val="24"/>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6559" w:type="dxa"/>
            <w:vAlign w:val="center"/>
            <w:textDirection w:val="lrTb"/>
            <w:noWrap w:val="false"/>
          </w:tcPr>
          <w:p>
            <w:pPr>
              <w:jc w:val="left"/>
              <w:keepLines w:val="0"/>
              <w:keepNext w:val="0"/>
              <w:widowControl/>
              <w:rPr>
                <w:rFonts w:hint="eastAsia"/>
                <w:color w:val="auto"/>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供应商提供的项目售后服务方案，内容包括但不限于：①</w:t>
            </w:r>
            <w:r>
              <w:rPr>
                <w:rFonts w:hint="eastAsia" w:ascii="宋体" w:hAnsi="宋体" w:cs="宋体"/>
                <w:i w:val="0"/>
                <w:iCs w:val="0"/>
                <w:color w:val="auto"/>
                <w:sz w:val="24"/>
                <w:szCs w:val="24"/>
                <w:highlight w:val="none"/>
                <w:u w:val="none"/>
                <w:lang w:val="en-US" w:eastAsia="zh-CN"/>
              </w:rPr>
              <w:t xml:space="preserve">满足需求的</w:t>
            </w:r>
            <w:r>
              <w:rPr>
                <w:rFonts w:hint="eastAsia" w:ascii="宋体" w:hAnsi="宋体" w:eastAsia="宋体" w:cs="宋体"/>
                <w:i w:val="0"/>
                <w:iCs w:val="0"/>
                <w:color w:val="auto"/>
                <w:sz w:val="24"/>
                <w:szCs w:val="24"/>
                <w:highlight w:val="none"/>
                <w:u w:val="none"/>
                <w:lang w:val="en-US" w:eastAsia="zh-CN"/>
              </w:rPr>
              <w:t xml:space="preserve">售后服务及质保内容</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②售后服务响应时间及方式（响应≤24小时、到场≤48小时）</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③响应供应商承诺终身维修并提供维修方案</w:t>
            </w:r>
            <w:r>
              <w:rPr>
                <w:rFonts w:hint="eastAsia" w:ascii="宋体" w:hAnsi="宋体" w:cs="宋体"/>
                <w:i w:val="0"/>
                <w:iCs w:val="0"/>
                <w:color w:val="auto"/>
                <w:sz w:val="24"/>
                <w:szCs w:val="24"/>
                <w:highlight w:val="none"/>
                <w:u w:val="none"/>
                <w:lang w:val="en-US" w:eastAsia="zh-CN" w:bidi="ar"/>
              </w:rPr>
              <w:t xml:space="preserve">；④售后服务体系；⑤售后团队；⑥定期服务；⑦备件供应（48小时内维修配件需到位）；⑧突发故障应急能力；⑨故障解决方案；⑩售后巡检服务</w:t>
            </w:r>
            <w:r>
              <w:rPr>
                <w:rFonts w:hint="eastAsia" w:ascii="宋体" w:hAnsi="宋体" w:cs="宋体"/>
                <w:color w:val="auto"/>
                <w:sz w:val="24"/>
                <w:szCs w:val="24"/>
                <w:highlight w:val="none"/>
                <w:lang w:val="en-US" w:eastAsia="zh-CN"/>
              </w:rPr>
              <w:t xml:space="preserve">等。</w:t>
            </w:r>
            <w:r>
              <w:rPr>
                <w:rFonts w:hint="eastAsia" w:ascii="宋体" w:hAnsi="宋体" w:eastAsia="宋体" w:cs="宋体"/>
                <w:i w:val="0"/>
                <w:iCs w:val="0"/>
                <w:color w:val="auto"/>
                <w:sz w:val="24"/>
                <w:szCs w:val="24"/>
                <w:highlight w:val="none"/>
                <w:u w:val="none"/>
                <w:lang w:val="en-US" w:eastAsia="zh-CN"/>
              </w:rPr>
              <w:t xml:space="preserve">每项得</w:t>
            </w:r>
            <w:r>
              <w:rPr>
                <w:rFonts w:hint="eastAsia" w:ascii="宋体" w:hAnsi="宋体" w:cs="宋体"/>
                <w:i w:val="0"/>
                <w:iCs w:val="0"/>
                <w:color w:val="auto"/>
                <w:sz w:val="24"/>
                <w:szCs w:val="24"/>
                <w:highlight w:val="none"/>
                <w:u w:val="none"/>
                <w:lang w:val="en-US" w:eastAsia="zh-CN"/>
              </w:rPr>
              <w:t xml:space="preserve">1.5</w:t>
            </w:r>
            <w:r>
              <w:rPr>
                <w:rFonts w:hint="eastAsia" w:ascii="宋体" w:hAnsi="宋体" w:eastAsia="宋体" w:cs="宋体"/>
                <w:i w:val="0"/>
                <w:iCs w:val="0"/>
                <w:color w:val="auto"/>
                <w:sz w:val="24"/>
                <w:szCs w:val="24"/>
                <w:highlight w:val="none"/>
                <w:u w:val="none"/>
                <w:lang w:val="en-US" w:eastAsia="zh-CN"/>
              </w:rPr>
              <w:t xml:space="preserve">分，共计</w:t>
            </w:r>
            <w:r>
              <w:rPr>
                <w:rFonts w:hint="eastAsia" w:ascii="宋体" w:hAnsi="宋体" w:cs="宋体"/>
                <w:i w:val="0"/>
                <w:iCs w:val="0"/>
                <w:color w:val="auto"/>
                <w:sz w:val="24"/>
                <w:szCs w:val="24"/>
                <w:highlight w:val="none"/>
                <w:u w:val="none"/>
                <w:lang w:val="en-US" w:eastAsia="zh-CN"/>
              </w:rPr>
              <w:t xml:space="preserve">15</w:t>
            </w:r>
            <w:r>
              <w:rPr>
                <w:rFonts w:hint="eastAsia" w:ascii="宋体" w:hAnsi="宋体" w:eastAsia="宋体" w:cs="宋体"/>
                <w:i w:val="0"/>
                <w:iCs w:val="0"/>
                <w:color w:val="auto"/>
                <w:sz w:val="24"/>
                <w:szCs w:val="24"/>
                <w:highlight w:val="none"/>
                <w:u w:val="none"/>
                <w:lang w:val="en-US" w:eastAsia="zh-CN"/>
              </w:rPr>
              <w:t xml:space="preserve">分，每有一项缺项的扣</w:t>
            </w:r>
            <w:r>
              <w:rPr>
                <w:rFonts w:hint="eastAsia" w:ascii="宋体" w:hAnsi="宋体" w:cs="宋体"/>
                <w:i w:val="0"/>
                <w:iCs w:val="0"/>
                <w:color w:val="auto"/>
                <w:sz w:val="24"/>
                <w:szCs w:val="24"/>
                <w:highlight w:val="none"/>
                <w:u w:val="none"/>
                <w:lang w:val="en-US" w:eastAsia="zh-CN"/>
              </w:rPr>
              <w:t xml:space="preserve">1.5</w:t>
            </w:r>
            <w:r>
              <w:rPr>
                <w:rFonts w:hint="eastAsia" w:ascii="宋体" w:hAnsi="宋体" w:eastAsia="宋体" w:cs="宋体"/>
                <w:i w:val="0"/>
                <w:iCs w:val="0"/>
                <w:color w:val="auto"/>
                <w:sz w:val="24"/>
                <w:szCs w:val="24"/>
                <w:highlight w:val="none"/>
                <w:u w:val="none"/>
                <w:lang w:val="en-US" w:eastAsia="zh-CN"/>
              </w:rPr>
              <w:t xml:space="preserve">分，每有一项内容不完整或有缺陷的扣</w:t>
            </w:r>
            <w:r>
              <w:rPr>
                <w:rFonts w:hint="eastAsia" w:ascii="宋体" w:hAnsi="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lang w:val="en-US" w:eastAsia="zh-CN"/>
              </w:rPr>
              <w:t xml:space="preserve">分，扣完为止，未提供不得分。注：内容不完整或有缺陷是指：非专门针对本项目或内容不全面与</w:t>
            </w:r>
            <w:r>
              <w:rPr>
                <w:rFonts w:hint="eastAsia" w:ascii="宋体" w:hAnsi="宋体" w:eastAsia="宋体" w:cs="宋体"/>
                <w:color w:val="auto"/>
                <w:sz w:val="24"/>
                <w:szCs w:val="24"/>
                <w:highlight w:val="none"/>
              </w:rPr>
              <w:t xml:space="preserve">响应供应商承诺终身维修并提供维修方案</w:t>
            </w:r>
            <w:r>
              <w:rPr>
                <w:rFonts w:hint="eastAsia" w:ascii="宋体" w:hAnsi="宋体" w:eastAsia="宋体" w:cs="宋体"/>
                <w:i w:val="0"/>
                <w:iCs w:val="0"/>
                <w:color w:val="auto"/>
                <w:sz w:val="24"/>
                <w:szCs w:val="24"/>
                <w:highlight w:val="none"/>
                <w:u w:val="none"/>
                <w:lang w:val="en-US" w:eastAsia="zh-CN"/>
              </w:rPr>
              <w:t xml:space="preserve">有纲要且未展开阐述、内容前后矛盾、涉及的规范及标准错误等任意一种情形。</w:t>
            </w:r>
            <w:r/>
          </w:p>
        </w:tc>
      </w:tr>
      <w:tr>
        <w:trPr>
          <w:jc w:val="center"/>
          <w:trHeight w:val="1297"/>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w:t xml:space="preserve">节能环保</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6559"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1.投标产品属于财政部、国家发改委公布的“节能产品品目清单”范围内的，投标人提供国家确定的认证机构出具的、处于有效期之内的该节能产品认证证书复印件的，有1个得</w:t>
            </w:r>
            <w:r>
              <w:rPr>
                <w:rFonts w:hint="eastAsia" w:ascii="宋体" w:hAnsi="宋体" w:cs="宋体"/>
                <w:i w:val="0"/>
                <w:iCs w:val="0"/>
                <w:color w:val="auto"/>
                <w:sz w:val="24"/>
                <w:szCs w:val="24"/>
                <w:highlight w:val="none"/>
                <w:u w:val="none"/>
                <w:lang w:val="en-US" w:eastAsia="zh-CN" w:bidi="ar"/>
              </w:rPr>
              <w:t xml:space="preserve">0.5</w:t>
            </w:r>
            <w:r>
              <w:rPr>
                <w:rFonts w:hint="eastAsia" w:ascii="宋体" w:hAnsi="宋体" w:eastAsia="宋体" w:cs="宋体"/>
                <w:i w:val="0"/>
                <w:iCs w:val="0"/>
                <w:color w:val="auto"/>
                <w:sz w:val="24"/>
                <w:szCs w:val="24"/>
                <w:highlight w:val="none"/>
                <w:u w:val="none"/>
                <w:lang w:val="en-US" w:eastAsia="zh-CN" w:bidi="ar"/>
              </w:rPr>
              <w:t xml:space="preserve">分，最多得</w:t>
            </w: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分。如投标产品均属于政府强制采购节能产品品目清单范围内，本项不得分。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2.投标产品属于财政部、生态环境部公布的“环境标志产品品目清单”范围内的，投标人提供国家确定的认证机构出具的、处于有效期内的该环保产品认证证书复印件的，有1个得</w:t>
            </w: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分，最多得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w:t>
            </w:r>
            <w:r/>
          </w:p>
          <w:p>
            <w:pPr>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3.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分（投标时须提供相应使用低VOCs 含量的有效证明材料，否则不得分）。</w:t>
            </w:r>
            <w:r/>
          </w:p>
        </w:tc>
      </w:tr>
    </w:tbl>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注：①如磋商文件内容顺序混乱，导致评委无法查看，后果自负。 </w:t>
      </w:r>
      <w:r/>
    </w:p>
    <w:p>
      <w:pPr>
        <w:ind w:firstLine="482"/>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②请供应商制作磋商文件的时保证图片、文字材料的完整、清晰可辨，任何原因导致评委看不清楚或无法查看，后果由供应商自负。</w:t>
      </w:r>
      <w:r/>
    </w:p>
    <w:p>
      <w:pPr>
        <w:ind w:firstLine="482"/>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③供应商制作投标文件时所用的所有原件材料均须准备好签订合同前被采购人核查，如核查时供应商不能提供相关原件材料作弄虚作假处理，供应商自行承担相应法律后果。</w:t>
      </w:r>
      <w:r/>
    </w:p>
    <w:p>
      <w:pPr>
        <w:ind w:firstLine="482"/>
        <w:spacing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(四）价格分：30分</w:t>
      </w:r>
      <w:r/>
    </w:p>
    <w:p>
      <w:pPr>
        <w:ind w:firstLine="482"/>
        <w:spacing w:line="480" w:lineRule="exact"/>
        <w:rPr>
          <w:rFonts w:hint="eastAsia" w:ascii="宋体" w:hAnsi="宋体" w:cs="宋体"/>
          <w:color w:val="auto"/>
          <w:sz w:val="24"/>
          <w:szCs w:val="24"/>
          <w:highlight w:val="none"/>
          <w:lang w:val="en-GB"/>
        </w:rPr>
      </w:pPr>
      <w:r>
        <w:rPr>
          <w:rFonts w:hint="eastAsia" w:ascii="宋体" w:hAnsi="宋体" w:cs="宋体"/>
          <w:color w:val="auto"/>
          <w:sz w:val="24"/>
          <w:szCs w:val="24"/>
          <w:highlight w:val="none"/>
          <w:lang w:val="en-GB"/>
        </w:rPr>
        <w:t xml:space="preserve">价格分统一采用低价优先法计算，即满足磋商文件要求且最后报价最低的供应商的价格为磋商基准价，其价格分为满分。其他供应商的价格分统一按照下列公式计算：</w:t>
      </w:r>
      <w:r/>
    </w:p>
    <w:p>
      <w:pPr>
        <w:ind w:firstLine="482"/>
        <w:spacing w:line="480" w:lineRule="exact"/>
        <w:rPr>
          <w:rFonts w:hint="eastAsia" w:ascii="宋体" w:hAnsi="宋体" w:cs="宋体"/>
          <w:color w:val="auto"/>
          <w:sz w:val="24"/>
          <w:szCs w:val="24"/>
          <w:highlight w:val="none"/>
          <w:lang w:val="en-GB"/>
        </w:rPr>
      </w:pPr>
      <w:r>
        <w:rPr>
          <w:rFonts w:hint="eastAsia" w:ascii="宋体" w:hAnsi="宋体" w:cs="宋体"/>
          <w:color w:val="auto"/>
          <w:sz w:val="24"/>
          <w:szCs w:val="24"/>
          <w:highlight w:val="none"/>
          <w:lang w:val="en-GB"/>
        </w:rPr>
        <w:t xml:space="preserve">磋商报价得分=（磋商基准价/最后磋商报价）×价格权值×100。</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出现下列情形之一的，磋商小组应当启动异常低价响应审查程序：</w:t>
      </w:r>
      <w:r/>
    </w:p>
    <w:p>
      <w:pPr>
        <w:ind w:firstLine="482"/>
        <w:spacing w:line="480" w:lineRule="exact"/>
        <w:rPr>
          <w:rFonts w:hint="eastAsia" w:ascii="宋体" w:hAnsi="宋体" w:cs="宋体"/>
          <w:color w:val="auto"/>
          <w:sz w:val="24"/>
          <w:szCs w:val="24"/>
          <w:highlight w:val="none"/>
          <w:lang w:val="en-GB"/>
        </w:rPr>
      </w:pPr>
      <w:r>
        <w:rPr>
          <w:rFonts w:hint="eastAsia" w:ascii="宋体" w:hAnsi="宋体" w:cs="宋体"/>
          <w:color w:val="auto"/>
          <w:sz w:val="24"/>
          <w:szCs w:val="24"/>
          <w:highlight w:val="none"/>
          <w:lang w:val="en-GB"/>
        </w:rPr>
        <w:t xml:space="preserve">1.投标（响应）报价低于全部通过符合性审查供应商投标（响应）报价平均值50%的，即投标（响应）报价&lt;全部通过符合性审查供应商投标（响应）报价平均值×50%；</w:t>
      </w:r>
      <w:r/>
    </w:p>
    <w:p>
      <w:pPr>
        <w:ind w:firstLine="482"/>
        <w:spacing w:line="480" w:lineRule="exact"/>
        <w:rPr>
          <w:rFonts w:hint="eastAsia" w:ascii="宋体" w:hAnsi="宋体" w:cs="宋体"/>
          <w:color w:val="auto"/>
          <w:sz w:val="24"/>
          <w:szCs w:val="24"/>
          <w:highlight w:val="none"/>
          <w:lang w:val="en-GB"/>
        </w:rPr>
      </w:pPr>
      <w:r>
        <w:rPr>
          <w:rFonts w:hint="eastAsia" w:ascii="宋体" w:hAnsi="宋体" w:cs="宋体"/>
          <w:color w:val="auto"/>
          <w:sz w:val="24"/>
          <w:szCs w:val="24"/>
          <w:highlight w:val="none"/>
          <w:lang w:val="en-GB"/>
        </w:rPr>
        <w:t xml:space="preserve">2.投标（响应）报价低于通过符合性审查的次低报价供应商投标（响应）报价50%的，即投标（响应）报价&lt;通过符合性审查的次低报价供应商投标（响应）报价×50%；</w:t>
      </w:r>
      <w:r/>
    </w:p>
    <w:p>
      <w:pPr>
        <w:ind w:firstLine="482"/>
        <w:spacing w:line="480" w:lineRule="exact"/>
        <w:rPr>
          <w:rFonts w:hint="eastAsia" w:ascii="宋体" w:hAnsi="宋体" w:cs="宋体"/>
          <w:color w:val="auto"/>
          <w:sz w:val="24"/>
          <w:szCs w:val="24"/>
          <w:highlight w:val="none"/>
          <w:lang w:val="en-GB"/>
        </w:rPr>
      </w:pPr>
      <w:r>
        <w:rPr>
          <w:rFonts w:hint="eastAsia" w:ascii="宋体" w:hAnsi="宋体" w:cs="宋体"/>
          <w:color w:val="auto"/>
          <w:sz w:val="24"/>
          <w:szCs w:val="24"/>
          <w:highlight w:val="none"/>
          <w:lang w:val="en-GB"/>
        </w:rPr>
        <w:t xml:space="preserve">3.投标（响应）报价低于采购项目最高限价45%的，即投标（响应）报价&lt;采购项目最高限价×45%；</w:t>
      </w:r>
      <w:r/>
    </w:p>
    <w:p>
      <w:pPr>
        <w:ind w:firstLine="482"/>
        <w:spacing w:line="480" w:lineRule="exact"/>
        <w:rPr>
          <w:rFonts w:hint="eastAsia" w:ascii="宋体" w:hAnsi="宋体" w:cs="宋体"/>
          <w:color w:val="auto"/>
          <w:sz w:val="24"/>
          <w:szCs w:val="24"/>
          <w:highlight w:val="none"/>
          <w:lang w:val="en-GB"/>
        </w:rPr>
      </w:pPr>
      <w:r>
        <w:rPr>
          <w:rFonts w:hint="eastAsia" w:ascii="宋体" w:hAnsi="宋体" w:cs="宋体"/>
          <w:color w:val="auto"/>
          <w:sz w:val="24"/>
          <w:szCs w:val="24"/>
          <w:highlight w:val="none"/>
          <w:lang w:val="en-GB"/>
        </w:rPr>
        <w:t xml:space="preserve">4.评审委员会基于专业判断，认为供应商报价过低，有可能影响产品质量或者不能诚信履约的其他情形。</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启动异常低价响应审查后，磋商小组将通过苏采云系统要求相关供应商在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响应供应商不提供书面说明、证明材料，或者提供的书面说明、证明材料不能证明其报价合理性的，磋商小组应当将其作为无效响应处理。审查相关情况应当在评审报告中进行记录。</w:t>
      </w:r>
      <w:r/>
    </w:p>
    <w:p>
      <w:pPr>
        <w:ind w:firstLine="480"/>
        <w:spacing w:line="479"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（五）政府采购政策功能落实</w:t>
      </w:r>
      <w:r/>
    </w:p>
    <w:p>
      <w:pPr>
        <w:ind w:firstLine="480"/>
        <w:spacing w:line="560" w:lineRule="exact"/>
        <w:rPr>
          <w:rFonts w:hint="eastAsia" w:ascii="宋体" w:hAnsi="宋体"/>
          <w:color w:val="auto"/>
          <w:sz w:val="24"/>
          <w:szCs w:val="24"/>
          <w:highlight w:val="none"/>
        </w:rPr>
      </w:pPr>
      <w:r/>
      <w:bookmarkStart w:id="173" w:name="_Hlk221545426"/>
      <w:r>
        <w:rPr>
          <w:rFonts w:hint="eastAsia" w:ascii="宋体" w:hAnsi="宋体"/>
          <w:color w:val="auto"/>
          <w:sz w:val="24"/>
          <w:szCs w:val="24"/>
          <w:highlight w:val="none"/>
        </w:rPr>
        <w:t xml:space="preserve">1、小微型企业价格扣除</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（1）本项目对小型和微型企业产品给予20%的扣除价格，用扣除后的价格参与评审。</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（2）供应商需按照《政府采购促进中小企业发展管理办法》（财库﹝2020﹞46 号）的规定提供相应的《中小企业声明函》。</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（3）企业标准请参照《关于印发中小企业划型标准规定的通知》（工信部联企业[2011]300号）文件规定自行填写。</w:t>
      </w:r>
      <w:r/>
    </w:p>
    <w:p>
      <w:pPr>
        <w:ind w:firstLine="480"/>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（4）专门面向中小微企业采购的项目或者采购包，不再执行价格评审优惠的扶持政策。</w:t>
      </w:r>
      <w:r/>
    </w:p>
    <w:p>
      <w:pPr>
        <w:ind w:firstLine="480"/>
        <w:spacing w:line="560" w:lineRule="exact"/>
        <w:rPr>
          <w:rFonts w:hint="eastAsia" w:ascii="宋体" w:hAnsi="宋体"/>
          <w:color w:val="auto"/>
          <w:sz w:val="24"/>
          <w:szCs w:val="24"/>
          <w:highlight w:val="none"/>
        </w:rPr>
      </w:pPr>
      <w:r/>
      <w:bookmarkStart w:id="174" w:name="OLE_LINK68"/>
      <w:r/>
      <w:bookmarkStart w:id="175" w:name="OLE_LINK69"/>
      <w:r>
        <w:rPr>
          <w:rFonts w:hint="eastAsia" w:ascii="宋体" w:hAnsi="宋体"/>
          <w:color w:val="auto"/>
          <w:sz w:val="24"/>
          <w:szCs w:val="24"/>
          <w:highlight w:val="none"/>
        </w:rPr>
        <w:t xml:space="preserve">2、残疾人福利单位价格扣除</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（1）本项目对残疾人福利性单位，给予20%的价格扣除，用扣除后的价格参与评审。</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（2）残疾人福利单位需按照采购文件的要求提供《残疾人福利性单位声明函》。</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（3）残疾人福利单位标准请参照《关于促进残疾人就业政府采购政策的通知》（财库〔2017〕141号）。</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3、监狱和戒毒企业价格扣除</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（1）本项目对监狱和戒毒企业（简称监狱企业）给予20%的价格扣除，用扣除后的价格参与评审。</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（3）监狱企业标准请参照《关于政府采购支持监狱企业发展有关问题的通知》（财库[2014]68号）。</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4、残疾人福利单位、监狱企业属于小型、微型企业的，不重复享受政策。</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6、联合体各方均为小型、微型企业（残疾人福利单位、监狱企业）的，联合体享受上述同类价格扣除，用扣除后的价格参与评审。</w:t>
      </w:r>
      <w:r/>
    </w:p>
    <w:p>
      <w:pPr>
        <w:ind w:firstLine="480"/>
        <w:spacing w:line="560" w:lineRule="exact"/>
        <w:rPr>
          <w:rFonts w:hint="eastAsia" w:ascii="宋体" w:hAnsi="宋体"/>
          <w:color w:val="auto"/>
          <w:sz w:val="24"/>
          <w:szCs w:val="24"/>
          <w:highlight w:val="none"/>
        </w:rPr>
      </w:pPr>
      <w:r>
        <w:rPr>
          <w:rFonts w:hint="eastAsia" w:ascii="宋体" w:hAnsi="宋体"/>
          <w:b/>
          <w:bCs/>
          <w:color w:val="auto"/>
          <w:sz w:val="24"/>
          <w:szCs w:val="24"/>
          <w:highlight w:val="none"/>
        </w:rPr>
        <w:t xml:space="preserve">（六）成交供应商的确定</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磋商小组汇总各评委评分后，按照得分从高到低的顺序推荐三名成交候选人，并编写评审报告。</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采购人授权磋商小组在成交候选供应商中直接确定成交供应商。</w:t>
      </w:r>
      <w:r/>
    </w:p>
    <w:p>
      <w:pPr>
        <w:ind w:firstLine="480"/>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（七）采购人代表宣布评审结果。</w:t>
      </w:r>
      <w:r/>
    </w:p>
    <w:p>
      <w:pPr>
        <w:ind w:firstLine="480"/>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（八）公告成交结果</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自确定成交供应商之日起2个工作日内，在江苏政府采购网公告成交结果，公告期限为1个工作日。</w:t>
      </w:r>
      <w:r/>
    </w:p>
    <w:p>
      <w:pPr>
        <w:ind w:firstLine="480"/>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（九）发放成交通知书</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公告成交结果的同时，采购人或采购代理机构向成交供应商发放成交通知书。</w:t>
      </w:r>
      <w:r/>
    </w:p>
    <w:p>
      <w:pPr>
        <w:ind w:firstLine="480"/>
        <w:spacing w:line="560" w:lineRule="exact"/>
        <w:rPr>
          <w:rFonts w:ascii="宋体" w:hAnsi="宋体" w:cs="宋体"/>
          <w:color w:val="auto"/>
          <w:sz w:val="24"/>
          <w:szCs w:val="24"/>
          <w:highlight w:val="none"/>
        </w:rPr>
      </w:pPr>
      <w:r>
        <w:rPr>
          <w:rFonts w:hint="eastAsia" w:ascii="宋体" w:hAnsi="宋体"/>
          <w:color w:val="auto"/>
          <w:sz w:val="24"/>
          <w:szCs w:val="24"/>
          <w:highlight w:val="none"/>
        </w:rPr>
        <w:t xml:space="preserve">成交通知书发出后，采购人不得违法改变成交结果，成交供应商无正当理由不得</w:t>
      </w:r>
      <w:r>
        <w:rPr>
          <w:rFonts w:hint="eastAsia" w:ascii="宋体" w:hAnsi="宋体" w:cs="宋体"/>
          <w:color w:val="auto"/>
          <w:sz w:val="24"/>
          <w:szCs w:val="24"/>
          <w:highlight w:val="none"/>
        </w:rPr>
        <w:t xml:space="preserve">放弃成交。</w:t>
      </w:r>
      <w:bookmarkEnd w:id="173"/>
      <w:r/>
      <w:bookmarkEnd w:id="174"/>
      <w:r/>
      <w:bookmarkEnd w:id="175"/>
      <w:r/>
      <w:r/>
    </w:p>
    <w:p>
      <w:pPr>
        <w:ind w:firstLine="480"/>
        <w:spacing w:line="479"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p>
      <w:pPr>
        <w:ind w:firstLine="480"/>
        <w:spacing w:line="479"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p>
      <w:pPr>
        <w:ind w:firstLine="480"/>
        <w:spacing w:line="479"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p>
      <w:pPr>
        <w:pStyle w:val="65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65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color w:val="auto"/>
          <w:highlight w:val="none"/>
        </w:rPr>
      </w:pPr>
      <w:r>
        <w:rPr>
          <w:rFonts w:hint="eastAsia"/>
          <w:color w:val="auto"/>
          <w:highlight w:val="none"/>
        </w:rPr>
        <w:br w:type="page" w:clear="all"/>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ind w:firstLine="2200"/>
        <w:jc w:val="both"/>
        <w:keepNext/>
        <w:rPr>
          <w:rFonts w:hint="eastAsia" w:ascii="宋体" w:hAnsi="宋体"/>
          <w:bCs/>
          <w:color w:val="auto"/>
          <w:sz w:val="44"/>
          <w:szCs w:val="28"/>
          <w:highlight w:val="none"/>
        </w:rPr>
        <w:outlineLvl w:val="0"/>
      </w:pPr>
      <w:r>
        <w:rPr>
          <w:rFonts w:hint="eastAsia" w:ascii="宋体" w:hAnsi="宋体"/>
          <w:bCs/>
          <w:color w:val="auto"/>
          <w:sz w:val="44"/>
          <w:szCs w:val="28"/>
          <w:highlight w:val="none"/>
        </w:rPr>
      </w:r>
      <w:r/>
    </w:p>
    <w:p>
      <w:pPr>
        <w:ind w:firstLine="2200"/>
        <w:jc w:val="both"/>
        <w:keepNext/>
        <w:rPr>
          <w:rFonts w:hint="eastAsia" w:ascii="宋体" w:hAnsi="宋体"/>
          <w:bCs/>
          <w:color w:val="auto"/>
          <w:sz w:val="44"/>
          <w:szCs w:val="28"/>
          <w:highlight w:val="none"/>
        </w:rPr>
        <w:outlineLvl w:val="0"/>
      </w:pPr>
      <w:r>
        <w:rPr>
          <w:rFonts w:hint="eastAsia" w:ascii="宋体" w:hAnsi="宋体"/>
          <w:bCs/>
          <w:color w:val="auto"/>
          <w:sz w:val="44"/>
          <w:szCs w:val="28"/>
          <w:highlight w:val="none"/>
        </w:rPr>
      </w:r>
      <w:r/>
    </w:p>
    <w:p>
      <w:pPr>
        <w:ind w:firstLine="2200"/>
        <w:jc w:val="both"/>
        <w:keepNext/>
        <w:rPr>
          <w:rFonts w:hint="eastAsia" w:ascii="宋体" w:hAnsi="宋体"/>
          <w:bCs/>
          <w:color w:val="auto"/>
          <w:sz w:val="44"/>
          <w:szCs w:val="28"/>
          <w:highlight w:val="none"/>
        </w:rPr>
        <w:outlineLvl w:val="0"/>
      </w:pPr>
      <w:r>
        <w:rPr>
          <w:rFonts w:hint="eastAsia" w:ascii="宋体" w:hAnsi="宋体"/>
          <w:bCs/>
          <w:color w:val="auto"/>
          <w:sz w:val="44"/>
          <w:szCs w:val="28"/>
          <w:highlight w:val="none"/>
        </w:rPr>
      </w:r>
      <w:r/>
    </w:p>
    <w:p>
      <w:pPr>
        <w:ind w:firstLine="2200"/>
        <w:jc w:val="both"/>
        <w:keepNext/>
        <w:rPr>
          <w:rFonts w:hint="eastAsia" w:ascii="宋体" w:hAnsi="宋体"/>
          <w:bCs/>
          <w:color w:val="auto"/>
          <w:sz w:val="44"/>
          <w:szCs w:val="28"/>
          <w:highlight w:val="none"/>
        </w:rPr>
        <w:outlineLvl w:val="0"/>
      </w:pPr>
      <w:r>
        <w:rPr>
          <w:rFonts w:hint="eastAsia" w:ascii="宋体" w:hAnsi="宋体"/>
          <w:bCs/>
          <w:color w:val="auto"/>
          <w:sz w:val="44"/>
          <w:szCs w:val="28"/>
          <w:highlight w:val="none"/>
        </w:rPr>
        <w:t xml:space="preserve">第五章  </w:t>
      </w:r>
      <w:bookmarkEnd w:id="172"/>
      <w:r>
        <w:rPr>
          <w:rFonts w:hint="eastAsia" w:ascii="宋体" w:hAnsi="宋体"/>
          <w:bCs/>
          <w:color w:val="auto"/>
          <w:sz w:val="44"/>
          <w:szCs w:val="28"/>
          <w:highlight w:val="none"/>
        </w:rPr>
        <w:t xml:space="preserve">响应文件格式</w:t>
      </w:r>
      <w:r/>
    </w:p>
    <w:p>
      <w:pPr>
        <w:jc w:val="center"/>
        <w:rPr>
          <w:rFonts w:hint="eastAsia" w:ascii="宋体" w:hAnsi="宋体"/>
          <w:b/>
          <w:color w:val="auto"/>
          <w:sz w:val="72"/>
          <w:szCs w:val="21"/>
          <w:highlight w:val="none"/>
        </w:rPr>
      </w:pPr>
      <w:r/>
      <w:bookmarkStart w:id="176" w:name="_Hlt26955039"/>
      <w:r/>
      <w:bookmarkEnd w:id="176"/>
      <w:r/>
      <w:bookmarkStart w:id="177" w:name="_Hlt26671244"/>
      <w:r/>
      <w:bookmarkEnd w:id="177"/>
      <w:r/>
      <w:bookmarkStart w:id="178" w:name="_Toc120614282"/>
      <w:r/>
      <w:bookmarkStart w:id="179" w:name="_Toc49090576"/>
      <w:r/>
      <w:bookmarkStart w:id="180" w:name="_Toc26554094"/>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pStyle w:val="654"/>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pStyle w:val="654"/>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rPr>
          <w:rFonts w:ascii="宋体" w:hAnsi="宋体"/>
          <w:b/>
          <w:bCs/>
          <w:color w:val="auto"/>
          <w:sz w:val="32"/>
          <w:szCs w:val="32"/>
          <w:highlight w:val="none"/>
        </w:rPr>
      </w:pPr>
      <w:r>
        <w:rPr>
          <w:rFonts w:ascii="宋体" w:hAnsi="宋体"/>
          <w:b/>
          <w:bCs/>
          <w:color w:val="auto"/>
          <w:sz w:val="32"/>
          <w:szCs w:val="32"/>
          <w:highlight w:val="none"/>
        </w:rPr>
      </w:r>
      <w:r/>
    </w:p>
    <w:p>
      <w:pPr>
        <w:pStyle w:val="643"/>
        <w:rPr>
          <w:color w:val="auto"/>
          <w:highlight w:val="none"/>
        </w:rPr>
      </w:pPr>
      <w:r>
        <w:rPr>
          <w:color w:val="auto"/>
          <w:highlight w:val="none"/>
        </w:rPr>
      </w:r>
      <w:r/>
    </w:p>
    <w:p>
      <w:pPr>
        <w:jc w:val="center"/>
        <w:spacing w:line="560" w:lineRule="exact"/>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响应文件目录</w:t>
      </w:r>
      <w:r/>
    </w:p>
    <w:p>
      <w:pPr>
        <w:jc w:val="center"/>
        <w:spacing w:line="56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left="482"/>
        <w:spacing w:line="720" w:lineRule="exact"/>
        <w:rPr>
          <w:rFonts w:hint="eastAsia" w:ascii="宋体" w:hAnsi="宋体"/>
          <w:color w:val="auto"/>
          <w:sz w:val="32"/>
          <w:szCs w:val="32"/>
          <w:highlight w:val="none"/>
        </w:rPr>
      </w:pPr>
      <w:r>
        <w:rPr>
          <w:rFonts w:hint="eastAsia" w:ascii="宋体" w:hAnsi="宋体"/>
          <w:color w:val="auto"/>
          <w:sz w:val="32"/>
          <w:szCs w:val="32"/>
          <w:highlight w:val="none"/>
        </w:rPr>
        <w:t xml:space="preserve">一、资格审查证明材料</w:t>
      </w:r>
      <w:r/>
    </w:p>
    <w:p>
      <w:pPr>
        <w:ind w:left="482"/>
        <w:spacing w:line="720" w:lineRule="exact"/>
        <w:rPr>
          <w:rFonts w:hint="eastAsia" w:ascii="宋体" w:hAnsi="宋体"/>
          <w:color w:val="auto"/>
          <w:sz w:val="32"/>
          <w:szCs w:val="32"/>
          <w:highlight w:val="none"/>
        </w:rPr>
      </w:pPr>
      <w:r>
        <w:rPr>
          <w:rFonts w:hint="eastAsia" w:ascii="宋体" w:hAnsi="宋体"/>
          <w:color w:val="auto"/>
          <w:sz w:val="32"/>
          <w:szCs w:val="32"/>
          <w:highlight w:val="none"/>
        </w:rPr>
        <w:t xml:space="preserve">二、商务、技术标</w:t>
      </w:r>
      <w:r/>
    </w:p>
    <w:p>
      <w:pPr>
        <w:ind w:left="482"/>
        <w:spacing w:line="720" w:lineRule="exact"/>
        <w:rPr>
          <w:rFonts w:hint="eastAsia" w:ascii="宋体" w:hAnsi="宋体"/>
          <w:color w:val="auto"/>
          <w:sz w:val="32"/>
          <w:szCs w:val="32"/>
          <w:highlight w:val="none"/>
        </w:rPr>
      </w:pPr>
      <w:r>
        <w:rPr>
          <w:rFonts w:hint="eastAsia" w:ascii="宋体" w:hAnsi="宋体"/>
          <w:color w:val="auto"/>
          <w:sz w:val="32"/>
          <w:szCs w:val="32"/>
          <w:highlight w:val="none"/>
        </w:rPr>
        <w:t xml:space="preserve">三、价格标</w:t>
      </w:r>
      <w:r/>
    </w:p>
    <w:p>
      <w:pPr>
        <w:ind w:left="482"/>
        <w:spacing w:line="720" w:lineRule="exact"/>
        <w:rPr>
          <w:rFonts w:hint="eastAsia" w:ascii="宋体" w:hAnsi="宋体"/>
          <w:color w:val="auto"/>
          <w:sz w:val="32"/>
          <w:szCs w:val="32"/>
          <w:highlight w:val="none"/>
        </w:rPr>
      </w:pPr>
      <w:r>
        <w:rPr>
          <w:rFonts w:hint="eastAsia" w:ascii="宋体" w:hAnsi="宋体"/>
          <w:color w:val="auto"/>
          <w:sz w:val="32"/>
          <w:szCs w:val="32"/>
          <w:highlight w:val="none"/>
        </w:rPr>
        <w:t xml:space="preserve">四、其他资料（如有）</w:t>
      </w:r>
      <w:r/>
    </w:p>
    <w:p>
      <w:pPr>
        <w:ind w:firstLine="480"/>
        <w:spacing w:line="440" w:lineRule="exact"/>
        <w:rPr>
          <w:rFonts w:ascii="宋体" w:hAnsi="宋体"/>
          <w:i/>
          <w:color w:val="auto"/>
          <w:sz w:val="24"/>
          <w:szCs w:val="21"/>
          <w:highlight w:val="none"/>
          <w:u w:val="single"/>
        </w:rPr>
      </w:pPr>
      <w:r>
        <w:rPr>
          <w:rFonts w:ascii="宋体" w:hAnsi="宋体"/>
          <w:i/>
          <w:color w:val="auto"/>
          <w:sz w:val="24"/>
          <w:szCs w:val="21"/>
          <w:highlight w:val="none"/>
          <w:u w:val="singl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pStyle w:val="833"/>
        <w:ind w:firstLine="480"/>
        <w:rPr>
          <w:rFonts w:hint="eastAsia" w:ascii="宋体" w:hAnsi="宋体"/>
          <w:color w:val="auto"/>
          <w:sz w:val="24"/>
          <w:szCs w:val="21"/>
          <w:highlight w:val="none"/>
        </w:rPr>
      </w:pPr>
      <w:r>
        <w:rPr>
          <w:rFonts w:hint="eastAsia" w:ascii="宋体" w:hAnsi="宋体"/>
          <w:color w:val="auto"/>
          <w:sz w:val="24"/>
          <w:szCs w:val="21"/>
          <w:highlight w:val="none"/>
        </w:rPr>
      </w:r>
      <w:r/>
    </w:p>
    <w:p>
      <w:pPr>
        <w:pStyle w:val="833"/>
        <w:ind w:firstLine="480"/>
        <w:rPr>
          <w:rFonts w:hint="eastAsia" w:ascii="宋体" w:hAnsi="宋体"/>
          <w:color w:val="auto"/>
          <w:sz w:val="24"/>
          <w:szCs w:val="21"/>
          <w:highlight w:val="none"/>
        </w:rPr>
      </w:pPr>
      <w:r>
        <w:rPr>
          <w:rFonts w:hint="eastAsia" w:ascii="宋体" w:hAnsi="宋体"/>
          <w:color w:val="auto"/>
          <w:sz w:val="24"/>
          <w:szCs w:val="21"/>
          <w:highlight w:val="none"/>
        </w:rPr>
      </w:r>
      <w:r/>
    </w:p>
    <w:p>
      <w:pPr>
        <w:pStyle w:val="833"/>
        <w:ind w:firstLine="480"/>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640"/>
        <w:spacing w:line="560" w:lineRule="exact"/>
        <w:rPr>
          <w:rFonts w:hint="eastAsia" w:ascii="宋体" w:hAnsi="宋体"/>
          <w:color w:val="auto"/>
          <w:sz w:val="32"/>
          <w:szCs w:val="32"/>
          <w:highlight w:val="none"/>
        </w:rPr>
      </w:pPr>
      <w:r>
        <w:rPr>
          <w:rFonts w:hint="eastAsia" w:ascii="宋体" w:hAnsi="宋体"/>
          <w:color w:val="auto"/>
          <w:sz w:val="32"/>
          <w:szCs w:val="32"/>
          <w:highlight w:val="none"/>
        </w:rPr>
        <w:t xml:space="preserve">一、资格审查证明材料</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1.法人或者其他组织的营业执照等证明文件，自然人的身份证明。</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2.上一年度的财务状况报告（成立不满一年不需提供）；（提供参加本次开标前的会计报表，必须含资产负债表、利润表等证明材料）；</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3.依法缴纳税收和社会保障资金的相关材料；（提供参加本次开标前的会计报表，必须含资产负债表、利润表等证明材料）</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4.具备履行合同所必需的设备和专业技术能力的证明材料（格式详见附件）；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5.参加政府采购活动前3年内在经营活动中没有重大违法记录的书面声明（格式详见附件）；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6.法定代表人身份证明书（格式见附件）；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7.法人授权书（格式见附件）；</w:t>
      </w:r>
      <w:r/>
    </w:p>
    <w:p>
      <w:pPr>
        <w:ind w:firstLine="480"/>
        <w:spacing w:line="560" w:lineRule="exact"/>
        <w:rPr>
          <w:rFonts w:hint="eastAsia" w:ascii="宋体" w:hAnsi="宋体"/>
          <w:color w:val="auto"/>
          <w:sz w:val="24"/>
          <w:szCs w:val="24"/>
          <w:highlight w:val="none"/>
        </w:rPr>
      </w:pPr>
      <w:r>
        <w:rPr>
          <w:rFonts w:hint="eastAsia" w:ascii="宋体" w:hAnsi="宋体" w:cs="宋体"/>
          <w:color w:val="auto"/>
          <w:sz w:val="24"/>
          <w:highlight w:val="none"/>
        </w:rPr>
        <w:t xml:space="preserve">8.承诺函（格式见附件）；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9.磋商响应函（格式见附件）；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10.采购公告中“二、申请人的资格要求（二）”提供相应的佐证材料；</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11.其它需要提交的资格审查证明材料。</w:t>
      </w:r>
      <w:r/>
    </w:p>
    <w:p>
      <w:pPr>
        <w:ind w:firstLine="640"/>
        <w:spacing w:line="560" w:lineRule="exact"/>
        <w:rPr>
          <w:rFonts w:hint="eastAsia" w:ascii="宋体" w:hAnsi="宋体"/>
          <w:color w:val="auto"/>
          <w:sz w:val="32"/>
          <w:szCs w:val="32"/>
          <w:highlight w:val="none"/>
        </w:rPr>
      </w:pPr>
      <w:r>
        <w:rPr>
          <w:rFonts w:hint="eastAsia" w:ascii="宋体" w:hAnsi="宋体"/>
          <w:color w:val="auto"/>
          <w:sz w:val="32"/>
          <w:szCs w:val="32"/>
          <w:highlight w:val="none"/>
        </w:rPr>
        <w:t xml:space="preserve">二、商务、技术标</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1.商务部分正负偏离表；（格式见附件）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2.技术部分正负偏离表；（格式见附件）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3.响应方案、货物（服务）清单。具有项目、数量、品牌、型号、配置性能等；</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4.商务、技术评分标准中须提供的相关得分佐证材料；</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5.供应商认为需要提交的其他商务、技术材料。</w:t>
      </w:r>
      <w:r/>
    </w:p>
    <w:p>
      <w:pPr>
        <w:ind w:firstLine="640"/>
        <w:spacing w:line="560" w:lineRule="exact"/>
        <w:rPr>
          <w:rFonts w:hint="eastAsia" w:ascii="宋体" w:hAnsi="宋体"/>
          <w:color w:val="auto"/>
          <w:sz w:val="32"/>
          <w:szCs w:val="32"/>
          <w:highlight w:val="none"/>
        </w:rPr>
      </w:pPr>
      <w:r>
        <w:rPr>
          <w:rFonts w:hint="eastAsia" w:ascii="宋体" w:hAnsi="宋体"/>
          <w:color w:val="auto"/>
          <w:sz w:val="32"/>
          <w:szCs w:val="32"/>
          <w:highlight w:val="none"/>
        </w:rPr>
        <w:t xml:space="preserve">三、价格标</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highlight w:val="none"/>
        </w:rPr>
        <w:t xml:space="preserve"> </w:t>
      </w:r>
      <w:r>
        <w:rPr>
          <w:rFonts w:hint="eastAsia" w:ascii="宋体" w:hAnsi="宋体"/>
          <w:color w:val="auto"/>
          <w:sz w:val="24"/>
          <w:szCs w:val="24"/>
          <w:highlight w:val="none"/>
        </w:rPr>
        <w:t xml:space="preserve">报价总表（格式见附件）；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2.分项报价明细表（格式见附件）；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 中小企业声明函（格式见附件）；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4.残疾人福利性单位声明函（如有）（格式见附件）；</w:t>
      </w:r>
      <w:r/>
    </w:p>
    <w:p>
      <w:pPr>
        <w:ind w:firstLine="480"/>
        <w:spacing w:line="560" w:lineRule="exact"/>
        <w:rPr>
          <w:rFonts w:hint="eastAsia" w:ascii="宋体" w:hAnsi="宋体"/>
          <w:color w:val="auto"/>
          <w:sz w:val="32"/>
          <w:szCs w:val="32"/>
          <w:highlight w:val="none"/>
          <w:u w:val="single"/>
        </w:rPr>
      </w:pPr>
      <w:r>
        <w:rPr>
          <w:rFonts w:hint="eastAsia" w:ascii="宋体" w:hAnsi="宋体"/>
          <w:color w:val="auto"/>
          <w:sz w:val="24"/>
          <w:szCs w:val="24"/>
          <w:highlight w:val="none"/>
        </w:rPr>
        <w:t xml:space="preserve">5.监狱和戒毒企业证明材料（如有）（格式见附件）</w:t>
      </w:r>
      <w:r/>
    </w:p>
    <w:p>
      <w:pPr>
        <w:contextualSpacing/>
        <w:spacing w:line="400" w:lineRule="exact"/>
        <w:rPr>
          <w:rFonts w:ascii="宋体" w:hAnsi="宋体"/>
          <w:color w:val="auto"/>
          <w:sz w:val="32"/>
          <w:szCs w:val="32"/>
          <w:highlight w:val="none"/>
          <w:lang w:val="zh-CN"/>
        </w:rPr>
      </w:pPr>
      <w:r>
        <w:rPr>
          <w:rFonts w:ascii="宋体" w:hAnsi="宋体"/>
          <w:color w:val="auto"/>
          <w:sz w:val="32"/>
          <w:szCs w:val="32"/>
          <w:highlight w:val="none"/>
          <w:lang w:val="zh-CN"/>
        </w:rPr>
      </w:r>
      <w:r/>
    </w:p>
    <w:p>
      <w:pPr>
        <w:contextualSpacing/>
        <w:spacing w:line="400" w:lineRule="exact"/>
        <w:rPr>
          <w:rFonts w:ascii="宋体" w:hAnsi="宋体"/>
          <w:color w:val="auto"/>
          <w:sz w:val="32"/>
          <w:szCs w:val="32"/>
          <w:highlight w:val="none"/>
          <w:lang w:val="zh-CN"/>
        </w:rPr>
      </w:pPr>
      <w:r>
        <w:rPr>
          <w:rFonts w:ascii="宋体" w:hAnsi="宋体"/>
          <w:color w:val="auto"/>
          <w:sz w:val="32"/>
          <w:szCs w:val="32"/>
          <w:highlight w:val="none"/>
          <w:lang w:val="zh-CN"/>
        </w:rPr>
        <w:br w:type="page" w:clear="all"/>
      </w:r>
      <w:r>
        <w:rPr>
          <w:rFonts w:hint="eastAsia" w:ascii="宋体" w:hAnsi="宋体"/>
          <w:color w:val="auto"/>
          <w:sz w:val="32"/>
          <w:szCs w:val="32"/>
          <w:highlight w:val="none"/>
          <w:lang w:val="zh-CN"/>
        </w:rPr>
        <w:t xml:space="preserve">附件1</w:t>
      </w:r>
      <w:r/>
    </w:p>
    <w:p>
      <w:pPr>
        <w:jc w:val="center"/>
        <w:spacing w:line="360" w:lineRule="auto"/>
        <w:rPr>
          <w:rFonts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具备履行合同所必需的设备和专业技术能力的证明材料</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bCs/>
          <w:color w:val="auto"/>
          <w:sz w:val="24"/>
          <w:szCs w:val="24"/>
          <w:highlight w:val="none"/>
          <w:u w:val="single"/>
          <w:lang w:val="zh-CN"/>
        </w:rPr>
      </w:pPr>
      <w:r>
        <w:rPr>
          <w:rFonts w:ascii="宋体" w:hAnsi="宋体"/>
          <w:color w:val="auto"/>
          <w:sz w:val="24"/>
          <w:szCs w:val="24"/>
          <w:highlight w:val="none"/>
          <w:u w:val="single"/>
        </w:rPr>
        <w:t xml:space="preserve">               </w:t>
      </w:r>
      <w:r>
        <w:rPr>
          <w:rFonts w:hint="eastAsia" w:ascii="宋体" w:hAnsi="宋体"/>
          <w:bCs/>
          <w:color w:val="auto"/>
          <w:sz w:val="24"/>
          <w:szCs w:val="24"/>
          <w:highlight w:val="none"/>
          <w:u w:val="single"/>
          <w:lang w:val="zh-CN"/>
        </w:rPr>
        <w:t xml:space="preserve">：</w:t>
      </w:r>
      <w:r/>
    </w:p>
    <w:p>
      <w:pPr>
        <w:ind w:firstLine="468"/>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我方参加你方的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（项目名称）的投标，现我方向你方慎重承诺：</w:t>
      </w:r>
      <w:r/>
    </w:p>
    <w:p>
      <w:pPr>
        <w:ind w:left="448"/>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本单位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（具备</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不具备）履行合同所必需的设备和专业技术能力。</w:t>
      </w:r>
      <w:r/>
    </w:p>
    <w:p>
      <w:pPr>
        <w:ind w:right="-512" w:firstLine="312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right="-512" w:firstLine="38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供应商（盖章）：</w:t>
      </w:r>
      <w:r/>
    </w:p>
    <w:p>
      <w:pPr>
        <w:ind w:right="-512" w:firstLine="3120"/>
        <w:spacing w:line="360" w:lineRule="auto"/>
        <w:tabs>
          <w:tab w:val="left" w:pos="4320" w:leader="none"/>
        </w:tabs>
        <w:rPr>
          <w:rFonts w:ascii="宋体" w:hAnsi="宋体" w:cs="宋体"/>
          <w:color w:val="auto"/>
          <w:sz w:val="24"/>
          <w:szCs w:val="24"/>
          <w:highlight w:val="none"/>
        </w:rPr>
      </w:pPr>
      <w:r>
        <w:rPr>
          <w:rFonts w:hint="eastAsia" w:ascii="宋体" w:hAnsi="宋体"/>
          <w:color w:val="auto"/>
          <w:sz w:val="24"/>
          <w:szCs w:val="24"/>
          <w:highlight w:val="none"/>
        </w:rPr>
        <w:t xml:space="preserve">法定代表人或其授权委托人</w:t>
      </w:r>
      <w:r>
        <w:rPr>
          <w:rFonts w:hint="eastAsia" w:ascii="宋体" w:hAnsi="宋体" w:cs="宋体"/>
          <w:color w:val="auto"/>
          <w:sz w:val="24"/>
          <w:szCs w:val="24"/>
          <w:highlight w:val="none"/>
        </w:rPr>
        <w:t xml:space="preserve">（签字或盖章）：</w:t>
      </w:r>
      <w:r/>
    </w:p>
    <w:p>
      <w:pPr>
        <w:jc w:val="right"/>
        <w:spacing w:line="360" w:lineRule="auto"/>
        <w:rPr>
          <w:rFonts w:ascii="宋体" w:hAnsi="宋体" w:cs="宋体"/>
          <w:color w:val="auto"/>
          <w:sz w:val="24"/>
          <w:szCs w:val="24"/>
          <w:highlight w:val="none"/>
        </w:rPr>
      </w:pPr>
      <w:r>
        <w:rPr>
          <w:rFonts w:ascii="宋体" w:hAnsi="宋体"/>
          <w:bCs/>
          <w:color w:val="auto"/>
          <w:szCs w:val="21"/>
          <w:highlight w:val="none"/>
          <w:u w:val="single"/>
        </w:rPr>
        <w:t xml:space="preserve">______</w:t>
      </w:r>
      <w:r>
        <w:rPr>
          <w:rFonts w:hint="eastAsia" w:ascii="宋体" w:hAnsi="宋体" w:cs="宋体"/>
          <w:color w:val="auto"/>
          <w:sz w:val="24"/>
          <w:szCs w:val="24"/>
          <w:highlight w:val="none"/>
        </w:rPr>
        <w:t xml:space="preserve">年</w:t>
      </w:r>
      <w:r>
        <w:rPr>
          <w:rFonts w:ascii="宋体" w:hAnsi="宋体"/>
          <w:bCs/>
          <w:color w:val="auto"/>
          <w:szCs w:val="21"/>
          <w:highlight w:val="none"/>
          <w:u w:val="single"/>
        </w:rPr>
        <w:t xml:space="preserve">______</w:t>
      </w:r>
      <w:r>
        <w:rPr>
          <w:rFonts w:hint="eastAsia" w:ascii="宋体" w:hAnsi="宋体" w:cs="宋体"/>
          <w:color w:val="auto"/>
          <w:sz w:val="24"/>
          <w:szCs w:val="24"/>
          <w:highlight w:val="none"/>
        </w:rPr>
        <w:t xml:space="preserve">月</w:t>
      </w:r>
      <w:r>
        <w:rPr>
          <w:rFonts w:ascii="宋体" w:hAnsi="宋体"/>
          <w:bCs/>
          <w:color w:val="auto"/>
          <w:szCs w:val="21"/>
          <w:highlight w:val="none"/>
          <w:u w:val="single"/>
        </w:rPr>
        <w:t xml:space="preserve">______</w:t>
      </w:r>
      <w:r>
        <w:rPr>
          <w:rFonts w:hint="eastAsia" w:ascii="宋体" w:hAnsi="宋体" w:cs="宋体"/>
          <w:color w:val="auto"/>
          <w:sz w:val="24"/>
          <w:szCs w:val="24"/>
          <w:highlight w:val="none"/>
        </w:rPr>
        <w:t xml:space="preserve">日</w:t>
      </w:r>
      <w:r/>
    </w:p>
    <w:p>
      <w:pPr>
        <w:contextualSpacing/>
        <w:spacing w:line="400" w:lineRule="exact"/>
        <w:rPr>
          <w:rFonts w:ascii="宋体" w:hAnsi="宋体"/>
          <w:color w:val="auto"/>
          <w:sz w:val="32"/>
          <w:szCs w:val="32"/>
          <w:highlight w:val="none"/>
          <w:lang w:val="zh-CN"/>
        </w:rPr>
      </w:pPr>
      <w:r>
        <w:rPr>
          <w:rFonts w:ascii="宋体" w:hAnsi="宋体" w:cs="宋体"/>
          <w:color w:val="auto"/>
          <w:sz w:val="24"/>
          <w:szCs w:val="24"/>
          <w:highlight w:val="none"/>
        </w:rPr>
        <w:br w:type="page" w:clear="all"/>
      </w:r>
      <w:r>
        <w:rPr>
          <w:rFonts w:hint="eastAsia" w:ascii="宋体" w:hAnsi="宋体"/>
          <w:color w:val="auto"/>
          <w:sz w:val="32"/>
          <w:szCs w:val="32"/>
          <w:highlight w:val="none"/>
          <w:lang w:val="zh-CN"/>
        </w:rPr>
        <w:t xml:space="preserve">附件2</w:t>
      </w:r>
      <w:r/>
    </w:p>
    <w:p>
      <w:pPr>
        <w:ind w:firstLine="643"/>
        <w:jc w:val="center"/>
        <w:rPr>
          <w:rFonts w:ascii="宋体" w:hAnsi="宋体"/>
          <w:b/>
          <w:color w:val="auto"/>
          <w:sz w:val="32"/>
          <w:szCs w:val="32"/>
          <w:highlight w:val="none"/>
        </w:rPr>
      </w:pPr>
      <w:r>
        <w:rPr>
          <w:rFonts w:ascii="宋体" w:hAnsi="宋体"/>
          <w:b/>
          <w:color w:val="auto"/>
          <w:sz w:val="32"/>
          <w:szCs w:val="32"/>
          <w:highlight w:val="none"/>
        </w:rPr>
      </w:r>
      <w:r/>
    </w:p>
    <w:p>
      <w:pPr>
        <w:ind w:firstLine="643"/>
        <w:jc w:val="center"/>
        <w:rPr>
          <w:rFonts w:ascii="宋体" w:hAnsi="宋体"/>
          <w:b/>
          <w:color w:val="auto"/>
          <w:sz w:val="32"/>
          <w:szCs w:val="32"/>
          <w:highlight w:val="none"/>
        </w:rPr>
      </w:pPr>
      <w:r>
        <w:rPr>
          <w:rFonts w:hint="eastAsia" w:ascii="宋体" w:hAnsi="宋体"/>
          <w:b/>
          <w:color w:val="auto"/>
          <w:sz w:val="32"/>
          <w:szCs w:val="32"/>
          <w:highlight w:val="none"/>
        </w:rPr>
        <w:t xml:space="preserve">参加政府采购活动前</w:t>
      </w:r>
      <w:r>
        <w:rPr>
          <w:rFonts w:ascii="宋体" w:hAnsi="宋体"/>
          <w:b/>
          <w:color w:val="auto"/>
          <w:sz w:val="32"/>
          <w:szCs w:val="32"/>
          <w:highlight w:val="none"/>
        </w:rPr>
        <w:t xml:space="preserve"> 3 </w:t>
      </w:r>
      <w:r>
        <w:rPr>
          <w:rFonts w:hint="eastAsia" w:ascii="宋体" w:hAnsi="宋体"/>
          <w:b/>
          <w:color w:val="auto"/>
          <w:sz w:val="32"/>
          <w:szCs w:val="32"/>
          <w:highlight w:val="none"/>
        </w:rPr>
        <w:t xml:space="preserve">年内在经营活动中没有重大违法记</w:t>
      </w:r>
      <w:r>
        <w:rPr>
          <w:rFonts w:hint="eastAsia" w:ascii="宋体" w:hAnsi="宋体"/>
          <w:b/>
          <w:bCs/>
          <w:color w:val="auto"/>
          <w:sz w:val="32"/>
          <w:szCs w:val="32"/>
          <w:highlight w:val="none"/>
        </w:rPr>
        <w:t xml:space="preserve">录的书面声明</w:t>
      </w:r>
      <w:r/>
    </w:p>
    <w:p>
      <w:pPr>
        <w:spacing w:line="460" w:lineRule="exact"/>
        <w:rPr>
          <w:rFonts w:ascii="宋体" w:hAnsi="宋体"/>
          <w:b/>
          <w:bCs/>
          <w:color w:val="auto"/>
          <w:sz w:val="44"/>
          <w:szCs w:val="44"/>
          <w:highlight w:val="none"/>
        </w:rPr>
      </w:pPr>
      <w:r>
        <w:rPr>
          <w:rFonts w:ascii="宋体" w:hAnsi="宋体"/>
          <w:b/>
          <w:bCs/>
          <w:color w:val="auto"/>
          <w:sz w:val="44"/>
          <w:szCs w:val="44"/>
          <w:highlight w:val="none"/>
        </w:rPr>
      </w:r>
      <w:r/>
    </w:p>
    <w:p>
      <w:pPr>
        <w:ind w:firstLine="881"/>
        <w:jc w:val="center"/>
        <w:spacing w:line="460" w:lineRule="exact"/>
        <w:rPr>
          <w:rFonts w:ascii="宋体" w:hAnsi="宋体"/>
          <w:b/>
          <w:bCs/>
          <w:color w:val="auto"/>
          <w:sz w:val="44"/>
          <w:szCs w:val="44"/>
          <w:highlight w:val="none"/>
        </w:rPr>
      </w:pPr>
      <w:r>
        <w:rPr>
          <w:rFonts w:ascii="宋体" w:hAnsi="宋体"/>
          <w:b/>
          <w:bCs/>
          <w:color w:val="auto"/>
          <w:sz w:val="44"/>
          <w:szCs w:val="44"/>
          <w:highlight w:val="none"/>
        </w:rPr>
      </w:r>
      <w:r/>
    </w:p>
    <w:p>
      <w:pPr>
        <w:ind w:firstLine="482"/>
        <w:spacing w:line="500" w:lineRule="exact"/>
        <w:rPr>
          <w:rFonts w:ascii="宋体" w:hAnsi="宋体"/>
          <w:bCs/>
          <w:color w:val="auto"/>
          <w:szCs w:val="21"/>
          <w:highlight w:val="none"/>
        </w:rPr>
      </w:pPr>
      <w:r>
        <w:rPr>
          <w:rFonts w:hint="eastAsia" w:ascii="宋体" w:hAnsi="宋体"/>
          <w:bCs/>
          <w:color w:val="auto"/>
          <w:szCs w:val="21"/>
          <w:highlight w:val="none"/>
        </w:rPr>
        <w:t xml:space="preserve">我公司（本人）郑重声明：参加本次政府采购活动前</w:t>
      </w:r>
      <w:r>
        <w:rPr>
          <w:rFonts w:ascii="宋体" w:hAnsi="宋体"/>
          <w:bCs/>
          <w:color w:val="auto"/>
          <w:szCs w:val="21"/>
          <w:highlight w:val="none"/>
        </w:rPr>
        <w:t xml:space="preserve"> 3 </w:t>
      </w:r>
      <w:r>
        <w:rPr>
          <w:rFonts w:hint="eastAsia" w:ascii="宋体" w:hAnsi="宋体"/>
          <w:bCs/>
          <w:color w:val="auto"/>
          <w:szCs w:val="21"/>
          <w:highlight w:val="none"/>
        </w:rPr>
        <w:t xml:space="preserve">年内，我公司在经营活动中没有因违法经营受到刑事处罚或者责令停产停业、吊销许可证或者执照、较大数额罚款等行政处罚。</w:t>
      </w:r>
      <w:r/>
    </w:p>
    <w:p>
      <w:pPr>
        <w:ind w:firstLine="482"/>
        <w:spacing w:line="500" w:lineRule="exact"/>
        <w:rPr>
          <w:rFonts w:ascii="宋体" w:hAnsi="宋体"/>
          <w:color w:val="auto"/>
          <w:szCs w:val="21"/>
          <w:highlight w:val="none"/>
        </w:rPr>
      </w:pPr>
      <w:r>
        <w:rPr>
          <w:rFonts w:ascii="宋体" w:hAnsi="宋体"/>
          <w:color w:val="auto"/>
          <w:szCs w:val="21"/>
          <w:highlight w:val="none"/>
        </w:rPr>
      </w:r>
      <w:r/>
    </w:p>
    <w:p>
      <w:pPr>
        <w:ind w:firstLine="482"/>
        <w:spacing w:line="500" w:lineRule="exact"/>
        <w:rPr>
          <w:rFonts w:ascii="宋体" w:hAnsi="宋体"/>
          <w:color w:val="auto"/>
          <w:szCs w:val="21"/>
          <w:highlight w:val="none"/>
        </w:rPr>
      </w:pPr>
      <w:r>
        <w:rPr>
          <w:rFonts w:ascii="宋体" w:hAnsi="宋体"/>
          <w:color w:val="auto"/>
          <w:szCs w:val="21"/>
          <w:highlight w:val="none"/>
        </w:rPr>
      </w:r>
      <w:r/>
    </w:p>
    <w:p>
      <w:pPr>
        <w:ind w:firstLine="482"/>
        <w:spacing w:line="500" w:lineRule="exact"/>
        <w:rPr>
          <w:rFonts w:ascii="宋体" w:hAnsi="宋体"/>
          <w:color w:val="auto"/>
          <w:szCs w:val="21"/>
          <w:highlight w:val="none"/>
        </w:rPr>
      </w:pPr>
      <w:r>
        <w:rPr>
          <w:rFonts w:ascii="宋体" w:hAnsi="宋体"/>
          <w:color w:val="auto"/>
          <w:szCs w:val="21"/>
          <w:highlight w:val="none"/>
        </w:rPr>
      </w:r>
      <w:r/>
    </w:p>
    <w:p>
      <w:pPr>
        <w:ind w:firstLine="482"/>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2"/>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2"/>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2"/>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2"/>
        <w:spacing w:line="500" w:lineRule="exact"/>
        <w:rPr>
          <w:rFonts w:ascii="宋体" w:hAnsi="宋体"/>
          <w:color w:val="auto"/>
          <w:sz w:val="24"/>
          <w:szCs w:val="24"/>
          <w:highlight w:val="none"/>
        </w:rPr>
      </w:pPr>
      <w:r>
        <w:rPr>
          <w:rFonts w:ascii="宋体" w:hAnsi="宋体"/>
          <w:color w:val="auto"/>
          <w:sz w:val="24"/>
          <w:szCs w:val="24"/>
          <w:highlight w:val="none"/>
        </w:rPr>
      </w:r>
      <w:r/>
    </w:p>
    <w:p>
      <w:pPr>
        <w:spacing w:line="500" w:lineRule="exact"/>
        <w:rPr>
          <w:rFonts w:ascii="宋体" w:hAnsi="宋体"/>
          <w:bCs/>
          <w:color w:val="auto"/>
          <w:sz w:val="24"/>
          <w:szCs w:val="21"/>
          <w:highlight w:val="none"/>
        </w:rPr>
      </w:pPr>
      <w:r>
        <w:rPr>
          <w:rFonts w:ascii="宋体" w:hAnsi="宋体"/>
          <w:bCs/>
          <w:color w:val="auto"/>
          <w:sz w:val="24"/>
          <w:szCs w:val="21"/>
          <w:highlight w:val="none"/>
        </w:rPr>
      </w:r>
      <w:r/>
    </w:p>
    <w:p>
      <w:pPr>
        <w:spacing w:line="460" w:lineRule="exact"/>
        <w:rPr>
          <w:rFonts w:ascii="宋体" w:hAnsi="宋体"/>
          <w:bCs/>
          <w:color w:val="auto"/>
          <w:szCs w:val="21"/>
          <w:highlight w:val="none"/>
        </w:rPr>
      </w:pPr>
      <w:r>
        <w:rPr>
          <w:rFonts w:ascii="宋体" w:hAnsi="宋体"/>
          <w:bCs/>
          <w:color w:val="auto"/>
          <w:szCs w:val="21"/>
          <w:highlight w:val="none"/>
        </w:rPr>
        <w:t xml:space="preserve"> </w:t>
      </w:r>
      <w:r>
        <w:rPr>
          <w:rFonts w:hint="eastAsia" w:ascii="宋体" w:hAnsi="宋体"/>
          <w:bCs/>
          <w:color w:val="auto"/>
          <w:szCs w:val="21"/>
          <w:highlight w:val="none"/>
        </w:rPr>
        <w:t xml:space="preserve">                               </w:t>
      </w:r>
      <w:r>
        <w:rPr>
          <w:rFonts w:ascii="宋体" w:hAnsi="宋体"/>
          <w:bCs/>
          <w:color w:val="auto"/>
          <w:szCs w:val="21"/>
          <w:highlight w:val="none"/>
        </w:rPr>
        <w:t xml:space="preserve">  </w:t>
      </w:r>
      <w:r>
        <w:rPr>
          <w:rFonts w:hint="eastAsia" w:ascii="宋体" w:hAnsi="宋体"/>
          <w:bCs/>
          <w:color w:val="auto"/>
          <w:szCs w:val="21"/>
          <w:highlight w:val="none"/>
        </w:rPr>
        <w:t xml:space="preserve">供应商名称（公章）：</w:t>
      </w:r>
      <w:r/>
    </w:p>
    <w:p>
      <w:pPr>
        <w:spacing w:line="460" w:lineRule="exact"/>
        <w:rPr>
          <w:rFonts w:ascii="宋体" w:hAnsi="宋体"/>
          <w:bCs/>
          <w:color w:val="auto"/>
          <w:szCs w:val="21"/>
          <w:highlight w:val="none"/>
        </w:rPr>
      </w:pPr>
      <w:r>
        <w:rPr>
          <w:rFonts w:ascii="宋体" w:hAnsi="宋体"/>
          <w:bCs/>
          <w:color w:val="auto"/>
          <w:szCs w:val="21"/>
          <w:highlight w:val="none"/>
        </w:rPr>
        <w:t xml:space="preserve">                                 </w:t>
      </w:r>
      <w:r>
        <w:rPr>
          <w:rFonts w:hint="eastAsia" w:ascii="宋体" w:hAnsi="宋体"/>
          <w:bCs/>
          <w:color w:val="auto"/>
          <w:szCs w:val="21"/>
          <w:highlight w:val="none"/>
        </w:rPr>
        <w:t xml:space="preserve">授权代表签字：</w:t>
      </w:r>
      <w:r>
        <w:rPr>
          <w:rFonts w:ascii="宋体" w:hAnsi="宋体"/>
          <w:bCs/>
          <w:color w:val="auto"/>
          <w:szCs w:val="21"/>
          <w:highlight w:val="none"/>
          <w:u w:val="single"/>
        </w:rPr>
        <w:t xml:space="preserve">_______________________</w:t>
      </w:r>
      <w:r/>
    </w:p>
    <w:p>
      <w:pPr>
        <w:spacing w:line="460" w:lineRule="exact"/>
        <w:rPr>
          <w:rFonts w:ascii="宋体" w:hAnsi="宋体"/>
          <w:bCs/>
          <w:color w:val="auto"/>
          <w:szCs w:val="21"/>
          <w:highlight w:val="none"/>
        </w:rPr>
      </w:pPr>
      <w:r>
        <w:rPr>
          <w:rFonts w:ascii="宋体" w:hAnsi="宋体"/>
          <w:bCs/>
          <w:color w:val="auto"/>
          <w:szCs w:val="21"/>
          <w:highlight w:val="none"/>
        </w:rPr>
        <w:t xml:space="preserve">                                 </w:t>
      </w:r>
      <w:r>
        <w:rPr>
          <w:rFonts w:hint="eastAsia" w:ascii="宋体" w:hAnsi="宋体"/>
          <w:bCs/>
          <w:color w:val="auto"/>
          <w:szCs w:val="21"/>
          <w:highlight w:val="none"/>
        </w:rPr>
        <w:t xml:space="preserve">日期：</w:t>
      </w:r>
      <w:r>
        <w:rPr>
          <w:rFonts w:ascii="宋体" w:hAnsi="宋体"/>
          <w:bCs/>
          <w:color w:val="auto"/>
          <w:szCs w:val="21"/>
          <w:highlight w:val="none"/>
          <w:u w:val="single"/>
        </w:rPr>
        <w:t xml:space="preserve">______</w:t>
      </w:r>
      <w:r>
        <w:rPr>
          <w:rFonts w:hint="eastAsia" w:ascii="宋体" w:hAnsi="宋体"/>
          <w:bCs/>
          <w:color w:val="auto"/>
          <w:szCs w:val="21"/>
          <w:highlight w:val="none"/>
        </w:rPr>
        <w:t xml:space="preserve">年</w:t>
      </w:r>
      <w:r>
        <w:rPr>
          <w:rFonts w:ascii="宋体" w:hAnsi="宋体"/>
          <w:bCs/>
          <w:color w:val="auto"/>
          <w:szCs w:val="21"/>
          <w:highlight w:val="none"/>
          <w:u w:val="single"/>
        </w:rPr>
        <w:t xml:space="preserve">______</w:t>
      </w:r>
      <w:r>
        <w:rPr>
          <w:rFonts w:hint="eastAsia" w:ascii="宋体" w:hAnsi="宋体"/>
          <w:bCs/>
          <w:color w:val="auto"/>
          <w:szCs w:val="21"/>
          <w:highlight w:val="none"/>
        </w:rPr>
        <w:t xml:space="preserve">月</w:t>
      </w:r>
      <w:r>
        <w:rPr>
          <w:rFonts w:ascii="宋体" w:hAnsi="宋体"/>
          <w:bCs/>
          <w:color w:val="auto"/>
          <w:szCs w:val="21"/>
          <w:highlight w:val="none"/>
          <w:u w:val="single"/>
        </w:rPr>
        <w:t xml:space="preserve">______</w:t>
      </w:r>
      <w:r>
        <w:rPr>
          <w:rFonts w:hint="eastAsia" w:ascii="宋体" w:hAnsi="宋体"/>
          <w:bCs/>
          <w:color w:val="auto"/>
          <w:szCs w:val="21"/>
          <w:highlight w:val="none"/>
        </w:rPr>
        <w:t xml:space="preserve">日</w:t>
      </w:r>
      <w:r/>
    </w:p>
    <w:p>
      <w:pPr>
        <w:jc w:val="righ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contextualSpacing/>
        <w:spacing w:line="400" w:lineRule="exact"/>
        <w:rPr>
          <w:rFonts w:ascii="宋体" w:hAnsi="宋体"/>
          <w:color w:val="auto"/>
          <w:sz w:val="32"/>
          <w:szCs w:val="32"/>
          <w:highlight w:val="none"/>
          <w:lang w:val="zh-CN"/>
        </w:rPr>
      </w:pPr>
      <w:r>
        <w:rPr>
          <w:rFonts w:ascii="宋体" w:hAnsi="宋体"/>
          <w:color w:val="auto"/>
          <w:sz w:val="24"/>
          <w:szCs w:val="21"/>
          <w:highlight w:val="none"/>
        </w:rPr>
        <w:br w:type="page" w:clear="all"/>
      </w:r>
      <w:r>
        <w:rPr>
          <w:rFonts w:hint="eastAsia" w:ascii="宋体" w:hAnsi="宋体"/>
          <w:color w:val="auto"/>
          <w:sz w:val="32"/>
          <w:szCs w:val="32"/>
          <w:highlight w:val="none"/>
          <w:lang w:val="zh-CN"/>
        </w:rPr>
        <w:t xml:space="preserve">附件3</w:t>
      </w:r>
      <w:r/>
    </w:p>
    <w:p>
      <w:pPr>
        <w:jc w:val="center"/>
        <w:spacing w:line="56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法定代表人身份证明</w:t>
      </w:r>
      <w:r/>
    </w:p>
    <w:p>
      <w:pPr>
        <w:spacing w:line="48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480" w:lineRule="exact"/>
        <w:rPr>
          <w:rFonts w:ascii="宋体" w:hAnsi="宋体"/>
          <w:color w:val="auto"/>
          <w:sz w:val="24"/>
          <w:szCs w:val="24"/>
          <w:highlight w:val="none"/>
        </w:rPr>
      </w:pP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先生/女士：</w:t>
      </w:r>
      <w:r>
        <w:rPr>
          <w:rFonts w:ascii="宋体" w:hAnsi="宋体"/>
          <w:color w:val="auto"/>
          <w:sz w:val="24"/>
          <w:szCs w:val="24"/>
          <w:highlight w:val="none"/>
        </w:rPr>
        <w:t xml:space="preserve"> </w:t>
      </w:r>
      <w:r>
        <w:rPr>
          <w:rFonts w:hint="eastAsia" w:ascii="宋体" w:hAnsi="宋体"/>
          <w:color w:val="auto"/>
          <w:sz w:val="24"/>
          <w:szCs w:val="24"/>
          <w:highlight w:val="none"/>
        </w:rPr>
        <w:t xml:space="preserve">现任我单位</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职务，为法定代表人，特此证明。</w:t>
      </w:r>
      <w:r/>
    </w:p>
    <w:p>
      <w:pPr>
        <w:ind w:firstLine="480"/>
        <w:spacing w:line="48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身份证号码：</w:t>
      </w:r>
      <w:r>
        <w:rPr>
          <w:rFonts w:ascii="宋体" w:hAnsi="宋体"/>
          <w:color w:val="auto"/>
          <w:sz w:val="24"/>
          <w:szCs w:val="24"/>
          <w:highlight w:val="none"/>
          <w:u w:val="single"/>
        </w:rPr>
        <w:t xml:space="preserve">                                               </w:t>
      </w:r>
      <w:r/>
    </w:p>
    <w:p>
      <w:pPr>
        <w:ind w:firstLine="480"/>
        <w:spacing w:line="480" w:lineRule="exact"/>
        <w:rPr>
          <w:rFonts w:ascii="宋体" w:hAnsi="宋体"/>
          <w:color w:val="auto"/>
          <w:sz w:val="24"/>
          <w:szCs w:val="24"/>
          <w:highlight w:val="none"/>
        </w:rPr>
      </w:pPr>
      <w:r>
        <w:rPr>
          <w:rFonts w:ascii="宋体" w:hAnsi="宋体"/>
          <w:color w:val="auto"/>
          <w:sz w:val="24"/>
          <w:szCs w:val="24"/>
          <w:highlight w:val="none"/>
        </w:rPr>
      </w:r>
      <w:r/>
    </w:p>
    <w:p>
      <w:pPr>
        <w:spacing w:line="600" w:lineRule="exact"/>
        <w:rPr>
          <w:rFonts w:ascii="宋体" w:hAnsi="宋体"/>
          <w:b/>
          <w:color w:val="auto"/>
          <w:sz w:val="24"/>
          <w:szCs w:val="24"/>
          <w:highlight w:val="none"/>
        </w:rPr>
      </w:pPr>
      <w:r>
        <w:rPr>
          <w:rFonts w:hint="eastAsia" w:ascii="宋体" w:hAnsi="宋体"/>
          <w:b/>
          <w:color w:val="auto"/>
          <w:sz w:val="24"/>
          <w:szCs w:val="24"/>
          <w:highlight w:val="none"/>
        </w:rPr>
        <w:t xml:space="preserve">注：提供法定代表人的身份证复印件盖公章</w:t>
      </w:r>
      <w:bookmarkEnd w:id="178"/>
      <w:r/>
      <w:bookmarkEnd w:id="179"/>
      <w:r/>
      <w:bookmarkEnd w:id="180"/>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spacing w:line="460" w:lineRule="exact"/>
        <w:rPr>
          <w:rFonts w:ascii="宋体" w:hAnsi="宋体"/>
          <w:bCs/>
          <w:color w:val="auto"/>
          <w:sz w:val="24"/>
          <w:szCs w:val="21"/>
          <w:highlight w:val="none"/>
        </w:rPr>
      </w:pPr>
      <w:r/>
      <w:bookmarkStart w:id="181" w:name="_Toc120614284"/>
      <w:r/>
      <w:r/>
    </w:p>
    <w:p>
      <w:pPr>
        <w:contextualSpacing/>
        <w:spacing w:line="400" w:lineRule="exact"/>
        <w:rPr>
          <w:rFonts w:ascii="宋体" w:hAnsi="宋体"/>
          <w:color w:val="auto"/>
          <w:sz w:val="32"/>
          <w:szCs w:val="32"/>
          <w:highlight w:val="none"/>
          <w:lang w:val="zh-CN"/>
        </w:rPr>
      </w:pPr>
      <w:r>
        <w:rPr>
          <w:rFonts w:ascii="宋体" w:hAnsi="宋体"/>
          <w:bCs/>
          <w:color w:val="auto"/>
          <w:sz w:val="24"/>
          <w:szCs w:val="21"/>
          <w:highlight w:val="none"/>
        </w:rPr>
        <w:br w:type="page" w:clear="all"/>
      </w:r>
      <w:r>
        <w:rPr>
          <w:rFonts w:hint="eastAsia" w:ascii="宋体" w:hAnsi="宋体"/>
          <w:color w:val="auto"/>
          <w:sz w:val="32"/>
          <w:szCs w:val="32"/>
          <w:highlight w:val="none"/>
          <w:lang w:val="zh-CN"/>
        </w:rPr>
        <w:t xml:space="preserve">附件4</w:t>
      </w:r>
      <w:r/>
    </w:p>
    <w:p>
      <w:pPr>
        <w:jc w:val="center"/>
        <w:spacing w:line="56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法人授权书</w:t>
      </w:r>
      <w:r/>
    </w:p>
    <w:p>
      <w:pPr>
        <w:ind w:firstLine="480"/>
        <w:tabs>
          <w:tab w:val="left" w:pos="36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本授权书声明：____________（供应商名称）授权________________（被授权人的姓名）为我方项目编号：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项目采购活动的合法代理人，以本单位名义全权处理一切与该项目采购有关的事务。</w:t>
      </w:r>
      <w:r/>
    </w:p>
    <w:p>
      <w:pPr>
        <w:ind w:firstLine="480"/>
        <w:tabs>
          <w:tab w:val="left" w:pos="36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本授权书于______年____月____日起生效，特此声明。</w:t>
      </w:r>
      <w:r/>
    </w:p>
    <w:p>
      <w:pPr>
        <w:tabs>
          <w:tab w:val="left" w:pos="360" w:leader="none"/>
        </w:tabs>
        <w:rPr>
          <w:rFonts w:hint="eastAsia" w:ascii="宋体" w:hAnsi="宋体"/>
          <w:color w:val="auto"/>
          <w:sz w:val="24"/>
          <w:szCs w:val="24"/>
          <w:highlight w:val="none"/>
          <w:u w:val="single"/>
        </w:rPr>
      </w:pPr>
      <w:r>
        <w:rPr>
          <w:rFonts w:hint="eastAsia" w:ascii="宋体" w:hAnsi="宋体"/>
          <w:color w:val="auto"/>
          <w:sz w:val="24"/>
          <w:szCs w:val="24"/>
          <w:highlight w:val="none"/>
        </w:rPr>
        <w:t xml:space="preserve">          被授权人身份证号码：</w:t>
      </w:r>
      <w:r>
        <w:rPr>
          <w:rFonts w:hint="eastAsia" w:ascii="宋体" w:hAnsi="宋体"/>
          <w:color w:val="auto"/>
          <w:sz w:val="24"/>
          <w:szCs w:val="24"/>
          <w:highlight w:val="none"/>
          <w:u w:val="single"/>
        </w:rPr>
        <w:t xml:space="preserve">                              </w:t>
      </w:r>
      <w:r/>
    </w:p>
    <w:p>
      <w:pPr>
        <w:tabs>
          <w:tab w:val="left" w:pos="360" w:leader="none"/>
        </w:tabs>
        <w:rPr>
          <w:rFonts w:hint="eastAsia" w:ascii="宋体" w:hAnsi="宋体"/>
          <w:color w:val="auto"/>
          <w:sz w:val="24"/>
          <w:szCs w:val="24"/>
          <w:highlight w:val="none"/>
          <w:u w:val="single"/>
        </w:rPr>
      </w:pPr>
      <w:r>
        <w:rPr>
          <w:rFonts w:hint="eastAsia" w:ascii="宋体" w:hAnsi="宋体"/>
          <w:color w:val="auto"/>
          <w:sz w:val="24"/>
          <w:szCs w:val="24"/>
          <w:highlight w:val="none"/>
        </w:rPr>
        <w:t xml:space="preserve">          被授权人联系电话：（手机）</w:t>
      </w:r>
      <w:r>
        <w:rPr>
          <w:rFonts w:hint="eastAsia" w:ascii="宋体" w:hAnsi="宋体"/>
          <w:color w:val="auto"/>
          <w:sz w:val="24"/>
          <w:szCs w:val="24"/>
          <w:highlight w:val="none"/>
          <w:u w:val="single"/>
        </w:rPr>
        <w:t xml:space="preserve">                          </w:t>
      </w:r>
      <w:r/>
    </w:p>
    <w:p>
      <w:pPr>
        <w:ind w:firstLine="1200"/>
        <w:tabs>
          <w:tab w:val="left" w:pos="36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授权单位名称：</w:t>
      </w:r>
      <w:r>
        <w:rPr>
          <w:rFonts w:hint="eastAsia" w:ascii="宋体" w:hAnsi="宋体"/>
          <w:color w:val="auto"/>
          <w:sz w:val="24"/>
          <w:szCs w:val="24"/>
          <w:highlight w:val="none"/>
          <w:u w:val="single"/>
        </w:rPr>
        <w:t xml:space="preserve">（加盖CA电子公章）</w:t>
      </w:r>
      <w:r/>
    </w:p>
    <w:p>
      <w:pPr>
        <w:ind w:firstLine="480"/>
        <w:tabs>
          <w:tab w:val="left" w:pos="360" w:leader="none"/>
        </w:tabs>
        <w:rPr>
          <w:rFonts w:hint="eastAsia" w:ascii="宋体" w:hAnsi="宋体"/>
          <w:color w:val="auto"/>
          <w:sz w:val="24"/>
          <w:szCs w:val="24"/>
          <w:highlight w:val="none"/>
          <w:u w:val="single"/>
        </w:rPr>
      </w:pPr>
      <w:r>
        <w:rPr>
          <w:rFonts w:hint="eastAsia" w:ascii="宋体" w:hAnsi="宋体"/>
          <w:color w:val="auto"/>
          <w:sz w:val="24"/>
          <w:szCs w:val="24"/>
          <w:highlight w:val="none"/>
        </w:rPr>
        <w:t xml:space="preserve">      单位地址：</w:t>
      </w:r>
      <w:r>
        <w:rPr>
          <w:rFonts w:hint="eastAsia" w:ascii="宋体" w:hAnsi="宋体"/>
          <w:color w:val="auto"/>
          <w:sz w:val="24"/>
          <w:szCs w:val="24"/>
          <w:highlight w:val="none"/>
          <w:u w:val="single"/>
        </w:rPr>
        <w:t xml:space="preserve">                                         </w:t>
      </w:r>
      <w:r/>
    </w:p>
    <w:p>
      <w:pPr>
        <w:ind w:firstLine="480"/>
        <w:tabs>
          <w:tab w:val="left" w:pos="36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      日期：</w:t>
      </w:r>
      <w:r>
        <w:rPr>
          <w:rFonts w:hint="eastAsia" w:ascii="宋体" w:hAnsi="宋体"/>
          <w:color w:val="auto"/>
          <w:sz w:val="24"/>
          <w:szCs w:val="24"/>
          <w:highlight w:val="none"/>
          <w:u w:val="single"/>
        </w:rPr>
        <w:t xml:space="preserve">                                         </w:t>
      </w:r>
      <w:r/>
    </w:p>
    <w:p>
      <w:pPr>
        <w:ind w:firstLine="420"/>
        <w:rPr>
          <w:rFonts w:hint="eastAsia" w:ascii="宋体" w:hAnsi="宋体"/>
          <w:i/>
          <w:color w:val="auto"/>
          <w:sz w:val="24"/>
          <w:szCs w:val="24"/>
          <w:highlight w:val="none"/>
          <w:u w:val="single"/>
        </w:rPr>
      </w:pPr>
      <w:r>
        <w:rPr>
          <w:rFonts w:hint="eastAsia" w:ascii="宋体" w:hAnsi="宋体"/>
          <w:i/>
          <w:color w:val="auto"/>
          <w:sz w:val="24"/>
          <w:szCs w:val="24"/>
          <w:highlight w:val="none"/>
          <w:u w:val="single"/>
        </w:rPr>
      </w:r>
      <w:r/>
    </w:p>
    <w:p>
      <w:pPr>
        <w:rPr>
          <w:rFonts w:hint="eastAsia" w:ascii="宋体" w:hAnsi="宋体"/>
          <w:color w:val="auto"/>
          <w:szCs w:val="21"/>
          <w:highlight w:val="none"/>
        </w:rPr>
      </w:pPr>
      <w:r>
        <w:rPr>
          <w:rFonts w:hint="eastAsia" w:ascii="宋体" w:hAnsi="宋体"/>
          <w:color w:val="auto"/>
          <w:szCs w:val="21"/>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p>
    <w:p>
      <w:pPr>
        <w:spacing w:line="400" w:lineRule="exact"/>
        <w:rPr>
          <w:rFonts w:ascii="宋体" w:hAnsi="宋体"/>
          <w:color w:val="auto"/>
          <w:sz w:val="32"/>
          <w:highlight w:val="none"/>
        </w:rPr>
      </w:pPr>
      <w:r>
        <w:rPr>
          <w:rFonts w:ascii="宋体" w:hAnsi="宋体"/>
          <w:bCs/>
          <w:color w:val="auto"/>
          <w:sz w:val="24"/>
          <w:szCs w:val="21"/>
          <w:highlight w:val="none"/>
        </w:rPr>
        <w:br w:type="page" w:clear="all"/>
      </w:r>
      <w:r>
        <w:rPr>
          <w:rFonts w:hint="eastAsia" w:ascii="宋体" w:hAnsi="宋体"/>
          <w:color w:val="auto"/>
          <w:sz w:val="32"/>
          <w:highlight w:val="none"/>
        </w:rPr>
        <w:t xml:space="preserve">附件5</w:t>
      </w:r>
      <w:r/>
    </w:p>
    <w:p>
      <w:pPr>
        <w:jc w:val="center"/>
        <w:rPr>
          <w:rFonts w:ascii="宋体" w:hAnsi="宋体" w:cs="宋体"/>
          <w:bCs/>
          <w:color w:val="auto"/>
          <w:sz w:val="32"/>
          <w:szCs w:val="32"/>
          <w:highlight w:val="none"/>
        </w:rPr>
      </w:pPr>
      <w:r>
        <w:rPr>
          <w:rFonts w:hint="eastAsia" w:ascii="宋体" w:hAnsi="宋体" w:cs="宋体"/>
          <w:bCs/>
          <w:color w:val="auto"/>
          <w:sz w:val="32"/>
          <w:szCs w:val="32"/>
          <w:highlight w:val="none"/>
        </w:rPr>
        <w:t xml:space="preserve">承诺函</w:t>
      </w:r>
      <w:r/>
    </w:p>
    <w:p>
      <w:pPr>
        <w:ind w:firstLine="480"/>
        <w:spacing w:line="300" w:lineRule="auto"/>
        <w:rPr>
          <w:color w:val="auto"/>
          <w:sz w:val="24"/>
          <w:szCs w:val="24"/>
          <w:highlight w:val="none"/>
        </w:rPr>
      </w:pPr>
      <w:r>
        <w:rPr>
          <w:color w:val="auto"/>
          <w:sz w:val="24"/>
          <w:szCs w:val="24"/>
          <w:highlight w:val="none"/>
        </w:rPr>
      </w:r>
      <w:r/>
    </w:p>
    <w:p>
      <w:pPr>
        <w:ind w:firstLine="480"/>
        <w:spacing w:line="360" w:lineRule="auto"/>
        <w:rPr>
          <w:color w:val="auto"/>
          <w:sz w:val="24"/>
          <w:szCs w:val="24"/>
          <w:highlight w:val="none"/>
        </w:rPr>
      </w:pPr>
      <w:r>
        <w:rPr>
          <w:rFonts w:hint="eastAsia"/>
          <w:color w:val="auto"/>
          <w:sz w:val="24"/>
          <w:szCs w:val="24"/>
          <w:highlight w:val="none"/>
        </w:rPr>
        <w:t xml:space="preserve">我单位承诺响应竞争性磋商文件二、申请人的资格要求：‘</w:t>
      </w:r>
      <w:r>
        <w:rPr>
          <w:rFonts w:hint="eastAsia" w:ascii="宋体" w:hAnsi="宋体"/>
          <w:color w:val="auto"/>
          <w:sz w:val="24"/>
          <w:szCs w:val="24"/>
          <w:highlight w:val="none"/>
        </w:rPr>
        <w:t xml:space="preserve">3.</w:t>
      </w:r>
      <w:r>
        <w:rPr>
          <w:rFonts w:hint="eastAsia" w:ascii="宋体" w:hAnsi="宋体"/>
          <w:color w:val="auto"/>
          <w:highlight w:val="none"/>
        </w:rPr>
        <w:t xml:space="preserve"> </w:t>
      </w:r>
      <w:r>
        <w:rPr>
          <w:rFonts w:hint="eastAsia"/>
          <w:color w:val="auto"/>
          <w:sz w:val="24"/>
          <w:szCs w:val="24"/>
          <w:highlight w:val="none"/>
        </w:rPr>
        <w:t xml:space="preserve">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rPr>
          <w:color w:val="auto"/>
          <w:sz w:val="24"/>
          <w:szCs w:val="24"/>
          <w:highlight w:val="none"/>
        </w:rPr>
      </w:pPr>
      <w:r>
        <w:rPr>
          <w:color w:val="auto"/>
          <w:sz w:val="24"/>
          <w:szCs w:val="24"/>
          <w:highlight w:val="none"/>
        </w:rPr>
      </w:r>
      <w:r/>
    </w:p>
    <w:p>
      <w:pPr>
        <w:ind w:firstLine="480"/>
        <w:rPr>
          <w:color w:val="auto"/>
          <w:sz w:val="24"/>
          <w:szCs w:val="24"/>
          <w:highlight w:val="none"/>
        </w:rPr>
      </w:pPr>
      <w:r>
        <w:rPr>
          <w:rFonts w:hint="eastAsia"/>
          <w:color w:val="auto"/>
          <w:sz w:val="24"/>
          <w:szCs w:val="24"/>
          <w:highlight w:val="none"/>
        </w:rPr>
        <w:t xml:space="preserve">            </w:t>
      </w:r>
      <w:r/>
    </w:p>
    <w:p>
      <w:pPr>
        <w:ind w:firstLine="480"/>
        <w:rPr>
          <w:color w:val="auto"/>
          <w:sz w:val="24"/>
          <w:szCs w:val="24"/>
          <w:highlight w:val="none"/>
        </w:rPr>
      </w:pPr>
      <w:r>
        <w:rPr>
          <w:color w:val="auto"/>
          <w:sz w:val="24"/>
          <w:szCs w:val="24"/>
          <w:highlight w:val="none"/>
        </w:rPr>
      </w:r>
      <w:r/>
    </w:p>
    <w:p>
      <w:pPr>
        <w:ind w:firstLine="480"/>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ind w:firstLine="480"/>
        <w:rPr>
          <w:color w:val="auto"/>
          <w:sz w:val="24"/>
          <w:szCs w:val="24"/>
          <w:highlight w:val="none"/>
        </w:rPr>
      </w:pPr>
      <w:r>
        <w:rPr>
          <w:color w:val="auto"/>
          <w:sz w:val="24"/>
          <w:szCs w:val="24"/>
          <w:highlight w:val="none"/>
        </w:rPr>
      </w:r>
      <w:r/>
    </w:p>
    <w:p>
      <w:pPr>
        <w:ind w:firstLine="480"/>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rFonts w:hint="eastAsia"/>
          <w:color w:val="auto"/>
          <w:sz w:val="24"/>
          <w:szCs w:val="24"/>
          <w:highlight w:val="none"/>
        </w:rPr>
        <w:t xml:space="preserve">响应供应商全称(盖公章)：</w:t>
      </w:r>
      <w:r/>
    </w:p>
    <w:p>
      <w:pPr>
        <w:spacing w:line="360" w:lineRule="auto"/>
        <w:rPr>
          <w:color w:val="auto"/>
          <w:sz w:val="24"/>
          <w:szCs w:val="24"/>
          <w:highlight w:val="none"/>
        </w:rPr>
      </w:pPr>
      <w:r>
        <w:rPr>
          <w:rFonts w:hint="eastAsia"/>
          <w:color w:val="auto"/>
          <w:sz w:val="24"/>
          <w:szCs w:val="24"/>
          <w:highlight w:val="none"/>
        </w:rPr>
        <w:t xml:space="preserve">法人代表或授权委托人（签字或盖章）：</w:t>
      </w:r>
      <w:r/>
    </w:p>
    <w:p>
      <w:pPr>
        <w:spacing w:line="360" w:lineRule="auto"/>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color w:val="auto"/>
          <w:sz w:val="24"/>
          <w:szCs w:val="24"/>
          <w:highlight w:val="none"/>
        </w:rPr>
      </w:r>
      <w:r/>
    </w:p>
    <w:p>
      <w:pPr>
        <w:rPr>
          <w:color w:val="auto"/>
          <w:sz w:val="24"/>
          <w:szCs w:val="24"/>
          <w:highlight w:val="none"/>
        </w:rPr>
      </w:pPr>
      <w:r>
        <w:rPr>
          <w:rFonts w:hint="eastAsia"/>
          <w:color w:val="auto"/>
          <w:sz w:val="24"/>
          <w:szCs w:val="24"/>
          <w:highlight w:val="none"/>
        </w:rPr>
        <w:t xml:space="preserve">                                                 </w:t>
      </w:r>
      <w:r/>
    </w:p>
    <w:p>
      <w:pPr>
        <w:rPr>
          <w:color w:val="auto"/>
          <w:sz w:val="24"/>
          <w:szCs w:val="24"/>
          <w:highlight w:val="none"/>
        </w:rPr>
      </w:pPr>
      <w:r>
        <w:rPr>
          <w:color w:val="auto"/>
          <w:sz w:val="24"/>
          <w:szCs w:val="24"/>
          <w:highlight w:val="none"/>
        </w:rPr>
      </w:r>
      <w:r/>
    </w:p>
    <w:p>
      <w:pPr>
        <w:jc w:val="right"/>
        <w:rPr>
          <w:rFonts w:ascii="宋体" w:hAnsi="宋体"/>
          <w:b/>
          <w:bCs/>
          <w:color w:val="auto"/>
          <w:sz w:val="24"/>
          <w:szCs w:val="24"/>
          <w:highlight w:val="none"/>
        </w:rPr>
      </w:pPr>
      <w:r>
        <w:rPr>
          <w:rFonts w:hint="eastAsia"/>
          <w:color w:val="auto"/>
          <w:sz w:val="24"/>
          <w:szCs w:val="24"/>
          <w:highlight w:val="none"/>
        </w:rPr>
        <w:t xml:space="preserve">2026年  月   日</w:t>
      </w:r>
      <w:r/>
    </w:p>
    <w:p>
      <w:pPr>
        <w:contextualSpacing/>
        <w:spacing w:line="400" w:lineRule="exact"/>
        <w:rPr>
          <w:rFonts w:ascii="宋体" w:hAnsi="宋体"/>
          <w:color w:val="auto"/>
          <w:sz w:val="32"/>
          <w:szCs w:val="32"/>
          <w:highlight w:val="none"/>
        </w:rPr>
      </w:pPr>
      <w:r>
        <w:rPr>
          <w:rFonts w:ascii="宋体" w:hAnsi="宋体"/>
          <w:color w:val="auto"/>
          <w:sz w:val="32"/>
          <w:szCs w:val="32"/>
          <w:highlight w:val="none"/>
          <w:lang w:val="zh-CN"/>
        </w:rPr>
        <w:br w:type="page" w:clear="all"/>
      </w:r>
      <w:r>
        <w:rPr>
          <w:rFonts w:hint="eastAsia" w:ascii="宋体" w:hAnsi="宋体"/>
          <w:color w:val="auto"/>
          <w:sz w:val="32"/>
          <w:szCs w:val="32"/>
          <w:highlight w:val="none"/>
          <w:lang w:val="zh-CN"/>
        </w:rPr>
        <w:t xml:space="preserve">附件6</w:t>
      </w:r>
      <w:r/>
    </w:p>
    <w:p>
      <w:pPr>
        <w:jc w:val="center"/>
        <w:spacing w:line="56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磋商响应函</w:t>
      </w:r>
      <w:r/>
    </w:p>
    <w:p>
      <w:pPr>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致：采购人</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根据贵方的项目编号：</w:t>
      </w:r>
      <w:r>
        <w:rPr>
          <w:rFonts w:hint="eastAsia" w:ascii="宋体" w:hAnsi="宋体"/>
          <w:b/>
          <w:color w:val="auto"/>
          <w:sz w:val="36"/>
          <w:szCs w:val="24"/>
          <w:highlight w:val="none"/>
          <w:u w:val="single"/>
        </w:rPr>
        <w:t xml:space="preserve">    </w:t>
      </w:r>
      <w:r>
        <w:rPr>
          <w:rFonts w:hint="eastAsia" w:ascii="宋体" w:hAnsi="宋体"/>
          <w:color w:val="auto"/>
          <w:sz w:val="24"/>
          <w:szCs w:val="21"/>
          <w:highlight w:val="none"/>
        </w:rPr>
        <w:t xml:space="preserve">磋商文件，正式授权下述签字人______(姓名)代表我方______________（供应商的名称），全权处理本次项目磋商的有关事宜。</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据此函，__________签字人兹宣布同意如下：</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2.我们完全理解贵方不一定将合同授予最低报价的供应商。</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.我方与本磋商有关的正式通讯地址为：</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地          址：</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邮          编：</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电          话：</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传          真：</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供应商开户行：</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账          号： </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日           期：________年____月____日</w:t>
      </w:r>
      <w:r/>
    </w:p>
    <w:p>
      <w:pPr>
        <w:contextualSpacing/>
        <w:spacing w:line="400" w:lineRule="exact"/>
        <w:rPr>
          <w:rFonts w:ascii="宋体" w:hAnsi="宋体"/>
          <w:bCs/>
          <w:color w:val="auto"/>
          <w:sz w:val="24"/>
          <w:szCs w:val="21"/>
          <w:highlight w:val="none"/>
        </w:rPr>
      </w:pPr>
      <w:r>
        <w:rPr>
          <w:rFonts w:ascii="宋体" w:hAnsi="宋体"/>
          <w:bCs/>
          <w:color w:val="auto"/>
          <w:sz w:val="24"/>
          <w:szCs w:val="21"/>
          <w:highlight w:val="none"/>
        </w:rPr>
      </w:r>
      <w:r/>
    </w:p>
    <w:p>
      <w:pPr>
        <w:ind w:left="420" w:firstLine="480"/>
        <w:jc w:val="left"/>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2400"/>
        <w:jc w:val="left"/>
        <w:spacing w:line="44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响应供应商全称(盖公章)：</w:t>
      </w:r>
      <w:r/>
    </w:p>
    <w:p>
      <w:pPr>
        <w:ind w:left="420" w:firstLine="2400"/>
        <w:jc w:val="left"/>
        <w:spacing w:line="44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法定代表人（签字或盖章）：</w:t>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p>
    <w:p>
      <w:pPr>
        <w:spacing w:line="460" w:lineRule="exact"/>
        <w:rPr>
          <w:rFonts w:ascii="宋体" w:hAnsi="宋体"/>
          <w:color w:val="auto"/>
          <w:sz w:val="32"/>
          <w:szCs w:val="32"/>
          <w:highlight w:val="none"/>
        </w:rPr>
      </w:pPr>
      <w:r>
        <w:rPr>
          <w:rFonts w:ascii="宋体" w:hAnsi="宋体"/>
          <w:bCs/>
          <w:color w:val="auto"/>
          <w:sz w:val="24"/>
          <w:szCs w:val="21"/>
          <w:highlight w:val="none"/>
        </w:rPr>
        <w:br w:type="page" w:clear="all"/>
      </w:r>
      <w:r>
        <w:rPr>
          <w:rFonts w:hint="eastAsia" w:ascii="宋体" w:hAnsi="宋体"/>
          <w:color w:val="auto"/>
          <w:sz w:val="32"/>
          <w:szCs w:val="32"/>
          <w:highlight w:val="none"/>
          <w:lang w:val="zh-CN"/>
        </w:rPr>
        <w:t xml:space="preserve">附件7</w:t>
      </w:r>
      <w:r/>
    </w:p>
    <w:p>
      <w:pPr>
        <w:contextualSpacing/>
        <w:jc w:val="center"/>
        <w:spacing w:line="300"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商务部分正负偏离表</w:t>
      </w:r>
      <w:r/>
    </w:p>
    <w:p>
      <w:pPr>
        <w:ind w:firstLine="560"/>
        <w:jc w:val="center"/>
        <w:rPr>
          <w:rFonts w:ascii="宋体" w:hAnsi="宋体"/>
          <w:color w:val="auto"/>
          <w:sz w:val="28"/>
          <w:szCs w:val="28"/>
          <w:highlight w:val="none"/>
        </w:rPr>
      </w:pPr>
      <w:r>
        <w:rPr>
          <w:rFonts w:hint="eastAsia" w:ascii="宋体" w:hAnsi="宋体"/>
          <w:color w:val="auto"/>
          <w:sz w:val="28"/>
          <w:szCs w:val="28"/>
          <w:highlight w:val="none"/>
        </w:rPr>
        <w:t xml:space="preserve">（由供应商据实填写，表格不够自行添加）</w:t>
      </w:r>
      <w:r/>
    </w:p>
    <w:tbl>
      <w:tblPr>
        <w:tblStyle w:val="653"/>
        <w:tblW w:w="0" w:type="auto"/>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4"/>
        <w:gridCol w:w="2301"/>
        <w:gridCol w:w="2009"/>
        <w:gridCol w:w="2593"/>
        <w:gridCol w:w="1427"/>
      </w:tblGrid>
      <w:tr>
        <w:trPr>
          <w:trHeight w:val="994"/>
        </w:trPr>
        <w:tc>
          <w:tcPr>
            <w:tcW w:w="844" w:type="dxa"/>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2301" w:type="dxa"/>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货物或服务名称</w:t>
            </w:r>
            <w:r/>
          </w:p>
        </w:tc>
        <w:tc>
          <w:tcPr>
            <w:tcW w:w="2009" w:type="dxa"/>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磋商文件要求的商务条款</w:t>
            </w:r>
            <w:r/>
          </w:p>
        </w:tc>
        <w:tc>
          <w:tcPr>
            <w:tcW w:w="2593" w:type="dxa"/>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响应文件响应情况</w:t>
            </w:r>
            <w:r/>
          </w:p>
        </w:tc>
        <w:tc>
          <w:tcPr>
            <w:tcW w:w="1427" w:type="dxa"/>
            <w:vAlign w:val="top"/>
            <w:textDirection w:val="lrTb"/>
            <w:noWrap w:val="false"/>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偏离说明</w:t>
            </w:r>
            <w:r/>
          </w:p>
        </w:tc>
      </w:tr>
      <w:tr>
        <w:trPr>
          <w:trHeight w:val="414"/>
        </w:trPr>
        <w:tc>
          <w:tcPr>
            <w:tcW w:w="844" w:type="dxa"/>
            <w:vAlign w:val="top"/>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2301"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009"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593"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427" w:type="dxa"/>
            <w:vAlign w:val="top"/>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r>
      <w:tr>
        <w:trPr>
          <w:trHeight w:val="548"/>
        </w:trPr>
        <w:tc>
          <w:tcPr>
            <w:tcW w:w="844" w:type="dxa"/>
            <w:vAlign w:val="top"/>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2301"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009"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593"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427" w:type="dxa"/>
            <w:vAlign w:val="top"/>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r>
      <w:tr>
        <w:trPr>
          <w:trHeight w:val="400"/>
        </w:trPr>
        <w:tc>
          <w:tcPr>
            <w:tcW w:w="844" w:type="dxa"/>
            <w:vAlign w:val="top"/>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2301"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009"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593"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427" w:type="dxa"/>
            <w:vAlign w:val="top"/>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r>
      <w:tr>
        <w:trPr>
          <w:trHeight w:val="419"/>
        </w:trPr>
        <w:tc>
          <w:tcPr>
            <w:tcW w:w="844" w:type="dxa"/>
            <w:vAlign w:val="top"/>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2301"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009"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593"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427" w:type="dxa"/>
            <w:vAlign w:val="top"/>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r>
    </w:tbl>
    <w:p>
      <w:pPr>
        <w:contextualSpacing/>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注：</w:t>
      </w:r>
      <w:r/>
    </w:p>
    <w:p>
      <w:pPr>
        <w:contextualSpacing/>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1.供应商提交的响应文件中与磋商文件第三部分“项目需求”中的商务部分的要求，应逐条填列在偏离表中。</w:t>
      </w:r>
      <w:r/>
    </w:p>
    <w:p>
      <w:pPr>
        <w:contextualSpacing/>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Cs w:val="24"/>
          <w:highlight w:val="none"/>
        </w:rPr>
        <w:t xml:space="preserve"> </w:t>
      </w:r>
      <w:r>
        <w:rPr>
          <w:rFonts w:hint="eastAsia" w:ascii="宋体" w:hAnsi="宋体"/>
          <w:color w:val="auto"/>
          <w:sz w:val="24"/>
          <w:szCs w:val="24"/>
          <w:highlight w:val="none"/>
        </w:rPr>
        <w:t xml:space="preserve">“偏离说明”一栏选择“正偏离”、“无偏离”、“负偏离”进行填写。正偏离、无偏离的确认和负偏离的是否响应采购文件，由磋商小组认定。</w:t>
      </w:r>
      <w:r/>
    </w:p>
    <w:p>
      <w:pPr>
        <w:contextualSpacing/>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3.供应商如果虚假响应，将被暂停参加采购人组织政府采购活动。</w:t>
      </w:r>
      <w:r/>
    </w:p>
    <w:p>
      <w:pPr>
        <w:contextualSpacing/>
        <w:ind w:firstLine="480"/>
        <w:spacing w:line="5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4.供应商若提供其他增值服务，可以在表中自行据实填写。</w:t>
      </w:r>
      <w:r/>
    </w:p>
    <w:p>
      <w:pPr>
        <w:contextualSpacing/>
        <w:ind w:firstLine="540"/>
        <w:spacing w:line="5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p>
    <w:p>
      <w:pPr>
        <w:contextualSpacing/>
        <w:spacing w:line="400" w:lineRule="exact"/>
        <w:rPr>
          <w:rFonts w:ascii="宋体" w:hAnsi="宋体"/>
          <w:color w:val="auto"/>
          <w:sz w:val="32"/>
          <w:szCs w:val="32"/>
          <w:highlight w:val="none"/>
        </w:rPr>
      </w:pPr>
      <w:r>
        <w:rPr>
          <w:rFonts w:ascii="宋体" w:hAnsi="宋体"/>
          <w:bCs/>
          <w:color w:val="auto"/>
          <w:sz w:val="24"/>
          <w:szCs w:val="21"/>
          <w:highlight w:val="none"/>
        </w:rPr>
        <w:br w:type="page" w:clear="all"/>
      </w:r>
      <w:r>
        <w:rPr>
          <w:rFonts w:hint="eastAsia" w:ascii="宋体" w:hAnsi="宋体"/>
          <w:color w:val="auto"/>
          <w:sz w:val="32"/>
          <w:szCs w:val="32"/>
          <w:highlight w:val="none"/>
          <w:lang w:val="zh-CN"/>
        </w:rPr>
        <w:t xml:space="preserve">附件8</w:t>
      </w:r>
      <w:r/>
    </w:p>
    <w:p>
      <w:pPr>
        <w:contextualSpacing/>
        <w:jc w:val="center"/>
        <w:spacing w:line="300"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技术部分正负偏离表</w:t>
      </w:r>
      <w:r/>
    </w:p>
    <w:p>
      <w:pPr>
        <w:ind w:firstLine="560"/>
        <w:jc w:val="center"/>
        <w:rPr>
          <w:rFonts w:ascii="宋体" w:hAnsi="宋体"/>
          <w:color w:val="auto"/>
          <w:sz w:val="28"/>
          <w:szCs w:val="28"/>
          <w:highlight w:val="none"/>
        </w:rPr>
      </w:pPr>
      <w:r>
        <w:rPr>
          <w:rFonts w:hint="eastAsia" w:ascii="宋体" w:hAnsi="宋体"/>
          <w:color w:val="auto"/>
          <w:sz w:val="28"/>
          <w:szCs w:val="28"/>
          <w:highlight w:val="none"/>
        </w:rPr>
        <w:t xml:space="preserve">（由供应商据实填写，表格不够自行添加）</w:t>
      </w:r>
      <w:r/>
    </w:p>
    <w:tbl>
      <w:tblPr>
        <w:tblStyle w:val="653"/>
        <w:tblW w:w="0" w:type="auto"/>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4"/>
        <w:gridCol w:w="2301"/>
        <w:gridCol w:w="2009"/>
        <w:gridCol w:w="2593"/>
        <w:gridCol w:w="1427"/>
      </w:tblGrid>
      <w:tr>
        <w:trPr>
          <w:trHeight w:val="994"/>
        </w:trPr>
        <w:tc>
          <w:tcPr>
            <w:tcW w:w="844" w:type="dxa"/>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2301" w:type="dxa"/>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货物或服务名称</w:t>
            </w:r>
            <w:r/>
          </w:p>
        </w:tc>
        <w:tc>
          <w:tcPr>
            <w:tcW w:w="2009" w:type="dxa"/>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磋商文件要求的技术要求</w:t>
            </w:r>
            <w:r/>
          </w:p>
        </w:tc>
        <w:tc>
          <w:tcPr>
            <w:tcW w:w="2593" w:type="dxa"/>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响应文件响应情况</w:t>
            </w:r>
            <w:r/>
          </w:p>
        </w:tc>
        <w:tc>
          <w:tcPr>
            <w:tcW w:w="1427" w:type="dxa"/>
            <w:vAlign w:val="top"/>
            <w:textDirection w:val="lrTb"/>
            <w:noWrap w:val="false"/>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偏离说明</w:t>
            </w:r>
            <w:r/>
          </w:p>
        </w:tc>
      </w:tr>
      <w:tr>
        <w:trPr>
          <w:trHeight w:val="414"/>
        </w:trPr>
        <w:tc>
          <w:tcPr>
            <w:tcW w:w="844" w:type="dxa"/>
            <w:vAlign w:val="top"/>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2301"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009"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593"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427" w:type="dxa"/>
            <w:vAlign w:val="top"/>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r>
      <w:tr>
        <w:trPr>
          <w:trHeight w:val="548"/>
        </w:trPr>
        <w:tc>
          <w:tcPr>
            <w:tcW w:w="844" w:type="dxa"/>
            <w:vAlign w:val="top"/>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2301"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009"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593"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427" w:type="dxa"/>
            <w:vAlign w:val="top"/>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r>
      <w:tr>
        <w:trPr>
          <w:trHeight w:val="400"/>
        </w:trPr>
        <w:tc>
          <w:tcPr>
            <w:tcW w:w="844" w:type="dxa"/>
            <w:vAlign w:val="top"/>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2301"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009"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593"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427" w:type="dxa"/>
            <w:vAlign w:val="top"/>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r>
      <w:tr>
        <w:trPr>
          <w:trHeight w:val="419"/>
        </w:trPr>
        <w:tc>
          <w:tcPr>
            <w:tcW w:w="844" w:type="dxa"/>
            <w:vAlign w:val="top"/>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2301"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009"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593"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427" w:type="dxa"/>
            <w:vAlign w:val="top"/>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r>
    </w:tbl>
    <w:p>
      <w:pPr>
        <w:contextualSpacing/>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注：</w:t>
      </w:r>
      <w:r/>
    </w:p>
    <w:p>
      <w:pPr>
        <w:contextualSpacing/>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1.供应商提交的响应文件中与磋商文件第三部分“项目需求”中的技术部分的要求，应逐条填列在偏离表中。</w:t>
      </w:r>
      <w:r/>
    </w:p>
    <w:p>
      <w:pPr>
        <w:contextualSpacing/>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Cs w:val="24"/>
          <w:highlight w:val="none"/>
        </w:rPr>
        <w:t xml:space="preserve"> </w:t>
      </w:r>
      <w:r>
        <w:rPr>
          <w:rFonts w:hint="eastAsia" w:ascii="宋体" w:hAnsi="宋体"/>
          <w:color w:val="auto"/>
          <w:sz w:val="24"/>
          <w:szCs w:val="24"/>
          <w:highlight w:val="none"/>
        </w:rPr>
        <w:t xml:space="preserve">“偏离说明”一栏选择“正偏离”、“无偏离”、“负偏离”进行填写。正偏离、无偏离的确认和负偏离的是否响应采购文件，由磋商小组认定。</w:t>
      </w:r>
      <w:r/>
    </w:p>
    <w:p>
      <w:pPr>
        <w:contextualSpacing/>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3.供应商如果虚假响应，将被暂停参加采购人组织政府采购活动。</w:t>
      </w:r>
      <w:r/>
    </w:p>
    <w:p>
      <w:pPr>
        <w:contextualSpacing/>
        <w:ind w:firstLine="480"/>
        <w:spacing w:line="5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4.供应商若提供其他增值服务，可以在表中自行据实填写。</w:t>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p>
    <w:p>
      <w:pPr>
        <w:contextualSpacing/>
        <w:spacing w:line="400" w:lineRule="exact"/>
        <w:rPr>
          <w:rFonts w:ascii="宋体" w:hAnsi="宋体"/>
          <w:color w:val="auto"/>
          <w:sz w:val="32"/>
          <w:szCs w:val="32"/>
          <w:highlight w:val="none"/>
        </w:rPr>
      </w:pPr>
      <w:r>
        <w:rPr>
          <w:rFonts w:ascii="宋体" w:hAnsi="宋体"/>
          <w:bCs/>
          <w:color w:val="auto"/>
          <w:sz w:val="24"/>
          <w:szCs w:val="21"/>
          <w:highlight w:val="none"/>
        </w:rPr>
        <w:br w:type="page" w:clear="all"/>
      </w:r>
      <w:r>
        <w:rPr>
          <w:rFonts w:hint="eastAsia" w:ascii="宋体" w:hAnsi="宋体"/>
          <w:color w:val="auto"/>
          <w:sz w:val="32"/>
          <w:szCs w:val="32"/>
          <w:highlight w:val="none"/>
          <w:lang w:val="zh-CN"/>
        </w:rPr>
        <w:t xml:space="preserve">附件9</w:t>
      </w:r>
      <w:r/>
    </w:p>
    <w:p>
      <w:pPr>
        <w:jc w:val="center"/>
        <w:spacing w:before="100" w:beforeAutospacing="1" w:after="100" w:afterAutospacing="1" w:line="500" w:lineRule="atLeast"/>
        <w:widowControl/>
        <w:rPr>
          <w:rFonts w:ascii="宋体" w:hAnsi="宋体" w:cs="宋体"/>
          <w:color w:val="auto"/>
          <w:sz w:val="32"/>
          <w:szCs w:val="32"/>
          <w:highlight w:val="none"/>
        </w:rPr>
      </w:pPr>
      <w:r>
        <w:rPr>
          <w:rFonts w:hint="eastAsia" w:ascii="宋体" w:hAnsi="宋体" w:cs="宋体"/>
          <w:b/>
          <w:bCs/>
          <w:color w:val="auto"/>
          <w:sz w:val="32"/>
          <w:szCs w:val="32"/>
          <w:highlight w:val="none"/>
        </w:rPr>
        <w:t xml:space="preserve">报价总表</w:t>
      </w:r>
      <w:r/>
    </w:p>
    <w:p>
      <w:pPr>
        <w:rPr>
          <w:rFonts w:ascii="宋体" w:hAnsi="宋体" w:cs="宋体"/>
          <w:color w:val="auto"/>
          <w:sz w:val="28"/>
          <w:szCs w:val="28"/>
          <w:highlight w:val="none"/>
          <w:u w:val="single"/>
        </w:rPr>
      </w:pPr>
      <w:r>
        <w:rPr>
          <w:rFonts w:ascii="宋体" w:hAnsi="宋体" w:cs="宋体"/>
          <w:color w:val="auto"/>
          <w:sz w:val="28"/>
          <w:szCs w:val="28"/>
          <w:highlight w:val="none"/>
        </w:rPr>
        <w:t xml:space="preserve">供应商全称（加盖公章）：</w:t>
      </w:r>
      <w:r/>
    </w:p>
    <w:p>
      <w:pPr>
        <w:rPr>
          <w:rFonts w:ascii="宋体" w:hAnsi="宋体" w:cs="宋体"/>
          <w:color w:val="auto"/>
          <w:sz w:val="28"/>
          <w:szCs w:val="28"/>
          <w:highlight w:val="none"/>
          <w:u w:val="single"/>
        </w:rPr>
      </w:pPr>
      <w:r>
        <w:rPr>
          <w:rFonts w:ascii="宋体" w:hAnsi="宋体" w:cs="宋体"/>
          <w:color w:val="auto"/>
          <w:sz w:val="28"/>
          <w:szCs w:val="28"/>
          <w:highlight w:val="none"/>
        </w:rPr>
        <w:t xml:space="preserve">项目名称：</w:t>
      </w:r>
      <w:r/>
    </w:p>
    <w:p>
      <w:pPr>
        <w:rPr>
          <w:rFonts w:ascii="宋体" w:hAnsi="宋体" w:cs="宋体"/>
          <w:color w:val="auto"/>
          <w:sz w:val="28"/>
          <w:szCs w:val="28"/>
          <w:highlight w:val="none"/>
        </w:rPr>
      </w:pPr>
      <w:r>
        <w:rPr>
          <w:rFonts w:ascii="宋体" w:hAnsi="宋体" w:cs="宋体"/>
          <w:color w:val="auto"/>
          <w:sz w:val="28"/>
          <w:szCs w:val="28"/>
          <w:highlight w:val="none"/>
        </w:rPr>
        <w:t xml:space="preserve">项目编号：</w:t>
      </w:r>
      <w:r/>
    </w:p>
    <w:p>
      <w:pPr>
        <w:spacing w:line="560" w:lineRule="exact"/>
        <w:rPr>
          <w:rFonts w:ascii="宋体" w:hAnsi="宋体" w:cs="宋体"/>
          <w:color w:val="auto"/>
          <w:sz w:val="28"/>
          <w:szCs w:val="28"/>
          <w:highlight w:val="none"/>
        </w:rPr>
      </w:pPr>
      <w:r>
        <w:rPr>
          <w:rFonts w:ascii="宋体" w:hAnsi="宋体" w:cs="宋体"/>
          <w:color w:val="auto"/>
          <w:sz w:val="28"/>
          <w:szCs w:val="28"/>
          <w:highlight w:val="none"/>
        </w:rPr>
        <w:t xml:space="preserve">分包号：</w:t>
      </w:r>
      <w:r/>
    </w:p>
    <w:tbl>
      <w:tblPr>
        <w:tblStyle w:val="65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jc w:val="center"/>
              <w:spacing w:line="560" w:lineRule="exact"/>
              <w:rPr>
                <w:rFonts w:ascii="宋体" w:hAnsi="宋体"/>
                <w:color w:val="auto"/>
                <w:highlight w:val="none"/>
              </w:rPr>
            </w:pPr>
            <w:r>
              <w:rPr>
                <w:rFonts w:hint="eastAsia" w:ascii="宋体" w:hAnsi="宋体" w:cs="宋体"/>
                <w:color w:val="auto"/>
                <w:sz w:val="28"/>
                <w:szCs w:val="28"/>
                <w:highlight w:val="none"/>
              </w:rPr>
              <w:t xml:space="preserve">磋商</w:t>
            </w:r>
            <w:r>
              <w:rPr>
                <w:rFonts w:ascii="宋体" w:hAnsi="宋体" w:cs="宋体"/>
                <w:color w:val="auto"/>
                <w:sz w:val="28"/>
                <w:szCs w:val="28"/>
                <w:highlight w:val="none"/>
              </w:rPr>
              <w:t xml:space="preserve">货物、服务名称</w:t>
            </w:r>
            <w:r/>
          </w:p>
        </w:tc>
        <w:tc>
          <w:tcPr>
            <w:tcW w:w="4607" w:type="dxa"/>
            <w:vAlign w:val="top"/>
            <w:textDirection w:val="lrTb"/>
            <w:noWrap w:val="false"/>
          </w:tcPr>
          <w:p>
            <w:pPr>
              <w:jc w:val="center"/>
              <w:spacing w:line="560" w:lineRule="exact"/>
              <w:rPr>
                <w:rFonts w:ascii="宋体" w:hAnsi="宋体"/>
                <w:color w:val="auto"/>
                <w:highlight w:val="none"/>
              </w:rPr>
            </w:pPr>
            <w:r>
              <w:rPr>
                <w:rFonts w:hint="eastAsia" w:ascii="宋体" w:hAnsi="宋体" w:cs="宋体"/>
                <w:color w:val="auto"/>
                <w:sz w:val="28"/>
                <w:szCs w:val="28"/>
                <w:highlight w:val="none"/>
              </w:rPr>
              <w:t xml:space="preserve">磋商</w:t>
            </w:r>
            <w:r>
              <w:rPr>
                <w:rFonts w:ascii="宋体" w:hAnsi="宋体" w:cs="宋体"/>
                <w:color w:val="auto"/>
                <w:sz w:val="28"/>
                <w:szCs w:val="28"/>
                <w:highlight w:val="none"/>
              </w:rPr>
              <w:t xml:space="preserve">报价</w:t>
            </w:r>
            <w:r/>
          </w:p>
        </w:tc>
      </w:tr>
      <w:tr>
        <w:trPr>
          <w:trHeight w:val="1091"/>
        </w:trPr>
        <w:tc>
          <w:tcPr>
            <w:tcW w:w="4148" w:type="dxa"/>
            <w:vAlign w:val="top"/>
            <w:textDirection w:val="lrTb"/>
            <w:noWrap w:val="false"/>
          </w:tcPr>
          <w:p>
            <w:pPr>
              <w:spacing w:line="560" w:lineRule="exact"/>
              <w:rPr>
                <w:rFonts w:ascii="宋体" w:hAnsi="宋体"/>
                <w:color w:val="auto"/>
                <w:highlight w:val="none"/>
              </w:rPr>
            </w:pPr>
            <w:r>
              <w:rPr>
                <w:rFonts w:ascii="宋体" w:hAnsi="宋体"/>
                <w:color w:val="auto"/>
                <w:highlight w:val="none"/>
              </w:rPr>
            </w:r>
            <w:r/>
          </w:p>
        </w:tc>
        <w:tc>
          <w:tcPr>
            <w:tcW w:w="4607" w:type="dxa"/>
            <w:vAlign w:val="top"/>
            <w:textDirection w:val="lrTb"/>
            <w:noWrap w:val="false"/>
          </w:tcPr>
          <w:p>
            <w:pPr>
              <w:spacing w:line="560" w:lineRule="exact"/>
              <w:rPr>
                <w:rFonts w:hint="eastAsia" w:ascii="宋体" w:hAnsi="宋体" w:cs="宋体"/>
                <w:color w:val="auto"/>
                <w:sz w:val="28"/>
                <w:szCs w:val="28"/>
                <w:highlight w:val="none"/>
              </w:rPr>
            </w:pPr>
            <w:r>
              <w:rPr>
                <w:rFonts w:ascii="宋体" w:hAnsi="宋体" w:cs="宋体"/>
                <w:color w:val="auto"/>
                <w:sz w:val="28"/>
                <w:szCs w:val="28"/>
                <w:highlight w:val="none"/>
              </w:rPr>
              <w:t xml:space="preserve">大写：</w:t>
            </w:r>
            <w:r/>
          </w:p>
          <w:p>
            <w:pPr>
              <w:spacing w:line="560" w:lineRule="exact"/>
              <w:rPr>
                <w:rFonts w:ascii="宋体" w:hAnsi="宋体"/>
                <w:color w:val="auto"/>
                <w:highlight w:val="none"/>
                <w:u w:val="single"/>
              </w:rPr>
            </w:pPr>
            <w:r>
              <w:rPr>
                <w:rFonts w:ascii="宋体" w:hAnsi="宋体" w:cs="宋体"/>
                <w:color w:val="auto"/>
                <w:sz w:val="28"/>
                <w:szCs w:val="28"/>
                <w:highlight w:val="none"/>
              </w:rPr>
              <w:t xml:space="preserve">小写：元（人民币）</w:t>
            </w:r>
            <w:r/>
          </w:p>
        </w:tc>
      </w:tr>
      <w:tr>
        <w:trPr/>
        <w:tc>
          <w:tcPr>
            <w:tcW w:w="4148" w:type="dxa"/>
            <w:vAlign w:val="top"/>
            <w:textDirection w:val="lrTb"/>
            <w:noWrap w:val="false"/>
          </w:tcPr>
          <w:p>
            <w:pPr>
              <w:spacing w:line="560" w:lineRule="exact"/>
              <w:rPr>
                <w:rFonts w:ascii="宋体" w:hAnsi="宋体"/>
                <w:color w:val="auto"/>
                <w:highlight w:val="none"/>
              </w:rPr>
            </w:pPr>
            <w:r>
              <w:rPr>
                <w:rFonts w:ascii="宋体" w:hAnsi="宋体" w:cs="宋体"/>
                <w:color w:val="auto"/>
                <w:sz w:val="28"/>
                <w:szCs w:val="28"/>
                <w:highlight w:val="none"/>
              </w:rPr>
              <w:t xml:space="preserve">主要货物、服务制造商及产地</w:t>
            </w:r>
            <w:r/>
          </w:p>
        </w:tc>
        <w:tc>
          <w:tcPr>
            <w:tcW w:w="4607" w:type="dxa"/>
            <w:vAlign w:val="top"/>
            <w:textDirection w:val="lrTb"/>
            <w:noWrap w:val="false"/>
          </w:tcPr>
          <w:p>
            <w:pPr>
              <w:spacing w:line="560" w:lineRule="exact"/>
              <w:rPr>
                <w:rFonts w:ascii="宋体" w:hAnsi="宋体"/>
                <w:color w:val="auto"/>
                <w:highlight w:val="none"/>
              </w:rPr>
            </w:pPr>
            <w:r>
              <w:rPr>
                <w:rFonts w:ascii="宋体" w:hAnsi="宋体"/>
                <w:color w:val="auto"/>
                <w:highlight w:val="none"/>
              </w:rPr>
            </w:r>
            <w:r/>
          </w:p>
        </w:tc>
      </w:tr>
      <w:tr>
        <w:trPr>
          <w:trHeight w:val="481"/>
        </w:trPr>
        <w:tc>
          <w:tcPr>
            <w:tcW w:w="4148" w:type="dxa"/>
            <w:vAlign w:val="top"/>
            <w:textDirection w:val="lrTb"/>
            <w:noWrap w:val="false"/>
          </w:tcPr>
          <w:p>
            <w:pPr>
              <w:spacing w:line="560" w:lineRule="exact"/>
              <w:rPr>
                <w:rFonts w:ascii="宋体" w:hAnsi="宋体"/>
                <w:color w:val="auto"/>
                <w:highlight w:val="none"/>
              </w:rPr>
            </w:pPr>
            <w:r>
              <w:rPr>
                <w:rFonts w:hint="eastAsia" w:ascii="宋体" w:hAnsi="宋体" w:cs="宋体"/>
                <w:color w:val="auto"/>
                <w:sz w:val="28"/>
                <w:szCs w:val="28"/>
                <w:highlight w:val="none"/>
              </w:rPr>
              <w:t xml:space="preserve">核心产品品牌（如有）</w:t>
            </w:r>
            <w:r/>
          </w:p>
        </w:tc>
        <w:tc>
          <w:tcPr>
            <w:tcW w:w="4607" w:type="dxa"/>
            <w:vAlign w:val="top"/>
            <w:textDirection w:val="lrTb"/>
            <w:noWrap w:val="false"/>
          </w:tcPr>
          <w:p>
            <w:pPr>
              <w:spacing w:line="560" w:lineRule="exact"/>
              <w:rPr>
                <w:rFonts w:ascii="宋体" w:hAnsi="宋体"/>
                <w:color w:val="auto"/>
                <w:highlight w:val="none"/>
              </w:rPr>
            </w:pPr>
            <w:r>
              <w:rPr>
                <w:rFonts w:ascii="宋体" w:hAnsi="宋体"/>
                <w:color w:val="auto"/>
                <w:highlight w:val="none"/>
              </w:rPr>
            </w:r>
            <w:r/>
          </w:p>
        </w:tc>
      </w:tr>
    </w:tbl>
    <w:p>
      <w:pPr>
        <w:spacing w:line="560" w:lineRule="exact"/>
        <w:rPr>
          <w:rFonts w:ascii="宋体" w:hAnsi="宋体" w:cs="宋体"/>
          <w:color w:val="auto"/>
          <w:sz w:val="28"/>
          <w:szCs w:val="28"/>
          <w:highlight w:val="none"/>
        </w:rPr>
      </w:pPr>
      <w:r>
        <w:rPr>
          <w:rFonts w:ascii="宋体" w:hAnsi="宋体" w:cs="宋体"/>
          <w:color w:val="auto"/>
          <w:sz w:val="28"/>
          <w:szCs w:val="28"/>
          <w:highlight w:val="none"/>
        </w:rPr>
        <w:t xml:space="preserve">日期：</w:t>
      </w:r>
      <w:r/>
    </w:p>
    <w:p>
      <w:pPr>
        <w:spacing w:line="520" w:lineRule="exact"/>
        <w:rPr>
          <w:rFonts w:ascii="宋体" w:hAnsi="宋体" w:cs="宋体"/>
          <w:color w:val="auto"/>
          <w:sz w:val="24"/>
          <w:szCs w:val="24"/>
          <w:highlight w:val="none"/>
        </w:rPr>
      </w:pPr>
      <w:r>
        <w:rPr>
          <w:rFonts w:ascii="宋体" w:hAnsi="宋体" w:cs="宋体"/>
          <w:color w:val="auto"/>
          <w:sz w:val="24"/>
          <w:szCs w:val="24"/>
          <w:highlight w:val="none"/>
        </w:rPr>
        <w:t xml:space="preserve">填写说明：</w:t>
      </w:r>
      <w:r/>
    </w:p>
    <w:p>
      <w:pPr>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报价总表</w:t>
      </w:r>
      <w:r>
        <w:rPr>
          <w:rFonts w:ascii="宋体" w:hAnsi="宋体" w:cs="宋体"/>
          <w:color w:val="auto"/>
          <w:sz w:val="24"/>
          <w:szCs w:val="24"/>
          <w:highlight w:val="none"/>
        </w:rPr>
        <w:t xml:space="preserve">必须加盖</w:t>
      </w:r>
      <w:r>
        <w:rPr>
          <w:rFonts w:hint="eastAsia" w:ascii="宋体" w:hAnsi="宋体" w:cs="宋体"/>
          <w:color w:val="auto"/>
          <w:sz w:val="24"/>
          <w:szCs w:val="24"/>
          <w:highlight w:val="none"/>
        </w:rPr>
        <w:t xml:space="preserve">供应商</w:t>
      </w:r>
      <w:r>
        <w:rPr>
          <w:rFonts w:ascii="宋体" w:hAnsi="宋体" w:cs="宋体"/>
          <w:color w:val="auto"/>
          <w:sz w:val="24"/>
          <w:szCs w:val="24"/>
          <w:highlight w:val="none"/>
        </w:rPr>
        <w:t xml:space="preserve">公章（复印件无效）。</w:t>
      </w:r>
      <w:r/>
    </w:p>
    <w:p>
      <w:pPr>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、如有分包，</w:t>
      </w:r>
      <w:r>
        <w:rPr>
          <w:rFonts w:hint="eastAsia" w:ascii="宋体" w:hAnsi="宋体" w:cs="宋体"/>
          <w:color w:val="auto"/>
          <w:sz w:val="24"/>
          <w:szCs w:val="24"/>
          <w:highlight w:val="none"/>
        </w:rPr>
        <w:t xml:space="preserve">供应商</w:t>
      </w:r>
      <w:r>
        <w:rPr>
          <w:rFonts w:ascii="宋体" w:hAnsi="宋体" w:cs="宋体"/>
          <w:color w:val="auto"/>
          <w:sz w:val="24"/>
          <w:szCs w:val="24"/>
          <w:highlight w:val="none"/>
        </w:rPr>
        <w:t xml:space="preserve">投任何一个包的标的，都需单独填写</w:t>
      </w:r>
      <w:r>
        <w:rPr>
          <w:rFonts w:hint="eastAsia" w:ascii="宋体" w:hAnsi="宋体" w:cs="宋体"/>
          <w:color w:val="auto"/>
          <w:sz w:val="24"/>
          <w:szCs w:val="24"/>
          <w:highlight w:val="none"/>
        </w:rPr>
        <w:t xml:space="preserve">报价总表</w:t>
      </w:r>
      <w:r>
        <w:rPr>
          <w:rFonts w:ascii="宋体" w:hAnsi="宋体" w:cs="宋体"/>
          <w:color w:val="auto"/>
          <w:sz w:val="24"/>
          <w:szCs w:val="24"/>
          <w:highlight w:val="none"/>
        </w:rPr>
        <w:t xml:space="preserve">。</w:t>
      </w:r>
      <w:r/>
    </w:p>
    <w:p>
      <w:pPr>
        <w:contextualSpacing/>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contextualSpacing/>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contextualSpacing/>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contextualSpacing/>
        <w:spacing w:line="400" w:lineRule="exact"/>
        <w:rPr>
          <w:rFonts w:ascii="宋体" w:hAnsi="宋体"/>
          <w:color w:val="auto"/>
          <w:sz w:val="32"/>
          <w:szCs w:val="32"/>
          <w:highlight w:val="none"/>
        </w:rPr>
      </w:pPr>
      <w:r>
        <w:rPr>
          <w:rFonts w:ascii="宋体" w:hAnsi="宋体"/>
          <w:color w:val="auto"/>
          <w:sz w:val="32"/>
          <w:szCs w:val="32"/>
          <w:highlight w:val="none"/>
        </w:rPr>
        <w:br w:type="page" w:clear="all"/>
      </w:r>
      <w:r>
        <w:rPr>
          <w:rFonts w:hint="eastAsia" w:ascii="宋体" w:hAnsi="宋体"/>
          <w:color w:val="auto"/>
          <w:sz w:val="32"/>
          <w:szCs w:val="32"/>
          <w:highlight w:val="none"/>
          <w:lang w:val="zh-CN"/>
        </w:rPr>
        <w:t xml:space="preserve">附件10</w:t>
      </w:r>
      <w:r/>
    </w:p>
    <w:p>
      <w:pPr>
        <w:contextualSpacing/>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line="400" w:lineRule="exact"/>
        <w:rPr>
          <w:rFonts w:ascii="宋体" w:hAnsi="宋体"/>
          <w:color w:val="auto"/>
          <w:sz w:val="32"/>
          <w:szCs w:val="32"/>
          <w:highlight w:val="none"/>
        </w:rPr>
      </w:pPr>
      <w:r>
        <w:rPr>
          <w:rFonts w:hint="eastAsia" w:ascii="宋体" w:hAnsi="宋体"/>
          <w:b/>
          <w:bCs/>
          <w:color w:val="auto"/>
          <w:sz w:val="32"/>
          <w:szCs w:val="32"/>
          <w:highlight w:val="none"/>
        </w:rPr>
        <w:t xml:space="preserve">分项报价明细表（货物类）</w:t>
      </w:r>
      <w:r/>
    </w:p>
    <w:p>
      <w:pPr>
        <w:spacing w:line="400" w:lineRule="exact"/>
        <w:rPr>
          <w:rFonts w:ascii="宋体" w:hAnsi="宋体"/>
          <w:color w:val="auto"/>
          <w:sz w:val="28"/>
          <w:szCs w:val="28"/>
          <w:highlight w:val="none"/>
        </w:rPr>
      </w:pPr>
      <w:r>
        <w:rPr>
          <w:rFonts w:hint="eastAsia" w:ascii="宋体" w:hAnsi="宋体"/>
          <w:color w:val="auto"/>
          <w:sz w:val="28"/>
          <w:szCs w:val="28"/>
          <w:highlight w:val="none"/>
        </w:rPr>
        <w:t xml:space="preserve">供应商（盖章）：</w:t>
      </w:r>
      <w:r/>
    </w:p>
    <w:tbl>
      <w:tblPr>
        <w:tblStyle w:val="65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90"/>
      </w:tblGrid>
      <w:tr>
        <w:trPr>
          <w:cantSplit/>
          <w:jc w:val="center"/>
          <w:trHeight w:val="812" w:hRule="exact"/>
        </w:trPr>
        <w:tc>
          <w:tcPr>
            <w:tcW w:w="1037"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序号</w:t>
            </w:r>
            <w:r/>
          </w:p>
        </w:tc>
        <w:tc>
          <w:tcPr>
            <w:tcW w:w="1340"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名称</w:t>
            </w:r>
            <w:r/>
          </w:p>
        </w:tc>
        <w:tc>
          <w:tcPr>
            <w:tcW w:w="1211"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规格型号</w:t>
            </w:r>
            <w:r/>
          </w:p>
        </w:tc>
        <w:tc>
          <w:tcPr>
            <w:tcW w:w="127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品牌</w:t>
            </w:r>
            <w:r/>
          </w:p>
        </w:tc>
        <w:tc>
          <w:tcPr>
            <w:tcW w:w="992"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单位</w:t>
            </w:r>
            <w:r/>
          </w:p>
        </w:tc>
        <w:tc>
          <w:tcPr>
            <w:tcW w:w="851"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数量</w:t>
            </w:r>
            <w:r/>
          </w:p>
        </w:tc>
        <w:tc>
          <w:tcPr>
            <w:tcW w:w="850"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单价</w:t>
            </w:r>
            <w:r/>
          </w:p>
        </w:tc>
        <w:tc>
          <w:tcPr>
            <w:tcW w:w="851"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金额</w:t>
            </w:r>
            <w:r/>
          </w:p>
        </w:tc>
        <w:tc>
          <w:tcPr>
            <w:tcW w:w="1490" w:type="dxa"/>
            <w:vAlign w:val="center"/>
            <w:textDirection w:val="lrTb"/>
            <w:noWrap w:val="false"/>
          </w:tcPr>
          <w:p>
            <w:pPr>
              <w:ind w:firstLine="105"/>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备注（是否为主要标的）</w:t>
            </w:r>
            <w:r/>
          </w:p>
        </w:tc>
      </w:tr>
      <w:tr>
        <w:trPr>
          <w:cantSplit/>
          <w:jc w:val="center"/>
          <w:trHeight w:val="479"/>
        </w:trPr>
        <w:tc>
          <w:tcPr>
            <w:tcW w:w="1037"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34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21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276"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9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502"/>
        </w:trPr>
        <w:tc>
          <w:tcPr>
            <w:tcW w:w="1037"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34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21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276"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9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513"/>
        </w:trPr>
        <w:tc>
          <w:tcPr>
            <w:tcW w:w="1037"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34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21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276"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9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513"/>
        </w:trPr>
        <w:tc>
          <w:tcPr>
            <w:tcW w:w="1037"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134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21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276"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9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513"/>
        </w:trPr>
        <w:tc>
          <w:tcPr>
            <w:tcW w:w="103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34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21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276"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9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41"/>
        </w:trPr>
        <w:tc>
          <w:tcPr>
            <w:tcW w:w="1037"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合计</w:t>
            </w:r>
            <w:r/>
          </w:p>
        </w:tc>
        <w:tc>
          <w:tcPr>
            <w:gridSpan w:val="8"/>
            <w:tcW w:w="886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spacing w:line="30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r>
      <w:r/>
    </w:p>
    <w:p>
      <w:pPr>
        <w:spacing w:line="30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t xml:space="preserve">注：1.供应商必须详细报出采购清单中各个子项的名称、品牌、规格型号、数量、单价、备注中的内容（是否为主要标的）。且本表各分项报价合计应当与报价总表报价合计相等。请各供应商务必按照以上要求填报，否则作为无效响应处理。</w:t>
      </w:r>
      <w:r/>
    </w:p>
    <w:p>
      <w:pPr>
        <w:spacing w:line="30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t xml:space="preserve">2.</w:t>
      </w:r>
      <w:r>
        <w:rPr>
          <w:rFonts w:hint="eastAsia" w:ascii="宋体" w:hAnsi="宋体" w:cs="宋体"/>
          <w:b/>
          <w:color w:val="auto"/>
          <w:sz w:val="28"/>
          <w:szCs w:val="28"/>
          <w:highlight w:val="none"/>
        </w:rPr>
        <w:t xml:space="preserve"> 供应商须详细备注主要标的信息，并</w:t>
      </w:r>
      <w:r>
        <w:rPr>
          <w:rFonts w:hint="eastAsia" w:ascii="宋体" w:hAnsi="宋体" w:cs="宋体"/>
          <w:b/>
          <w:color w:val="auto"/>
          <w:sz w:val="28"/>
          <w:szCs w:val="28"/>
          <w:highlight w:val="none"/>
          <w:lang w:val="zh-CN"/>
        </w:rPr>
        <w:t xml:space="preserve">将随成交公告进行公示。内容不实的，属于提供虚假材料谋取中标、成交，依照《中华人民共和</w:t>
      </w:r>
      <w:r>
        <w:rPr>
          <w:rFonts w:hint="eastAsia" w:ascii="宋体" w:hAnsi="宋体" w:cs="宋体"/>
          <w:b/>
          <w:color w:val="auto"/>
          <w:sz w:val="28"/>
          <w:szCs w:val="28"/>
          <w:highlight w:val="none"/>
        </w:rPr>
        <w:t xml:space="preserve">国政府采购法》等国家有关规定追究相应责</w:t>
      </w:r>
      <w:r>
        <w:rPr>
          <w:rFonts w:hint="eastAsia" w:ascii="宋体" w:hAnsi="宋体" w:cs="宋体"/>
          <w:b/>
          <w:color w:val="auto"/>
          <w:sz w:val="28"/>
          <w:szCs w:val="28"/>
          <w:highlight w:val="none"/>
          <w:lang w:val="zh-CN"/>
        </w:rPr>
        <w:t xml:space="preserve">任。</w:t>
      </w:r>
      <w:r/>
    </w:p>
    <w:p>
      <w:pPr>
        <w:jc w:val="both"/>
        <w:spacing w:line="300" w:lineRule="auto"/>
        <w:rPr>
          <w:rFonts w:ascii="宋体" w:hAnsi="宋体"/>
          <w:color w:val="auto"/>
          <w:sz w:val="32"/>
          <w:szCs w:val="32"/>
          <w:highlight w:val="none"/>
        </w:rPr>
        <w:outlineLvl w:val="0"/>
      </w:pPr>
      <w:r>
        <w:rPr>
          <w:rFonts w:ascii="宋体" w:hAnsi="宋体" w:cs="Arial"/>
          <w:b/>
          <w:color w:val="auto"/>
          <w:sz w:val="24"/>
          <w:szCs w:val="44"/>
          <w:highlight w:val="none"/>
        </w:rPr>
        <w:br w:type="page" w:clear="all"/>
      </w:r>
      <w:r>
        <w:rPr>
          <w:rFonts w:hint="eastAsia" w:ascii="宋体" w:hAnsi="宋体"/>
          <w:color w:val="auto"/>
          <w:sz w:val="32"/>
          <w:szCs w:val="32"/>
          <w:highlight w:val="none"/>
          <w:lang w:val="zh-CN"/>
        </w:rPr>
        <w:t xml:space="preserve">附件11</w:t>
      </w:r>
      <w:r>
        <w:rPr>
          <w:rFonts w:hint="eastAsia" w:ascii="宋体" w:hAnsi="宋体"/>
          <w:color w:val="auto"/>
          <w:sz w:val="32"/>
          <w:szCs w:val="32"/>
          <w:highlight w:val="none"/>
          <w:lang w:val="en-US" w:eastAsia="zh-CN"/>
        </w:rPr>
        <w:t xml:space="preserve">            </w:t>
      </w:r>
      <w:r>
        <w:rPr>
          <w:rFonts w:ascii="宋体" w:hAnsi="宋体"/>
          <w:b/>
          <w:bCs/>
          <w:color w:val="auto"/>
          <w:sz w:val="28"/>
          <w:szCs w:val="28"/>
          <w:highlight w:val="none"/>
          <w:lang w:bidi="zh-CN"/>
        </w:rPr>
        <w:t xml:space="preserve">中小企业声明函（货物）</w:t>
      </w:r>
      <w:r/>
    </w:p>
    <w:p>
      <w:pPr>
        <w:ind w:firstLine="480"/>
        <w:spacing w:line="360" w:lineRule="auto"/>
        <w:rPr>
          <w:rFonts w:hint="eastAsia" w:ascii="宋体" w:hAnsi="宋体" w:cs="宋体"/>
          <w:color w:val="auto"/>
          <w:sz w:val="24"/>
          <w:szCs w:val="24"/>
          <w:highlight w:val="none"/>
          <w:lang w:bidi="zh-CN"/>
        </w:rPr>
        <w:outlineLvl w:val="0"/>
      </w:pPr>
      <w:r>
        <w:rPr>
          <w:rFonts w:hint="eastAsia" w:ascii="宋体" w:hAnsi="宋体" w:cs="宋体"/>
          <w:color w:val="auto"/>
          <w:sz w:val="24"/>
          <w:szCs w:val="24"/>
          <w:highlight w:val="none"/>
          <w:lang w:bidi="zh-CN"/>
        </w:rPr>
        <w:t xml:space="preserve">本公司（联合体）郑重声明，根据《政府采购促进中小企业发展管理办法》（财库﹝2020﹞46 号）的规定，本公司（联合体）参加</w:t>
      </w:r>
      <w:r>
        <w:rPr>
          <w:rFonts w:hint="eastAsia" w:ascii="宋体" w:hAnsi="宋体" w:cs="宋体"/>
          <w:color w:val="auto"/>
          <w:sz w:val="24"/>
          <w:szCs w:val="24"/>
          <w:highlight w:val="none"/>
          <w:u w:val="single"/>
          <w:lang w:bidi="zh-CN"/>
        </w:rPr>
        <w:t xml:space="preserve">（单位名称）</w:t>
      </w:r>
      <w:r>
        <w:rPr>
          <w:rFonts w:hint="eastAsia" w:ascii="宋体" w:hAnsi="宋体" w:cs="宋体"/>
          <w:color w:val="auto"/>
          <w:sz w:val="24"/>
          <w:szCs w:val="24"/>
          <w:highlight w:val="none"/>
          <w:lang w:bidi="zh-CN"/>
        </w:rPr>
        <w:t xml:space="preserve">的</w:t>
      </w:r>
      <w:r>
        <w:rPr>
          <w:rFonts w:hint="eastAsia" w:ascii="宋体" w:hAnsi="宋体" w:cs="宋体"/>
          <w:color w:val="auto"/>
          <w:sz w:val="24"/>
          <w:szCs w:val="24"/>
          <w:highlight w:val="none"/>
          <w:u w:val="single"/>
          <w:lang w:bidi="zh-CN"/>
        </w:rPr>
        <w:t xml:space="preserve">（项目名称）</w:t>
      </w:r>
      <w:r>
        <w:rPr>
          <w:rFonts w:hint="eastAsia" w:ascii="宋体" w:hAnsi="宋体" w:cs="宋体"/>
          <w:color w:val="auto"/>
          <w:sz w:val="24"/>
          <w:szCs w:val="24"/>
          <w:highlight w:val="none"/>
          <w:lang w:bidi="zh-CN"/>
        </w:rPr>
        <w:t xml:space="preserve">采购活动，提供的货物全部由符合政策要求的中小企业制造。相关企业（含联合体中的中小企业、签订分包意向协议的中小企业） 的具体情况如下：</w:t>
      </w:r>
      <w:r/>
    </w:p>
    <w:p>
      <w:pPr>
        <w:spacing w:line="360" w:lineRule="auto"/>
        <w:rPr>
          <w:rFonts w:hint="eastAsia" w:ascii="宋体" w:hAnsi="宋体" w:cs="宋体"/>
          <w:color w:val="auto"/>
          <w:sz w:val="24"/>
          <w:szCs w:val="24"/>
          <w:highlight w:val="none"/>
          <w:lang w:bidi="zh-CN"/>
        </w:rPr>
        <w:outlineLvl w:val="0"/>
      </w:pPr>
      <w:r>
        <w:rPr>
          <w:rFonts w:hint="eastAsia" w:ascii="宋体" w:hAnsi="宋体" w:cs="宋体"/>
          <w:color w:val="auto"/>
          <w:sz w:val="24"/>
          <w:szCs w:val="24"/>
          <w:highlight w:val="none"/>
          <w:lang w:bidi="zh-CN"/>
        </w:rPr>
        <w:t xml:space="preserve">1.</w:t>
      </w:r>
      <w:r>
        <w:rPr>
          <w:rFonts w:hint="eastAsia" w:ascii="宋体" w:hAnsi="宋体" w:cs="宋体"/>
          <w:color w:val="auto"/>
          <w:sz w:val="24"/>
          <w:szCs w:val="24"/>
          <w:highlight w:val="none"/>
          <w:u w:val="single"/>
          <w:lang w:bidi="zh-CN"/>
        </w:rPr>
        <w:t xml:space="preserve"> （标的名称）</w:t>
      </w:r>
      <w:r>
        <w:rPr>
          <w:rFonts w:hint="eastAsia" w:ascii="宋体" w:hAnsi="宋体" w:cs="宋体"/>
          <w:color w:val="auto"/>
          <w:sz w:val="24"/>
          <w:szCs w:val="24"/>
          <w:highlight w:val="none"/>
          <w:lang w:bidi="zh-CN"/>
        </w:rPr>
        <w:t xml:space="preserve"> ，属于</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u w:val="single"/>
          <w:lang w:bidi="zh-CN"/>
        </w:rPr>
        <w:t xml:space="preserve">（采购文件中明确的所属行业）</w:t>
      </w:r>
      <w:r>
        <w:rPr>
          <w:rFonts w:hint="eastAsia" w:ascii="宋体" w:hAnsi="宋体" w:cs="宋体"/>
          <w:color w:val="auto"/>
          <w:sz w:val="24"/>
          <w:szCs w:val="24"/>
          <w:highlight w:val="none"/>
          <w:lang w:bidi="zh-CN"/>
        </w:rPr>
        <w:t xml:space="preserve">行业；制造商为</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u w:val="single"/>
          <w:lang w:bidi="zh-CN"/>
        </w:rPr>
        <w:t xml:space="preserve"> （企业名称）</w:t>
      </w:r>
      <w:r>
        <w:rPr>
          <w:rFonts w:hint="eastAsia" w:ascii="宋体" w:hAnsi="宋体" w:cs="宋体"/>
          <w:color w:val="auto"/>
          <w:sz w:val="24"/>
          <w:szCs w:val="24"/>
          <w:highlight w:val="none"/>
          <w:lang w:bidi="zh-CN"/>
        </w:rPr>
        <w:t xml:space="preserve">，从业人员</w:t>
      </w:r>
      <w:r>
        <w:rPr>
          <w:rFonts w:hint="eastAsia" w:ascii="宋体" w:hAnsi="宋体" w:cs="宋体"/>
          <w:color w:val="auto"/>
          <w:sz w:val="24"/>
          <w:szCs w:val="24"/>
          <w:highlight w:val="none"/>
          <w:u w:val="single"/>
          <w:lang w:bidi="zh-CN"/>
        </w:rPr>
        <w:t xml:space="preserve"> </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lang w:bidi="zh-CN"/>
        </w:rPr>
        <w:t xml:space="preserve">人，营业收入为</w:t>
      </w:r>
      <w:bookmarkStart w:id="182" w:name="OLE_LINK76"/>
      <w:r/>
      <w:bookmarkStart w:id="183" w:name="OLE_LINK77"/>
      <w:r>
        <w:rPr>
          <w:rFonts w:hint="eastAsia" w:ascii="宋体" w:hAnsi="宋体" w:cs="宋体"/>
          <w:color w:val="auto"/>
          <w:sz w:val="24"/>
          <w:szCs w:val="24"/>
          <w:highlight w:val="none"/>
          <w:u w:val="single"/>
          <w:lang w:bidi="zh-CN"/>
        </w:rPr>
        <w:t xml:space="preserve"> </w:t>
      </w:r>
      <w:r>
        <w:rPr>
          <w:rFonts w:hint="eastAsia" w:ascii="宋体" w:hAnsi="宋体" w:cs="宋体"/>
          <w:color w:val="auto"/>
          <w:sz w:val="24"/>
          <w:szCs w:val="24"/>
          <w:highlight w:val="none"/>
          <w:u w:val="single"/>
          <w:lang w:bidi="zh-CN"/>
        </w:rPr>
        <w:tab/>
      </w:r>
      <w:bookmarkEnd w:id="182"/>
      <w:r/>
      <w:bookmarkEnd w:id="183"/>
      <w:r>
        <w:rPr>
          <w:rFonts w:hint="eastAsia" w:ascii="宋体" w:hAnsi="宋体" w:cs="宋体"/>
          <w:color w:val="auto"/>
          <w:sz w:val="24"/>
          <w:szCs w:val="24"/>
          <w:highlight w:val="none"/>
          <w:lang w:bidi="zh-CN"/>
        </w:rPr>
        <w:t xml:space="preserve">万元，资产总额为</w:t>
      </w:r>
      <w:r>
        <w:rPr>
          <w:rFonts w:hint="eastAsia" w:ascii="宋体" w:hAnsi="宋体" w:cs="宋体"/>
          <w:color w:val="auto"/>
          <w:sz w:val="24"/>
          <w:szCs w:val="24"/>
          <w:highlight w:val="none"/>
          <w:u w:val="single"/>
          <w:lang w:bidi="zh-CN"/>
        </w:rPr>
        <w:t xml:space="preserve"> </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lang w:bidi="zh-CN"/>
        </w:rPr>
        <w:t xml:space="preserve">万元，属于</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u w:val="single"/>
          <w:lang w:bidi="zh-CN"/>
        </w:rPr>
        <w:t xml:space="preserve">  （中型企业、小型企业、微型企业）</w:t>
      </w:r>
      <w:r>
        <w:rPr>
          <w:rFonts w:hint="eastAsia" w:ascii="宋体" w:hAnsi="宋体" w:cs="宋体"/>
          <w:color w:val="auto"/>
          <w:sz w:val="24"/>
          <w:szCs w:val="24"/>
          <w:highlight w:val="none"/>
          <w:lang w:bidi="zh-CN"/>
        </w:rPr>
        <w:t xml:space="preserve">；</w:t>
      </w:r>
      <w:r/>
    </w:p>
    <w:p>
      <w:pPr>
        <w:spacing w:line="360" w:lineRule="auto"/>
        <w:rPr>
          <w:rFonts w:hint="eastAsia" w:ascii="宋体" w:hAnsi="宋体" w:cs="宋体"/>
          <w:color w:val="auto"/>
          <w:sz w:val="24"/>
          <w:szCs w:val="24"/>
          <w:highlight w:val="none"/>
          <w:lang w:bidi="zh-CN"/>
        </w:rPr>
        <w:outlineLvl w:val="0"/>
      </w:pPr>
      <w:r>
        <w:rPr>
          <w:rFonts w:hint="eastAsia" w:ascii="宋体" w:hAnsi="宋体" w:cs="宋体"/>
          <w:color w:val="auto"/>
          <w:sz w:val="24"/>
          <w:szCs w:val="24"/>
          <w:highlight w:val="none"/>
          <w:lang w:bidi="zh-CN"/>
        </w:rPr>
        <w:t xml:space="preserve">2.</w:t>
      </w:r>
      <w:r>
        <w:rPr>
          <w:rFonts w:hint="eastAsia" w:ascii="宋体" w:hAnsi="宋体" w:cs="宋体"/>
          <w:i/>
          <w:color w:val="auto"/>
          <w:sz w:val="24"/>
          <w:szCs w:val="24"/>
          <w:highlight w:val="none"/>
          <w:u w:val="single"/>
          <w:lang w:bidi="zh-CN"/>
        </w:rPr>
        <w:t xml:space="preserve"> </w:t>
      </w:r>
      <w:r>
        <w:rPr>
          <w:rFonts w:hint="eastAsia" w:ascii="宋体" w:hAnsi="宋体" w:cs="宋体"/>
          <w:color w:val="auto"/>
          <w:sz w:val="24"/>
          <w:szCs w:val="24"/>
          <w:highlight w:val="none"/>
          <w:u w:val="single"/>
          <w:lang w:bidi="zh-CN"/>
        </w:rPr>
        <w:t xml:space="preserve">（标的名称） </w:t>
      </w:r>
      <w:r>
        <w:rPr>
          <w:rFonts w:hint="eastAsia" w:ascii="宋体" w:hAnsi="宋体" w:cs="宋体"/>
          <w:color w:val="auto"/>
          <w:sz w:val="24"/>
          <w:szCs w:val="24"/>
          <w:highlight w:val="none"/>
          <w:lang w:bidi="zh-CN"/>
        </w:rPr>
        <w:t xml:space="preserve">，属于</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u w:val="single"/>
          <w:lang w:bidi="zh-CN"/>
        </w:rPr>
        <w:t xml:space="preserve">（采购文件中明确的所属行业）</w:t>
      </w:r>
      <w:r>
        <w:rPr>
          <w:rFonts w:hint="eastAsia" w:ascii="宋体" w:hAnsi="宋体" w:cs="宋体"/>
          <w:color w:val="auto"/>
          <w:sz w:val="24"/>
          <w:szCs w:val="24"/>
          <w:highlight w:val="none"/>
          <w:lang w:bidi="zh-CN"/>
        </w:rPr>
        <w:t xml:space="preserve">行业；制造商为</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u w:val="single"/>
          <w:lang w:bidi="zh-CN"/>
        </w:rPr>
        <w:t xml:space="preserve">  （企业名称）</w:t>
      </w:r>
      <w:r>
        <w:rPr>
          <w:rFonts w:hint="eastAsia" w:ascii="宋体" w:hAnsi="宋体" w:cs="宋体"/>
          <w:color w:val="auto"/>
          <w:sz w:val="24"/>
          <w:szCs w:val="24"/>
          <w:highlight w:val="none"/>
          <w:lang w:bidi="zh-CN"/>
        </w:rPr>
        <w:t xml:space="preserve">，从业人员</w:t>
      </w:r>
      <w:r>
        <w:rPr>
          <w:rFonts w:hint="eastAsia" w:ascii="宋体" w:hAnsi="宋体" w:cs="宋体"/>
          <w:color w:val="auto"/>
          <w:sz w:val="24"/>
          <w:szCs w:val="24"/>
          <w:highlight w:val="none"/>
          <w:u w:val="single"/>
          <w:lang w:bidi="zh-CN"/>
        </w:rPr>
        <w:t xml:space="preserve"> </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lang w:bidi="zh-CN"/>
        </w:rPr>
        <w:t xml:space="preserve">人，营业收入为</w:t>
      </w:r>
      <w:r>
        <w:rPr>
          <w:rFonts w:hint="eastAsia" w:ascii="宋体" w:hAnsi="宋体" w:cs="宋体"/>
          <w:color w:val="auto"/>
          <w:sz w:val="24"/>
          <w:szCs w:val="24"/>
          <w:highlight w:val="none"/>
          <w:u w:val="single"/>
          <w:lang w:bidi="zh-CN"/>
        </w:rPr>
        <w:t xml:space="preserve"> </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lang w:bidi="zh-CN"/>
        </w:rPr>
        <w:t xml:space="preserve">万元，资产总额为</w:t>
      </w:r>
      <w:r>
        <w:rPr>
          <w:rFonts w:hint="eastAsia" w:ascii="宋体" w:hAnsi="宋体" w:cs="宋体"/>
          <w:color w:val="auto"/>
          <w:sz w:val="24"/>
          <w:szCs w:val="24"/>
          <w:highlight w:val="none"/>
          <w:u w:val="single"/>
          <w:lang w:bidi="zh-CN"/>
        </w:rPr>
        <w:t xml:space="preserve"> </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lang w:bidi="zh-CN"/>
        </w:rPr>
        <w:t xml:space="preserve">万元，属于</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u w:val="single"/>
          <w:lang w:bidi="zh-CN"/>
        </w:rPr>
        <w:t xml:space="preserve">   （中型企业、小型企业、微型企业）</w:t>
      </w:r>
      <w:r>
        <w:rPr>
          <w:rFonts w:hint="eastAsia" w:ascii="宋体" w:hAnsi="宋体" w:cs="宋体"/>
          <w:color w:val="auto"/>
          <w:sz w:val="24"/>
          <w:szCs w:val="24"/>
          <w:highlight w:val="none"/>
          <w:lang w:bidi="zh-CN"/>
        </w:rPr>
        <w:t xml:space="preserve">；</w:t>
      </w:r>
      <w:r/>
    </w:p>
    <w:p>
      <w:pPr>
        <w:spacing w:line="360" w:lineRule="auto"/>
        <w:rPr>
          <w:rFonts w:hint="eastAsia" w:ascii="宋体" w:hAnsi="宋体" w:cs="宋体"/>
          <w:color w:val="auto"/>
          <w:sz w:val="24"/>
          <w:szCs w:val="24"/>
          <w:highlight w:val="none"/>
          <w:lang w:bidi="zh-CN"/>
        </w:rPr>
        <w:outlineLvl w:val="0"/>
      </w:pPr>
      <w:r>
        <w:rPr>
          <w:rFonts w:hint="eastAsia" w:ascii="宋体" w:hAnsi="宋体" w:cs="宋体"/>
          <w:color w:val="auto"/>
          <w:sz w:val="24"/>
          <w:szCs w:val="24"/>
          <w:highlight w:val="none"/>
          <w:lang w:bidi="zh-CN"/>
        </w:rPr>
        <w:t xml:space="preserve">……</w:t>
      </w:r>
      <w:r/>
    </w:p>
    <w:p>
      <w:pPr>
        <w:ind w:firstLine="480"/>
        <w:spacing w:line="360" w:lineRule="auto"/>
        <w:rPr>
          <w:rFonts w:hint="eastAsia" w:ascii="宋体" w:hAnsi="宋体" w:cs="宋体"/>
          <w:color w:val="auto"/>
          <w:sz w:val="24"/>
          <w:szCs w:val="24"/>
          <w:highlight w:val="none"/>
          <w:lang w:bidi="zh-CN"/>
        </w:rPr>
        <w:outlineLvl w:val="0"/>
      </w:pPr>
      <w:r>
        <w:rPr>
          <w:rFonts w:hint="eastAsia" w:ascii="宋体" w:hAnsi="宋体" w:cs="宋体"/>
          <w:color w:val="auto"/>
          <w:sz w:val="24"/>
          <w:szCs w:val="24"/>
          <w:highlight w:val="none"/>
          <w:lang w:bidi="zh-CN"/>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olor w:val="auto"/>
          <w:sz w:val="28"/>
          <w:szCs w:val="28"/>
          <w:highlight w:val="none"/>
          <w:lang w:bidi="zh-CN"/>
        </w:rPr>
        <w:outlineLvl w:val="0"/>
      </w:pPr>
      <w:r>
        <w:rPr>
          <w:rFonts w:hint="eastAsia" w:ascii="宋体" w:hAnsi="宋体" w:cs="宋体"/>
          <w:color w:val="auto"/>
          <w:sz w:val="24"/>
          <w:szCs w:val="24"/>
          <w:highlight w:val="none"/>
          <w:lang w:bidi="zh-CN"/>
        </w:rPr>
        <w:t xml:space="preserve">本企业对上述声明内容的真实性负责。如有虚假，将依法承担相应责任。</w:t>
      </w:r>
      <w:r/>
    </w:p>
    <w:p>
      <w:pPr>
        <w:ind w:firstLine="4200"/>
        <w:spacing w:line="300" w:lineRule="auto"/>
        <w:rPr>
          <w:rFonts w:hint="eastAsia" w:ascii="宋体" w:hAnsi="宋体"/>
          <w:color w:val="auto"/>
          <w:sz w:val="24"/>
          <w:szCs w:val="24"/>
          <w:highlight w:val="none"/>
          <w:lang w:bidi="zh-CN"/>
        </w:rPr>
        <w:outlineLvl w:val="0"/>
      </w:pPr>
      <w:r>
        <w:rPr>
          <w:rFonts w:ascii="宋体" w:hAnsi="宋体"/>
          <w:color w:val="auto"/>
          <w:sz w:val="24"/>
          <w:szCs w:val="24"/>
          <w:highlight w:val="none"/>
          <w:lang w:bidi="zh-CN"/>
        </w:rPr>
        <w:t xml:space="preserve">企业名称（盖章）：</w:t>
      </w:r>
      <w:r/>
    </w:p>
    <w:p>
      <w:pPr>
        <w:ind w:firstLine="4200"/>
        <w:spacing w:line="300" w:lineRule="auto"/>
        <w:rPr>
          <w:rFonts w:ascii="宋体" w:hAnsi="宋体"/>
          <w:color w:val="auto"/>
          <w:sz w:val="28"/>
          <w:szCs w:val="28"/>
          <w:highlight w:val="none"/>
          <w:lang w:bidi="zh-CN"/>
        </w:rPr>
        <w:outlineLvl w:val="0"/>
      </w:pPr>
      <w:r>
        <w:rPr>
          <w:rFonts w:ascii="宋体" w:hAnsi="宋体"/>
          <w:color w:val="auto"/>
          <w:sz w:val="24"/>
          <w:szCs w:val="24"/>
          <w:highlight w:val="none"/>
          <w:lang w:bidi="zh-CN"/>
        </w:rPr>
        <w:t xml:space="preserve">日期：</w:t>
      </w:r>
      <w:r/>
    </w:p>
    <w:p>
      <w:pPr>
        <w:spacing w:line="300" w:lineRule="auto"/>
        <w:rPr>
          <w:rFonts w:hint="eastAsia" w:ascii="宋体" w:hAnsi="宋体" w:cs="宋体"/>
          <w:color w:val="auto"/>
          <w:szCs w:val="21"/>
          <w:highlight w:val="none"/>
          <w:lang w:bidi="zh-CN"/>
        </w:rPr>
        <w:outlineLvl w:val="0"/>
      </w:pPr>
      <w:r>
        <w:rPr>
          <w:rFonts w:hint="eastAsia" w:ascii="宋体" w:hAnsi="宋体" w:cs="宋体"/>
          <w:color w:val="auto"/>
          <w:szCs w:val="21"/>
          <w:highlight w:val="none"/>
          <w:lang w:bidi="zh-CN"/>
        </w:rPr>
        <w:t xml:space="preserve">注：1.如项目属性为“货物”，请按本表填写。</w:t>
      </w:r>
      <w:r/>
    </w:p>
    <w:p>
      <w:pPr>
        <w:ind w:firstLine="420"/>
        <w:spacing w:line="300" w:lineRule="auto"/>
        <w:rPr>
          <w:rFonts w:hint="eastAsia" w:ascii="宋体" w:hAnsi="宋体" w:cs="宋体"/>
          <w:color w:val="auto"/>
          <w:szCs w:val="21"/>
          <w:highlight w:val="none"/>
          <w:lang w:bidi="zh-CN"/>
        </w:rPr>
        <w:outlineLvl w:val="0"/>
      </w:pPr>
      <w:r>
        <w:rPr>
          <w:rFonts w:hint="eastAsia" w:ascii="宋体" w:hAnsi="宋体" w:cs="宋体"/>
          <w:color w:val="auto"/>
          <w:szCs w:val="21"/>
          <w:highlight w:val="none"/>
          <w:lang w:bidi="zh-CN"/>
        </w:rPr>
        <w:t xml:space="preserve">2.从业人员、营业收入、资产总额填报上一年度数据，无上一年度数据的新成立企业可不填报。</w:t>
      </w:r>
      <w:r/>
    </w:p>
    <w:p>
      <w:pPr>
        <w:spacing w:line="300" w:lineRule="auto"/>
        <w:rPr>
          <w:rFonts w:hint="eastAsia" w:ascii="宋体" w:hAnsi="宋体" w:cs="宋体"/>
          <w:color w:val="auto"/>
          <w:szCs w:val="21"/>
          <w:highlight w:val="none"/>
          <w:lang w:bidi="zh-CN"/>
        </w:rPr>
        <w:outlineLvl w:val="0"/>
      </w:pPr>
      <w:r>
        <w:rPr>
          <w:rFonts w:hint="eastAsia" w:ascii="宋体" w:hAnsi="宋体" w:cs="宋体"/>
          <w:color w:val="auto"/>
          <w:szCs w:val="21"/>
          <w:highlight w:val="none"/>
          <w:lang w:bidi="zh-CN"/>
        </w:rPr>
        <w:t xml:space="preserve">    3.投标供应商须根据上述要求，详细列明货物清单中所有产品制造商的具体情况，否则不能享受中小企业扶持政策。</w:t>
      </w:r>
      <w:r/>
    </w:p>
    <w:p>
      <w:pPr>
        <w:ind w:firstLine="420"/>
        <w:spacing w:line="300" w:lineRule="auto"/>
        <w:rPr>
          <w:rFonts w:hint="eastAsia" w:ascii="宋体" w:hAnsi="宋体"/>
          <w:color w:val="auto"/>
          <w:sz w:val="28"/>
          <w:szCs w:val="28"/>
          <w:highlight w:val="none"/>
          <w:lang w:bidi="zh-CN"/>
        </w:rPr>
        <w:outlineLvl w:val="0"/>
      </w:pPr>
      <w:r>
        <w:rPr>
          <w:rFonts w:hint="eastAsia" w:ascii="宋体" w:hAnsi="宋体" w:cs="宋体"/>
          <w:color w:val="auto"/>
          <w:szCs w:val="21"/>
          <w:highlight w:val="none"/>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630"/>
        <w:rPr>
          <w:rFonts w:ascii="宋体" w:hAnsi="宋体" w:cs="宋体"/>
          <w:color w:val="auto"/>
          <w:szCs w:val="21"/>
          <w:highlight w:val="none"/>
        </w:rPr>
      </w:pPr>
      <w:r>
        <w:rPr>
          <w:rFonts w:hint="eastAsia" w:ascii="宋体" w:hAnsi="宋体" w:cs="宋体"/>
          <w:color w:val="auto"/>
          <w:szCs w:val="21"/>
          <w:highlight w:val="none"/>
        </w:rPr>
        <w:t xml:space="preserve">《中小企业划型标准规定》（工信部联企业〔2011〕300号）</w:t>
      </w:r>
      <w:r/>
    </w:p>
    <w:tbl>
      <w:tblPr>
        <w:tblStyle w:val="65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7"/>
        <w:gridCol w:w="1544"/>
        <w:gridCol w:w="750"/>
        <w:gridCol w:w="2038"/>
        <w:gridCol w:w="1771"/>
        <w:gridCol w:w="1154"/>
      </w:tblGrid>
      <w:tr>
        <w:trPr>
          <w:cantSplit/>
          <w:jc w:val="center"/>
          <w:tblHeader/>
        </w:trPr>
        <w:tc>
          <w:tcPr>
            <w:tcW w:w="1917"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行业名称</w:t>
            </w:r>
            <w:r/>
          </w:p>
        </w:tc>
        <w:tc>
          <w:tcPr>
            <w:tcW w:w="1544"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指标名称</w:t>
            </w:r>
            <w:r/>
          </w:p>
        </w:tc>
        <w:tc>
          <w:tcPr>
            <w:tcW w:w="750"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计量</w:t>
            </w:r>
            <w:r/>
          </w:p>
          <w:p>
            <w:pPr>
              <w:jc w:val="center"/>
              <w:rPr>
                <w:rFonts w:ascii="宋体" w:hAnsi="宋体" w:cs="宋体"/>
                <w:b/>
                <w:color w:val="auto"/>
                <w:szCs w:val="21"/>
                <w:highlight w:val="none"/>
              </w:rPr>
            </w:pPr>
            <w:r>
              <w:rPr>
                <w:rFonts w:hint="eastAsia" w:ascii="宋体" w:hAnsi="宋体" w:cs="宋体"/>
                <w:b/>
                <w:color w:val="auto"/>
                <w:szCs w:val="21"/>
                <w:highlight w:val="none"/>
              </w:rPr>
              <w:t xml:space="preserve">单位</w:t>
            </w:r>
            <w:r/>
          </w:p>
        </w:tc>
        <w:tc>
          <w:tcPr>
            <w:tcW w:w="2038"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中型</w:t>
            </w:r>
            <w:r/>
          </w:p>
        </w:tc>
        <w:tc>
          <w:tcPr>
            <w:tcW w:w="1771"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小型</w:t>
            </w:r>
            <w:r/>
          </w:p>
        </w:tc>
        <w:tc>
          <w:tcPr>
            <w:tcW w:w="1154"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微型</w:t>
            </w:r>
            <w:r/>
          </w:p>
        </w:tc>
      </w:tr>
      <w:tr>
        <w:trPr>
          <w:cantSplit/>
          <w:jc w:val="center"/>
        </w:trPr>
        <w:tc>
          <w:tcPr>
            <w:tcW w:w="1917" w:type="dxa"/>
            <w:vAlign w:val="center"/>
            <w:vMerge w:val="restart"/>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154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从业人员（X）</w:t>
            </w:r>
            <w:r/>
          </w:p>
        </w:tc>
        <w:tc>
          <w:tcPr>
            <w:tcW w:w="750"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人</w:t>
            </w:r>
            <w:r/>
          </w:p>
        </w:tc>
        <w:tc>
          <w:tcPr>
            <w:tcW w:w="203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300≤X&lt;1000</w:t>
            </w:r>
            <w:r/>
          </w:p>
        </w:tc>
        <w:tc>
          <w:tcPr>
            <w:tcW w:w="177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20≤X&lt;300</w:t>
            </w:r>
            <w:r/>
          </w:p>
        </w:tc>
        <w:tc>
          <w:tcPr>
            <w:tcW w:w="115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X&lt;20</w:t>
            </w:r>
            <w:r/>
          </w:p>
        </w:tc>
      </w:tr>
      <w:tr>
        <w:trPr>
          <w:cantSplit/>
          <w:jc w:val="center"/>
        </w:trPr>
        <w:tc>
          <w:tcPr>
            <w:tcW w:w="1917"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54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营业收入（Y）</w:t>
            </w:r>
            <w:r/>
          </w:p>
        </w:tc>
        <w:tc>
          <w:tcPr>
            <w:tcW w:w="750"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万元</w:t>
            </w:r>
            <w:r/>
          </w:p>
        </w:tc>
        <w:tc>
          <w:tcPr>
            <w:tcW w:w="203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2000≤Y&lt;40000</w:t>
            </w:r>
            <w:r/>
          </w:p>
        </w:tc>
        <w:tc>
          <w:tcPr>
            <w:tcW w:w="177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300≤Y&lt;2000</w:t>
            </w:r>
            <w:r/>
          </w:p>
        </w:tc>
        <w:tc>
          <w:tcPr>
            <w:tcW w:w="115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Y&lt;300</w:t>
            </w:r>
            <w:r/>
          </w:p>
        </w:tc>
      </w:tr>
    </w:tbl>
    <w:p>
      <w:pPr>
        <w:spacing w:line="460" w:lineRule="exact"/>
        <w:rPr>
          <w:rFonts w:hint="eastAsia" w:ascii="宋体" w:hAnsi="宋体"/>
          <w:color w:val="auto"/>
          <w:sz w:val="24"/>
          <w:szCs w:val="21"/>
          <w:highlight w:val="none"/>
        </w:rPr>
      </w:pPr>
      <w:r>
        <w:rPr>
          <w:rFonts w:hint="eastAsia" w:ascii="宋体" w:hAnsi="宋体" w:cs="宋体"/>
          <w:color w:val="auto"/>
          <w:szCs w:val="21"/>
          <w:highlight w:val="none"/>
        </w:rPr>
        <w:t xml:space="preserve">说明：大型、中型和小型企业须同时满足所列指标的下限，否则下划一档；微型企业只须满足所列指标中的一项即可。</w:t>
      </w:r>
      <w:r/>
    </w:p>
    <w:p>
      <w:pPr>
        <w:spacing w:line="300" w:lineRule="auto"/>
        <w:rPr>
          <w:rFonts w:ascii="宋体" w:hAnsi="宋体"/>
          <w:color w:val="auto"/>
          <w:sz w:val="32"/>
          <w:szCs w:val="32"/>
          <w:highlight w:val="none"/>
        </w:rPr>
        <w:outlineLvl w:val="0"/>
      </w:pPr>
      <w:r>
        <w:rPr>
          <w:rFonts w:ascii="宋体" w:hAnsi="宋体"/>
          <w:color w:val="auto"/>
          <w:sz w:val="32"/>
          <w:szCs w:val="32"/>
          <w:highlight w:val="none"/>
        </w:rPr>
        <w:br w:type="page" w:clear="all"/>
      </w:r>
      <w:r>
        <w:rPr>
          <w:rFonts w:hint="eastAsia" w:ascii="宋体" w:hAnsi="宋体"/>
          <w:color w:val="auto"/>
          <w:sz w:val="32"/>
          <w:szCs w:val="32"/>
          <w:highlight w:val="none"/>
          <w:lang w:val="zh-CN"/>
        </w:rPr>
        <w:t xml:space="preserve">附件12</w:t>
      </w:r>
      <w:r/>
    </w:p>
    <w:p>
      <w:pPr>
        <w:jc w:val="center"/>
        <w:spacing w:line="460" w:lineRule="exact"/>
        <w:rPr>
          <w:rFonts w:hint="eastAsia" w:ascii="宋体" w:hAnsi="宋体"/>
          <w:b/>
          <w:color w:val="auto"/>
          <w:sz w:val="32"/>
          <w:szCs w:val="32"/>
          <w:highlight w:val="none"/>
        </w:rPr>
      </w:pPr>
      <w:r>
        <w:rPr>
          <w:rFonts w:hint="eastAsia" w:ascii="宋体" w:hAnsi="宋体"/>
          <w:b/>
          <w:color w:val="auto"/>
          <w:sz w:val="32"/>
          <w:szCs w:val="32"/>
          <w:highlight w:val="none"/>
        </w:rPr>
        <w:t xml:space="preserve">残疾人福利性单位声明函</w:t>
      </w:r>
      <w:r/>
    </w:p>
    <w:p>
      <w:pPr>
        <w:ind w:firstLine="560"/>
        <w:spacing w:line="588" w:lineRule="exact"/>
        <w:rPr>
          <w:rFonts w:hint="eastAsia" w:ascii="宋体" w:hAnsi="宋体"/>
          <w:color w:val="auto"/>
          <w:sz w:val="28"/>
          <w:szCs w:val="28"/>
          <w:highlight w:val="none"/>
        </w:rPr>
      </w:pPr>
      <w:r>
        <w:rPr>
          <w:rFonts w:hint="eastAsia" w:ascii="宋体" w:hAnsi="宋体"/>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color w:val="auto"/>
          <w:sz w:val="28"/>
          <w:szCs w:val="28"/>
          <w:highlight w:val="none"/>
        </w:rPr>
      </w:pPr>
      <w:r>
        <w:rPr>
          <w:rFonts w:hint="eastAsia" w:ascii="宋体" w:hAnsi="宋体"/>
          <w:color w:val="auto"/>
          <w:sz w:val="28"/>
          <w:szCs w:val="28"/>
          <w:highlight w:val="none"/>
        </w:rPr>
        <w:t xml:space="preserve">本单位对上述声明的真实性负责。如有虚假，将依法承担相应责任。</w:t>
      </w:r>
      <w:r/>
    </w:p>
    <w:p>
      <w:pPr>
        <w:ind w:firstLine="560"/>
        <w:spacing w:line="588"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spacing w:line="588"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spacing w:line="588"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spacing w:line="588" w:lineRule="exact"/>
        <w:rPr>
          <w:rFonts w:hint="eastAsia" w:ascii="宋体" w:hAnsi="宋体"/>
          <w:color w:val="auto"/>
          <w:sz w:val="28"/>
          <w:szCs w:val="28"/>
          <w:highlight w:val="none"/>
        </w:rPr>
      </w:pPr>
      <w:r>
        <w:rPr>
          <w:rFonts w:hint="eastAsia" w:ascii="宋体" w:hAnsi="宋体"/>
          <w:color w:val="auto"/>
          <w:sz w:val="28"/>
          <w:szCs w:val="28"/>
          <w:highlight w:val="none"/>
        </w:rPr>
      </w:r>
      <w:r/>
    </w:p>
    <w:p>
      <w:pPr>
        <w:spacing w:line="30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t xml:space="preserve">注：1、供应商如不提供此声明函，价格将不做相应扣除。</w:t>
      </w:r>
      <w:r/>
    </w:p>
    <w:p>
      <w:pPr>
        <w:ind w:firstLine="560"/>
        <w:spacing w:line="588" w:lineRule="exact"/>
        <w:rPr>
          <w:rFonts w:hint="eastAsia" w:ascii="宋体" w:hAnsi="宋体"/>
          <w:color w:val="auto"/>
          <w:spacing w:val="6"/>
          <w:sz w:val="28"/>
          <w:szCs w:val="28"/>
          <w:highlight w:val="none"/>
        </w:rPr>
      </w:pPr>
      <w:r>
        <w:rPr>
          <w:rFonts w:hint="eastAsia" w:ascii="宋体" w:hAnsi="宋体" w:cs="宋体"/>
          <w:color w:val="auto"/>
          <w:sz w:val="28"/>
          <w:szCs w:val="28"/>
          <w:highlight w:val="none"/>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宋体" w:hAnsi="宋体"/>
          <w:color w:val="auto"/>
          <w:spacing w:val="6"/>
          <w:sz w:val="28"/>
          <w:szCs w:val="28"/>
          <w:highlight w:val="none"/>
        </w:rPr>
      </w:pPr>
      <w:r>
        <w:rPr>
          <w:rFonts w:ascii="宋体" w:hAnsi="宋体"/>
          <w:color w:val="auto"/>
          <w:spacing w:val="6"/>
          <w:sz w:val="28"/>
          <w:szCs w:val="28"/>
          <w:highlight w:val="none"/>
        </w:rPr>
      </w:r>
      <w:r/>
    </w:p>
    <w:p>
      <w:pPr>
        <w:ind w:right="1560" w:firstLine="584"/>
        <w:jc w:val="center"/>
        <w:spacing w:line="588" w:lineRule="exact"/>
        <w:tabs>
          <w:tab w:val="left" w:pos="4860" w:leader="none"/>
        </w:tabs>
        <w:rPr>
          <w:rFonts w:ascii="宋体" w:hAnsi="宋体"/>
          <w:color w:val="auto"/>
          <w:sz w:val="28"/>
          <w:szCs w:val="28"/>
          <w:highlight w:val="none"/>
        </w:rPr>
      </w:pPr>
      <w:r>
        <w:rPr>
          <w:rFonts w:hint="eastAsia" w:ascii="宋体" w:hAnsi="宋体"/>
          <w:color w:val="auto"/>
          <w:spacing w:val="6"/>
          <w:sz w:val="28"/>
          <w:szCs w:val="28"/>
          <w:highlight w:val="none"/>
        </w:rPr>
        <w:t xml:space="preserve">             </w:t>
      </w:r>
      <w:r>
        <w:rPr>
          <w:rFonts w:hint="eastAsia" w:ascii="宋体" w:hAnsi="宋体"/>
          <w:color w:val="auto"/>
          <w:sz w:val="28"/>
          <w:szCs w:val="28"/>
          <w:highlight w:val="none"/>
        </w:rPr>
        <w:t xml:space="preserve">           供应商全称（盖章）：</w:t>
      </w:r>
      <w:r/>
    </w:p>
    <w:p>
      <w:pPr>
        <w:ind w:right="1560" w:firstLine="560"/>
        <w:jc w:val="center"/>
        <w:spacing w:line="588" w:lineRule="exact"/>
        <w:tabs>
          <w:tab w:val="left" w:pos="4860" w:leader="none"/>
        </w:tabs>
        <w:rPr>
          <w:rFonts w:ascii="宋体" w:hAnsi="宋体"/>
          <w:color w:val="auto"/>
          <w:sz w:val="28"/>
          <w:szCs w:val="28"/>
          <w:highlight w:val="none"/>
        </w:rPr>
      </w:pPr>
      <w:r>
        <w:rPr>
          <w:rFonts w:hint="eastAsia" w:ascii="宋体" w:hAnsi="宋体"/>
          <w:color w:val="auto"/>
          <w:sz w:val="28"/>
          <w:szCs w:val="28"/>
          <w:highlight w:val="none"/>
        </w:rPr>
        <w:t xml:space="preserve">              日  期：</w:t>
      </w:r>
      <w:r/>
    </w:p>
    <w:p>
      <w:pPr>
        <w:jc w:val="both"/>
        <w:spacing w:line="560" w:lineRule="exact"/>
        <w:rPr>
          <w:rFonts w:ascii="宋体" w:hAnsi="宋体"/>
          <w:bCs/>
          <w:color w:val="auto"/>
          <w:sz w:val="24"/>
          <w:szCs w:val="21"/>
          <w:highlight w:val="none"/>
        </w:rPr>
      </w:pPr>
      <w:r>
        <w:rPr>
          <w:rFonts w:ascii="宋体" w:hAnsi="宋体"/>
          <w:bCs/>
          <w:color w:val="auto"/>
          <w:sz w:val="24"/>
          <w:szCs w:val="21"/>
          <w:highlight w:val="none"/>
        </w:rPr>
      </w:r>
      <w:r/>
    </w:p>
    <w:p>
      <w:pPr>
        <w:spacing w:line="300" w:lineRule="auto"/>
        <w:rPr>
          <w:rFonts w:hint="eastAsia" w:ascii="宋体" w:hAnsi="宋体"/>
          <w:color w:val="auto"/>
          <w:sz w:val="32"/>
          <w:szCs w:val="32"/>
          <w:highlight w:val="none"/>
          <w:lang w:val="zh-CN"/>
        </w:rPr>
        <w:outlineLvl w:val="0"/>
      </w:pPr>
      <w:r>
        <w:rPr>
          <w:rFonts w:hint="eastAsia" w:ascii="宋体" w:hAnsi="宋体"/>
          <w:color w:val="auto"/>
          <w:sz w:val="32"/>
          <w:szCs w:val="32"/>
          <w:highlight w:val="none"/>
          <w:lang w:val="zh-CN"/>
        </w:rPr>
      </w:r>
      <w:r/>
    </w:p>
    <w:p>
      <w:pPr>
        <w:spacing w:line="300" w:lineRule="auto"/>
        <w:rPr>
          <w:rFonts w:hint="eastAsia" w:ascii="宋体" w:hAnsi="宋体"/>
          <w:color w:val="auto"/>
          <w:sz w:val="32"/>
          <w:szCs w:val="32"/>
          <w:highlight w:val="none"/>
          <w:lang w:val="zh-CN"/>
        </w:rPr>
        <w:outlineLvl w:val="0"/>
      </w:pPr>
      <w:r>
        <w:rPr>
          <w:rFonts w:hint="eastAsia" w:ascii="宋体" w:hAnsi="宋体"/>
          <w:color w:val="auto"/>
          <w:sz w:val="32"/>
          <w:szCs w:val="32"/>
          <w:highlight w:val="none"/>
          <w:lang w:val="zh-CN"/>
        </w:rPr>
      </w:r>
      <w:r/>
    </w:p>
    <w:p>
      <w:pPr>
        <w:spacing w:line="300" w:lineRule="auto"/>
        <w:rPr>
          <w:rFonts w:ascii="宋体" w:hAnsi="宋体"/>
          <w:color w:val="auto"/>
          <w:sz w:val="32"/>
          <w:szCs w:val="32"/>
          <w:highlight w:val="none"/>
        </w:rPr>
        <w:outlineLvl w:val="0"/>
      </w:pPr>
      <w:r>
        <w:rPr>
          <w:rFonts w:hint="eastAsia" w:ascii="宋体" w:hAnsi="宋体"/>
          <w:color w:val="auto"/>
          <w:sz w:val="32"/>
          <w:szCs w:val="32"/>
          <w:highlight w:val="none"/>
          <w:lang w:val="zh-CN"/>
        </w:rPr>
        <w:t xml:space="preserve">附件13</w:t>
      </w:r>
      <w:r/>
    </w:p>
    <w:p>
      <w:pPr>
        <w:jc w:val="center"/>
        <w:spacing w:line="420" w:lineRule="exact"/>
        <w:rPr>
          <w:rFonts w:ascii="宋体" w:hAnsi="宋体"/>
          <w:b/>
          <w:bCs/>
          <w:color w:val="auto"/>
          <w:sz w:val="32"/>
          <w:szCs w:val="32"/>
          <w:highlight w:val="none"/>
        </w:rPr>
        <w:outlineLvl w:val="3"/>
      </w:pPr>
      <w:r>
        <w:rPr>
          <w:rFonts w:hint="eastAsia" w:ascii="宋体" w:hAnsi="宋体"/>
          <w:b/>
          <w:bCs/>
          <w:color w:val="auto"/>
          <w:sz w:val="32"/>
          <w:szCs w:val="32"/>
          <w:highlight w:val="none"/>
        </w:rPr>
        <w:t xml:space="preserve">监狱和戒毒企业证明材料</w:t>
      </w:r>
      <w:r/>
    </w:p>
    <w:p>
      <w:pPr>
        <w:ind w:firstLine="496"/>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98"/>
        <w:spacing w:line="42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（格式自拟）</w:t>
      </w:r>
      <w:r/>
    </w:p>
    <w:p>
      <w:pPr>
        <w:ind w:firstLine="496"/>
        <w:spacing w:line="4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661"/>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color w:val="auto"/>
          <w:sz w:val="28"/>
          <w:szCs w:val="28"/>
          <w:highlight w:val="none"/>
        </w:rPr>
        <w:outlineLvl w:val="0"/>
      </w:pPr>
      <w:r>
        <w:rPr>
          <w:rFonts w:hint="eastAsia" w:ascii="宋体" w:hAnsi="宋体"/>
          <w:color w:val="auto"/>
          <w:sz w:val="28"/>
          <w:szCs w:val="28"/>
          <w:highlight w:val="none"/>
        </w:rPr>
      </w:r>
      <w:r/>
    </w:p>
    <w:p>
      <w:pPr>
        <w:spacing w:line="300" w:lineRule="auto"/>
        <w:rPr>
          <w:rFonts w:hint="eastAsia" w:ascii="宋体" w:hAnsi="宋体"/>
          <w:color w:val="auto"/>
          <w:sz w:val="28"/>
          <w:szCs w:val="28"/>
          <w:highlight w:val="none"/>
        </w:rPr>
        <w:outlineLvl w:val="0"/>
      </w:pPr>
      <w:r>
        <w:rPr>
          <w:rFonts w:hint="eastAsia" w:ascii="宋体" w:hAnsi="宋体"/>
          <w:color w:val="auto"/>
          <w:sz w:val="28"/>
          <w:szCs w:val="28"/>
          <w:highlight w:val="none"/>
        </w:rPr>
      </w:r>
      <w:r/>
    </w:p>
    <w:p>
      <w:pPr>
        <w:spacing w:line="300" w:lineRule="auto"/>
        <w:rPr>
          <w:rFonts w:hint="eastAsia" w:ascii="宋体" w:hAnsi="宋体"/>
          <w:color w:val="auto"/>
          <w:sz w:val="28"/>
          <w:szCs w:val="28"/>
          <w:highlight w:val="none"/>
        </w:rPr>
        <w:outlineLvl w:val="0"/>
      </w:pPr>
      <w:r>
        <w:rPr>
          <w:rFonts w:hint="eastAsia" w:ascii="宋体" w:hAnsi="宋体"/>
          <w:color w:val="auto"/>
          <w:sz w:val="28"/>
          <w:szCs w:val="28"/>
          <w:highlight w:val="none"/>
        </w:rPr>
      </w:r>
      <w:r/>
    </w:p>
    <w:p>
      <w:pPr>
        <w:spacing w:line="300" w:lineRule="auto"/>
        <w:rPr>
          <w:rFonts w:hint="eastAsia" w:ascii="宋体" w:hAnsi="宋体"/>
          <w:color w:val="auto"/>
          <w:sz w:val="28"/>
          <w:szCs w:val="28"/>
          <w:highlight w:val="none"/>
        </w:rPr>
        <w:outlineLvl w:val="0"/>
      </w:pPr>
      <w:r>
        <w:rPr>
          <w:rFonts w:hint="eastAsia" w:ascii="宋体" w:hAnsi="宋体"/>
          <w:color w:val="auto"/>
          <w:sz w:val="28"/>
          <w:szCs w:val="28"/>
          <w:highlight w:val="none"/>
        </w:rPr>
      </w:r>
      <w:r/>
    </w:p>
    <w:p>
      <w:pPr>
        <w:spacing w:line="300" w:lineRule="auto"/>
        <w:rPr>
          <w:rFonts w:hint="eastAsia" w:ascii="宋体" w:hAnsi="宋体"/>
          <w:color w:val="auto"/>
          <w:sz w:val="28"/>
          <w:szCs w:val="28"/>
          <w:highlight w:val="none"/>
        </w:rPr>
        <w:outlineLvl w:val="0"/>
      </w:pPr>
      <w:r>
        <w:rPr>
          <w:rFonts w:hint="eastAsia" w:ascii="宋体" w:hAnsi="宋体"/>
          <w:color w:val="auto"/>
          <w:sz w:val="28"/>
          <w:szCs w:val="28"/>
          <w:highlight w:val="none"/>
        </w:rPr>
      </w:r>
      <w:r/>
    </w:p>
    <w:p>
      <w:pPr>
        <w:spacing w:line="300" w:lineRule="auto"/>
        <w:rPr>
          <w:rFonts w:hint="eastAsia" w:ascii="宋体" w:hAnsi="宋体"/>
          <w:color w:val="auto"/>
          <w:sz w:val="28"/>
          <w:szCs w:val="28"/>
          <w:highlight w:val="none"/>
        </w:rPr>
        <w:outlineLvl w:val="0"/>
      </w:pPr>
      <w:r>
        <w:rPr>
          <w:rFonts w:hint="eastAsia" w:ascii="宋体" w:hAnsi="宋体"/>
          <w:color w:val="auto"/>
          <w:sz w:val="28"/>
          <w:szCs w:val="28"/>
          <w:highlight w:val="none"/>
        </w:rPr>
      </w:r>
      <w:r/>
    </w:p>
    <w:p>
      <w:pPr>
        <w:spacing w:line="300" w:lineRule="auto"/>
        <w:rPr>
          <w:rFonts w:hint="eastAsia" w:ascii="宋体" w:hAnsi="宋体"/>
          <w:color w:val="auto"/>
          <w:sz w:val="28"/>
          <w:szCs w:val="28"/>
          <w:highlight w:val="none"/>
        </w:rPr>
        <w:outlineLvl w:val="0"/>
      </w:pPr>
      <w:r>
        <w:rPr>
          <w:rFonts w:hint="eastAsia" w:ascii="宋体" w:hAnsi="宋体"/>
          <w:color w:val="auto"/>
          <w:sz w:val="28"/>
          <w:szCs w:val="28"/>
          <w:highlight w:val="none"/>
        </w:rPr>
        <w:t xml:space="preserve">注：1、供应商如不提供此声明函，价格将不做相应扣除。</w:t>
      </w:r>
      <w:r/>
    </w:p>
    <w:p>
      <w:pPr>
        <w:ind w:firstLine="560"/>
        <w:spacing w:line="300" w:lineRule="auto"/>
        <w:rPr>
          <w:rFonts w:hint="eastAsia" w:ascii="宋体" w:hAnsi="宋体"/>
          <w:color w:val="auto"/>
          <w:sz w:val="28"/>
          <w:szCs w:val="28"/>
          <w:highlight w:val="none"/>
        </w:rPr>
        <w:outlineLvl w:val="0"/>
      </w:pPr>
      <w:r>
        <w:rPr>
          <w:rFonts w:hint="eastAsia" w:ascii="宋体" w:hAnsi="宋体"/>
          <w:color w:val="auto"/>
          <w:sz w:val="28"/>
          <w:szCs w:val="28"/>
          <w:highlight w:val="none"/>
        </w:rPr>
        <w:t xml:space="preserve">2、成交供应商为监狱企业的，此声明函将随成交结果同时公告，</w:t>
      </w:r>
      <w:r/>
    </w:p>
    <w:p>
      <w:pPr>
        <w:spacing w:line="300" w:lineRule="auto"/>
        <w:rPr>
          <w:rFonts w:hint="eastAsia" w:ascii="宋体" w:hAnsi="宋体"/>
          <w:color w:val="auto"/>
          <w:sz w:val="28"/>
          <w:szCs w:val="28"/>
          <w:highlight w:val="none"/>
        </w:rPr>
        <w:outlineLvl w:val="0"/>
      </w:pPr>
      <w:r>
        <w:rPr>
          <w:rFonts w:hint="eastAsia" w:ascii="宋体" w:hAnsi="宋体"/>
          <w:color w:val="auto"/>
          <w:sz w:val="28"/>
          <w:szCs w:val="28"/>
          <w:highlight w:val="none"/>
        </w:rPr>
        <w:t xml:space="preserve">接受社会监督。供应商按照本办法规定提供声明函内容不实的，属于</w:t>
      </w:r>
      <w:r/>
    </w:p>
    <w:p>
      <w:pPr>
        <w:spacing w:line="300" w:lineRule="auto"/>
        <w:rPr>
          <w:rFonts w:hint="eastAsia" w:ascii="宋体" w:hAnsi="宋体"/>
          <w:color w:val="auto"/>
          <w:sz w:val="28"/>
          <w:szCs w:val="28"/>
          <w:highlight w:val="none"/>
        </w:rPr>
        <w:outlineLvl w:val="0"/>
      </w:pPr>
      <w:r>
        <w:rPr>
          <w:rFonts w:hint="eastAsia" w:ascii="宋体" w:hAnsi="宋体"/>
          <w:color w:val="auto"/>
          <w:sz w:val="28"/>
          <w:szCs w:val="28"/>
          <w:highlight w:val="none"/>
        </w:rPr>
        <w:t xml:space="preserve">提供虚假材料谋取中标、成交，依照《中华人民共和国政府采购法》</w:t>
      </w:r>
      <w:r/>
    </w:p>
    <w:p>
      <w:pPr>
        <w:spacing w:line="300" w:lineRule="auto"/>
        <w:rPr>
          <w:rFonts w:hint="eastAsia" w:ascii="宋体" w:hAnsi="宋体"/>
          <w:color w:val="auto"/>
          <w:sz w:val="28"/>
          <w:szCs w:val="28"/>
          <w:highlight w:val="none"/>
        </w:rPr>
        <w:outlineLvl w:val="0"/>
      </w:pPr>
      <w:r>
        <w:rPr>
          <w:rFonts w:hint="eastAsia" w:ascii="宋体" w:hAnsi="宋体"/>
          <w:color w:val="auto"/>
          <w:sz w:val="28"/>
          <w:szCs w:val="28"/>
          <w:highlight w:val="none"/>
        </w:rPr>
        <w:t xml:space="preserve">等国家有关规定追究相应责任。</w:t>
      </w:r>
      <w:r/>
    </w:p>
    <w:p>
      <w:pPr>
        <w:spacing w:line="300" w:lineRule="auto"/>
        <w:rPr>
          <w:rFonts w:hint="eastAsia" w:ascii="宋体" w:hAnsi="宋体"/>
          <w:color w:val="auto"/>
          <w:sz w:val="28"/>
          <w:szCs w:val="28"/>
          <w:highlight w:val="none"/>
        </w:rPr>
        <w:outlineLvl w:val="0"/>
      </w:pPr>
      <w:r>
        <w:rPr>
          <w:rFonts w:hint="eastAsia" w:ascii="宋体" w:hAnsi="宋体"/>
          <w:color w:val="auto"/>
          <w:sz w:val="28"/>
          <w:szCs w:val="28"/>
          <w:highlight w:val="none"/>
        </w:rPr>
      </w:r>
      <w:r/>
    </w:p>
    <w:p>
      <w:pPr>
        <w:ind w:firstLine="360"/>
        <w:spacing w:line="560" w:lineRule="exact"/>
        <w:rPr>
          <w:rFonts w:hint="eastAsia" w:ascii="宋体" w:hAnsi="宋体"/>
          <w:color w:val="auto"/>
          <w:sz w:val="36"/>
          <w:szCs w:val="36"/>
          <w:highlight w:val="none"/>
        </w:rPr>
      </w:pPr>
      <w:r>
        <w:rPr>
          <w:rFonts w:hint="eastAsia" w:ascii="宋体" w:hAnsi="宋体"/>
          <w:color w:val="auto"/>
          <w:sz w:val="36"/>
          <w:szCs w:val="36"/>
          <w:highlight w:val="none"/>
        </w:rPr>
      </w:r>
      <w:r/>
    </w:p>
    <w:p>
      <w:pPr>
        <w:spacing w:line="300" w:lineRule="auto"/>
        <w:rPr>
          <w:rFonts w:hint="eastAsia" w:ascii="宋体" w:hAnsi="宋体"/>
          <w:color w:val="auto"/>
          <w:sz w:val="32"/>
          <w:szCs w:val="32"/>
          <w:highlight w:val="none"/>
        </w:rPr>
        <w:outlineLvl w:val="0"/>
      </w:pPr>
      <w:r>
        <w:rPr>
          <w:rFonts w:ascii="宋体" w:hAnsi="宋体"/>
          <w:b/>
          <w:color w:val="auto"/>
          <w:sz w:val="32"/>
          <w:szCs w:val="32"/>
          <w:highlight w:val="none"/>
        </w:rPr>
        <w:br w:type="page" w:clear="all"/>
      </w:r>
      <w:r>
        <w:rPr>
          <w:rFonts w:hint="eastAsia" w:ascii="宋体" w:hAnsi="宋体"/>
          <w:color w:val="auto"/>
          <w:sz w:val="32"/>
          <w:szCs w:val="32"/>
          <w:highlight w:val="none"/>
          <w:lang w:val="zh-CN"/>
        </w:rPr>
        <w:t xml:space="preserve">附件14</w:t>
      </w:r>
      <w:r/>
    </w:p>
    <w:p>
      <w:pPr>
        <w:jc w:val="center"/>
        <w:spacing w:line="520" w:lineRule="exact"/>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spacing w:line="520" w:lineRule="exact"/>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520" w:lineRule="exact"/>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520" w:lineRule="exact"/>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520" w:lineRule="exact"/>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520" w:lineRule="exact"/>
        <w:rPr>
          <w:rFonts w:hint="eastAsia" w:ascii="宋体" w:hAnsi="宋体"/>
          <w:b/>
          <w:color w:val="auto"/>
          <w:sz w:val="24"/>
          <w:szCs w:val="24"/>
          <w:highlight w:val="none"/>
        </w:rPr>
      </w:pPr>
      <w:r>
        <w:rPr>
          <w:rFonts w:hint="eastAsia" w:ascii="宋体" w:hAnsi="宋体"/>
          <w:b/>
          <w:color w:val="auto"/>
          <w:sz w:val="24"/>
          <w:szCs w:val="24"/>
          <w:highlight w:val="none"/>
        </w:rPr>
      </w:r>
      <w:r/>
    </w:p>
    <w:p>
      <w:pPr>
        <w:spacing w:line="52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52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bookmarkEnd w:id="181"/>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00" w:lineRule="auto"/>
        <w:rPr>
          <w:rFonts w:hint="eastAsia" w:ascii="宋体" w:hAnsi="宋体"/>
          <w:color w:val="auto"/>
          <w:sz w:val="32"/>
          <w:szCs w:val="32"/>
          <w:highlight w:val="none"/>
          <w:lang w:val="zh-CN"/>
        </w:rPr>
        <w:outlineLvl w:val="0"/>
      </w:pPr>
      <w:r>
        <w:rPr>
          <w:rFonts w:hint="eastAsia" w:ascii="宋体" w:hAnsi="宋体"/>
          <w:color w:val="auto"/>
          <w:sz w:val="32"/>
          <w:szCs w:val="32"/>
          <w:highlight w:val="none"/>
          <w:lang w:val="zh-CN"/>
        </w:rPr>
      </w:r>
      <w:r/>
    </w:p>
    <w:p>
      <w:pPr>
        <w:spacing w:line="300" w:lineRule="auto"/>
        <w:rPr>
          <w:rFonts w:hint="eastAsia" w:ascii="宋体" w:hAnsi="宋体"/>
          <w:b/>
          <w:color w:val="auto"/>
          <w:sz w:val="32"/>
          <w:szCs w:val="32"/>
          <w:highlight w:val="none"/>
        </w:rPr>
        <w:outlineLvl w:val="0"/>
      </w:pPr>
      <w:r>
        <w:rPr>
          <w:rFonts w:hint="eastAsia" w:ascii="宋体" w:hAnsi="宋体"/>
          <w:color w:val="auto"/>
          <w:sz w:val="32"/>
          <w:szCs w:val="32"/>
          <w:highlight w:val="none"/>
          <w:lang w:val="zh-CN"/>
        </w:rPr>
        <w:t xml:space="preserve">附件15</w:t>
      </w:r>
      <w:r/>
    </w:p>
    <w:p>
      <w:pPr>
        <w:jc w:val="center"/>
        <w:spacing w:line="580" w:lineRule="exact"/>
        <w:rPr>
          <w:rFonts w:ascii="宋体" w:hAnsi="宋体"/>
          <w:color w:val="auto"/>
          <w:sz w:val="44"/>
          <w:highlight w:val="none"/>
        </w:rPr>
      </w:pPr>
      <w:r>
        <w:rPr>
          <w:rFonts w:hint="eastAsia" w:ascii="宋体" w:hAnsi="宋体"/>
          <w:bCs/>
          <w:color w:val="auto"/>
          <w:sz w:val="44"/>
          <w:szCs w:val="44"/>
          <w:highlight w:val="none"/>
        </w:rPr>
        <w:t xml:space="preserve">办理政采贷和</w:t>
      </w:r>
      <w:r>
        <w:rPr>
          <w:rFonts w:ascii="宋体" w:hAnsi="宋体"/>
          <w:bCs/>
          <w:color w:val="auto"/>
          <w:sz w:val="44"/>
          <w:szCs w:val="44"/>
          <w:highlight w:val="none"/>
        </w:rPr>
        <w:t xml:space="preserve">履</w:t>
      </w:r>
      <w:r>
        <w:rPr>
          <w:rFonts w:hint="eastAsia" w:ascii="宋体" w:hAnsi="宋体"/>
          <w:bCs/>
          <w:color w:val="auto"/>
          <w:sz w:val="44"/>
          <w:szCs w:val="44"/>
          <w:highlight w:val="none"/>
        </w:rPr>
        <w:t xml:space="preserve">约保函（</w:t>
      </w:r>
      <w:r>
        <w:rPr>
          <w:rFonts w:ascii="宋体" w:hAnsi="宋体"/>
          <w:bCs/>
          <w:color w:val="auto"/>
          <w:sz w:val="44"/>
          <w:szCs w:val="44"/>
          <w:highlight w:val="none"/>
        </w:rPr>
        <w:t xml:space="preserve">保险</w:t>
      </w:r>
      <w:r>
        <w:rPr>
          <w:rFonts w:hint="eastAsia" w:ascii="宋体" w:hAnsi="宋体"/>
          <w:bCs/>
          <w:color w:val="auto"/>
          <w:sz w:val="44"/>
          <w:szCs w:val="44"/>
          <w:highlight w:val="none"/>
        </w:rPr>
        <w:t xml:space="preserve">）告知函</w:t>
      </w:r>
      <w:r/>
    </w:p>
    <w:p>
      <w:pPr>
        <w:rPr>
          <w:rFonts w:ascii="宋体" w:hAnsi="宋体"/>
          <w:color w:val="auto"/>
          <w:sz w:val="32"/>
          <w:highlight w:val="none"/>
        </w:rPr>
      </w:pPr>
      <w:r>
        <w:rPr>
          <w:rFonts w:ascii="宋体" w:hAnsi="宋体"/>
          <w:color w:val="auto"/>
          <w:sz w:val="32"/>
          <w:highlight w:val="none"/>
        </w:rPr>
      </w:r>
      <w:r/>
    </w:p>
    <w:p>
      <w:pPr>
        <w:rPr>
          <w:rFonts w:ascii="宋体" w:hAnsi="宋体"/>
          <w:color w:val="auto"/>
          <w:sz w:val="32"/>
          <w:highlight w:val="none"/>
        </w:rPr>
      </w:pPr>
      <w:r>
        <w:rPr>
          <w:rFonts w:hint="eastAsia" w:ascii="宋体" w:hAnsi="宋体"/>
          <w:color w:val="auto"/>
          <w:sz w:val="32"/>
          <w:highlight w:val="none"/>
        </w:rPr>
        <w:t xml:space="preserve">各政府采购供应商：</w:t>
      </w:r>
      <w:r/>
    </w:p>
    <w:p>
      <w:pPr>
        <w:ind w:firstLine="640"/>
        <w:rPr>
          <w:rFonts w:ascii="宋体" w:hAnsi="宋体"/>
          <w:color w:val="auto"/>
          <w:sz w:val="32"/>
          <w:highlight w:val="none"/>
        </w:rPr>
      </w:pPr>
      <w:r>
        <w:rPr>
          <w:rFonts w:hint="eastAsia" w:ascii="宋体" w:hAnsi="宋体"/>
          <w:color w:val="auto"/>
          <w:sz w:val="32"/>
          <w:highlight w:val="none"/>
        </w:rPr>
        <w:t xml:space="preserve">欢迎贵公司参与南通市政府采购活动！</w:t>
      </w:r>
      <w:r/>
    </w:p>
    <w:p>
      <w:pPr>
        <w:ind w:firstLine="640"/>
        <w:rPr>
          <w:rFonts w:ascii="宋体" w:hAnsi="宋体"/>
          <w:color w:val="auto"/>
          <w:sz w:val="32"/>
          <w:highlight w:val="none"/>
        </w:rPr>
      </w:pPr>
      <w:r>
        <w:rPr>
          <w:rFonts w:hint="eastAsia" w:ascii="宋体" w:hAnsi="宋体"/>
          <w:color w:val="auto"/>
          <w:sz w:val="32"/>
          <w:highlight w:val="none"/>
        </w:rPr>
        <w:t xml:space="preserve">政府采购线上合同信用融资和</w:t>
      </w:r>
      <w:r>
        <w:rPr>
          <w:rFonts w:ascii="宋体" w:hAnsi="宋体"/>
          <w:color w:val="auto"/>
          <w:sz w:val="32"/>
          <w:highlight w:val="none"/>
        </w:rPr>
        <w:t xml:space="preserve">履</w:t>
      </w:r>
      <w:r>
        <w:rPr>
          <w:rFonts w:hint="eastAsia" w:ascii="宋体" w:hAnsi="宋体"/>
          <w:color w:val="auto"/>
          <w:sz w:val="32"/>
          <w:highlight w:val="none"/>
        </w:rPr>
        <w:t xml:space="preserve">约保函（</w:t>
      </w:r>
      <w:r>
        <w:rPr>
          <w:rFonts w:ascii="宋体" w:hAnsi="宋体"/>
          <w:color w:val="auto"/>
          <w:sz w:val="32"/>
          <w:highlight w:val="none"/>
        </w:rPr>
        <w:t xml:space="preserve">保险</w:t>
      </w:r>
      <w:r>
        <w:rPr>
          <w:rFonts w:hint="eastAsia" w:ascii="宋体" w:hAnsi="宋体"/>
          <w:color w:val="auto"/>
          <w:sz w:val="32"/>
          <w:highlight w:val="none"/>
        </w:rPr>
        <w:t xml:space="preserve">）是支持企业发展，针对参与政府采购活动的企业融资难、现金流不足等问题推出的一项服务举措。</w:t>
      </w:r>
      <w:r/>
    </w:p>
    <w:p>
      <w:pPr>
        <w:ind w:firstLine="640"/>
        <w:spacing w:line="580" w:lineRule="exact"/>
        <w:rPr>
          <w:rFonts w:hint="eastAsia"/>
          <w:color w:val="auto"/>
          <w:highlight w:val="none"/>
        </w:rPr>
        <w:sectPr>
          <w:footnotePr/>
          <w:endnotePr/>
          <w:type w:val="nextPage"/>
          <w:pgSz w:w="11906" w:h="16838" w:orient="portrait"/>
          <w:pgMar w:top="1418" w:right="1588" w:bottom="1418" w:left="1365" w:header="851" w:footer="907" w:gutter="0"/>
          <w:pgNumType w:start="0"/>
          <w:cols w:num="1" w:sep="0" w:space="1701" w:equalWidth="1"/>
          <w:docGrid w:linePitch="360"/>
          <w:titlePg/>
        </w:sectPr>
      </w:pPr>
      <w:r>
        <w:rPr>
          <w:rFonts w:hint="eastAsia" w:ascii="宋体" w:hAnsi="宋体"/>
          <w:color w:val="auto"/>
          <w:sz w:val="32"/>
          <w:highlight w:val="none"/>
        </w:rPr>
        <w:t xml:space="preserve">贵公司若成为本次政府采购项目的中标（成交）供应商，</w:t>
      </w:r>
      <w:r>
        <w:rPr>
          <w:rFonts w:hint="eastAsia" w:ascii="宋体" w:hAnsi="宋体"/>
          <w:color w:val="auto"/>
          <w:sz w:val="32"/>
          <w:szCs w:val="32"/>
          <w:highlight w:val="none"/>
        </w:rPr>
        <w:t xml:space="preserve">可自愿选择</w:t>
      </w:r>
      <w:r>
        <w:rPr>
          <w:rFonts w:ascii="宋体" w:hAnsi="宋体"/>
          <w:color w:val="auto"/>
          <w:sz w:val="32"/>
          <w:highlight w:val="none"/>
        </w:rPr>
        <w:t xml:space="preserve">履</w:t>
      </w:r>
      <w:r>
        <w:rPr>
          <w:rFonts w:hint="eastAsia" w:ascii="宋体" w:hAnsi="宋体"/>
          <w:color w:val="auto"/>
          <w:sz w:val="32"/>
          <w:highlight w:val="none"/>
        </w:rPr>
        <w:t xml:space="preserve">约保函（</w:t>
      </w:r>
      <w:r>
        <w:rPr>
          <w:rFonts w:ascii="宋体" w:hAnsi="宋体"/>
          <w:color w:val="auto"/>
          <w:sz w:val="32"/>
          <w:highlight w:val="none"/>
        </w:rPr>
        <w:t xml:space="preserve">保险</w:t>
      </w:r>
      <w:r>
        <w:rPr>
          <w:rFonts w:hint="eastAsia" w:ascii="宋体" w:hAnsi="宋体"/>
          <w:color w:val="auto"/>
          <w:sz w:val="32"/>
          <w:highlight w:val="none"/>
        </w:rPr>
        <w:t xml:space="preserve">）</w:t>
      </w:r>
      <w:r>
        <w:rPr>
          <w:rFonts w:hint="eastAsia" w:ascii="宋体" w:hAnsi="宋体"/>
          <w:color w:val="auto"/>
          <w:sz w:val="32"/>
          <w:szCs w:val="32"/>
          <w:highlight w:val="none"/>
        </w:rPr>
        <w:t xml:space="preserve">形式替代履约保证金，也</w:t>
      </w:r>
      <w:r>
        <w:rPr>
          <w:rFonts w:hint="eastAsia" w:ascii="宋体" w:hAnsi="宋体"/>
          <w:color w:val="auto"/>
          <w:sz w:val="32"/>
          <w:highlight w:val="none"/>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rPr>
          <w:color w:val="auto"/>
          <w:highlight w:val="none"/>
        </w:rPr>
      </w:pPr>
      <w:r>
        <w:rPr>
          <w:color w:val="auto"/>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金山简黑体">
    <w:panose1 w:val="020B0503020202020204"/>
  </w:font>
  <w:font w:name="Cambria">
    <w:panose1 w:val="02040503050406030204"/>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Saturday Sans Regular">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4"/>
    </w:pPr>
    <w:r/>
    <w:r/>
  </w:p>
  <w:p>
    <w:pPr>
      <w:pStyle w:val="664"/>
    </w:pPr>
    <w:r/>
    <w:r/>
  </w:p>
  <w:p>
    <w:pPr>
      <w:pStyle w:val="6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6"/>
    </w:pPr>
    <w:r/>
    <w:r/>
  </w:p>
  <w:p>
    <w:pPr>
      <w:pStyle w:val="666"/>
    </w:pPr>
    <w:r/>
    <w:r/>
  </w:p>
  <w:p>
    <w:pPr>
      <w:pStyle w:val="66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2" w:default="1">
    <w:name w:val="Normal"/>
    <w:next w:val="65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43">
    <w:name w:val="Heading 1"/>
    <w:basedOn w:val="642"/>
    <w:next w:val="642"/>
    <w:uiPriority w:val="9"/>
    <w:qFormat/>
    <w:pPr>
      <w:keepLines/>
      <w:keepNext/>
      <w:spacing w:before="480" w:after="200"/>
      <w:outlineLvl w:val="0"/>
    </w:pPr>
    <w:rPr>
      <w:rFonts w:ascii="Arial" w:hAnsi="Arial" w:eastAsia="Arial" w:cs="Arial"/>
      <w:sz w:val="40"/>
      <w:szCs w:val="40"/>
    </w:rPr>
  </w:style>
  <w:style w:type="paragraph" w:styleId="644">
    <w:name w:val="Heading 2"/>
    <w:basedOn w:val="642"/>
    <w:next w:val="642"/>
    <w:link w:val="682"/>
    <w:uiPriority w:val="9"/>
    <w:unhideWhenUsed/>
    <w:qFormat/>
    <w:pPr>
      <w:keepLines/>
      <w:keepNext/>
      <w:spacing w:before="360" w:after="200"/>
      <w:outlineLvl w:val="1"/>
    </w:pPr>
    <w:rPr>
      <w:rFonts w:ascii="Arial" w:hAnsi="Arial" w:eastAsia="Arial" w:cs="Arial"/>
      <w:sz w:val="34"/>
    </w:rPr>
  </w:style>
  <w:style w:type="paragraph" w:styleId="645">
    <w:name w:val="Heading 3"/>
    <w:basedOn w:val="642"/>
    <w:next w:val="642"/>
    <w:link w:val="683"/>
    <w:uiPriority w:val="9"/>
    <w:unhideWhenUsed/>
    <w:qFormat/>
    <w:pPr>
      <w:keepLines/>
      <w:keepNext/>
      <w:spacing w:before="320" w:after="200"/>
      <w:outlineLvl w:val="2"/>
    </w:pPr>
    <w:rPr>
      <w:rFonts w:ascii="Arial" w:hAnsi="Arial" w:eastAsia="Arial" w:cs="Arial"/>
      <w:sz w:val="30"/>
      <w:szCs w:val="30"/>
    </w:rPr>
  </w:style>
  <w:style w:type="paragraph" w:styleId="646">
    <w:name w:val="Heading 4"/>
    <w:basedOn w:val="642"/>
    <w:next w:val="642"/>
    <w:link w:val="684"/>
    <w:uiPriority w:val="9"/>
    <w:unhideWhenUsed/>
    <w:qFormat/>
    <w:pPr>
      <w:keepLines/>
      <w:keepNext/>
      <w:spacing w:before="320" w:after="200"/>
      <w:outlineLvl w:val="3"/>
    </w:pPr>
    <w:rPr>
      <w:rFonts w:ascii="Arial" w:hAnsi="Arial" w:eastAsia="Arial" w:cs="Arial"/>
      <w:b/>
      <w:bCs/>
      <w:sz w:val="26"/>
      <w:szCs w:val="26"/>
    </w:rPr>
  </w:style>
  <w:style w:type="paragraph" w:styleId="647">
    <w:name w:val="Heading 5"/>
    <w:basedOn w:val="642"/>
    <w:next w:val="642"/>
    <w:link w:val="685"/>
    <w:uiPriority w:val="9"/>
    <w:unhideWhenUsed/>
    <w:qFormat/>
    <w:pPr>
      <w:keepLines/>
      <w:keepNext/>
      <w:spacing w:before="320" w:after="200"/>
      <w:outlineLvl w:val="4"/>
    </w:pPr>
    <w:rPr>
      <w:rFonts w:ascii="Arial" w:hAnsi="Arial" w:eastAsia="Arial" w:cs="Arial"/>
      <w:b/>
      <w:bCs/>
      <w:sz w:val="24"/>
      <w:szCs w:val="24"/>
    </w:rPr>
  </w:style>
  <w:style w:type="paragraph" w:styleId="648">
    <w:name w:val="Heading 6"/>
    <w:basedOn w:val="642"/>
    <w:next w:val="642"/>
    <w:link w:val="686"/>
    <w:uiPriority w:val="9"/>
    <w:unhideWhenUsed/>
    <w:qFormat/>
    <w:pPr>
      <w:keepLines/>
      <w:keepNext/>
      <w:spacing w:before="320" w:after="200"/>
      <w:outlineLvl w:val="5"/>
    </w:pPr>
    <w:rPr>
      <w:rFonts w:ascii="Arial" w:hAnsi="Arial" w:eastAsia="Arial" w:cs="Arial"/>
      <w:b/>
      <w:bCs/>
      <w:sz w:val="22"/>
      <w:szCs w:val="22"/>
    </w:rPr>
  </w:style>
  <w:style w:type="paragraph" w:styleId="649">
    <w:name w:val="Heading 7"/>
    <w:basedOn w:val="642"/>
    <w:next w:val="642"/>
    <w:link w:val="687"/>
    <w:uiPriority w:val="9"/>
    <w:unhideWhenUsed/>
    <w:qFormat/>
    <w:pPr>
      <w:keepLines/>
      <w:keepNext/>
      <w:spacing w:before="320" w:after="200"/>
      <w:outlineLvl w:val="6"/>
    </w:pPr>
    <w:rPr>
      <w:rFonts w:ascii="Arial" w:hAnsi="Arial" w:eastAsia="Arial" w:cs="Arial"/>
      <w:b/>
      <w:bCs/>
      <w:i/>
      <w:iCs/>
      <w:sz w:val="22"/>
      <w:szCs w:val="22"/>
    </w:rPr>
  </w:style>
  <w:style w:type="paragraph" w:styleId="650">
    <w:name w:val="Heading 8"/>
    <w:basedOn w:val="642"/>
    <w:next w:val="642"/>
    <w:link w:val="688"/>
    <w:uiPriority w:val="9"/>
    <w:unhideWhenUsed/>
    <w:qFormat/>
    <w:pPr>
      <w:keepLines/>
      <w:keepNext/>
      <w:spacing w:before="320" w:after="200"/>
      <w:outlineLvl w:val="7"/>
    </w:pPr>
    <w:rPr>
      <w:rFonts w:ascii="Arial" w:hAnsi="Arial" w:eastAsia="Arial" w:cs="Arial"/>
      <w:i/>
      <w:iCs/>
      <w:sz w:val="22"/>
      <w:szCs w:val="22"/>
    </w:rPr>
  </w:style>
  <w:style w:type="paragraph" w:styleId="651">
    <w:name w:val="Heading 9"/>
    <w:basedOn w:val="642"/>
    <w:next w:val="642"/>
    <w:link w:val="689"/>
    <w:uiPriority w:val="9"/>
    <w:unhideWhenUsed/>
    <w:qFormat/>
    <w:pPr>
      <w:keepLines/>
      <w:keepNext/>
      <w:spacing w:before="320" w:after="200"/>
      <w:outlineLvl w:val="8"/>
    </w:pPr>
    <w:rPr>
      <w:rFonts w:ascii="Arial" w:hAnsi="Arial" w:eastAsia="Arial" w:cs="Arial"/>
      <w:i/>
      <w:iCs/>
      <w:sz w:val="21"/>
      <w:szCs w:val="21"/>
    </w:rPr>
  </w:style>
  <w:style w:type="character" w:styleId="652" w:default="1">
    <w:name w:val="Default Paragraph Font"/>
    <w:uiPriority w:val="0"/>
    <w:semiHidden/>
    <w:qFormat/>
  </w:style>
  <w:style w:type="table" w:styleId="653" w:default="1">
    <w:name w:val="Normal Table"/>
    <w:uiPriority w:val="0"/>
    <w:semiHidden/>
    <w:qFormat/>
    <w:tblPr>
      <w:tblCellMar>
        <w:left w:w="108" w:type="dxa"/>
        <w:top w:w="0" w:type="dxa"/>
        <w:right w:w="108" w:type="dxa"/>
        <w:bottom w:w="0" w:type="dxa"/>
      </w:tblCellMar>
    </w:tblPr>
  </w:style>
  <w:style w:type="paragraph" w:styleId="654">
    <w:name w:val="Body Text"/>
    <w:basedOn w:val="642"/>
    <w:uiPriority w:val="99"/>
    <w:unhideWhenUsed/>
    <w:qFormat/>
    <w:pPr>
      <w:spacing w:after="120" w:afterAutospacing="0"/>
    </w:pPr>
  </w:style>
  <w:style w:type="paragraph" w:styleId="655">
    <w:name w:val="toc 7"/>
    <w:basedOn w:val="642"/>
    <w:next w:val="642"/>
    <w:uiPriority w:val="39"/>
    <w:unhideWhenUsed/>
    <w:qFormat/>
    <w:pPr>
      <w:ind w:left="1701" w:right="0" w:firstLine="0"/>
      <w:spacing w:after="57"/>
    </w:pPr>
  </w:style>
  <w:style w:type="paragraph" w:styleId="656">
    <w:name w:val="Normal Indent"/>
    <w:basedOn w:val="642"/>
    <w:next w:val="642"/>
    <w:uiPriority w:val="0"/>
    <w:qFormat/>
    <w:pPr>
      <w:ind w:firstLine="420"/>
    </w:pPr>
  </w:style>
  <w:style w:type="paragraph" w:styleId="657">
    <w:name w:val="Caption"/>
    <w:basedOn w:val="642"/>
    <w:next w:val="642"/>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58">
    <w:name w:val="Body Text Indent"/>
    <w:basedOn w:val="642"/>
    <w:next w:val="659"/>
    <w:uiPriority w:val="99"/>
    <w:unhideWhenUsed/>
    <w:qFormat/>
    <w:pPr>
      <w:jc w:val="left"/>
      <w:spacing w:before="100" w:beforeAutospacing="1" w:after="100" w:afterAutospacing="1"/>
      <w:shd w:val="clear" w:color="auto" w:fill="ffffff"/>
      <w:widowControl/>
    </w:pPr>
    <w:rPr>
      <w:rFonts w:ascii="Times New Roman" w:hAnsi="Times New Roman" w:cs="宋体"/>
      <w:sz w:val="18"/>
      <w:szCs w:val="18"/>
    </w:rPr>
  </w:style>
  <w:style w:type="paragraph" w:styleId="659">
    <w:name w:val="Body Text First Indent 2"/>
    <w:basedOn w:val="658"/>
    <w:uiPriority w:val="99"/>
    <w:qFormat/>
    <w:pPr>
      <w:ind w:left="0" w:firstLine="420"/>
      <w:spacing w:after="0" w:line="360" w:lineRule="auto"/>
    </w:pPr>
    <w:rPr>
      <w:rFonts w:ascii="宋体" w:hAnsi="宋体"/>
    </w:rPr>
  </w:style>
  <w:style w:type="paragraph" w:styleId="660">
    <w:name w:val="toc 5"/>
    <w:basedOn w:val="642"/>
    <w:next w:val="642"/>
    <w:uiPriority w:val="39"/>
    <w:unhideWhenUsed/>
    <w:qFormat/>
    <w:pPr>
      <w:ind w:left="1134" w:right="0" w:firstLine="0"/>
      <w:spacing w:after="57"/>
    </w:pPr>
  </w:style>
  <w:style w:type="paragraph" w:styleId="661">
    <w:name w:val="toc 3"/>
    <w:basedOn w:val="642"/>
    <w:next w:val="642"/>
    <w:uiPriority w:val="39"/>
    <w:unhideWhenUsed/>
    <w:qFormat/>
    <w:pPr>
      <w:ind w:left="567" w:right="0" w:firstLine="0"/>
      <w:spacing w:after="57"/>
    </w:pPr>
  </w:style>
  <w:style w:type="paragraph" w:styleId="662">
    <w:name w:val="toc 8"/>
    <w:basedOn w:val="642"/>
    <w:next w:val="642"/>
    <w:uiPriority w:val="39"/>
    <w:unhideWhenUsed/>
    <w:qFormat/>
    <w:pPr>
      <w:ind w:left="1984" w:right="0" w:firstLine="0"/>
      <w:spacing w:after="57"/>
    </w:pPr>
  </w:style>
  <w:style w:type="paragraph" w:styleId="663">
    <w:name w:val="endnote text"/>
    <w:basedOn w:val="642"/>
    <w:link w:val="827"/>
    <w:uiPriority w:val="99"/>
    <w:semiHidden/>
    <w:unhideWhenUsed/>
    <w:qFormat/>
    <w:pPr>
      <w:spacing w:after="0" w:line="240" w:lineRule="auto"/>
    </w:pPr>
    <w:rPr>
      <w:sz w:val="20"/>
    </w:rPr>
  </w:style>
  <w:style w:type="paragraph" w:styleId="664">
    <w:name w:val="Footer"/>
    <w:basedOn w:val="642"/>
    <w:uiPriority w:val="0"/>
    <w:qFormat/>
    <w:pPr>
      <w:jc w:val="left"/>
      <w:tabs>
        <w:tab w:val="center" w:pos="4153" w:leader="none"/>
        <w:tab w:val="right" w:pos="8306" w:leader="none"/>
      </w:tabs>
    </w:pPr>
    <w:rPr>
      <w:sz w:val="18"/>
    </w:rPr>
  </w:style>
  <w:style w:type="paragraph" w:styleId="665">
    <w:name w:val="envelope return"/>
    <w:basedOn w:val="642"/>
    <w:uiPriority w:val="99"/>
    <w:unhideWhenUsed/>
    <w:qFormat/>
    <w:rPr>
      <w:rFonts w:ascii="Arial" w:hAnsi="Arial"/>
    </w:rPr>
  </w:style>
  <w:style w:type="paragraph" w:styleId="666">
    <w:name w:val="Header"/>
    <w:basedOn w:val="642"/>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667">
    <w:name w:val="toc 1"/>
    <w:basedOn w:val="642"/>
    <w:next w:val="642"/>
    <w:uiPriority w:val="39"/>
    <w:unhideWhenUsed/>
    <w:qFormat/>
    <w:pPr>
      <w:ind w:left="0" w:right="0" w:firstLine="0"/>
      <w:spacing w:after="57"/>
    </w:pPr>
  </w:style>
  <w:style w:type="paragraph" w:styleId="668">
    <w:name w:val="toc 4"/>
    <w:basedOn w:val="642"/>
    <w:next w:val="642"/>
    <w:uiPriority w:val="39"/>
    <w:unhideWhenUsed/>
    <w:qFormat/>
    <w:pPr>
      <w:ind w:left="850" w:right="0" w:firstLine="0"/>
      <w:spacing w:after="57"/>
    </w:pPr>
  </w:style>
  <w:style w:type="paragraph" w:styleId="669">
    <w:name w:val="Subtitle"/>
    <w:basedOn w:val="642"/>
    <w:next w:val="642"/>
    <w:link w:val="693"/>
    <w:uiPriority w:val="11"/>
    <w:qFormat/>
    <w:pPr>
      <w:spacing w:before="200" w:after="200"/>
    </w:pPr>
    <w:rPr>
      <w:sz w:val="24"/>
      <w:szCs w:val="24"/>
    </w:rPr>
  </w:style>
  <w:style w:type="paragraph" w:styleId="670">
    <w:name w:val="footnote text"/>
    <w:basedOn w:val="642"/>
    <w:link w:val="826"/>
    <w:uiPriority w:val="99"/>
    <w:semiHidden/>
    <w:unhideWhenUsed/>
    <w:qFormat/>
    <w:pPr>
      <w:spacing w:after="40" w:line="240" w:lineRule="auto"/>
    </w:pPr>
    <w:rPr>
      <w:sz w:val="18"/>
    </w:rPr>
  </w:style>
  <w:style w:type="paragraph" w:styleId="671">
    <w:name w:val="toc 6"/>
    <w:basedOn w:val="642"/>
    <w:next w:val="642"/>
    <w:uiPriority w:val="39"/>
    <w:unhideWhenUsed/>
    <w:qFormat/>
    <w:pPr>
      <w:ind w:left="1417" w:right="0" w:firstLine="0"/>
      <w:spacing w:after="57"/>
    </w:pPr>
  </w:style>
  <w:style w:type="paragraph" w:styleId="672">
    <w:name w:val="table of figures"/>
    <w:basedOn w:val="642"/>
    <w:next w:val="642"/>
    <w:uiPriority w:val="99"/>
    <w:unhideWhenUsed/>
    <w:qFormat/>
    <w:pPr>
      <w:spacing w:after="0" w:afterAutospacing="0"/>
    </w:pPr>
  </w:style>
  <w:style w:type="paragraph" w:styleId="673">
    <w:name w:val="toc 2"/>
    <w:basedOn w:val="642"/>
    <w:next w:val="642"/>
    <w:uiPriority w:val="39"/>
    <w:unhideWhenUsed/>
    <w:qFormat/>
    <w:pPr>
      <w:ind w:left="283" w:right="0" w:firstLine="0"/>
      <w:spacing w:after="57"/>
    </w:pPr>
  </w:style>
  <w:style w:type="paragraph" w:styleId="674">
    <w:name w:val="toc 9"/>
    <w:basedOn w:val="642"/>
    <w:next w:val="642"/>
    <w:uiPriority w:val="39"/>
    <w:unhideWhenUsed/>
    <w:qFormat/>
    <w:pPr>
      <w:ind w:left="2268" w:right="0" w:firstLine="0"/>
      <w:spacing w:after="57"/>
    </w:pPr>
  </w:style>
  <w:style w:type="paragraph" w:styleId="675">
    <w:name w:val="Title"/>
    <w:basedOn w:val="642"/>
    <w:next w:val="642"/>
    <w:link w:val="692"/>
    <w:uiPriority w:val="10"/>
    <w:qFormat/>
    <w:pPr>
      <w:contextualSpacing/>
      <w:spacing w:before="300" w:after="200"/>
    </w:pPr>
    <w:rPr>
      <w:sz w:val="48"/>
      <w:szCs w:val="48"/>
    </w:rPr>
  </w:style>
  <w:style w:type="table" w:styleId="676">
    <w:name w:val="Table Grid"/>
    <w:basedOn w:val="65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77">
    <w:name w:val="Strong"/>
    <w:basedOn w:val="652"/>
    <w:uiPriority w:val="0"/>
    <w:qFormat/>
    <w:rPr>
      <w:b/>
    </w:rPr>
  </w:style>
  <w:style w:type="character" w:styleId="678">
    <w:name w:val="endnote reference"/>
    <w:basedOn w:val="652"/>
    <w:uiPriority w:val="99"/>
    <w:semiHidden/>
    <w:unhideWhenUsed/>
    <w:qFormat/>
    <w:rPr>
      <w:vertAlign w:val="superscript"/>
    </w:rPr>
  </w:style>
  <w:style w:type="character" w:styleId="679">
    <w:name w:val="Hyperlink"/>
    <w:uiPriority w:val="99"/>
    <w:unhideWhenUsed/>
    <w:qFormat/>
    <w:rPr>
      <w:color w:val="0026e5" w:themeColor="hyperlink"/>
      <w:u w:val="single"/>
      <w14:textFill>
        <w14:solidFill>
          <w14:schemeClr w14:val="hlink"/>
        </w14:solidFill>
      </w14:textFill>
    </w:rPr>
  </w:style>
  <w:style w:type="character" w:styleId="680">
    <w:name w:val="footnote reference"/>
    <w:basedOn w:val="652"/>
    <w:uiPriority w:val="99"/>
    <w:unhideWhenUsed/>
    <w:qFormat/>
    <w:rPr>
      <w:vertAlign w:val="superscript"/>
    </w:rPr>
  </w:style>
  <w:style w:type="character" w:styleId="681" w:customStyle="1">
    <w:name w:val="Heading 1 Char"/>
    <w:basedOn w:val="652"/>
    <w:uiPriority w:val="9"/>
    <w:qFormat/>
    <w:rPr>
      <w:rFonts w:ascii="Arial" w:hAnsi="Arial" w:eastAsia="Arial" w:cs="Arial"/>
      <w:sz w:val="40"/>
      <w:szCs w:val="40"/>
    </w:rPr>
  </w:style>
  <w:style w:type="character" w:styleId="682" w:customStyle="1">
    <w:name w:val="Heading 2 Char"/>
    <w:basedOn w:val="652"/>
    <w:link w:val="644"/>
    <w:uiPriority w:val="9"/>
    <w:qFormat/>
    <w:rPr>
      <w:rFonts w:ascii="Arial" w:hAnsi="Arial" w:eastAsia="Arial" w:cs="Arial"/>
      <w:sz w:val="34"/>
    </w:rPr>
  </w:style>
  <w:style w:type="character" w:styleId="683" w:customStyle="1">
    <w:name w:val="Heading 3 Char"/>
    <w:basedOn w:val="652"/>
    <w:link w:val="645"/>
    <w:uiPriority w:val="9"/>
    <w:qFormat/>
    <w:rPr>
      <w:rFonts w:ascii="Arial" w:hAnsi="Arial" w:eastAsia="Arial" w:cs="Arial"/>
      <w:sz w:val="30"/>
      <w:szCs w:val="30"/>
    </w:rPr>
  </w:style>
  <w:style w:type="character" w:styleId="684" w:customStyle="1">
    <w:name w:val="Heading 4 Char"/>
    <w:basedOn w:val="652"/>
    <w:link w:val="646"/>
    <w:uiPriority w:val="9"/>
    <w:qFormat/>
    <w:rPr>
      <w:rFonts w:ascii="Arial" w:hAnsi="Arial" w:eastAsia="Arial" w:cs="Arial"/>
      <w:b/>
      <w:bCs/>
      <w:sz w:val="26"/>
      <w:szCs w:val="26"/>
    </w:rPr>
  </w:style>
  <w:style w:type="character" w:styleId="685" w:customStyle="1">
    <w:name w:val="Heading 5 Char"/>
    <w:basedOn w:val="652"/>
    <w:link w:val="647"/>
    <w:uiPriority w:val="9"/>
    <w:qFormat/>
    <w:rPr>
      <w:rFonts w:ascii="Arial" w:hAnsi="Arial" w:eastAsia="Arial" w:cs="Arial"/>
      <w:b/>
      <w:bCs/>
      <w:sz w:val="24"/>
      <w:szCs w:val="24"/>
    </w:rPr>
  </w:style>
  <w:style w:type="character" w:styleId="686" w:customStyle="1">
    <w:name w:val="Heading 6 Char"/>
    <w:basedOn w:val="652"/>
    <w:link w:val="648"/>
    <w:uiPriority w:val="9"/>
    <w:qFormat/>
    <w:rPr>
      <w:rFonts w:ascii="Arial" w:hAnsi="Arial" w:eastAsia="Arial" w:cs="Arial"/>
      <w:b/>
      <w:bCs/>
      <w:sz w:val="22"/>
      <w:szCs w:val="22"/>
    </w:rPr>
  </w:style>
  <w:style w:type="character" w:styleId="687" w:customStyle="1">
    <w:name w:val="Heading 7 Char"/>
    <w:basedOn w:val="652"/>
    <w:link w:val="649"/>
    <w:uiPriority w:val="9"/>
    <w:qFormat/>
    <w:rPr>
      <w:rFonts w:ascii="Arial" w:hAnsi="Arial" w:eastAsia="Arial" w:cs="Arial"/>
      <w:b/>
      <w:bCs/>
      <w:i/>
      <w:iCs/>
      <w:sz w:val="22"/>
      <w:szCs w:val="22"/>
    </w:rPr>
  </w:style>
  <w:style w:type="character" w:styleId="688" w:customStyle="1">
    <w:name w:val="Heading 8 Char"/>
    <w:basedOn w:val="652"/>
    <w:link w:val="650"/>
    <w:uiPriority w:val="9"/>
    <w:qFormat/>
    <w:rPr>
      <w:rFonts w:ascii="Arial" w:hAnsi="Arial" w:eastAsia="Arial" w:cs="Arial"/>
      <w:i/>
      <w:iCs/>
      <w:sz w:val="22"/>
      <w:szCs w:val="22"/>
    </w:rPr>
  </w:style>
  <w:style w:type="character" w:styleId="689" w:customStyle="1">
    <w:name w:val="Heading 9 Char"/>
    <w:basedOn w:val="652"/>
    <w:link w:val="651"/>
    <w:uiPriority w:val="9"/>
    <w:qFormat/>
    <w:rPr>
      <w:rFonts w:ascii="Arial" w:hAnsi="Arial" w:eastAsia="Arial" w:cs="Arial"/>
      <w:i/>
      <w:iCs/>
      <w:sz w:val="21"/>
      <w:szCs w:val="21"/>
    </w:rPr>
  </w:style>
  <w:style w:type="paragraph" w:styleId="690">
    <w:name w:val="List Paragraph"/>
    <w:basedOn w:val="642"/>
    <w:uiPriority w:val="34"/>
    <w:qFormat/>
    <w:pPr>
      <w:contextualSpacing/>
      <w:ind w:left="720"/>
    </w:pPr>
  </w:style>
  <w:style w:type="paragraph" w:styleId="691">
    <w:name w:val="No Spacing"/>
    <w:uiPriority w:val="1"/>
    <w:qFormat/>
    <w:pPr>
      <w:spacing w:before="0" w:after="0" w:line="240" w:lineRule="auto"/>
    </w:pPr>
    <w:rPr>
      <w:rFonts w:hint="default" w:ascii="Times New Roman" w:hAnsi="Times New Roman" w:eastAsia="宋体" w:cs="Times New Roman"/>
    </w:rPr>
  </w:style>
  <w:style w:type="character" w:styleId="692" w:customStyle="1">
    <w:name w:val="Title Char"/>
    <w:basedOn w:val="652"/>
    <w:link w:val="675"/>
    <w:uiPriority w:val="10"/>
    <w:qFormat/>
    <w:rPr>
      <w:sz w:val="48"/>
      <w:szCs w:val="48"/>
    </w:rPr>
  </w:style>
  <w:style w:type="character" w:styleId="693" w:customStyle="1">
    <w:name w:val="Subtitle Char"/>
    <w:basedOn w:val="652"/>
    <w:link w:val="669"/>
    <w:uiPriority w:val="11"/>
    <w:qFormat/>
    <w:rPr>
      <w:sz w:val="24"/>
      <w:szCs w:val="24"/>
    </w:rPr>
  </w:style>
  <w:style w:type="paragraph" w:styleId="694">
    <w:name w:val="Quote"/>
    <w:basedOn w:val="642"/>
    <w:next w:val="642"/>
    <w:link w:val="695"/>
    <w:uiPriority w:val="29"/>
    <w:qFormat/>
    <w:pPr>
      <w:ind w:left="720" w:right="720"/>
    </w:pPr>
    <w:rPr>
      <w:i/>
    </w:rPr>
  </w:style>
  <w:style w:type="character" w:styleId="695" w:customStyle="1">
    <w:name w:val="Quote Char"/>
    <w:link w:val="694"/>
    <w:uiPriority w:val="29"/>
    <w:qFormat/>
    <w:rPr>
      <w:i/>
    </w:rPr>
  </w:style>
  <w:style w:type="paragraph" w:styleId="696">
    <w:name w:val="Intense Quote"/>
    <w:basedOn w:val="642"/>
    <w:next w:val="642"/>
    <w:link w:val="6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7" w:customStyle="1">
    <w:name w:val="Intense Quote Char"/>
    <w:link w:val="696"/>
    <w:uiPriority w:val="30"/>
    <w:qFormat/>
    <w:rPr>
      <w:i/>
    </w:rPr>
  </w:style>
  <w:style w:type="character" w:styleId="698" w:customStyle="1">
    <w:name w:val="Header Char"/>
    <w:basedOn w:val="652"/>
    <w:uiPriority w:val="99"/>
    <w:qFormat/>
  </w:style>
  <w:style w:type="character" w:styleId="699" w:customStyle="1">
    <w:name w:val="Footer Char"/>
    <w:basedOn w:val="652"/>
    <w:uiPriority w:val="99"/>
    <w:qFormat/>
  </w:style>
  <w:style w:type="character" w:styleId="700" w:customStyle="1">
    <w:name w:val="Caption Char"/>
    <w:uiPriority w:val="99"/>
    <w:qFormat/>
  </w:style>
  <w:style w:type="table" w:styleId="701" w:customStyle="1">
    <w:name w:val="Table Grid Light"/>
    <w:basedOn w:val="6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2" w:customStyle="1">
    <w:name w:val="Plain Table 1"/>
    <w:basedOn w:val="6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customStyle="1">
    <w:name w:val="Plain Table 2"/>
    <w:basedOn w:val="65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customStyle="1">
    <w:name w:val="Plain Table 3"/>
    <w:basedOn w:val="6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customStyle="1">
    <w:name w:val="Plain Table 4"/>
    <w:basedOn w:val="6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customStyle="1">
    <w:name w:val="Plain Table 5"/>
    <w:basedOn w:val="6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7" w:customStyle="1">
    <w:name w:val="Grid Table 1 Light"/>
    <w:basedOn w:val="65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1"/>
    <w:basedOn w:val="65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2"/>
    <w:basedOn w:val="65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3"/>
    <w:basedOn w:val="65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4"/>
    <w:basedOn w:val="65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5"/>
    <w:basedOn w:val="65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6"/>
    <w:basedOn w:val="65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14" w:customStyle="1">
    <w:name w:val="Grid Table 2"/>
    <w:basedOn w:val="6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5" w:customStyle="1">
    <w:name w:val="Grid Table 2 - Accent 1"/>
    <w:basedOn w:val="65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16" w:customStyle="1">
    <w:name w:val="Grid Table 2 - Accent 2"/>
    <w:basedOn w:val="65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17" w:customStyle="1">
    <w:name w:val="Grid Table 2 - Accent 3"/>
    <w:basedOn w:val="65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18" w:customStyle="1">
    <w:name w:val="Grid Table 2 - Accent 4"/>
    <w:basedOn w:val="65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19" w:customStyle="1">
    <w:name w:val="Grid Table 2 - Accent 5"/>
    <w:basedOn w:val="65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20" w:customStyle="1">
    <w:name w:val="Grid Table 2 - Accent 6"/>
    <w:basedOn w:val="65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21" w:customStyle="1">
    <w:name w:val="Grid Table 3"/>
    <w:basedOn w:val="6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1"/>
    <w:basedOn w:val="65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2"/>
    <w:basedOn w:val="65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3"/>
    <w:basedOn w:val="65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4"/>
    <w:basedOn w:val="65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5"/>
    <w:basedOn w:val="65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6"/>
    <w:basedOn w:val="65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4"/>
    <w:basedOn w:val="65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customStyle="1">
    <w:name w:val="Grid Table 4 - Accent 1"/>
    <w:basedOn w:val="653"/>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30" w:customStyle="1">
    <w:name w:val="Grid Table 4 - Accent 2"/>
    <w:basedOn w:val="653"/>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31" w:customStyle="1">
    <w:name w:val="Grid Table 4 - Accent 3"/>
    <w:basedOn w:val="653"/>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32" w:customStyle="1">
    <w:name w:val="Grid Table 4 - Accent 4"/>
    <w:basedOn w:val="653"/>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33" w:customStyle="1">
    <w:name w:val="Grid Table 4 - Accent 5"/>
    <w:basedOn w:val="653"/>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34" w:customStyle="1">
    <w:name w:val="Grid Table 4 - Accent 6"/>
    <w:basedOn w:val="653"/>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35" w:customStyle="1">
    <w:name w:val="Grid Table 5 Dark"/>
    <w:basedOn w:val="653"/>
    <w:uiPriority w:val="99"/>
    <w:qFormat/>
    <w:pPr>
      <w:spacing w:after="0" w:line="240" w:lineRule="auto"/>
    </w:pPr>
    <w:tblPr>
      <w:tblBorders>
        <w:top w:val="single" w:color="CAEACE" w:themeColor="light1" w:sz="4" w:space="0"/>
        <w:left w:val="single" w:color="CAEACE" w:themeColor="light1" w:sz="4" w:space="0"/>
        <w:bottom w:val="single" w:color="CAEACE" w:themeColor="light1" w:sz="4" w:space="0"/>
        <w:right w:val="single" w:color="CAEACE" w:themeColor="light1" w:sz="4" w:space="0"/>
        <w:insideH w:val="single" w:color="CAEACE" w:themeColor="light1" w:sz="4" w:space="0"/>
        <w:insideV w:val="single" w:color="CAEACE"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AEACE" w:themeColor="light1" w:sz="4" w:space="0"/>
        </w:tcBorders>
      </w:tcPr>
    </w:tblStylePr>
  </w:style>
  <w:style w:type="table" w:styleId="736" w:customStyle="1">
    <w:name w:val="Grid Table 5 Dark- Accent 1"/>
    <w:basedOn w:val="653"/>
    <w:uiPriority w:val="99"/>
    <w:qFormat/>
    <w:pPr>
      <w:spacing w:after="0" w:line="240" w:lineRule="auto"/>
    </w:pPr>
    <w:tblPr>
      <w:tblBorders>
        <w:top w:val="single" w:color="CAEACE" w:themeColor="light1" w:sz="4" w:space="0"/>
        <w:left w:val="single" w:color="CAEACE" w:themeColor="light1" w:sz="4" w:space="0"/>
        <w:bottom w:val="single" w:color="CAEACE" w:themeColor="light1" w:sz="4" w:space="0"/>
        <w:right w:val="single" w:color="CAEACE" w:themeColor="light1" w:sz="4" w:space="0"/>
        <w:insideH w:val="single" w:color="CAEACE" w:themeColor="light1" w:sz="4" w:space="0"/>
        <w:insideV w:val="single" w:color="CAEACE"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CAEACE" w:themeColor="light1" w:sz="4" w:space="0"/>
        </w:tcBorders>
      </w:tcPr>
    </w:tblStylePr>
  </w:style>
  <w:style w:type="table" w:styleId="737" w:customStyle="1">
    <w:name w:val="Grid Table 5 Dark - Accent 2"/>
    <w:basedOn w:val="653"/>
    <w:uiPriority w:val="99"/>
    <w:qFormat/>
    <w:pPr>
      <w:spacing w:after="0" w:line="240" w:lineRule="auto"/>
    </w:pPr>
    <w:tblPr>
      <w:tblBorders>
        <w:top w:val="single" w:color="CAEACE" w:themeColor="light1" w:sz="4" w:space="0"/>
        <w:left w:val="single" w:color="CAEACE" w:themeColor="light1" w:sz="4" w:space="0"/>
        <w:bottom w:val="single" w:color="CAEACE" w:themeColor="light1" w:sz="4" w:space="0"/>
        <w:right w:val="single" w:color="CAEACE" w:themeColor="light1" w:sz="4" w:space="0"/>
        <w:insideH w:val="single" w:color="CAEACE" w:themeColor="light1" w:sz="4" w:space="0"/>
        <w:insideV w:val="single" w:color="CAEACE"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CAEACE" w:themeColor="light1" w:sz="4" w:space="0"/>
        </w:tcBorders>
      </w:tcPr>
    </w:tblStylePr>
  </w:style>
  <w:style w:type="table" w:styleId="738" w:customStyle="1">
    <w:name w:val="Grid Table 5 Dark - Accent 3"/>
    <w:basedOn w:val="653"/>
    <w:uiPriority w:val="99"/>
    <w:qFormat/>
    <w:pPr>
      <w:spacing w:after="0" w:line="240" w:lineRule="auto"/>
    </w:pPr>
    <w:tblPr>
      <w:tblBorders>
        <w:top w:val="single" w:color="CAEACE" w:themeColor="light1" w:sz="4" w:space="0"/>
        <w:left w:val="single" w:color="CAEACE" w:themeColor="light1" w:sz="4" w:space="0"/>
        <w:bottom w:val="single" w:color="CAEACE" w:themeColor="light1" w:sz="4" w:space="0"/>
        <w:right w:val="single" w:color="CAEACE" w:themeColor="light1" w:sz="4" w:space="0"/>
        <w:insideH w:val="single" w:color="CAEACE" w:themeColor="light1" w:sz="4" w:space="0"/>
        <w:insideV w:val="single" w:color="CAEACE"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CAEACE" w:themeColor="light1" w:sz="4" w:space="0"/>
        </w:tcBorders>
      </w:tcPr>
    </w:tblStylePr>
  </w:style>
  <w:style w:type="table" w:styleId="739" w:customStyle="1">
    <w:name w:val="Grid Table 5 Dark- Accent 4"/>
    <w:basedOn w:val="653"/>
    <w:uiPriority w:val="99"/>
    <w:qFormat/>
    <w:pPr>
      <w:spacing w:after="0" w:line="240" w:lineRule="auto"/>
    </w:pPr>
    <w:tblPr>
      <w:tblBorders>
        <w:top w:val="single" w:color="CAEACE" w:themeColor="light1" w:sz="4" w:space="0"/>
        <w:left w:val="single" w:color="CAEACE" w:themeColor="light1" w:sz="4" w:space="0"/>
        <w:bottom w:val="single" w:color="CAEACE" w:themeColor="light1" w:sz="4" w:space="0"/>
        <w:right w:val="single" w:color="CAEACE" w:themeColor="light1" w:sz="4" w:space="0"/>
        <w:insideH w:val="single" w:color="CAEACE" w:themeColor="light1" w:sz="4" w:space="0"/>
        <w:insideV w:val="single" w:color="CAEACE"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CAEACE" w:themeColor="light1" w:sz="4" w:space="0"/>
        </w:tcBorders>
      </w:tcPr>
    </w:tblStylePr>
  </w:style>
  <w:style w:type="table" w:styleId="740" w:customStyle="1">
    <w:name w:val="Grid Table 5 Dark - Accent 5"/>
    <w:basedOn w:val="653"/>
    <w:uiPriority w:val="99"/>
    <w:qFormat/>
    <w:pPr>
      <w:spacing w:after="0" w:line="240" w:lineRule="auto"/>
    </w:pPr>
    <w:tblPr>
      <w:tblBorders>
        <w:top w:val="single" w:color="CAEACE" w:themeColor="light1" w:sz="4" w:space="0"/>
        <w:left w:val="single" w:color="CAEACE" w:themeColor="light1" w:sz="4" w:space="0"/>
        <w:bottom w:val="single" w:color="CAEACE" w:themeColor="light1" w:sz="4" w:space="0"/>
        <w:right w:val="single" w:color="CAEACE" w:themeColor="light1" w:sz="4" w:space="0"/>
        <w:insideH w:val="single" w:color="CAEACE" w:themeColor="light1" w:sz="4" w:space="0"/>
        <w:insideV w:val="single" w:color="CAEACE"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CAEACE" w:themeColor="light1" w:sz="4" w:space="0"/>
        </w:tcBorders>
      </w:tcPr>
    </w:tblStylePr>
  </w:style>
  <w:style w:type="table" w:styleId="741" w:customStyle="1">
    <w:name w:val="Grid Table 5 Dark - Accent 6"/>
    <w:basedOn w:val="653"/>
    <w:uiPriority w:val="99"/>
    <w:qFormat/>
    <w:pPr>
      <w:spacing w:after="0" w:line="240" w:lineRule="auto"/>
    </w:pPr>
    <w:tblPr>
      <w:tblBorders>
        <w:top w:val="single" w:color="CAEACE" w:themeColor="light1" w:sz="4" w:space="0"/>
        <w:left w:val="single" w:color="CAEACE" w:themeColor="light1" w:sz="4" w:space="0"/>
        <w:bottom w:val="single" w:color="CAEACE" w:themeColor="light1" w:sz="4" w:space="0"/>
        <w:right w:val="single" w:color="CAEACE" w:themeColor="light1" w:sz="4" w:space="0"/>
        <w:insideH w:val="single" w:color="CAEACE" w:themeColor="light1" w:sz="4" w:space="0"/>
        <w:insideV w:val="single" w:color="CAEACE"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CAEACE" w:themeColor="light1" w:sz="4" w:space="0"/>
        </w:tcBorders>
      </w:tcPr>
    </w:tblStylePr>
  </w:style>
  <w:style w:type="table" w:styleId="742" w:customStyle="1">
    <w:name w:val="Grid Table 6 Colorful"/>
    <w:basedOn w:val="65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3" w:customStyle="1">
    <w:name w:val="Grid Table 6 Colorful - Accent 1"/>
    <w:basedOn w:val="653"/>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44" w:customStyle="1">
    <w:name w:val="Grid Table 6 Colorful - Accent 2"/>
    <w:basedOn w:val="65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45" w:customStyle="1">
    <w:name w:val="Grid Table 6 Colorful - Accent 3"/>
    <w:basedOn w:val="653"/>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46" w:customStyle="1">
    <w:name w:val="Grid Table 6 Colorful - Accent 4"/>
    <w:basedOn w:val="65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47" w:customStyle="1">
    <w:name w:val="Grid Table 6 Colorful - Accent 5"/>
    <w:basedOn w:val="653"/>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48" w:customStyle="1">
    <w:name w:val="Grid Table 6 Colorful - Accent 6"/>
    <w:basedOn w:val="653"/>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49" w:customStyle="1">
    <w:name w:val="Grid Table 7 Colorful"/>
    <w:basedOn w:val="65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caeace" w:themeColor="light1" w:fill="caeace"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caeace" w:themeColor="light1" w:fill="caeace"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0" w:customStyle="1">
    <w:name w:val="Grid Table 7 Colorful - Accent 1"/>
    <w:basedOn w:val="653"/>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caeace" w:themeColor="light1" w:fill="caeace"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caeace" w:themeColor="light1" w:fill="caeace"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51" w:customStyle="1">
    <w:name w:val="Grid Table 7 Colorful - Accent 2"/>
    <w:basedOn w:val="653"/>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caeace" w:themeColor="light1" w:fill="caeace"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caeace" w:themeColor="light1" w:fill="caeace"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52" w:customStyle="1">
    <w:name w:val="Grid Table 7 Colorful - Accent 3"/>
    <w:basedOn w:val="653"/>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caeace" w:themeColor="light1" w:fill="caeace"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caeace" w:themeColor="light1" w:fill="caeace"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53" w:customStyle="1">
    <w:name w:val="Grid Table 7 Colorful - Accent 4"/>
    <w:basedOn w:val="653"/>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caeace" w:themeColor="light1" w:fill="caeace"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caeace" w:themeColor="light1" w:fill="caeace"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54" w:customStyle="1">
    <w:name w:val="Grid Table 7 Colorful - Accent 5"/>
    <w:basedOn w:val="653"/>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caeace" w:themeColor="light1" w:fill="caeace"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caeace" w:themeColor="light1" w:fill="caeace"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55" w:customStyle="1">
    <w:name w:val="Grid Table 7 Colorful - Accent 6"/>
    <w:basedOn w:val="653"/>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caeace" w:themeColor="light1" w:fill="caeace"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caeace" w:themeColor="light1" w:fill="caeace"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56" w:customStyle="1">
    <w:name w:val="List Table 1 Light"/>
    <w:basedOn w:val="65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customStyle="1">
    <w:name w:val="List Table 1 Light - Accent 1"/>
    <w:basedOn w:val="653"/>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58" w:customStyle="1">
    <w:name w:val="List Table 1 Light - Accent 2"/>
    <w:basedOn w:val="653"/>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59" w:customStyle="1">
    <w:name w:val="List Table 1 Light - Accent 3"/>
    <w:basedOn w:val="653"/>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60" w:customStyle="1">
    <w:name w:val="List Table 1 Light - Accent 4"/>
    <w:basedOn w:val="653"/>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61" w:customStyle="1">
    <w:name w:val="List Table 1 Light - Accent 5"/>
    <w:basedOn w:val="653"/>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62" w:customStyle="1">
    <w:name w:val="List Table 1 Light - Accent 6"/>
    <w:basedOn w:val="653"/>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63" w:customStyle="1">
    <w:name w:val="List Table 2"/>
    <w:basedOn w:val="65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4" w:customStyle="1">
    <w:name w:val="List Table 2 - Accent 1"/>
    <w:basedOn w:val="653"/>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65" w:customStyle="1">
    <w:name w:val="List Table 2 - Accent 2"/>
    <w:basedOn w:val="653"/>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66" w:customStyle="1">
    <w:name w:val="List Table 2 - Accent 3"/>
    <w:basedOn w:val="653"/>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67" w:customStyle="1">
    <w:name w:val="List Table 2 - Accent 4"/>
    <w:basedOn w:val="653"/>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768" w:customStyle="1">
    <w:name w:val="List Table 2 - Accent 5"/>
    <w:basedOn w:val="653"/>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769" w:customStyle="1">
    <w:name w:val="List Table 2 - Accent 6"/>
    <w:basedOn w:val="653"/>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770" w:customStyle="1">
    <w:name w:val="List Table 3"/>
    <w:basedOn w:val="6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List Table 3 - Accent 1"/>
    <w:basedOn w:val="653"/>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72" w:customStyle="1">
    <w:name w:val="List Table 3 - Accent 2"/>
    <w:basedOn w:val="65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773" w:customStyle="1">
    <w:name w:val="List Table 3 - Accent 3"/>
    <w:basedOn w:val="653"/>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774" w:customStyle="1">
    <w:name w:val="List Table 3 - Accent 4"/>
    <w:basedOn w:val="65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775" w:customStyle="1">
    <w:name w:val="List Table 3 - Accent 5"/>
    <w:basedOn w:val="653"/>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776" w:customStyle="1">
    <w:name w:val="List Table 3 - Accent 6"/>
    <w:basedOn w:val="653"/>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777" w:customStyle="1">
    <w:name w:val="List Table 4"/>
    <w:basedOn w:val="6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8" w:customStyle="1">
    <w:name w:val="List Table 4 - Accent 1"/>
    <w:basedOn w:val="653"/>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79" w:customStyle="1">
    <w:name w:val="List Table 4 - Accent 2"/>
    <w:basedOn w:val="653"/>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780" w:customStyle="1">
    <w:name w:val="List Table 4 - Accent 3"/>
    <w:basedOn w:val="653"/>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781" w:customStyle="1">
    <w:name w:val="List Table 4 - Accent 4"/>
    <w:basedOn w:val="653"/>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782" w:customStyle="1">
    <w:name w:val="List Table 4 - Accent 5"/>
    <w:basedOn w:val="653"/>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783" w:customStyle="1">
    <w:name w:val="List Table 4 - Accent 6"/>
    <w:basedOn w:val="653"/>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784" w:customStyle="1">
    <w:name w:val="List Table 5 Dark"/>
    <w:basedOn w:val="65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CAEACE" w:themeColor="light1" w:sz="4" w:space="0"/>
          <w:bottom w:val="single" w:color="CAEACE" w:themeColor="light1" w:sz="4" w:space="0"/>
        </w:tcBorders>
      </w:tcPr>
    </w:tblStylePr>
    <w:tblStylePr w:type="band1Vert">
      <w:tcPr>
        <w:shd w:val="clear" w:color="7e7e7e" w:themeColor="text1" w:themeTint="80" w:fill="7e7e7e" w:themeFill="text1" w:themeFillTint="80"/>
        <w:tcBorders>
          <w:left w:val="single" w:color="CAEACE" w:themeColor="light1" w:sz="4" w:space="0"/>
          <w:right w:val="single" w:color="CAEACE" w:themeColor="light1" w:sz="4" w:space="0"/>
        </w:tcBorders>
      </w:tcPr>
    </w:tblStylePr>
    <w:tblStylePr w:type="band2Horz">
      <w:tcPr>
        <w:shd w:val="clear" w:color="7e7e7e" w:themeColor="text1" w:themeTint="80" w:fill="7e7e7e" w:themeFill="text1" w:themeFillTint="80"/>
        <w:tcBorders>
          <w:top w:val="single" w:color="CAEACE" w:themeColor="light1" w:sz="4" w:space="0"/>
          <w:bottom w:val="single" w:color="CAEACE" w:themeColor="light1" w:sz="4" w:space="0"/>
        </w:tcBorders>
      </w:tcPr>
    </w:tblStylePr>
    <w:tblStylePr w:type="band2Vert">
      <w:tcPr>
        <w:tcBorders>
          <w:left w:val="single" w:color="CAEACE" w:themeColor="light1" w:sz="4" w:space="0"/>
          <w:right w:val="single" w:color="CAEACE" w:themeColor="light1" w:sz="4" w:space="0"/>
        </w:tcBorders>
      </w:tcPr>
    </w:tblStylePr>
    <w:tblStylePr w:type="firstCol">
      <w:rPr>
        <w:rFonts w:ascii="Arial" w:hAnsi="Arial"/>
        <w:b/>
        <w:color w:val="caeace" w:themeColor="light1"/>
        <w:sz w:val="22"/>
        <w14:textFill>
          <w14:solidFill>
            <w14:schemeClr w14:val="lt1"/>
          </w14:solidFill>
        </w14:textFill>
      </w:rPr>
      <w:tcPr>
        <w:tcBorders>
          <w:left w:val="single" w:color="7E7E7E" w:themeColor="text1" w:themeTint="80" w:sz="32" w:space="0"/>
          <w:right w:val="single" w:color="CAEACE" w:themeColor="light1" w:sz="4" w:space="0"/>
        </w:tcBorders>
      </w:tcPr>
    </w:tblStylePr>
    <w:tblStylePr w:type="firstRow">
      <w:rPr>
        <w:rFonts w:ascii="Arial" w:hAnsi="Arial"/>
        <w:b/>
        <w:color w:val="caeace"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CAEACE" w:themeColor="light1" w:sz="12" w:space="0"/>
        </w:tcBorders>
      </w:tcPr>
    </w:tblStylePr>
    <w:tblStylePr w:type="lastCol">
      <w:tcPr>
        <w:tcBorders>
          <w:left w:val="single" w:color="CAEACE" w:themeColor="light1" w:sz="4" w:space="0"/>
          <w:right w:val="single" w:color="7E7E7E" w:themeColor="text1" w:themeTint="80" w:sz="32" w:space="0"/>
        </w:tcBorders>
      </w:tcPr>
    </w:tblStylePr>
    <w:tblStylePr w:type="lastRow">
      <w:rPr>
        <w:rFonts w:ascii="Arial" w:hAnsi="Arial"/>
        <w:b/>
        <w:color w:val="caeace" w:themeColor="light1"/>
        <w:sz w:val="22"/>
        <w14:textFill>
          <w14:solidFill>
            <w14:schemeClr w14:val="lt1"/>
          </w14:solidFill>
        </w14:textFill>
      </w:rPr>
    </w:tblStylePr>
  </w:style>
  <w:style w:type="table" w:styleId="785" w:customStyle="1">
    <w:name w:val="List Table 5 Dark - Accent 1"/>
    <w:basedOn w:val="653"/>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CAEACE" w:themeColor="light1" w:sz="4" w:space="0"/>
          <w:bottom w:val="single" w:color="CAEACE" w:themeColor="light1" w:sz="4" w:space="0"/>
        </w:tcBorders>
      </w:tcPr>
    </w:tblStylePr>
    <w:tblStylePr w:type="band1Vert">
      <w:tcPr>
        <w:shd w:val="clear" w:color="4874cb" w:themeColor="accent1" w:fill="4874cb" w:themeFill="accent1"/>
        <w:tcBorders>
          <w:left w:val="single" w:color="CAEACE" w:themeColor="light1" w:sz="4" w:space="0"/>
          <w:right w:val="single" w:color="CAEACE" w:themeColor="light1" w:sz="4" w:space="0"/>
        </w:tcBorders>
      </w:tcPr>
    </w:tblStylePr>
    <w:tblStylePr w:type="band2Horz">
      <w:tcPr>
        <w:shd w:val="clear" w:color="4874cb" w:themeColor="accent1" w:fill="4874cb" w:themeFill="accent1"/>
        <w:tcBorders>
          <w:top w:val="single" w:color="CAEACE" w:themeColor="light1" w:sz="4" w:space="0"/>
          <w:bottom w:val="single" w:color="CAEACE" w:themeColor="light1" w:sz="4" w:space="0"/>
        </w:tcBorders>
      </w:tcPr>
    </w:tblStylePr>
    <w:tblStylePr w:type="band2Vert">
      <w:tcPr>
        <w:tcBorders>
          <w:left w:val="single" w:color="CAEACE" w:themeColor="light1" w:sz="4" w:space="0"/>
          <w:right w:val="single" w:color="CAEACE" w:themeColor="light1" w:sz="4" w:space="0"/>
        </w:tcBorders>
      </w:tcPr>
    </w:tblStylePr>
    <w:tblStylePr w:type="firstCol">
      <w:rPr>
        <w:rFonts w:ascii="Arial" w:hAnsi="Arial"/>
        <w:b/>
        <w:color w:val="caeace" w:themeColor="light1"/>
        <w:sz w:val="22"/>
        <w14:textFill>
          <w14:solidFill>
            <w14:schemeClr w14:val="lt1"/>
          </w14:solidFill>
        </w14:textFill>
      </w:rPr>
      <w:tcPr>
        <w:tcBorders>
          <w:left w:val="single" w:color="4874CB" w:themeColor="accent1" w:sz="32" w:space="0"/>
          <w:right w:val="single" w:color="CAEACE" w:themeColor="light1" w:sz="4" w:space="0"/>
        </w:tcBorders>
      </w:tcPr>
    </w:tblStylePr>
    <w:tblStylePr w:type="firstRow">
      <w:rPr>
        <w:rFonts w:ascii="Arial" w:hAnsi="Arial"/>
        <w:b/>
        <w:color w:val="caeace"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CAEACE" w:themeColor="light1" w:sz="12" w:space="0"/>
        </w:tcBorders>
      </w:tcPr>
    </w:tblStylePr>
    <w:tblStylePr w:type="lastCol">
      <w:tcPr>
        <w:tcBorders>
          <w:left w:val="single" w:color="CAEACE" w:themeColor="light1" w:sz="4" w:space="0"/>
          <w:right w:val="single" w:color="4874CB" w:themeColor="accent1" w:sz="32" w:space="0"/>
        </w:tcBorders>
      </w:tcPr>
    </w:tblStylePr>
    <w:tblStylePr w:type="lastRow">
      <w:rPr>
        <w:rFonts w:ascii="Arial" w:hAnsi="Arial"/>
        <w:b/>
        <w:color w:val="caeace" w:themeColor="light1"/>
        <w:sz w:val="22"/>
        <w14:textFill>
          <w14:solidFill>
            <w14:schemeClr w14:val="lt1"/>
          </w14:solidFill>
        </w14:textFill>
      </w:rPr>
    </w:tblStylePr>
  </w:style>
  <w:style w:type="table" w:styleId="786" w:customStyle="1">
    <w:name w:val="List Table 5 Dark - Accent 2"/>
    <w:basedOn w:val="653"/>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CAEACE" w:themeColor="light1" w:sz="4" w:space="0"/>
          <w:bottom w:val="single" w:color="CAEACE" w:themeColor="light1" w:sz="4" w:space="0"/>
        </w:tcBorders>
      </w:tcPr>
    </w:tblStylePr>
    <w:tblStylePr w:type="band1Vert">
      <w:tcPr>
        <w:shd w:val="clear" w:color="f4b483" w:themeColor="accent2" w:themeTint="97" w:fill="f4b483" w:themeFill="accent2" w:themeFillTint="97"/>
        <w:tcBorders>
          <w:left w:val="single" w:color="CAEACE" w:themeColor="light1" w:sz="4" w:space="0"/>
          <w:right w:val="single" w:color="CAEACE" w:themeColor="light1" w:sz="4" w:space="0"/>
        </w:tcBorders>
      </w:tcPr>
    </w:tblStylePr>
    <w:tblStylePr w:type="band2Horz">
      <w:tcPr>
        <w:shd w:val="clear" w:color="f4b483" w:themeColor="accent2" w:themeTint="97" w:fill="f4b483" w:themeFill="accent2" w:themeFillTint="97"/>
        <w:tcBorders>
          <w:top w:val="single" w:color="CAEACE" w:themeColor="light1" w:sz="4" w:space="0"/>
          <w:bottom w:val="single" w:color="CAEACE" w:themeColor="light1" w:sz="4" w:space="0"/>
        </w:tcBorders>
      </w:tcPr>
    </w:tblStylePr>
    <w:tblStylePr w:type="band2Vert">
      <w:tcPr>
        <w:tcBorders>
          <w:left w:val="single" w:color="CAEACE" w:themeColor="light1" w:sz="4" w:space="0"/>
          <w:right w:val="single" w:color="CAEACE" w:themeColor="light1" w:sz="4" w:space="0"/>
        </w:tcBorders>
      </w:tcPr>
    </w:tblStylePr>
    <w:tblStylePr w:type="firstCol">
      <w:rPr>
        <w:rFonts w:ascii="Arial" w:hAnsi="Arial"/>
        <w:b/>
        <w:color w:val="caeace" w:themeColor="light1"/>
        <w:sz w:val="22"/>
        <w14:textFill>
          <w14:solidFill>
            <w14:schemeClr w14:val="lt1"/>
          </w14:solidFill>
        </w14:textFill>
      </w:rPr>
      <w:tcPr>
        <w:tcBorders>
          <w:left w:val="single" w:color="F4B483" w:themeColor="accent2" w:themeTint="97" w:sz="32" w:space="0"/>
          <w:right w:val="single" w:color="CAEACE" w:themeColor="light1" w:sz="4" w:space="0"/>
        </w:tcBorders>
      </w:tcPr>
    </w:tblStylePr>
    <w:tblStylePr w:type="firstRow">
      <w:rPr>
        <w:rFonts w:ascii="Arial" w:hAnsi="Arial"/>
        <w:b/>
        <w:color w:val="caeace"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CAEACE" w:themeColor="light1" w:sz="12" w:space="0"/>
        </w:tcBorders>
      </w:tcPr>
    </w:tblStylePr>
    <w:tblStylePr w:type="lastCol">
      <w:tcPr>
        <w:tcBorders>
          <w:left w:val="single" w:color="CAEACE" w:themeColor="light1" w:sz="4" w:space="0"/>
          <w:right w:val="single" w:color="F4B483" w:themeColor="accent2" w:themeTint="97" w:sz="32" w:space="0"/>
        </w:tcBorders>
      </w:tcPr>
    </w:tblStylePr>
    <w:tblStylePr w:type="lastRow">
      <w:rPr>
        <w:rFonts w:ascii="Arial" w:hAnsi="Arial"/>
        <w:b/>
        <w:color w:val="caeace" w:themeColor="light1"/>
        <w:sz w:val="22"/>
        <w14:textFill>
          <w14:solidFill>
            <w14:schemeClr w14:val="lt1"/>
          </w14:solidFill>
        </w14:textFill>
      </w:rPr>
    </w:tblStylePr>
  </w:style>
  <w:style w:type="table" w:styleId="787" w:customStyle="1">
    <w:name w:val="List Table 5 Dark - Accent 3"/>
    <w:basedOn w:val="653"/>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CAEACE" w:themeColor="light1" w:sz="4" w:space="0"/>
          <w:bottom w:val="single" w:color="CAEACE" w:themeColor="light1" w:sz="4" w:space="0"/>
        </w:tcBorders>
      </w:tcPr>
    </w:tblStylePr>
    <w:tblStylePr w:type="band1Vert">
      <w:tcPr>
        <w:shd w:val="clear" w:color="fdd961" w:themeColor="accent3" w:themeTint="98" w:fill="fdd961" w:themeFill="accent3" w:themeFillTint="98"/>
        <w:tcBorders>
          <w:left w:val="single" w:color="CAEACE" w:themeColor="light1" w:sz="4" w:space="0"/>
          <w:right w:val="single" w:color="CAEACE" w:themeColor="light1" w:sz="4" w:space="0"/>
        </w:tcBorders>
      </w:tcPr>
    </w:tblStylePr>
    <w:tblStylePr w:type="band2Horz">
      <w:tcPr>
        <w:shd w:val="clear" w:color="fdd961" w:themeColor="accent3" w:themeTint="98" w:fill="fdd961" w:themeFill="accent3" w:themeFillTint="98"/>
        <w:tcBorders>
          <w:top w:val="single" w:color="CAEACE" w:themeColor="light1" w:sz="4" w:space="0"/>
          <w:bottom w:val="single" w:color="CAEACE" w:themeColor="light1" w:sz="4" w:space="0"/>
        </w:tcBorders>
      </w:tcPr>
    </w:tblStylePr>
    <w:tblStylePr w:type="band2Vert">
      <w:tcPr>
        <w:tcBorders>
          <w:left w:val="single" w:color="CAEACE" w:themeColor="light1" w:sz="4" w:space="0"/>
          <w:right w:val="single" w:color="CAEACE" w:themeColor="light1" w:sz="4" w:space="0"/>
        </w:tcBorders>
      </w:tcPr>
    </w:tblStylePr>
    <w:tblStylePr w:type="firstCol">
      <w:rPr>
        <w:rFonts w:ascii="Arial" w:hAnsi="Arial"/>
        <w:b/>
        <w:color w:val="caeace" w:themeColor="light1"/>
        <w:sz w:val="22"/>
        <w14:textFill>
          <w14:solidFill>
            <w14:schemeClr w14:val="lt1"/>
          </w14:solidFill>
        </w14:textFill>
      </w:rPr>
      <w:tcPr>
        <w:tcBorders>
          <w:left w:val="single" w:color="FDD961" w:themeColor="accent3" w:themeTint="98" w:sz="32" w:space="0"/>
          <w:right w:val="single" w:color="CAEACE" w:themeColor="light1" w:sz="4" w:space="0"/>
        </w:tcBorders>
      </w:tcPr>
    </w:tblStylePr>
    <w:tblStylePr w:type="firstRow">
      <w:rPr>
        <w:rFonts w:ascii="Arial" w:hAnsi="Arial"/>
        <w:b/>
        <w:color w:val="caeace"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CAEACE" w:themeColor="light1" w:sz="12" w:space="0"/>
        </w:tcBorders>
      </w:tcPr>
    </w:tblStylePr>
    <w:tblStylePr w:type="lastCol">
      <w:tcPr>
        <w:tcBorders>
          <w:left w:val="single" w:color="CAEACE" w:themeColor="light1" w:sz="4" w:space="0"/>
          <w:right w:val="single" w:color="FDD961" w:themeColor="accent3" w:themeTint="98" w:sz="32" w:space="0"/>
        </w:tcBorders>
      </w:tcPr>
    </w:tblStylePr>
    <w:tblStylePr w:type="lastRow">
      <w:rPr>
        <w:rFonts w:ascii="Arial" w:hAnsi="Arial"/>
        <w:b/>
        <w:color w:val="caeace" w:themeColor="light1"/>
        <w:sz w:val="22"/>
        <w14:textFill>
          <w14:solidFill>
            <w14:schemeClr w14:val="lt1"/>
          </w14:solidFill>
        </w14:textFill>
      </w:rPr>
    </w:tblStylePr>
  </w:style>
  <w:style w:type="table" w:styleId="788" w:customStyle="1">
    <w:name w:val="List Table 5 Dark - Accent 4"/>
    <w:basedOn w:val="653"/>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CAEACE" w:themeColor="light1" w:sz="4" w:space="0"/>
          <w:bottom w:val="single" w:color="CAEACE" w:themeColor="light1" w:sz="4" w:space="0"/>
        </w:tcBorders>
      </w:tcPr>
    </w:tblStylePr>
    <w:tblStylePr w:type="band1Vert">
      <w:tcPr>
        <w:shd w:val="clear" w:color="abd78c" w:themeColor="accent4" w:themeTint="9A" w:fill="abd78c" w:themeFill="accent4" w:themeFillTint="9A"/>
        <w:tcBorders>
          <w:left w:val="single" w:color="CAEACE" w:themeColor="light1" w:sz="4" w:space="0"/>
          <w:right w:val="single" w:color="CAEACE" w:themeColor="light1" w:sz="4" w:space="0"/>
        </w:tcBorders>
      </w:tcPr>
    </w:tblStylePr>
    <w:tblStylePr w:type="band2Horz">
      <w:tcPr>
        <w:shd w:val="clear" w:color="abd78c" w:themeColor="accent4" w:themeTint="9A" w:fill="abd78c" w:themeFill="accent4" w:themeFillTint="9A"/>
        <w:tcBorders>
          <w:top w:val="single" w:color="CAEACE" w:themeColor="light1" w:sz="4" w:space="0"/>
          <w:bottom w:val="single" w:color="CAEACE" w:themeColor="light1" w:sz="4" w:space="0"/>
        </w:tcBorders>
      </w:tcPr>
    </w:tblStylePr>
    <w:tblStylePr w:type="band2Vert">
      <w:tcPr>
        <w:tcBorders>
          <w:left w:val="single" w:color="CAEACE" w:themeColor="light1" w:sz="4" w:space="0"/>
          <w:right w:val="single" w:color="CAEACE" w:themeColor="light1" w:sz="4" w:space="0"/>
        </w:tcBorders>
      </w:tcPr>
    </w:tblStylePr>
    <w:tblStylePr w:type="firstCol">
      <w:rPr>
        <w:rFonts w:ascii="Arial" w:hAnsi="Arial"/>
        <w:b/>
        <w:color w:val="caeace" w:themeColor="light1"/>
        <w:sz w:val="22"/>
        <w14:textFill>
          <w14:solidFill>
            <w14:schemeClr w14:val="lt1"/>
          </w14:solidFill>
        </w14:textFill>
      </w:rPr>
      <w:tcPr>
        <w:tcBorders>
          <w:left w:val="single" w:color="ABD78C" w:themeColor="accent4" w:themeTint="9A" w:sz="32" w:space="0"/>
          <w:right w:val="single" w:color="CAEACE" w:themeColor="light1" w:sz="4" w:space="0"/>
        </w:tcBorders>
      </w:tcPr>
    </w:tblStylePr>
    <w:tblStylePr w:type="firstRow">
      <w:rPr>
        <w:rFonts w:ascii="Arial" w:hAnsi="Arial"/>
        <w:b/>
        <w:color w:val="caeace"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CAEACE" w:themeColor="light1" w:sz="12" w:space="0"/>
        </w:tcBorders>
      </w:tcPr>
    </w:tblStylePr>
    <w:tblStylePr w:type="lastCol">
      <w:tcPr>
        <w:tcBorders>
          <w:left w:val="single" w:color="CAEACE" w:themeColor="light1" w:sz="4" w:space="0"/>
          <w:right w:val="single" w:color="ABD78C" w:themeColor="accent4" w:themeTint="9A" w:sz="32" w:space="0"/>
        </w:tcBorders>
      </w:tcPr>
    </w:tblStylePr>
    <w:tblStylePr w:type="lastRow">
      <w:rPr>
        <w:rFonts w:ascii="Arial" w:hAnsi="Arial"/>
        <w:b/>
        <w:color w:val="caeace" w:themeColor="light1"/>
        <w:sz w:val="22"/>
        <w14:textFill>
          <w14:solidFill>
            <w14:schemeClr w14:val="lt1"/>
          </w14:solidFill>
        </w14:textFill>
      </w:rPr>
    </w:tblStylePr>
  </w:style>
  <w:style w:type="table" w:styleId="789" w:customStyle="1">
    <w:name w:val="List Table 5 Dark - Accent 5"/>
    <w:basedOn w:val="653"/>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CAEACE" w:themeColor="light1" w:sz="4" w:space="0"/>
          <w:bottom w:val="single" w:color="CAEACE" w:themeColor="light1" w:sz="4" w:space="0"/>
        </w:tcBorders>
      </w:tcPr>
    </w:tblStylePr>
    <w:tblStylePr w:type="band1Vert">
      <w:tcPr>
        <w:shd w:val="clear" w:color="7cded6" w:themeColor="accent5" w:themeTint="9A" w:fill="7cded6" w:themeFill="accent5" w:themeFillTint="9A"/>
        <w:tcBorders>
          <w:left w:val="single" w:color="CAEACE" w:themeColor="light1" w:sz="4" w:space="0"/>
          <w:right w:val="single" w:color="CAEACE" w:themeColor="light1" w:sz="4" w:space="0"/>
        </w:tcBorders>
      </w:tcPr>
    </w:tblStylePr>
    <w:tblStylePr w:type="band2Horz">
      <w:tcPr>
        <w:shd w:val="clear" w:color="7cded6" w:themeColor="accent5" w:themeTint="9A" w:fill="7cded6" w:themeFill="accent5" w:themeFillTint="9A"/>
        <w:tcBorders>
          <w:top w:val="single" w:color="CAEACE" w:themeColor="light1" w:sz="4" w:space="0"/>
          <w:bottom w:val="single" w:color="CAEACE" w:themeColor="light1" w:sz="4" w:space="0"/>
        </w:tcBorders>
      </w:tcPr>
    </w:tblStylePr>
    <w:tblStylePr w:type="band2Vert">
      <w:tcPr>
        <w:tcBorders>
          <w:left w:val="single" w:color="CAEACE" w:themeColor="light1" w:sz="4" w:space="0"/>
          <w:right w:val="single" w:color="CAEACE" w:themeColor="light1" w:sz="4" w:space="0"/>
        </w:tcBorders>
      </w:tcPr>
    </w:tblStylePr>
    <w:tblStylePr w:type="firstCol">
      <w:rPr>
        <w:rFonts w:ascii="Arial" w:hAnsi="Arial"/>
        <w:b/>
        <w:color w:val="caeace" w:themeColor="light1"/>
        <w:sz w:val="22"/>
        <w14:textFill>
          <w14:solidFill>
            <w14:schemeClr w14:val="lt1"/>
          </w14:solidFill>
        </w14:textFill>
      </w:rPr>
      <w:tcPr>
        <w:tcBorders>
          <w:left w:val="single" w:color="7CDED6" w:themeColor="accent5" w:themeTint="9A" w:sz="32" w:space="0"/>
          <w:right w:val="single" w:color="CAEACE" w:themeColor="light1" w:sz="4" w:space="0"/>
        </w:tcBorders>
      </w:tcPr>
    </w:tblStylePr>
    <w:tblStylePr w:type="firstRow">
      <w:rPr>
        <w:rFonts w:ascii="Arial" w:hAnsi="Arial"/>
        <w:b/>
        <w:color w:val="caeace"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CAEACE" w:themeColor="light1" w:sz="12" w:space="0"/>
        </w:tcBorders>
      </w:tcPr>
    </w:tblStylePr>
    <w:tblStylePr w:type="lastCol">
      <w:tcPr>
        <w:tcBorders>
          <w:left w:val="single" w:color="CAEACE" w:themeColor="light1" w:sz="4" w:space="0"/>
          <w:right w:val="single" w:color="7CDED6" w:themeColor="accent5" w:themeTint="9A" w:sz="32" w:space="0"/>
        </w:tcBorders>
      </w:tcPr>
    </w:tblStylePr>
    <w:tblStylePr w:type="lastRow">
      <w:rPr>
        <w:rFonts w:ascii="Arial" w:hAnsi="Arial"/>
        <w:b/>
        <w:color w:val="caeace" w:themeColor="light1"/>
        <w:sz w:val="22"/>
        <w14:textFill>
          <w14:solidFill>
            <w14:schemeClr w14:val="lt1"/>
          </w14:solidFill>
        </w14:textFill>
      </w:rPr>
    </w:tblStylePr>
  </w:style>
  <w:style w:type="table" w:styleId="790" w:customStyle="1">
    <w:name w:val="List Table 5 Dark - Accent 6"/>
    <w:basedOn w:val="653"/>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CAEACE" w:themeColor="light1" w:sz="4" w:space="0"/>
          <w:bottom w:val="single" w:color="CAEACE" w:themeColor="light1" w:sz="4" w:space="0"/>
        </w:tcBorders>
      </w:tcPr>
    </w:tblStylePr>
    <w:tblStylePr w:type="band1Vert">
      <w:tcPr>
        <w:shd w:val="clear" w:color="ef949f" w:themeColor="accent6" w:themeTint="98" w:fill="ef949f" w:themeFill="accent6" w:themeFillTint="98"/>
        <w:tcBorders>
          <w:left w:val="single" w:color="CAEACE" w:themeColor="light1" w:sz="4" w:space="0"/>
          <w:right w:val="single" w:color="CAEACE" w:themeColor="light1" w:sz="4" w:space="0"/>
        </w:tcBorders>
      </w:tcPr>
    </w:tblStylePr>
    <w:tblStylePr w:type="band2Horz">
      <w:tcPr>
        <w:shd w:val="clear" w:color="ef949f" w:themeColor="accent6" w:themeTint="98" w:fill="ef949f" w:themeFill="accent6" w:themeFillTint="98"/>
        <w:tcBorders>
          <w:top w:val="single" w:color="CAEACE" w:themeColor="light1" w:sz="4" w:space="0"/>
          <w:bottom w:val="single" w:color="CAEACE" w:themeColor="light1" w:sz="4" w:space="0"/>
        </w:tcBorders>
      </w:tcPr>
    </w:tblStylePr>
    <w:tblStylePr w:type="band2Vert">
      <w:tcPr>
        <w:tcBorders>
          <w:left w:val="single" w:color="CAEACE" w:themeColor="light1" w:sz="4" w:space="0"/>
          <w:right w:val="single" w:color="CAEACE" w:themeColor="light1" w:sz="4" w:space="0"/>
        </w:tcBorders>
      </w:tcPr>
    </w:tblStylePr>
    <w:tblStylePr w:type="firstCol">
      <w:rPr>
        <w:rFonts w:ascii="Arial" w:hAnsi="Arial"/>
        <w:b/>
        <w:color w:val="caeace" w:themeColor="light1"/>
        <w:sz w:val="22"/>
        <w14:textFill>
          <w14:solidFill>
            <w14:schemeClr w14:val="lt1"/>
          </w14:solidFill>
        </w14:textFill>
      </w:rPr>
      <w:tcPr>
        <w:tcBorders>
          <w:left w:val="single" w:color="EF949F" w:themeColor="accent6" w:themeTint="98" w:sz="32" w:space="0"/>
          <w:right w:val="single" w:color="CAEACE" w:themeColor="light1" w:sz="4" w:space="0"/>
        </w:tcBorders>
      </w:tcPr>
    </w:tblStylePr>
    <w:tblStylePr w:type="firstRow">
      <w:rPr>
        <w:rFonts w:ascii="Arial" w:hAnsi="Arial"/>
        <w:b/>
        <w:color w:val="caeace"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CAEACE" w:themeColor="light1" w:sz="12" w:space="0"/>
        </w:tcBorders>
      </w:tcPr>
    </w:tblStylePr>
    <w:tblStylePr w:type="lastCol">
      <w:tcPr>
        <w:tcBorders>
          <w:left w:val="single" w:color="CAEACE" w:themeColor="light1" w:sz="4" w:space="0"/>
          <w:right w:val="single" w:color="EF949F" w:themeColor="accent6" w:themeTint="98" w:sz="32" w:space="0"/>
        </w:tcBorders>
      </w:tcPr>
    </w:tblStylePr>
    <w:tblStylePr w:type="lastRow">
      <w:rPr>
        <w:rFonts w:ascii="Arial" w:hAnsi="Arial"/>
        <w:b/>
        <w:color w:val="caeace" w:themeColor="light1"/>
        <w:sz w:val="22"/>
        <w14:textFill>
          <w14:solidFill>
            <w14:schemeClr w14:val="lt1"/>
          </w14:solidFill>
        </w14:textFill>
      </w:rPr>
    </w:tblStylePr>
  </w:style>
  <w:style w:type="table" w:styleId="791" w:customStyle="1">
    <w:name w:val="List Table 6 Colorful"/>
    <w:basedOn w:val="65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2" w:customStyle="1">
    <w:name w:val="List Table 6 Colorful - Accent 1"/>
    <w:basedOn w:val="653"/>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793" w:customStyle="1">
    <w:name w:val="List Table 6 Colorful - Accent 2"/>
    <w:basedOn w:val="653"/>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794" w:customStyle="1">
    <w:name w:val="List Table 6 Colorful - Accent 3"/>
    <w:basedOn w:val="653"/>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795" w:customStyle="1">
    <w:name w:val="List Table 6 Colorful - Accent 4"/>
    <w:basedOn w:val="653"/>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796" w:customStyle="1">
    <w:name w:val="List Table 6 Colorful - Accent 5"/>
    <w:basedOn w:val="653"/>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797" w:customStyle="1">
    <w:name w:val="List Table 6 Colorful - Accent 6"/>
    <w:basedOn w:val="653"/>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798" w:customStyle="1">
    <w:name w:val="List Table 7 Colorful"/>
    <w:basedOn w:val="65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caeace" w:themeColor="light1" w:fill="caeace"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caeace" w:themeColor="light1" w:fill="caeace"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List Table 7 Colorful - Accent 1"/>
    <w:basedOn w:val="653"/>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caeace" w:themeColor="light1" w:fill="caeace"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caeace" w:themeColor="light1" w:fill="caeace" w:themeFill="light1"/>
        <w:tcBorders>
          <w:top w:val="single" w:color="4874CB" w:themeColor="accent1" w:sz="4" w:space="0"/>
          <w:left w:val="none" w:color="000000" w:sz="4" w:space="0"/>
          <w:bottom w:val="none" w:color="000000" w:sz="4" w:space="0"/>
          <w:right w:val="none" w:color="000000" w:sz="4" w:space="0"/>
        </w:tcBorders>
      </w:tcPr>
    </w:tblStylePr>
  </w:style>
  <w:style w:type="table" w:styleId="800" w:customStyle="1">
    <w:name w:val="List Table 7 Colorful - Accent 2"/>
    <w:basedOn w:val="653"/>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caeace" w:themeColor="light1" w:fill="caeace"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caeace" w:themeColor="light1" w:fill="caeace"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01" w:customStyle="1">
    <w:name w:val="List Table 7 Colorful - Accent 3"/>
    <w:basedOn w:val="653"/>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caeace" w:themeColor="light1" w:fill="caeace"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caeace" w:themeColor="light1" w:fill="caeace"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02" w:customStyle="1">
    <w:name w:val="List Table 7 Colorful - Accent 4"/>
    <w:basedOn w:val="653"/>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caeace" w:themeColor="light1" w:fill="caeace"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caeace" w:themeColor="light1" w:fill="caeace"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03" w:customStyle="1">
    <w:name w:val="List Table 7 Colorful - Accent 5"/>
    <w:basedOn w:val="653"/>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caeace" w:themeColor="light1" w:fill="caeace"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caeace" w:themeColor="light1" w:fill="caeace"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04" w:customStyle="1">
    <w:name w:val="List Table 7 Colorful - Accent 6"/>
    <w:basedOn w:val="653"/>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caeace" w:themeColor="light1" w:fill="caeace"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caeace" w:themeColor="light1" w:fill="caeace"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05" w:customStyle="1">
    <w:name w:val="Lined - Accent"/>
    <w:basedOn w:val="6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6" w:customStyle="1">
    <w:name w:val="Lined - Accent 1"/>
    <w:basedOn w:val="6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07" w:customStyle="1">
    <w:name w:val="Lined - Accent 2"/>
    <w:basedOn w:val="6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08" w:customStyle="1">
    <w:name w:val="Lined - Accent 3"/>
    <w:basedOn w:val="6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09" w:customStyle="1">
    <w:name w:val="Lined - Accent 4"/>
    <w:basedOn w:val="6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10" w:customStyle="1">
    <w:name w:val="Lined - Accent 5"/>
    <w:basedOn w:val="6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11" w:customStyle="1">
    <w:name w:val="Lined - Accent 6"/>
    <w:basedOn w:val="6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12" w:customStyle="1">
    <w:name w:val="Bordered &amp; Lined - Accent"/>
    <w:basedOn w:val="65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3" w:customStyle="1">
    <w:name w:val="Bordered &amp; Lined - Accent 1"/>
    <w:basedOn w:val="653"/>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14" w:customStyle="1">
    <w:name w:val="Bordered &amp; Lined - Accent 2"/>
    <w:basedOn w:val="653"/>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15" w:customStyle="1">
    <w:name w:val="Bordered &amp; Lined - Accent 3"/>
    <w:basedOn w:val="653"/>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16" w:customStyle="1">
    <w:name w:val="Bordered &amp; Lined - Accent 4"/>
    <w:basedOn w:val="653"/>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17" w:customStyle="1">
    <w:name w:val="Bordered &amp; Lined - Accent 5"/>
    <w:basedOn w:val="653"/>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18" w:customStyle="1">
    <w:name w:val="Bordered &amp; Lined - Accent 6"/>
    <w:basedOn w:val="653"/>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19" w:customStyle="1">
    <w:name w:val="Bordered"/>
    <w:basedOn w:val="65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0" w:customStyle="1">
    <w:name w:val="Bordered - Accent 1"/>
    <w:basedOn w:val="65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21" w:customStyle="1">
    <w:name w:val="Bordered - Accent 2"/>
    <w:basedOn w:val="65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22" w:customStyle="1">
    <w:name w:val="Bordered - Accent 3"/>
    <w:basedOn w:val="65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23" w:customStyle="1">
    <w:name w:val="Bordered - Accent 4"/>
    <w:basedOn w:val="65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24" w:customStyle="1">
    <w:name w:val="Bordered - Accent 5"/>
    <w:basedOn w:val="65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25" w:customStyle="1">
    <w:name w:val="Bordered - Accent 6"/>
    <w:basedOn w:val="65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26" w:customStyle="1">
    <w:name w:val="Footnote Text Char"/>
    <w:link w:val="670"/>
    <w:uiPriority w:val="99"/>
    <w:qFormat/>
    <w:rPr>
      <w:sz w:val="18"/>
    </w:rPr>
  </w:style>
  <w:style w:type="character" w:styleId="827" w:customStyle="1">
    <w:name w:val="Endnote Text Char"/>
    <w:link w:val="663"/>
    <w:uiPriority w:val="99"/>
    <w:qFormat/>
    <w:rPr>
      <w:sz w:val="20"/>
    </w:rPr>
  </w:style>
  <w:style w:type="paragraph" w:styleId="828" w:customStyle="1">
    <w:name w:val="TOC Heading"/>
    <w:uiPriority w:val="39"/>
    <w:unhideWhenUsed/>
    <w:qFormat/>
    <w:rPr>
      <w:rFonts w:hint="default" w:ascii="Times New Roman" w:hAnsi="Times New Roman" w:eastAsia="宋体" w:cs="Times New Roman"/>
    </w:rPr>
  </w:style>
  <w:style w:type="paragraph" w:styleId="829" w:customStyle="1">
    <w:name w:val="reader-word-layer"/>
    <w:basedOn w:val="642"/>
    <w:uiPriority w:val="0"/>
    <w:qFormat/>
    <w:pPr>
      <w:jc w:val="left"/>
      <w:spacing w:before="100" w:beforeAutospacing="1" w:after="100" w:afterAutospacing="1"/>
      <w:widowControl/>
    </w:pPr>
    <w:rPr>
      <w:rFonts w:ascii="宋体" w:hAnsi="宋体" w:cs="宋体"/>
      <w:sz w:val="24"/>
      <w:szCs w:val="24"/>
    </w:rPr>
  </w:style>
  <w:style w:type="paragraph" w:styleId="830" w:customStyle="1">
    <w:name w:val="正文文本缩进 21"/>
    <w:basedOn w:val="642"/>
    <w:uiPriority w:val="0"/>
    <w:qFormat/>
    <w:pPr>
      <w:ind w:left="630" w:firstLine="645"/>
    </w:pPr>
    <w:rPr>
      <w:rFonts w:ascii="Arial" w:hAnsi="Arial" w:eastAsia="仿宋_GB2312"/>
      <w:sz w:val="32"/>
      <w:szCs w:val="32"/>
    </w:rPr>
  </w:style>
  <w:style w:type="paragraph" w:styleId="831" w:customStyle="1">
    <w:name w:val="BodyText1I21"/>
    <w:basedOn w:val="832"/>
    <w:uiPriority w:val="0"/>
    <w:qFormat/>
    <w:pPr>
      <w:ind w:firstLine="200"/>
    </w:pPr>
  </w:style>
  <w:style w:type="paragraph" w:styleId="832" w:customStyle="1">
    <w:name w:val="BodyTextIndent1"/>
    <w:basedOn w:val="642"/>
    <w:uiPriority w:val="0"/>
    <w:qFormat/>
    <w:pPr>
      <w:ind w:left="420"/>
      <w:spacing w:after="120"/>
    </w:pPr>
  </w:style>
  <w:style w:type="paragraph" w:styleId="833" w:customStyle="1">
    <w:name w:val="正文首行缩进 21"/>
    <w:basedOn w:val="834"/>
    <w:uiPriority w:val="99"/>
    <w:unhideWhenUsed/>
    <w:qFormat/>
    <w:pPr>
      <w:ind w:firstLine="200"/>
    </w:pPr>
  </w:style>
  <w:style w:type="paragraph" w:styleId="834" w:customStyle="1">
    <w:name w:val="正文文本缩进1"/>
    <w:basedOn w:val="642"/>
    <w:next w:val="835"/>
    <w:uiPriority w:val="0"/>
    <w:unhideWhenUsed/>
    <w:qFormat/>
    <w:pPr>
      <w:ind w:left="420"/>
      <w:spacing w:after="120"/>
    </w:pPr>
  </w:style>
  <w:style w:type="paragraph" w:styleId="835" w:customStyle="1">
    <w:name w:val="寄信人地址1"/>
    <w:basedOn w:val="642"/>
    <w:uiPriority w:val="0"/>
    <w:unhideWhenUsed/>
    <w:qFormat/>
    <w:rPr>
      <w:rFonts w:ascii="Arial" w:hAnsi="Arial"/>
    </w:rPr>
  </w:style>
  <w:style w:type="paragraph" w:styleId="836" w:customStyle="1">
    <w:name w:val="BodyText"/>
    <w:uiPriority w:val="0"/>
    <w:qFormat/>
    <w:pPr>
      <w:spacing w:after="120"/>
      <w:widowControl w:val="off"/>
    </w:pPr>
    <w:rPr>
      <w:rFonts w:hint="default" w:ascii="Calibri" w:hAnsi="宋体" w:eastAsia="宋体" w:cs="宋体"/>
      <w:szCs w:val="22"/>
      <w:lang w:val="en-US" w:eastAsia="zh-CN" w:bidi="ar-SA"/>
    </w:rPr>
  </w:style>
  <w:style w:type="character" w:styleId="837" w:customStyle="1">
    <w:name w:val="font41"/>
    <w:basedOn w:val="652"/>
    <w:uiPriority w:val="0"/>
    <w:qFormat/>
    <w:rPr>
      <w:rFonts w:hint="default" w:ascii="Saturday Sans Regular" w:hAnsi="Saturday Sans Regular" w:eastAsia="Saturday Sans Regular" w:cs="Saturday Sans Regular"/>
      <w:color w:val="000000"/>
      <w:sz w:val="18"/>
      <w:szCs w:val="18"/>
      <w:u w:val="none"/>
    </w:rPr>
  </w:style>
  <w:style w:type="character" w:styleId="838" w:customStyle="1">
    <w:name w:val="font31"/>
    <w:basedOn w:val="652"/>
    <w:uiPriority w:val="0"/>
    <w:qFormat/>
    <w:rPr>
      <w:rFonts w:hint="default" w:ascii="Cambria" w:hAnsi="Cambria" w:eastAsia="Cambria" w:cs="Cambria"/>
      <w:color w:val="000000"/>
      <w:sz w:val="18"/>
      <w:szCs w:val="18"/>
      <w:u w:val="none"/>
    </w:rPr>
  </w:style>
  <w:style w:type="character" w:styleId="839" w:customStyle="1">
    <w:name w:val="font21"/>
    <w:basedOn w:val="652"/>
    <w:uiPriority w:val="0"/>
    <w:qFormat/>
    <w:rPr>
      <w:rFonts w:hint="default" w:ascii="Cambria" w:hAnsi="Cambria" w:eastAsia="Cambria" w:cs="Cambria"/>
      <w:b/>
      <w:bCs/>
      <w:color w:val="000000"/>
      <w:sz w:val="20"/>
      <w:szCs w:val="20"/>
      <w:u w:val="none"/>
    </w:rPr>
  </w:style>
  <w:style w:type="character" w:styleId="840" w:customStyle="1">
    <w:name w:val="font51"/>
    <w:basedOn w:val="652"/>
    <w:uiPriority w:val="0"/>
    <w:qFormat/>
    <w:rPr>
      <w:rFonts w:hint="default" w:ascii="Saturday Sans Regular" w:hAnsi="Saturday Sans Regular" w:eastAsia="Saturday Sans Regular" w:cs="Saturday Sans Regular"/>
      <w:color w:val="000000"/>
      <w:sz w:val="18"/>
      <w:szCs w:val="18"/>
      <w:u w:val="none"/>
    </w:rPr>
  </w:style>
  <w:style w:type="character" w:styleId="841" w:customStyle="1">
    <w:name w:val="font01"/>
    <w:basedOn w:val="842"/>
    <w:uiPriority w:val="0"/>
    <w:qFormat/>
    <w:rPr>
      <w:sz w:val="21"/>
      <w:szCs w:val="24"/>
      <w:lang w:val="en-US" w:eastAsia="zh-CN" w:bidi="ar-SA"/>
    </w:rPr>
  </w:style>
  <w:style w:type="character" w:styleId="842" w:customStyle="1">
    <w:name w:val="默认段落字体1"/>
    <w:uiPriority w:val="1"/>
    <w:unhideWhenUsed/>
    <w:qFormat/>
  </w:style>
  <w:style w:type="paragraph" w:styleId="843" w:customStyle="1">
    <w:name w:val="2"/>
    <w:next w:val="642"/>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844" w:customStyle="1">
    <w:name w:val="Table Normal"/>
    <w:uiPriority w:val="0"/>
    <w:semiHidden/>
    <w:unhideWhenUsed/>
    <w:qFormat/>
    <w:tblPr>
      <w:tblCellMar>
        <w:left w:w="0" w:type="dxa"/>
        <w:top w:w="0" w:type="dxa"/>
        <w:right w:w="0" w:type="dxa"/>
        <w:bottom w:w="0" w:type="dxa"/>
      </w:tblCellMar>
    </w:tblPr>
  </w:style>
  <w:style w:type="paragraph" w:styleId="845" w:customStyle="1">
    <w:name w:val="正文文本1"/>
    <w:basedOn w:val="642"/>
    <w:next w:val="642"/>
    <w:uiPriority w:val="0"/>
    <w:qFormat/>
    <w:rPr>
      <w:rFonts w:ascii="金山简黑体" w:hAnsi="Courier New" w:eastAsia="金山简黑体"/>
      <w:b/>
      <w:spacing w:val="-8"/>
      <w:sz w:val="44"/>
      <w:szCs w:val="20"/>
    </w:rPr>
  </w:style>
  <w:style w:type="numbering" w:styleId="118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风之声1391741147</dc:creator>
  <cp:lastModifiedBy>万丽丽</cp:lastModifiedBy>
  <cp:revision>6</cp:revision>
  <dcterms:created xsi:type="dcterms:W3CDTF">2026-05-19T06:46:00Z</dcterms:created>
  <dcterms:modified xsi:type="dcterms:W3CDTF">2026-08-28T08:13:00Z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8744E3D68FC1415F9204AFE53A129DE6_13</vt:lpwstr>
  </property>
  <property fmtid="{D5CDD505-2E9C-101B-9397-08002B2CF9AE}" pid="4" name="KSOTemplateDocerSaveRecord">
    <vt:lpwstr>eyJoZGlkIjoiOTk4ZDg2NmU3YTRhODY5ZGMxNjM2NTkzYjIwZTkyZWUiLCJ1c2VySWQiOiI1NzU0MTI5ODYifQ==</vt:lpwstr>
  </property>
</Properties>
</file>