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 </w:t>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2026年度高管中心防撞车采购项目</w:t>
      </w:r>
      <w:r/>
    </w:p>
    <w:p>
      <w:pPr>
        <w:pStyle w:val="821"/>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宋体"/>
          <w:b/>
          <w:sz w:val="36"/>
          <w:szCs w:val="36"/>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val="en-US" w:eastAsia="zh-CN"/>
        </w:rPr>
        <w:tab/>
      </w:r>
      <w:r>
        <w:rPr>
          <w:rFonts w:hint="eastAsia" w:cs="宋体"/>
          <w:b/>
          <w:sz w:val="36"/>
          <w:szCs w:val="36"/>
          <w:highlight w:val="none"/>
          <w:lang w:eastAsia="zh-CN"/>
        </w:rPr>
        <w:t xml:space="preserve">JSZC-320000-JITC-G2026-0241</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98"/>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98"/>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98"/>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10"/>
          <w:footerReference w:type="default" r:id="rId14"/>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七</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531620161"/>
      <w:r/>
      <w:bookmarkStart w:id="1" w:name="_Toc80264696"/>
      <w:r/>
      <w:r/>
    </w:p>
    <w:p>
      <w:pPr>
        <w:ind w:left="535" w:hanging="321"/>
        <w:jc w:val="center"/>
        <w:spacing w:line="500" w:lineRule="exact"/>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500" w:lineRule="exac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目   录</w:t>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TOC \o "1-3" \h \z \u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_Toc1238130289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第一章 </w:t>
      </w:r>
      <w:r>
        <w:rPr>
          <w:rFonts w:hint="eastAsia" w:asciiTheme="minorEastAsia" w:hAnsiTheme="minorEastAsia" w:eastAsiaTheme="minorEastAsia" w:cstheme="minorEastAsia"/>
          <w:b/>
          <w:bCs/>
          <w:sz w:val="32"/>
          <w:szCs w:val="32"/>
          <w:highlight w:val="none"/>
        </w:rPr>
        <w:t xml:space="preserve">招标公告</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_Toc1238130289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1</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_Toc139227793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第二章 投标人须知</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_Toc139227793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_Toc1394563587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第三章 </w:t>
      </w:r>
      <w:r>
        <w:rPr>
          <w:rFonts w:hint="eastAsia" w:asciiTheme="minorEastAsia" w:hAnsiTheme="minorEastAsia" w:eastAsiaTheme="minorEastAsia" w:cstheme="minorEastAsia"/>
          <w:b/>
          <w:bCs/>
          <w:sz w:val="32"/>
          <w:szCs w:val="32"/>
          <w:highlight w:val="none"/>
          <w:lang w:val="zh-CN"/>
        </w:rPr>
        <w:t xml:space="preserve">合同主要条款及格式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_Toc1394563587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26</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_Toc1003598772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rPr>
        <w:t xml:space="preserve">第四章 </w:t>
      </w:r>
      <w:r>
        <w:rPr>
          <w:rFonts w:hint="eastAsia" w:asciiTheme="minorEastAsia" w:hAnsiTheme="minorEastAsia" w:eastAsiaTheme="minorEastAsia" w:cstheme="minorEastAsia"/>
          <w:b/>
          <w:bCs/>
          <w:sz w:val="32"/>
          <w:szCs w:val="32"/>
          <w:highlight w:val="none"/>
        </w:rPr>
        <w:t xml:space="preserve">采购需求</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_Toc1003598772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44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_Toc1147997466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lang w:val="en-US" w:eastAsia="zh-CN"/>
        </w:rPr>
        <w:t xml:space="preserve">第五章 </w:t>
      </w:r>
      <w:r>
        <w:rPr>
          <w:rFonts w:hint="eastAsia" w:asciiTheme="minorEastAsia" w:hAnsiTheme="minorEastAsia" w:eastAsiaTheme="minorEastAsia" w:cstheme="minorEastAsia"/>
          <w:b/>
          <w:bCs/>
          <w:sz w:val="32"/>
          <w:szCs w:val="32"/>
          <w:highlight w:val="none"/>
        </w:rPr>
        <w:t xml:space="preserve">评标方法与评标标准</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_Toc1147997466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50</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spacing w:line="480" w:lineRule="auto"/>
        <w:tabs>
          <w:tab w:val="right" w:pos="9710" w:leader="dot"/>
        </w:tabs>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HYPERLINK \l _Toc1400326414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第六章 投标文件格式</w:t>
      </w:r>
      <w:r>
        <w:rPr>
          <w:rFonts w:hint="eastAsia" w:asciiTheme="minorEastAsia" w:hAnsiTheme="minorEastAsia" w:eastAsiaTheme="minorEastAsia" w:cstheme="minorEastAsia"/>
          <w:b/>
          <w:bCs/>
          <w:sz w:val="32"/>
          <w:szCs w:val="32"/>
        </w:rPr>
        <w:tab/>
      </w:r>
      <w:r>
        <w:rPr>
          <w:rFonts w:hint="eastAsia" w:asciiTheme="minorEastAsia" w:hAnsiTheme="minorEastAsia" w:eastAsiaTheme="minorEastAsia" w:cstheme="minorEastAsia"/>
          <w:b/>
          <w:bCs/>
          <w:sz w:val="32"/>
          <w:szCs w:val="32"/>
        </w:rPr>
        <w:fldChar w:fldCharType="begin"/>
      </w:r>
      <w:r>
        <w:rPr>
          <w:rFonts w:hint="eastAsia" w:asciiTheme="minorEastAsia" w:hAnsiTheme="minorEastAsia" w:eastAsiaTheme="minorEastAsia" w:cstheme="minorEastAsia"/>
          <w:b/>
          <w:bCs/>
          <w:sz w:val="32"/>
          <w:szCs w:val="32"/>
        </w:rPr>
        <w:instrText xml:space="preserve"> PAGEREF _Toc1400326414 \h </w:instrText>
      </w:r>
      <w:r>
        <w:rPr>
          <w:rFonts w:hint="eastAsia" w:asciiTheme="minorEastAsia" w:hAnsiTheme="minorEastAsia" w:eastAsiaTheme="minorEastAsia" w:cstheme="minorEastAsia"/>
          <w:b/>
          <w:bCs/>
          <w:sz w:val="32"/>
          <w:szCs w:val="32"/>
        </w:rPr>
        <w:fldChar w:fldCharType="separate"/>
      </w:r>
      <w:r>
        <w:rPr>
          <w:rFonts w:hint="eastAsia" w:asciiTheme="minorEastAsia" w:hAnsiTheme="minorEastAsia" w:eastAsiaTheme="minorEastAsia" w:cstheme="minorEastAsia"/>
          <w:b/>
          <w:bCs/>
          <w:sz w:val="32"/>
          <w:szCs w:val="32"/>
        </w:rPr>
        <w:t xml:space="preserve">54</w:t>
      </w:r>
      <w:r>
        <w:rPr>
          <w:rFonts w:hint="eastAsia" w:asciiTheme="minorEastAsia" w:hAnsiTheme="minorEastAsia" w:eastAsiaTheme="minorEastAsia" w:cstheme="minorEastAsia"/>
          <w:b/>
          <w:bCs/>
          <w:sz w:val="32"/>
          <w:szCs w:val="32"/>
        </w:rPr>
        <w:fldChar w:fldCharType="end"/>
      </w:r>
      <w:r>
        <w:rPr>
          <w:rFonts w:hint="eastAsia" w:asciiTheme="minorEastAsia" w:hAnsiTheme="minorEastAsia" w:eastAsiaTheme="minorEastAsia" w:cstheme="minorEastAsia"/>
          <w:b/>
          <w:bCs/>
          <w:sz w:val="32"/>
          <w:szCs w:val="32"/>
          <w:highlight w:val="none"/>
        </w:rPr>
        <w:fldChar w:fldCharType="end"/>
      </w:r>
      <w:r/>
    </w:p>
    <w:p>
      <w:pPr>
        <w:pStyle w:val="828"/>
        <w:ind w:left="454" w:hanging="240"/>
        <w:spacing w:line="480" w:lineRule="auto"/>
        <w:tabs>
          <w:tab w:val="right" w:pos="8834" w:leader="dot"/>
        </w:tabs>
        <w:rPr>
          <w:rFonts w:hint="eastAsia" w:ascii="Times New Roman" w:hAnsi="Times New Roman" w:eastAsia="宋体"/>
          <w:b/>
          <w:sz w:val="21"/>
          <w:szCs w:val="22"/>
          <w:highlight w:val="none"/>
        </w:rPr>
      </w:pPr>
      <w:r>
        <w:rPr>
          <w:rFonts w:hint="eastAsia" w:asciiTheme="minorEastAsia" w:hAnsiTheme="minorEastAsia" w:eastAsiaTheme="minorEastAsia" w:cstheme="minorEastAsia"/>
          <w:b/>
          <w:bCs/>
          <w:sz w:val="32"/>
          <w:szCs w:val="32"/>
          <w:highlight w:val="none"/>
        </w:rPr>
        <w:fldChar w:fldCharType="end"/>
      </w:r>
      <w:bookmarkEnd w:id="0"/>
      <w:r/>
      <w:bookmarkEnd w:id="1"/>
      <w:r/>
      <w:r/>
    </w:p>
    <w:p>
      <w:pPr>
        <w:pStyle w:val="838"/>
        <w:numPr>
          <w:ilvl w:val="0"/>
          <w:numId w:val="2"/>
        </w:numPr>
        <w:ind w:left="535" w:hanging="321"/>
        <w:rPr>
          <w:rFonts w:ascii="Times New Roman" w:hAnsi="Times New Roman" w:eastAsia="宋体" w:cs="Microsoft New Tai Lue"/>
          <w:highlight w:val="none"/>
        </w:rPr>
        <w:sectPr>
          <w:headerReference w:type="default" r:id="rId11"/>
          <w:footerReference w:type="default" r:id="rId15"/>
          <w:footnotePr/>
          <w:endnotePr/>
          <w:type w:val="nextPage"/>
          <w:pgSz w:w="11910" w:h="16840" w:orient="portrait"/>
          <w:pgMar w:top="1270" w:right="1066" w:bottom="1123" w:left="1134" w:header="794" w:footer="1587" w:gutter="0"/>
          <w:cols w:num="1" w:sep="0" w:space="720" w:equalWidth="1"/>
          <w:docGrid w:linePitch="360"/>
        </w:sectPr>
      </w:pPr>
      <w:r/>
      <w:bookmarkStart w:id="2" w:name="_Toc80264697"/>
      <w:r/>
      <w:bookmarkStart w:id="3" w:name="_Toc80792688"/>
      <w:r/>
      <w:r/>
    </w:p>
    <w:p>
      <w:pPr>
        <w:pStyle w:val="838"/>
        <w:ind w:firstLine="420"/>
        <w:rPr>
          <w:rFonts w:ascii="Times New Roman" w:hAnsi="Times New Roman" w:eastAsia="宋体" w:cs="Microsoft New Tai Lue"/>
          <w:highlight w:val="none"/>
        </w:rPr>
      </w:pPr>
      <w:r/>
      <w:bookmarkStart w:id="4" w:name="_Toc1238130289"/>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4"/>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2026年度高管中心防撞车采购项目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08</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24</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14</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6347851"/>
      <w:r/>
      <w:bookmarkStart w:id="6" w:name="_Toc93909065"/>
      <w:r>
        <w:rPr>
          <w:rFonts w:ascii="Times New Roman" w:hAnsi="Times New Roman" w:eastAsia="宋体" w:cs="Microsoft New Tai Lue"/>
          <w:b/>
          <w:bCs/>
          <w:szCs w:val="44"/>
          <w:highlight w:val="none"/>
        </w:rPr>
        <w:t xml:space="preserve">一、项目</w:t>
      </w:r>
      <w:bookmarkEnd w:id="2"/>
      <w:r>
        <w:rPr>
          <w:rFonts w:ascii="Times New Roman" w:hAnsi="Times New Roman" w:eastAsia="宋体" w:cs="Microsoft New Tai Lue"/>
          <w:b/>
          <w:bCs/>
          <w:szCs w:val="44"/>
          <w:highlight w:val="none"/>
        </w:rPr>
        <w:t xml:space="preserve">基本情况</w:t>
      </w:r>
      <w:bookmarkEnd w:id="3"/>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JSZC-320000-JITC-G2026-0241</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2026年度高管中心防撞车采购项目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215</w:t>
      </w:r>
      <w:r>
        <w:rPr>
          <w:rFonts w:hint="eastAsia" w:ascii="Times New Roman" w:hAnsi="Times New Roman" w:eastAsia="宋体" w:cs="Microsoft New Tai Lue"/>
          <w:bCs/>
          <w:szCs w:val="21"/>
          <w:highlight w:val="none"/>
          <w:lang w:val="en-US" w:eastAsia="zh-CN"/>
        </w:rPr>
        <w:t xml:space="preserve">万</w:t>
      </w:r>
      <w:r>
        <w:rPr>
          <w:rFonts w:hint="eastAsia" w:ascii="Times New Roman" w:hAnsi="Times New Roman" w:eastAsia="宋体"/>
          <w:highlight w:val="none"/>
        </w:rPr>
        <w:t xml:space="preserve">元</w:t>
      </w:r>
      <w:r>
        <w:rPr>
          <w:rFonts w:hint="eastAsia" w:ascii="Times New Roman" w:hAnsi="Times New Roman"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w:t>
      </w:r>
      <w:r>
        <w:rPr>
          <w:rFonts w:hint="eastAsia" w:cs="Microsoft New Tai Lue"/>
          <w:bCs/>
          <w:szCs w:val="21"/>
          <w:highlight w:val="none"/>
          <w:lang w:val="en-US" w:eastAsia="zh-CN"/>
        </w:rPr>
        <w:t xml:space="preserve">投标</w:t>
      </w:r>
      <w:r>
        <w:rPr>
          <w:rFonts w:hint="eastAsia" w:ascii="Times New Roman" w:hAnsi="Times New Roman" w:eastAsia="宋体" w:cs="Microsoft New Tai Lue"/>
          <w:bCs/>
          <w:szCs w:val="21"/>
          <w:highlight w:val="none"/>
        </w:rPr>
        <w:t xml:space="preserve">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w:t>
      </w:r>
      <w:r>
        <w:rPr>
          <w:rFonts w:hint="eastAsia"/>
          <w:highlight w:val="none"/>
          <w:lang w:val="en-US" w:eastAsia="zh-CN"/>
        </w:rPr>
        <w:t xml:space="preserve">215</w:t>
      </w:r>
      <w:r>
        <w:rPr>
          <w:rFonts w:hint="eastAsia" w:ascii="Times New Roman" w:hAnsi="Times New Roman" w:eastAsia="宋体"/>
          <w:highlight w:val="none"/>
          <w:lang w:val="en-US" w:eastAsia="zh-CN"/>
        </w:rPr>
        <w:t xml:space="preserve">万元</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供应商的投标报价总额超过招标人设置的最高投标限价的（不含上限值），否决其投标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1.5采购需求：具体详见采购文件第四章采购需求有关要求。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1.6交货时间：接到采购人订单</w:t>
      </w:r>
      <w:r>
        <w:rPr>
          <w:rFonts w:hint="eastAsia" w:ascii="Times New Roman" w:hAnsi="Times New Roman" w:eastAsia="宋体" w:cs="Microsoft New Tai Lue"/>
          <w:bCs/>
          <w:szCs w:val="21"/>
          <w:highlight w:val="none"/>
          <w:lang w:val="en-US" w:eastAsia="zh-CN"/>
        </w:rPr>
        <w:t xml:space="preserve">60</w:t>
      </w:r>
      <w:r>
        <w:rPr>
          <w:rFonts w:hint="eastAsia" w:ascii="Times New Roman" w:hAnsi="Times New Roman" w:eastAsia="宋体" w:cs="Microsoft New Tai Lue"/>
          <w:bCs/>
          <w:szCs w:val="21"/>
          <w:highlight w:val="none"/>
        </w:rPr>
        <w:t xml:space="preserve">日内完成供货。</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264699"/>
      <w:r/>
      <w:bookmarkStart w:id="12" w:name="_Toc96347853"/>
      <w:r/>
      <w:bookmarkStart w:id="13" w:name="_Toc93909067"/>
      <w:r/>
      <w:bookmarkStart w:id="14" w:name="_Toc80792690"/>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2.1.1具有独立承担民事责任的能力（提供法人或者其他组织的营业执照；供应商为自然人的，提供其身份证）</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2.1.2具有良好的商业信誉和健全的财务会计制度（提供2024年度或2025年度经审计的财务报告，或投标截止时间前六个月内银行出具的资信证明，或财政部门认可的政府采购专业担保机构出具的投标担保函）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lang w:eastAsia="zh-CN"/>
        </w:rPr>
        <w:t xml:space="preserve">；</w:t>
      </w:r>
      <w:r/>
    </w:p>
    <w:p>
      <w:pPr>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ascii="Times New Roman" w:hAnsi="Times New Roman" w:eastAsia="宋体"/>
          <w:b w:val="0"/>
          <w:bCs w:val="0"/>
          <w:szCs w:val="21"/>
          <w:highlight w:val="none"/>
          <w:lang w:val="en-US" w:eastAsia="zh-CN"/>
        </w:rPr>
        <w:t xml:space="preserve">2.1.3具有履行合同所必需的设备和专业技术能力，提供具备履行合同所必需的设备和专业技术能力的证明材料或承诺函。</w:t>
      </w:r>
      <w:r/>
    </w:p>
    <w:p>
      <w:pPr>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4</w:t>
      </w:r>
      <w:r>
        <w:rPr>
          <w:rFonts w:hint="eastAsia" w:ascii="Times New Roman" w:hAnsi="Times New Roman" w:eastAsia="宋体" w:cs="宋体"/>
          <w:bCs/>
          <w:szCs w:val="21"/>
          <w:highlight w:val="none"/>
        </w:rPr>
        <w:t xml:space="preserve">有依法缴纳税收和社会保障资金的良好记录（提供参加本次政府采购活动前半年内（即2025年12月（含）以来）至少一个月缴纳增值税，或营业税，或企业所得税的凭据；并提供缴纳社会保险的凭据（专用收据或社会保险缴纳清单）</w:t>
      </w:r>
      <w:r>
        <w:rPr>
          <w:rFonts w:hint="eastAsia" w:ascii="Times New Roman" w:hAnsi="Times New Roman" w:eastAsia="宋体" w:cs="宋体"/>
          <w:bCs/>
          <w:szCs w:val="21"/>
          <w:highlight w:val="none"/>
          <w:lang w:eastAsia="zh-CN"/>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6</w:t>
      </w:r>
      <w:r>
        <w:rPr>
          <w:rFonts w:hint="eastAsia" w:ascii="Times New Roman" w:hAnsi="Times New Roman" w:eastAsia="宋体" w:cs="宋体"/>
          <w:bCs/>
          <w:szCs w:val="21"/>
          <w:highlight w:val="none"/>
        </w:rPr>
        <w:t xml:space="preserve">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lang w:val="en-US" w:eastAsia="zh-CN"/>
        </w:rPr>
        <w:t xml:space="preserve">拟供货车辆已经纳入国家工信部《道路机动车辆生产企业及产品公告》内。</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264700"/>
      <w:r/>
      <w:bookmarkStart w:id="16" w:name="_Toc80792691"/>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ascii="Times New Roman" w:hAnsi="Times New Roman" w:eastAsia="宋体" w:cs="Microsoft New Tai Lue"/>
          <w:bCs/>
          <w:szCs w:val="21"/>
          <w:highlight w:val="none"/>
        </w:rPr>
      </w:pPr>
      <w:r/>
      <w:bookmarkStart w:id="19" w:name="_Toc80792693"/>
      <w:r/>
      <w:bookmarkStart w:id="20" w:name="_Toc93909069"/>
      <w:r/>
      <w:bookmarkStart w:id="21" w:name="_Toc96347855"/>
      <w:r>
        <w:rPr>
          <w:rFonts w:hint="eastAsia" w:ascii="Times New Roman" w:hAnsi="Times New Roman" w:eastAsia="宋体" w:cs="Microsoft New Tai Lue"/>
          <w:bCs/>
          <w:szCs w:val="21"/>
          <w:highlight w:val="none"/>
        </w:rPr>
        <w:t xml:space="preserve">提交投标文件截止时间、开标时间：</w:t>
      </w:r>
      <w:bookmarkStart w:id="478" w:name="_GoBack"/>
      <w:r>
        <w:rPr>
          <w:rFonts w:hint="eastAsia" w:ascii="Times New Roman" w:hAnsi="Times New Roman" w:eastAsia="宋体" w:cs="Microsoft New Tai Lue"/>
          <w:bCs/>
          <w:szCs w:val="21"/>
          <w:highlight w:val="none"/>
        </w:rPr>
        <w:t xml:space="preserve">2026</w:t>
      </w:r>
      <w:bookmarkEnd w:id="478"/>
      <w:r>
        <w:rPr>
          <w:rFonts w:hint="eastAsia" w:ascii="Times New Roman" w:hAnsi="Times New Roman" w:eastAsia="宋体" w:cs="Microsoft New Tai Lue"/>
          <w:bCs/>
          <w:szCs w:val="21"/>
          <w:highlight w:val="none"/>
        </w:rPr>
        <w:t xml:space="preserve">年</w:t>
      </w:r>
      <w:r>
        <w:rPr>
          <w:rFonts w:hint="eastAsia" w:cs="Microsoft New Tai Lue"/>
          <w:bCs/>
          <w:szCs w:val="21"/>
          <w:highlight w:val="none"/>
          <w:lang w:val="en-US" w:eastAsia="zh-CN"/>
        </w:rPr>
        <w:t xml:space="preserve"> 08</w:t>
      </w:r>
      <w:r>
        <w:rPr>
          <w:rFonts w:hint="eastAsia" w:ascii="Times New Roman" w:hAnsi="Times New Roman" w:eastAsia="宋体" w:cs="Microsoft New Tai Lue"/>
          <w:bCs/>
          <w:szCs w:val="21"/>
          <w:highlight w:val="none"/>
        </w:rPr>
        <w:t xml:space="preserve">月</w:t>
      </w:r>
      <w:r>
        <w:rPr>
          <w:rFonts w:hint="eastAsia" w:cs="Microsoft New Tai Lue"/>
          <w:bCs/>
          <w:szCs w:val="21"/>
          <w:highlight w:val="none"/>
          <w:lang w:val="en-US" w:eastAsia="zh-CN"/>
        </w:rPr>
        <w:t xml:space="preserve">24</w:t>
      </w:r>
      <w:r>
        <w:rPr>
          <w:rFonts w:hint="eastAsia" w:ascii="Times New Roman" w:hAnsi="Times New Roman" w:eastAsia="宋体" w:cs="Microsoft New Tai Lue"/>
          <w:bCs/>
          <w:szCs w:val="21"/>
          <w:highlight w:val="none"/>
        </w:rPr>
        <w:t xml:space="preserve">日</w:t>
      </w:r>
      <w:r>
        <w:rPr>
          <w:rFonts w:hint="eastAsia" w:cs="Microsoft New Tai Lue"/>
          <w:bCs/>
          <w:szCs w:val="21"/>
          <w:highlight w:val="none"/>
          <w:lang w:val="en-US" w:eastAsia="zh-CN"/>
        </w:rPr>
        <w:t xml:space="preserve">14</w:t>
      </w:r>
      <w:r>
        <w:rPr>
          <w:rFonts w:hint="eastAsia" w:ascii="Times New Roman" w:hAnsi="Times New Roman" w:eastAsia="宋体" w:cs="Microsoft New Tai Lue"/>
          <w:bCs/>
          <w:szCs w:val="21"/>
          <w:highlight w:val="none"/>
        </w:rPr>
        <w:t xml:space="preserve">：30（北京时间）</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792694"/>
      <w:r/>
      <w:bookmarkStart w:id="25" w:name="_Toc80264702"/>
      <w:r/>
      <w:bookmarkStart w:id="26" w:name="_Toc93909071"/>
      <w:r/>
      <w:bookmarkStart w:id="27" w:name="_Toc96347857"/>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）《国务院办公厅关于在政府采购中实施本国产品标准及相关政策的通知》、关于贯彻落实《国务院办公厅关于在政府采购中实施本国产品标准及相关政策的通知》的意见</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3.投标人应当按照公告 三、获取招标文件中的规定合法获得招标项目的招标文件。</w:t>
      </w:r>
      <w:r>
        <w:rPr>
          <w:rFonts w:hint="eastAsia" w:ascii="Times New Roman" w:hAnsi="Times New Roman" w:eastAsia="宋体" w:cs="Microsoft New Tai Lue"/>
          <w:bCs/>
          <w:szCs w:val="21"/>
          <w:highlight w:val="none"/>
          <w:lang w:eastAsia="zh-CN"/>
        </w:rPr>
        <w:t xml:space="preserve">本次招标请按“标段”获取招标文件，编制、提交投标文件，并按“标段”开标、评标。</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名 称：江苏省高速公路经营管理中心</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地址：南京市鼓楼区江苏路60-1号</w:t>
      </w:r>
      <w:r/>
    </w:p>
    <w:p>
      <w:pPr>
        <w:ind w:left="214" w:firstLine="420"/>
        <w:spacing w:line="400" w:lineRule="exact"/>
        <w:rPr>
          <w:rFonts w:hint="eastAsia" w:ascii="Times New Roman" w:hAnsi="Times New Roman" w:eastAsia="宋体"/>
          <w:highlight w:val="none"/>
          <w:lang w:eastAsia="zh-CN"/>
        </w:rPr>
      </w:pPr>
      <w:r>
        <w:rPr>
          <w:rFonts w:hint="eastAsia" w:ascii="Times New Roman" w:hAnsi="Times New Roman" w:eastAsia="宋体"/>
          <w:highlight w:val="none"/>
        </w:rPr>
        <w:t xml:space="preserve">联系方式：025-</w:t>
      </w:r>
      <w:r>
        <w:rPr>
          <w:rFonts w:hint="eastAsia"/>
          <w:highlight w:val="none"/>
          <w:lang w:eastAsia="zh-CN"/>
        </w:rPr>
        <w:t xml:space="preserve">83277212</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val="en-US" w:eastAsia="zh-CN"/>
        </w:rPr>
        <w:t xml:space="preserve">马继烨</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r/>
    </w:p>
    <w:p>
      <w:pPr>
        <w:pStyle w:val="838"/>
        <w:rPr>
          <w:rFonts w:ascii="Times New Roman" w:hAnsi="Times New Roman" w:eastAsia="宋体" w:cs="Microsoft New Tai Lue"/>
          <w:highlight w:val="none"/>
        </w:rPr>
      </w:pPr>
      <w:r/>
      <w:bookmarkStart w:id="29" w:name="_Toc71561877"/>
      <w:r/>
      <w:bookmarkStart w:id="30" w:name="_Toc80264704"/>
      <w:r>
        <w:rPr>
          <w:rFonts w:ascii="Times New Roman" w:hAnsi="Times New Roman" w:eastAsia="宋体" w:cs="Microsoft New Tai Lue"/>
          <w:highlight w:val="none"/>
        </w:rPr>
        <w:br w:type="page" w:clear="all"/>
      </w:r>
      <w:bookmarkEnd w:id="29"/>
      <w:r/>
      <w:bookmarkEnd w:id="30"/>
      <w:r/>
      <w:bookmarkStart w:id="31" w:name="_Toc139227793"/>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8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5"/>
        <w:gridCol w:w="5230"/>
      </w:tblGrid>
      <w:tr>
        <w:trPr>
          <w:jc w:val="center"/>
        </w:trPr>
        <w:tc>
          <w:tcPr>
            <w:tcW w:w="400"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ascii="Times New Roman" w:hAnsi="Times New Roman" w:eastAsia="宋体"/>
                <w:highlight w:val="none"/>
              </w:rPr>
              <w:t xml:space="preserve">025-</w:t>
            </w:r>
            <w:r>
              <w:rPr>
                <w:rFonts w:hint="eastAsia"/>
                <w:highlight w:val="none"/>
                <w:lang w:eastAsia="zh-CN"/>
              </w:rPr>
              <w:t xml:space="preserve">83277212</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1036"/>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eastAsia="宋体" w:cs="Microsoft New Tai Lue"/>
                <w:sz w:val="21"/>
                <w:szCs w:val="21"/>
                <w:highlight w:val="none"/>
                <w:lang w:val="en-US" w:eastAsia="zh-CN" w:bidi="ar-SA"/>
              </w:rPr>
              <w:t xml:space="preserve">、宗超</w:t>
            </w:r>
            <w:r/>
          </w:p>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default" w:ascii="Times New Roman" w:hAnsi="Times New Roman" w:eastAsia="宋体" w:cs="Microsoft New Tai Lue"/>
                <w:bCs/>
                <w:sz w:val="21"/>
                <w:highlight w:val="none"/>
                <w:lang w:val="en-US" w:eastAsia="zh-CN"/>
              </w:rPr>
            </w:pPr>
            <w:r>
              <w:rPr>
                <w:rFonts w:hint="eastAsia" w:ascii="Times New Roman" w:hAnsi="Times New Roman" w:eastAsia="宋体" w:cs="Microsoft New Tai Lue"/>
                <w:bCs/>
                <w:sz w:val="21"/>
                <w:highlight w:val="none"/>
                <w:lang w:val="en-US" w:eastAsia="zh-CN"/>
              </w:rPr>
              <w:t xml:space="preserve">皮卡防撞车</w:t>
            </w:r>
            <w:r/>
          </w:p>
        </w:tc>
      </w:tr>
      <w:tr>
        <w:trPr>
          <w:jc w:val="center"/>
          <w:trHeight w:val="478"/>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bCs/>
                <w:highlight w:val="none"/>
                <w:u w:val="single"/>
                <w:lang w:eastAsia="zh-CN"/>
              </w:rPr>
              <w:t xml:space="preserve">lmh@jstcc.cn</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847"/>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847"/>
                <w:rFonts w:hint="eastAsia" w:ascii="Times New Roman" w:hAnsi="Times New Roman" w:cs="Microsoft New Tai Lue"/>
                <w:bCs/>
                <w:highlight w:val="none"/>
                <w:u w:val="single"/>
                <w:lang w:eastAsia="zh-CN"/>
              </w:rPr>
              <w:t xml:space="preserve">lmh@jstcc.cn</w:t>
            </w:r>
            <w:r>
              <w:rPr>
                <w:rStyle w:val="847"/>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1945"/>
        </w:trPr>
        <w:tc>
          <w:tcPr>
            <w:tcW w:w="400" w:type="pct"/>
            <w:vAlign w:val="center"/>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 xml:space="preserve">2</w:t>
            </w:r>
            <w:r>
              <w:rPr>
                <w:rFonts w:hint="eastAsia" w:ascii="Times New Roman" w:hAnsi="Times New Roman" w:eastAsia="宋体" w:cs="Microsoft New Tai Lue"/>
                <w:bCs/>
                <w:highlight w:val="none"/>
              </w:rPr>
              <w:t xml:space="preserve">万元/标段的，按2万元/标段收取。专家评审费按《关于规范江苏省政府采购专家评审费标准的通知》（苏财购〔2016〕48号）执行，一般按半天计取，其中“1+4”模式按2000元扣除，“0+5”模式按2500元扣除。</w:t>
            </w:r>
            <w:r/>
          </w:p>
          <w:p>
            <w:pPr>
              <w:pStyle w:val="821"/>
              <w:ind w:left="42" w:right="42" w:firstLine="0"/>
              <w:keepLines w:val="0"/>
              <w:keepNext w:val="0"/>
              <w:pageBreakBefore w:val="0"/>
              <w:spacing w:before="58" w:after="58" w:line="288" w:lineRule="auto"/>
              <w:widowControl w:val="off"/>
              <w:rPr>
                <w:rFonts w:hint="eastAsia" w:ascii="Times New Roman" w:hAnsi="Times New Roman" w:cs="Microsoft New Tai Lue"/>
                <w:bCs/>
                <w:highlight w:val="none"/>
                <w:lang w:val="en-US" w:eastAsia="zh-CN"/>
              </w:rPr>
            </w:pPr>
            <w:r>
              <w:rPr>
                <w:rFonts w:hint="eastAsia" w:ascii="Times New Roman" w:hAnsi="Times New Roman" w:eastAsia="宋体" w:cs="Microsoft New Tai Lue"/>
                <w:bCs/>
                <w:highlight w:val="none"/>
              </w:rPr>
              <w:t xml:space="preserve">本项目采购代理服务费为人民币</w:t>
            </w:r>
            <w:r>
              <w:rPr>
                <w:rFonts w:hint="eastAsia" w:ascii="Times New Roman" w:hAnsi="Times New Roman" w:cs="Microsoft New Tai Lue"/>
                <w:bCs/>
                <w:highlight w:val="none"/>
                <w:lang w:val="en-US" w:eastAsia="zh-CN"/>
              </w:rPr>
              <w:t xml:space="preserve">19,620</w:t>
            </w:r>
            <w:r>
              <w:rPr>
                <w:rFonts w:hint="eastAsia" w:ascii="Times New Roman" w:hAnsi="Times New Roman" w:eastAsia="宋体" w:cs="Microsoft New Tai Lue"/>
                <w:bCs/>
                <w:highlight w:val="none"/>
              </w:rPr>
              <w:t xml:space="preserve">元（大写：壹万玖仟陆佰贰拾元整</w:t>
            </w:r>
            <w:r>
              <w:rPr>
                <w:rFonts w:hint="eastAsia" w:ascii="Times New Roman" w:hAnsi="Times New Roman" w:cs="Microsoft New Tai Lue"/>
                <w:bCs/>
                <w:highlight w:val="none"/>
                <w:lang w:val="en-US" w:eastAsia="zh-CN"/>
              </w:rPr>
              <w:t xml:space="preserve">）</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中标供应商在领取中标通知书前，一次性向采购代理机构支付。</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400" w:type="pct"/>
            <w:vAlign w:val="center"/>
            <w:vMerge w:val="restart"/>
            <w:textDirection w:val="lrTb"/>
            <w:noWrap w:val="false"/>
          </w:tcPr>
          <w:p>
            <w:pPr>
              <w:pStyle w:val="1031"/>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val="en-US" w:eastAsia="zh-CN"/>
              </w:rPr>
            </w:pPr>
            <w:r>
              <w:rPr>
                <w:rFonts w:hint="eastAsia" w:ascii="Times New Roman" w:hAnsi="Times New Roman" w:eastAsia="宋体" w:cs="Microsoft New Tai Lue"/>
                <w:highlight w:val="none"/>
              </w:rPr>
              <w:t xml:space="preserve">采购项目类型：</w:t>
            </w:r>
            <w:r>
              <w:rPr>
                <w:rFonts w:hint="eastAsia" w:ascii="Times New Roman" w:hAnsi="Times New Roman" w:cs="Microsoft New Tai Lue"/>
                <w:highlight w:val="none"/>
                <w:lang w:val="en-US" w:eastAsia="zh-CN"/>
              </w:rPr>
              <w:t xml:space="preserve">货物</w:t>
            </w:r>
            <w:r/>
          </w:p>
        </w:tc>
      </w:tr>
      <w:tr>
        <w:trPr>
          <w:jc w:val="center"/>
          <w:trHeight w:val="552"/>
        </w:trPr>
        <w:tc>
          <w:tcPr>
            <w:tcW w:w="400"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2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工业</w:t>
            </w:r>
            <w:r/>
          </w:p>
        </w:tc>
      </w:tr>
      <w:tr>
        <w:trPr>
          <w:jc w:val="center"/>
          <w:trHeight w:val="656"/>
        </w:trPr>
        <w:tc>
          <w:tcPr>
            <w:tcW w:w="400"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eastAsia="宋体" w:cs="Microsoft New Tai Lue"/>
                <w:b/>
                <w:bCs w:val="0"/>
                <w:sz w:val="21"/>
                <w:highlight w:val="none"/>
                <w:lang w:eastAsia="zh-CN"/>
              </w:rPr>
              <w:t xml:space="preserve">：</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tc>
      </w:tr>
      <w:tr>
        <w:trPr>
          <w:jc w:val="center"/>
          <w:trHeight w:val="656"/>
        </w:trPr>
        <w:tc>
          <w:tcPr>
            <w:tcW w:w="400"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对本国产品的支持政策：</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val="0"/>
                <w:bCs/>
                <w:sz w:val="21"/>
                <w:highlight w:val="none"/>
              </w:rPr>
            </w:pPr>
            <w:r>
              <w:rPr>
                <w:rFonts w:hint="eastAsia" w:ascii="Times New Roman" w:hAnsi="Times New Roman" w:eastAsia="宋体" w:cs="Microsoft New Tai Lue"/>
                <w:b w:val="0"/>
                <w:bCs/>
                <w:sz w:val="21"/>
                <w:highlight w:val="none"/>
              </w:rPr>
              <w:t xml:space="preserve">注：</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rPr>
            </w:pPr>
            <w:r>
              <w:rPr>
                <w:rFonts w:hint="eastAsia" w:ascii="Times New Roman" w:hAnsi="Times New Roman" w:eastAsia="宋体" w:cs="Microsoft New Tai Lue"/>
                <w:b/>
                <w:bCs w:val="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
                <w:bCs w:val="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400"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031"/>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03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03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4560837"/>
      <w:r/>
      <w:bookmarkStart w:id="33" w:name="_Toc103848526"/>
      <w:r/>
      <w:bookmarkStart w:id="34" w:name="_Toc107246213"/>
      <w:r/>
      <w:bookmarkStart w:id="35" w:name="_Toc100905199"/>
      <w:r>
        <w:rPr>
          <w:rFonts w:ascii="Times New Roman" w:hAnsi="Times New Roman" w:eastAsia="宋体" w:cs="Microsoft New Tai Lue"/>
          <w:highlight w:val="none"/>
        </w:rPr>
        <w:br w:type="page" w:clear="all"/>
      </w:r>
      <w:r/>
    </w:p>
    <w:p>
      <w:pPr>
        <w:pStyle w:val="838"/>
        <w:ind w:left="535" w:hanging="321"/>
        <w:rPr>
          <w:rFonts w:ascii="Times New Roman" w:hAnsi="Times New Roman" w:eastAsia="宋体" w:cs="Microsoft New Tai Lue"/>
          <w:highlight w:val="none"/>
        </w:rPr>
        <w:outlineLvl w:val="1"/>
      </w:pPr>
      <w:r/>
      <w:bookmarkStart w:id="36" w:name="_Toc1391825368"/>
      <w:r>
        <w:rPr>
          <w:rFonts w:ascii="Times New Roman" w:hAnsi="Times New Roman" w:eastAsia="宋体" w:cs="Microsoft New Tai Lue"/>
          <w:highlight w:val="none"/>
        </w:rPr>
        <w:t xml:space="preserve">投标人须知</w:t>
      </w:r>
      <w:bookmarkEnd w:id="32"/>
      <w:r/>
      <w:bookmarkEnd w:id="33"/>
      <w:r/>
      <w:bookmarkEnd w:id="34"/>
      <w:r/>
      <w:bookmarkEnd w:id="35"/>
      <w:r/>
      <w:bookmarkEnd w:id="36"/>
      <w:r/>
      <w:r/>
    </w:p>
    <w:p>
      <w:pPr>
        <w:pStyle w:val="800"/>
        <w:ind w:left="211" w:right="210" w:hanging="211"/>
        <w:spacing w:line="360" w:lineRule="auto"/>
        <w:rPr>
          <w:rFonts w:ascii="Times New Roman" w:hAnsi="Times New Roman" w:eastAsia="宋体" w:cs="Microsoft New Tai Lue"/>
          <w:highlight w:val="none"/>
        </w:rPr>
      </w:pPr>
      <w:r/>
      <w:bookmarkStart w:id="37" w:name="_Toc80264706"/>
      <w:r/>
      <w:bookmarkStart w:id="38" w:name="_Toc2017076852"/>
      <w:r>
        <w:rPr>
          <w:rFonts w:ascii="Times New Roman" w:hAnsi="Times New Roman" w:eastAsia="宋体" w:cs="Microsoft New Tai Lue"/>
          <w:highlight w:val="none"/>
        </w:rPr>
        <w:t xml:space="preserve">一．</w:t>
      </w:r>
      <w:bookmarkEnd w:id="37"/>
      <w:r>
        <w:rPr>
          <w:rFonts w:ascii="Times New Roman" w:hAnsi="Times New Roman" w:eastAsia="宋体" w:cs="Microsoft New Tai Lue"/>
          <w:highlight w:val="none"/>
        </w:rPr>
        <w:t xml:space="preserve">总则</w:t>
      </w:r>
      <w:bookmarkEnd w:id="38"/>
      <w:r/>
      <w:r/>
    </w:p>
    <w:p>
      <w:pPr>
        <w:pStyle w:val="801"/>
        <w:ind w:left="211" w:right="210" w:hanging="211"/>
        <w:spacing w:line="360" w:lineRule="auto"/>
        <w:rPr>
          <w:rFonts w:ascii="Times New Roman" w:hAnsi="Times New Roman" w:eastAsia="宋体" w:cs="Microsoft New Tai Lue"/>
          <w:highlight w:val="none"/>
        </w:rPr>
      </w:pPr>
      <w:r/>
      <w:bookmarkStart w:id="39" w:name="_Toc100905201"/>
      <w:r/>
      <w:bookmarkStart w:id="40" w:name="_Toc107246215"/>
      <w:r/>
      <w:bookmarkStart w:id="41" w:name="_Toc833800022"/>
      <w:r/>
      <w:bookmarkStart w:id="42" w:name="_Toc103848528"/>
      <w:r/>
      <w:bookmarkStart w:id="43" w:name="_Toc96347862"/>
      <w:r/>
      <w:bookmarkStart w:id="44" w:name="_Toc104560839"/>
      <w:r>
        <w:rPr>
          <w:rFonts w:ascii="Times New Roman" w:hAnsi="Times New Roman" w:eastAsia="宋体" w:cs="Microsoft New Tai Lue"/>
          <w:highlight w:val="none"/>
        </w:rPr>
        <w:t xml:space="preserve">1.采购方式</w:t>
      </w:r>
      <w:bookmarkEnd w:id="39"/>
      <w:r/>
      <w:bookmarkEnd w:id="40"/>
      <w:r/>
      <w:bookmarkEnd w:id="41"/>
      <w:r/>
      <w:bookmarkEnd w:id="42"/>
      <w:r/>
      <w:bookmarkEnd w:id="43"/>
      <w:r/>
      <w:bookmarkEnd w:id="4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801"/>
        <w:ind w:left="211" w:right="210" w:hanging="211"/>
        <w:spacing w:line="360" w:lineRule="auto"/>
        <w:rPr>
          <w:rFonts w:ascii="Times New Roman" w:hAnsi="Times New Roman" w:eastAsia="宋体" w:cs="Microsoft New Tai Lue"/>
          <w:highlight w:val="none"/>
        </w:rPr>
      </w:pPr>
      <w:r/>
      <w:bookmarkStart w:id="45" w:name="_Toc107246216"/>
      <w:r/>
      <w:bookmarkStart w:id="46" w:name="_Toc104560840"/>
      <w:r/>
      <w:bookmarkStart w:id="47" w:name="_Toc96347863"/>
      <w:r/>
      <w:bookmarkStart w:id="48" w:name="_Toc1346173079"/>
      <w:r/>
      <w:bookmarkStart w:id="49" w:name="_Toc100905202"/>
      <w:r/>
      <w:bookmarkStart w:id="50" w:name="_Toc103848529"/>
      <w:r>
        <w:rPr>
          <w:rFonts w:ascii="Times New Roman" w:hAnsi="Times New Roman" w:eastAsia="宋体" w:cs="Microsoft New Tai Lue"/>
          <w:highlight w:val="none"/>
        </w:rPr>
        <w:t xml:space="preserve">2.定义</w:t>
      </w:r>
      <w:bookmarkEnd w:id="45"/>
      <w:r/>
      <w:bookmarkEnd w:id="46"/>
      <w:r/>
      <w:bookmarkEnd w:id="47"/>
      <w:r/>
      <w:bookmarkEnd w:id="48"/>
      <w:r/>
      <w:bookmarkEnd w:id="49"/>
      <w:r/>
      <w:bookmarkEnd w:id="5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801"/>
        <w:ind w:left="211" w:right="210" w:hanging="211"/>
        <w:spacing w:line="360" w:lineRule="auto"/>
        <w:rPr>
          <w:rFonts w:ascii="Times New Roman" w:hAnsi="Times New Roman" w:eastAsia="宋体" w:cs="Microsoft New Tai Lue"/>
          <w:highlight w:val="none"/>
        </w:rPr>
      </w:pPr>
      <w:r/>
      <w:bookmarkStart w:id="51" w:name="_Toc104560841"/>
      <w:r/>
      <w:bookmarkStart w:id="52" w:name="_Toc100905203"/>
      <w:r/>
      <w:bookmarkStart w:id="53" w:name="_Toc96347864"/>
      <w:r/>
      <w:bookmarkStart w:id="54" w:name="_Toc1390717608"/>
      <w:r/>
      <w:bookmarkStart w:id="55" w:name="_Toc107246217"/>
      <w:r/>
      <w:bookmarkStart w:id="56" w:name="_Toc103848530"/>
      <w:r>
        <w:rPr>
          <w:rFonts w:ascii="Times New Roman" w:hAnsi="Times New Roman" w:eastAsia="宋体" w:cs="Microsoft New Tai Lue"/>
          <w:highlight w:val="none"/>
        </w:rPr>
        <w:t xml:space="preserve">3.适用法律</w:t>
      </w:r>
      <w:bookmarkEnd w:id="51"/>
      <w:r/>
      <w:bookmarkEnd w:id="52"/>
      <w:r/>
      <w:bookmarkEnd w:id="53"/>
      <w:r/>
      <w:bookmarkEnd w:id="54"/>
      <w:r/>
      <w:bookmarkEnd w:id="55"/>
      <w:r/>
      <w:bookmarkEnd w:id="56"/>
      <w:r/>
      <w:r/>
    </w:p>
    <w:p>
      <w:pPr>
        <w:ind w:left="214" w:firstLine="420"/>
        <w:spacing w:before="120" w:line="360" w:lineRule="auto"/>
        <w:rPr>
          <w:rFonts w:ascii="Times New Roman" w:hAnsi="Times New Roman" w:eastAsia="宋体" w:cs="Microsoft New Tai Lue"/>
          <w:szCs w:val="21"/>
          <w:highlight w:val="none"/>
        </w:rPr>
      </w:pPr>
      <w:r/>
      <w:bookmarkStart w:id="57"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1"/>
        <w:ind w:left="211" w:right="210" w:hanging="211"/>
        <w:spacing w:line="360" w:lineRule="auto"/>
        <w:rPr>
          <w:rFonts w:ascii="Times New Roman" w:hAnsi="Times New Roman" w:eastAsia="宋体" w:cs="Microsoft New Tai Lue"/>
          <w:highlight w:val="none"/>
        </w:rPr>
      </w:pPr>
      <w:r/>
      <w:bookmarkStart w:id="58" w:name="_Toc103848531"/>
      <w:r/>
      <w:bookmarkStart w:id="59" w:name="_Toc578823708"/>
      <w:r/>
      <w:bookmarkStart w:id="60" w:name="_Toc104560842"/>
      <w:r/>
      <w:bookmarkStart w:id="61" w:name="_Toc107246218"/>
      <w:r>
        <w:rPr>
          <w:rFonts w:ascii="Times New Roman" w:hAnsi="Times New Roman" w:eastAsia="宋体" w:cs="Microsoft New Tai Lue"/>
          <w:highlight w:val="none"/>
        </w:rPr>
        <w:t xml:space="preserve">4.</w:t>
      </w:r>
      <w:bookmarkEnd w:id="58"/>
      <w:r>
        <w:rPr>
          <w:rFonts w:hint="eastAsia" w:ascii="Times New Roman" w:hAnsi="Times New Roman" w:eastAsia="宋体" w:cs="Microsoft New Tai Lue"/>
          <w:highlight w:val="none"/>
        </w:rPr>
        <w:t xml:space="preserve">政府采购政策（包括但不限于下列具体政策要求）</w:t>
      </w:r>
      <w:bookmarkEnd w:id="59"/>
      <w:r/>
      <w:bookmarkEnd w:id="60"/>
      <w:r/>
      <w:bookmarkEnd w:id="61"/>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7"/>
      <w:r/>
      <w:r/>
    </w:p>
    <w:p>
      <w:pPr>
        <w:pStyle w:val="801"/>
        <w:ind w:left="211" w:right="210" w:hanging="211"/>
        <w:spacing w:line="360" w:lineRule="auto"/>
        <w:rPr>
          <w:rFonts w:ascii="Times New Roman" w:hAnsi="Times New Roman" w:eastAsia="宋体" w:cs="Microsoft New Tai Lue"/>
          <w:highlight w:val="none"/>
        </w:rPr>
      </w:pPr>
      <w:r/>
      <w:bookmarkStart w:id="62" w:name="_Toc100905205"/>
      <w:r/>
      <w:bookmarkStart w:id="63" w:name="_Toc189139446"/>
      <w:r/>
      <w:bookmarkStart w:id="64" w:name="_Toc104560843"/>
      <w:r/>
      <w:bookmarkStart w:id="65" w:name="_Toc96347865"/>
      <w:r/>
      <w:bookmarkStart w:id="66" w:name="_Toc103848532"/>
      <w:r/>
      <w:bookmarkStart w:id="67" w:name="_Toc107246219"/>
      <w:r>
        <w:rPr>
          <w:rFonts w:ascii="Times New Roman" w:hAnsi="Times New Roman" w:eastAsia="宋体" w:cs="Microsoft New Tai Lue"/>
          <w:highlight w:val="none"/>
        </w:rPr>
        <w:t xml:space="preserve">5.相关费用</w:t>
      </w:r>
      <w:bookmarkEnd w:id="62"/>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8"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801"/>
        <w:ind w:left="211" w:right="210" w:hanging="211"/>
        <w:spacing w:line="360" w:lineRule="auto"/>
        <w:rPr>
          <w:rFonts w:ascii="Times New Roman" w:hAnsi="Times New Roman" w:eastAsia="宋体" w:cs="Microsoft New Tai Lue"/>
          <w:highlight w:val="none"/>
        </w:rPr>
      </w:pPr>
      <w:r/>
      <w:bookmarkStart w:id="69" w:name="_Toc96347866"/>
      <w:r/>
      <w:bookmarkStart w:id="70" w:name="_Toc107246220"/>
      <w:r/>
      <w:bookmarkStart w:id="71" w:name="_Toc103848533"/>
      <w:r/>
      <w:bookmarkStart w:id="72" w:name="_Toc100905206"/>
      <w:r/>
      <w:bookmarkStart w:id="73" w:name="_Toc104560844"/>
      <w:r/>
      <w:bookmarkStart w:id="74" w:name="_Toc590871362"/>
      <w:r>
        <w:rPr>
          <w:rFonts w:ascii="Times New Roman" w:hAnsi="Times New Roman" w:eastAsia="宋体" w:cs="Microsoft New Tai Lue"/>
          <w:highlight w:val="none"/>
        </w:rPr>
        <w:t xml:space="preserve">6.保密</w:t>
      </w:r>
      <w:bookmarkEnd w:id="69"/>
      <w:r/>
      <w:bookmarkEnd w:id="70"/>
      <w:r/>
      <w:bookmarkEnd w:id="71"/>
      <w:r/>
      <w:bookmarkEnd w:id="72"/>
      <w:r/>
      <w:bookmarkEnd w:id="73"/>
      <w:r/>
      <w:bookmarkEnd w:id="74"/>
      <w:r/>
      <w:r/>
    </w:p>
    <w:p>
      <w:pPr>
        <w:ind w:left="214" w:firstLine="420"/>
        <w:spacing w:before="120" w:line="360" w:lineRule="auto"/>
        <w:rPr>
          <w:rFonts w:ascii="Times New Roman" w:hAnsi="Times New Roman" w:eastAsia="宋体" w:cs="Microsoft New Tai Lue"/>
          <w:szCs w:val="21"/>
          <w:highlight w:val="none"/>
        </w:rPr>
      </w:pPr>
      <w:r/>
      <w:bookmarkStart w:id="75" w:name="_Toc100905207"/>
      <w:r/>
      <w:bookmarkStart w:id="76"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801"/>
        <w:ind w:left="211" w:right="210" w:hanging="211"/>
        <w:spacing w:line="360" w:lineRule="auto"/>
        <w:rPr>
          <w:rFonts w:ascii="Times New Roman" w:hAnsi="Times New Roman" w:eastAsia="宋体" w:cs="Microsoft New Tai Lue"/>
          <w:highlight w:val="none"/>
        </w:rPr>
      </w:pPr>
      <w:r/>
      <w:bookmarkStart w:id="77" w:name="_Toc107246221"/>
      <w:r/>
      <w:bookmarkStart w:id="78" w:name="_Toc104560845"/>
      <w:r/>
      <w:bookmarkStart w:id="79" w:name="_Toc103848534"/>
      <w:r/>
      <w:bookmarkStart w:id="80" w:name="_Toc810597406"/>
      <w:r>
        <w:rPr>
          <w:rFonts w:ascii="Times New Roman" w:hAnsi="Times New Roman" w:eastAsia="宋体" w:cs="Microsoft New Tai Lue"/>
          <w:highlight w:val="none"/>
        </w:rPr>
        <w:t xml:space="preserve">7.语言文字、计量单位</w:t>
      </w:r>
      <w:bookmarkEnd w:id="75"/>
      <w:r/>
      <w:bookmarkEnd w:id="76"/>
      <w:r/>
      <w:bookmarkEnd w:id="77"/>
      <w:r/>
      <w:bookmarkEnd w:id="78"/>
      <w:r/>
      <w:bookmarkEnd w:id="79"/>
      <w:r/>
      <w:bookmarkEnd w:id="8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801"/>
        <w:ind w:left="211" w:right="210" w:hanging="211"/>
        <w:spacing w:line="360" w:lineRule="auto"/>
        <w:rPr>
          <w:rFonts w:ascii="Times New Roman" w:hAnsi="Times New Roman" w:eastAsia="宋体" w:cs="Microsoft New Tai Lue"/>
          <w:highlight w:val="none"/>
        </w:rPr>
      </w:pPr>
      <w:r/>
      <w:bookmarkStart w:id="81" w:name="_Toc104560846"/>
      <w:r/>
      <w:bookmarkStart w:id="82" w:name="_Toc96347868"/>
      <w:r/>
      <w:bookmarkStart w:id="83" w:name="_Toc100905208"/>
      <w:r/>
      <w:bookmarkStart w:id="84" w:name="_Toc74346074"/>
      <w:r/>
      <w:bookmarkStart w:id="85" w:name="_Toc107246222"/>
      <w:r/>
      <w:bookmarkStart w:id="86" w:name="_Toc103848535"/>
      <w:r>
        <w:rPr>
          <w:rFonts w:ascii="Times New Roman" w:hAnsi="Times New Roman" w:eastAsia="宋体" w:cs="Microsoft New Tai Lue"/>
          <w:highlight w:val="none"/>
        </w:rPr>
        <w:t xml:space="preserve">8.现场考察</w:t>
      </w:r>
      <w:bookmarkEnd w:id="81"/>
      <w:r/>
      <w:bookmarkEnd w:id="82"/>
      <w:r/>
      <w:bookmarkEnd w:id="83"/>
      <w:r/>
      <w:bookmarkEnd w:id="84"/>
      <w:r/>
      <w:bookmarkEnd w:id="85"/>
      <w:r/>
      <w:bookmarkEnd w:id="8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801"/>
        <w:ind w:left="211" w:right="210" w:hanging="211"/>
        <w:spacing w:line="360" w:lineRule="auto"/>
        <w:rPr>
          <w:rFonts w:ascii="Times New Roman" w:hAnsi="Times New Roman" w:eastAsia="宋体"/>
          <w:highlight w:val="none"/>
        </w:rPr>
      </w:pPr>
      <w:r/>
      <w:bookmarkStart w:id="87" w:name="_Toc102117275"/>
      <w:r/>
      <w:bookmarkStart w:id="88" w:name="_Toc107246223"/>
      <w:r/>
      <w:bookmarkStart w:id="89" w:name="_Toc1846466811"/>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87"/>
      <w:r/>
      <w:bookmarkEnd w:id="88"/>
      <w:r/>
      <w:bookmarkEnd w:id="8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801"/>
        <w:ind w:left="211" w:right="210" w:hanging="211"/>
        <w:spacing w:line="360" w:lineRule="auto"/>
        <w:rPr>
          <w:rFonts w:ascii="Times New Roman" w:hAnsi="Times New Roman" w:eastAsia="宋体" w:cs="Microsoft New Tai Lue"/>
          <w:highlight w:val="none"/>
        </w:rPr>
      </w:pPr>
      <w:r/>
      <w:bookmarkStart w:id="90" w:name="_Toc104560847"/>
      <w:r/>
      <w:bookmarkStart w:id="91" w:name="_Toc281509680"/>
      <w:r/>
      <w:bookmarkStart w:id="92" w:name="_Toc107246224"/>
      <w:r/>
      <w:bookmarkStart w:id="93" w:name="_Toc103848536"/>
      <w:r/>
      <w:bookmarkStart w:id="94" w:name="_Toc100905210"/>
      <w:r/>
      <w:bookmarkStart w:id="95" w:name="_Toc96347869"/>
      <w:r>
        <w:rPr>
          <w:rFonts w:ascii="Times New Roman" w:hAnsi="Times New Roman" w:eastAsia="宋体" w:cs="Microsoft New Tai Lue"/>
          <w:szCs w:val="21"/>
          <w:highlight w:val="none"/>
        </w:rPr>
        <w:t xml:space="preserve">10.联合体投标</w:t>
      </w:r>
      <w:bookmarkEnd w:id="90"/>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96" w:name="_Toc103848537"/>
      <w:r/>
      <w:bookmarkStart w:id="97" w:name="_Toc107246225"/>
      <w:r/>
      <w:bookmarkStart w:id="98" w:name="_Toc100905213"/>
      <w:r/>
      <w:bookmarkStart w:id="99" w:name="_Toc104560848"/>
      <w:r/>
      <w:bookmarkStart w:id="100" w:name="_Toc426717419"/>
      <w:r/>
      <w:bookmarkStart w:id="101" w:name="_Toc100905211"/>
      <w:r>
        <w:rPr>
          <w:rFonts w:ascii="Times New Roman" w:hAnsi="Times New Roman" w:eastAsia="宋体" w:cs="Microsoft New Tai Lue"/>
          <w:highlight w:val="none"/>
        </w:rPr>
        <w:t xml:space="preserve">11.分包</w:t>
      </w:r>
      <w:bookmarkEnd w:id="96"/>
      <w:r/>
      <w:bookmarkEnd w:id="97"/>
      <w:r/>
      <w:bookmarkEnd w:id="98"/>
      <w:r/>
      <w:bookmarkEnd w:id="99"/>
      <w:r/>
      <w:bookmarkEnd w:id="10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1"/>
        <w:ind w:left="211" w:right="210" w:hanging="211"/>
        <w:spacing w:line="360" w:lineRule="auto"/>
        <w:rPr>
          <w:rFonts w:ascii="Times New Roman" w:hAnsi="Times New Roman" w:eastAsia="宋体" w:cs="Microsoft New Tai Lue"/>
          <w:highlight w:val="none"/>
        </w:rPr>
      </w:pPr>
      <w:r/>
      <w:bookmarkStart w:id="102" w:name="_Toc104560849"/>
      <w:r/>
      <w:bookmarkStart w:id="103" w:name="_Toc107246226"/>
      <w:r/>
      <w:bookmarkStart w:id="104" w:name="_Toc1391763800"/>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102"/>
      <w:r/>
      <w:bookmarkEnd w:id="103"/>
      <w:r/>
      <w:bookmarkEnd w:id="104"/>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95"/>
      <w:r/>
      <w:bookmarkEnd w:id="101"/>
      <w:r/>
      <w:r/>
    </w:p>
    <w:p>
      <w:pPr>
        <w:pStyle w:val="801"/>
        <w:ind w:left="211" w:right="210" w:hanging="211"/>
        <w:spacing w:line="360" w:lineRule="auto"/>
        <w:rPr>
          <w:rFonts w:ascii="Times New Roman" w:hAnsi="Times New Roman" w:eastAsia="宋体" w:cs="Microsoft New Tai Lue"/>
          <w:highlight w:val="none"/>
        </w:rPr>
      </w:pPr>
      <w:r/>
      <w:bookmarkStart w:id="105" w:name="_Toc104560850"/>
      <w:r/>
      <w:bookmarkStart w:id="106" w:name="_Toc107246227"/>
      <w:r/>
      <w:bookmarkStart w:id="107" w:name="_Toc103848538"/>
      <w:r/>
      <w:bookmarkStart w:id="108" w:name="_Toc100905214"/>
      <w:r/>
      <w:bookmarkStart w:id="109" w:name="_Toc982303476"/>
      <w:r>
        <w:rPr>
          <w:rFonts w:ascii="Times New Roman" w:hAnsi="Times New Roman" w:eastAsia="宋体" w:cs="Microsoft New Tai Lue"/>
          <w:highlight w:val="none"/>
        </w:rPr>
        <w:t xml:space="preserve">13.采购进口产品</w:t>
      </w:r>
      <w:bookmarkEnd w:id="105"/>
      <w:r/>
      <w:bookmarkEnd w:id="106"/>
      <w:r/>
      <w:bookmarkEnd w:id="107"/>
      <w:r/>
      <w:bookmarkEnd w:id="108"/>
      <w:r/>
      <w:bookmarkEnd w:id="10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110" w:name="_Toc104560851"/>
      <w:r/>
      <w:bookmarkStart w:id="111" w:name="_Toc1867726643"/>
      <w:r/>
      <w:bookmarkStart w:id="112"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110"/>
      <w:r/>
      <w:bookmarkEnd w:id="111"/>
      <w:r/>
      <w:bookmarkEnd w:id="11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highlight w:val="none"/>
        </w:rPr>
      </w:pPr>
      <w:r/>
      <w:bookmarkStart w:id="113" w:name="_Toc107246229"/>
      <w:r/>
      <w:bookmarkStart w:id="114" w:name="_Toc104560852"/>
      <w:r/>
      <w:bookmarkStart w:id="115" w:name="_Toc111322070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113"/>
      <w:r/>
      <w:bookmarkEnd w:id="114"/>
      <w:r/>
      <w:bookmarkEnd w:id="115"/>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00"/>
        <w:ind w:left="211" w:right="210" w:hanging="211"/>
        <w:spacing w:line="360" w:lineRule="auto"/>
        <w:rPr>
          <w:rFonts w:ascii="Times New Roman" w:hAnsi="Times New Roman" w:eastAsia="宋体" w:cs="Microsoft New Tai Lue"/>
          <w:highlight w:val="none"/>
        </w:rPr>
      </w:pPr>
      <w:r/>
      <w:bookmarkStart w:id="116" w:name="_Toc1022805850"/>
      <w:r>
        <w:rPr>
          <w:rFonts w:ascii="Times New Roman" w:hAnsi="Times New Roman" w:eastAsia="宋体" w:cs="Microsoft New Tai Lue"/>
          <w:highlight w:val="none"/>
        </w:rPr>
        <w:t xml:space="preserve">二．招标文件</w:t>
      </w:r>
      <w:bookmarkEnd w:id="68"/>
      <w:r/>
      <w:bookmarkEnd w:id="116"/>
      <w:r/>
      <w:r/>
    </w:p>
    <w:p>
      <w:pPr>
        <w:pStyle w:val="801"/>
        <w:ind w:left="211" w:right="210" w:hanging="211"/>
        <w:spacing w:line="360" w:lineRule="auto"/>
        <w:rPr>
          <w:rFonts w:ascii="Times New Roman" w:hAnsi="Times New Roman" w:eastAsia="宋体" w:cs="Microsoft New Tai Lue"/>
          <w:highlight w:val="none"/>
        </w:rPr>
      </w:pPr>
      <w:r/>
      <w:bookmarkStart w:id="117" w:name="_Toc96347871"/>
      <w:r/>
      <w:bookmarkStart w:id="118" w:name="_Toc104560854"/>
      <w:r/>
      <w:bookmarkStart w:id="119" w:name="_Toc1838810362"/>
      <w:r/>
      <w:bookmarkStart w:id="120" w:name="_Toc107246231"/>
      <w:r/>
      <w:bookmarkStart w:id="121" w:name="_Toc100905217"/>
      <w:r/>
      <w:bookmarkStart w:id="122" w:name="_Toc103848540"/>
      <w:r>
        <w:rPr>
          <w:rFonts w:ascii="Times New Roman" w:hAnsi="Times New Roman" w:eastAsia="宋体" w:cs="Microsoft New Tai Lue"/>
          <w:highlight w:val="none"/>
        </w:rPr>
        <w:t xml:space="preserve">16.招标文件的构成</w:t>
      </w:r>
      <w:bookmarkEnd w:id="117"/>
      <w:r/>
      <w:bookmarkEnd w:id="118"/>
      <w:r/>
      <w:bookmarkEnd w:id="119"/>
      <w:r/>
      <w:bookmarkEnd w:id="120"/>
      <w:r/>
      <w:bookmarkEnd w:id="121"/>
      <w:r/>
      <w:bookmarkEnd w:id="122"/>
      <w:r/>
      <w:r/>
    </w:p>
    <w:p>
      <w:pPr>
        <w:pStyle w:val="1031"/>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23"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23"/>
      <w:r/>
      <w:r/>
    </w:p>
    <w:p>
      <w:pPr>
        <w:pStyle w:val="801"/>
        <w:ind w:left="211" w:right="210" w:hanging="211"/>
        <w:spacing w:line="360" w:lineRule="auto"/>
        <w:rPr>
          <w:rFonts w:ascii="Times New Roman" w:hAnsi="Times New Roman" w:eastAsia="宋体" w:cs="Microsoft New Tai Lue"/>
          <w:highlight w:val="none"/>
        </w:rPr>
      </w:pPr>
      <w:r/>
      <w:bookmarkStart w:id="124" w:name="_Toc104560855"/>
      <w:r/>
      <w:bookmarkStart w:id="125" w:name="_Toc96347873"/>
      <w:r/>
      <w:bookmarkStart w:id="126" w:name="_Toc448590157"/>
      <w:r/>
      <w:bookmarkStart w:id="127" w:name="_Toc100905218"/>
      <w:r/>
      <w:bookmarkStart w:id="128" w:name="_Toc107246232"/>
      <w:r/>
      <w:bookmarkStart w:id="129" w:name="_Toc103848541"/>
      <w:r>
        <w:rPr>
          <w:rFonts w:ascii="Times New Roman" w:hAnsi="Times New Roman" w:eastAsia="宋体" w:cs="Microsoft New Tai Lue"/>
          <w:highlight w:val="none"/>
        </w:rPr>
        <w:t xml:space="preserve">17.招标文件的澄清或者修改</w:t>
      </w:r>
      <w:bookmarkEnd w:id="124"/>
      <w:r/>
      <w:bookmarkEnd w:id="125"/>
      <w:r/>
      <w:bookmarkEnd w:id="126"/>
      <w:r/>
      <w:bookmarkEnd w:id="127"/>
      <w:r/>
      <w:bookmarkEnd w:id="128"/>
      <w:r/>
      <w:bookmarkEnd w:id="129"/>
      <w:r/>
      <w:r/>
    </w:p>
    <w:p>
      <w:pPr>
        <w:ind w:left="214" w:firstLine="420"/>
        <w:spacing w:before="120" w:line="360" w:lineRule="auto"/>
        <w:rPr>
          <w:rFonts w:ascii="Times New Roman" w:hAnsi="Times New Roman" w:eastAsia="宋体" w:cs="Microsoft New Tai Lue"/>
          <w:szCs w:val="21"/>
          <w:highlight w:val="none"/>
        </w:rPr>
      </w:pPr>
      <w:r/>
      <w:bookmarkStart w:id="130"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30"/>
      <w:r/>
      <w:r/>
    </w:p>
    <w:p>
      <w:pPr>
        <w:pStyle w:val="800"/>
        <w:ind w:left="211" w:right="210" w:hanging="211"/>
        <w:spacing w:line="360" w:lineRule="auto"/>
        <w:rPr>
          <w:rFonts w:ascii="Times New Roman" w:hAnsi="Times New Roman" w:eastAsia="宋体" w:cs="Microsoft New Tai Lue"/>
          <w:highlight w:val="none"/>
        </w:rPr>
      </w:pPr>
      <w:r/>
      <w:bookmarkStart w:id="131" w:name="_Toc104560856"/>
      <w:r/>
      <w:bookmarkStart w:id="132" w:name="_Toc1787167729"/>
      <w:r/>
      <w:bookmarkStart w:id="133" w:name="_Toc91836558"/>
      <w:r/>
      <w:bookmarkStart w:id="134" w:name="_Toc80264708"/>
      <w:r>
        <w:rPr>
          <w:rFonts w:ascii="Times New Roman" w:hAnsi="Times New Roman" w:eastAsia="宋体" w:cs="Microsoft New Tai Lue"/>
          <w:highlight w:val="none"/>
        </w:rPr>
        <w:t xml:space="preserve">三．投标文件</w:t>
      </w:r>
      <w:bookmarkEnd w:id="131"/>
      <w:r/>
      <w:bookmarkEnd w:id="132"/>
      <w:r/>
      <w:bookmarkEnd w:id="133"/>
      <w:r/>
      <w:r/>
    </w:p>
    <w:p>
      <w:pPr>
        <w:pStyle w:val="801"/>
        <w:ind w:left="211" w:right="210" w:hanging="211"/>
        <w:spacing w:line="360" w:lineRule="auto"/>
        <w:rPr>
          <w:rFonts w:ascii="Times New Roman" w:hAnsi="Times New Roman" w:eastAsia="宋体" w:cs="Microsoft New Tai Lue"/>
          <w:highlight w:val="none"/>
        </w:rPr>
      </w:pPr>
      <w:r/>
      <w:bookmarkStart w:id="135" w:name="_Toc104560857"/>
      <w:r/>
      <w:bookmarkStart w:id="136" w:name="_Toc74250714"/>
      <w:r/>
      <w:bookmarkStart w:id="137" w:name="_Toc107246234"/>
      <w:r/>
      <w:bookmarkStart w:id="138" w:name="_Toc103848543"/>
      <w:r/>
      <w:bookmarkStart w:id="139" w:name="_Toc100905221"/>
      <w:r/>
      <w:bookmarkStart w:id="140" w:name="_Toc96347875"/>
      <w:r>
        <w:rPr>
          <w:rFonts w:ascii="Times New Roman" w:hAnsi="Times New Roman" w:eastAsia="宋体" w:cs="Microsoft New Tai Lue"/>
          <w:highlight w:val="none"/>
        </w:rPr>
        <w:t xml:space="preserve">18.投标文件的组成</w:t>
      </w:r>
      <w:bookmarkEnd w:id="135"/>
      <w:r/>
      <w:bookmarkEnd w:id="136"/>
      <w:r/>
      <w:bookmarkEnd w:id="137"/>
      <w:r/>
      <w:bookmarkEnd w:id="13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801"/>
        <w:ind w:left="211" w:right="210" w:hanging="211"/>
        <w:spacing w:line="360" w:lineRule="auto"/>
        <w:rPr>
          <w:rFonts w:ascii="Times New Roman" w:hAnsi="Times New Roman" w:eastAsia="宋体" w:cs="Segoe UI Symbol"/>
          <w:szCs w:val="21"/>
          <w:highlight w:val="none"/>
        </w:rPr>
      </w:pPr>
      <w:r/>
      <w:bookmarkStart w:id="141" w:name="_Toc107246235"/>
      <w:r/>
      <w:bookmarkStart w:id="142" w:name="_Toc243751291"/>
      <w:r/>
      <w:bookmarkStart w:id="14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41"/>
      <w:r/>
      <w:bookmarkEnd w:id="142"/>
      <w:r/>
      <w:bookmarkEnd w:id="14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801"/>
        <w:ind w:left="211" w:right="210" w:hanging="211"/>
        <w:spacing w:line="360" w:lineRule="auto"/>
        <w:rPr>
          <w:rFonts w:ascii="Times New Roman" w:hAnsi="Times New Roman" w:eastAsia="宋体" w:cs="Segoe UI Symbol"/>
          <w:szCs w:val="21"/>
          <w:highlight w:val="none"/>
        </w:rPr>
      </w:pPr>
      <w:r/>
      <w:bookmarkStart w:id="144" w:name="_Toc107246236"/>
      <w:r/>
      <w:bookmarkStart w:id="145" w:name="_Toc1476633008"/>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44"/>
      <w:r/>
      <w:bookmarkEnd w:id="145"/>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39"/>
      <w:r/>
      <w:bookmarkEnd w:id="140"/>
      <w:r/>
      <w:r/>
    </w:p>
    <w:p>
      <w:pPr>
        <w:pStyle w:val="801"/>
        <w:ind w:left="211" w:right="210" w:hanging="211"/>
        <w:spacing w:line="360" w:lineRule="auto"/>
        <w:rPr>
          <w:rFonts w:ascii="Times New Roman" w:hAnsi="Times New Roman" w:eastAsia="宋体" w:cs="Microsoft New Tai Lue"/>
          <w:highlight w:val="none"/>
        </w:rPr>
      </w:pPr>
      <w:r/>
      <w:bookmarkStart w:id="146" w:name="_Toc104560859"/>
      <w:r/>
      <w:bookmarkStart w:id="147" w:name="_Toc100905224"/>
      <w:r/>
      <w:bookmarkStart w:id="148" w:name="_Toc103848545"/>
      <w:r/>
      <w:bookmarkStart w:id="149" w:name="_Toc107246237"/>
      <w:r/>
      <w:bookmarkStart w:id="150" w:name="_Toc1449940724"/>
      <w:r/>
      <w:bookmarkStart w:id="151" w:name="_Toc96347878"/>
      <w:r/>
      <w:bookmarkStart w:id="152" w:name="_Toc100905223"/>
      <w:r/>
      <w:bookmarkStart w:id="153" w:name="_Toc103848544"/>
      <w:r>
        <w:rPr>
          <w:rFonts w:ascii="Times New Roman" w:hAnsi="Times New Roman" w:eastAsia="宋体" w:cs="Microsoft New Tai Lue"/>
          <w:highlight w:val="none"/>
        </w:rPr>
        <w:t xml:space="preserve">21.投标有效期</w:t>
      </w:r>
      <w:bookmarkEnd w:id="146"/>
      <w:r/>
      <w:bookmarkEnd w:id="147"/>
      <w:r/>
      <w:bookmarkEnd w:id="148"/>
      <w:r/>
      <w:bookmarkEnd w:id="149"/>
      <w:r/>
      <w:bookmarkEnd w:id="150"/>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1"/>
        <w:ind w:left="211" w:right="210" w:hanging="211"/>
        <w:spacing w:line="360" w:lineRule="auto"/>
        <w:rPr>
          <w:rFonts w:ascii="Times New Roman" w:hAnsi="Times New Roman" w:eastAsia="宋体" w:cs="Microsoft New Tai Lue"/>
          <w:highlight w:val="none"/>
        </w:rPr>
      </w:pPr>
      <w:r/>
      <w:bookmarkStart w:id="154" w:name="_Toc104560860"/>
      <w:r/>
      <w:bookmarkStart w:id="155" w:name="_Toc1656805759"/>
      <w:r/>
      <w:bookmarkStart w:id="156" w:name="_Toc107246238"/>
      <w:r>
        <w:rPr>
          <w:rFonts w:ascii="Times New Roman" w:hAnsi="Times New Roman" w:eastAsia="宋体" w:cs="Microsoft New Tai Lue"/>
          <w:highlight w:val="none"/>
        </w:rPr>
        <w:t xml:space="preserve">22.投标保证金</w:t>
      </w:r>
      <w:bookmarkEnd w:id="151"/>
      <w:r/>
      <w:bookmarkEnd w:id="152"/>
      <w:r/>
      <w:bookmarkEnd w:id="153"/>
      <w:r/>
      <w:bookmarkEnd w:id="154"/>
      <w:r/>
      <w:bookmarkEnd w:id="155"/>
      <w:r/>
      <w:bookmarkEnd w:id="156"/>
      <w:r/>
      <w:r/>
    </w:p>
    <w:p>
      <w:pPr>
        <w:ind w:left="214" w:firstLine="420"/>
        <w:spacing w:before="120" w:line="360" w:lineRule="auto"/>
        <w:rPr>
          <w:rFonts w:ascii="Times New Roman" w:hAnsi="Times New Roman" w:eastAsia="宋体" w:cs="Microsoft New Tai Lue"/>
          <w:bCs/>
          <w:szCs w:val="21"/>
          <w:highlight w:val="none"/>
        </w:rPr>
      </w:pPr>
      <w:r/>
      <w:bookmarkStart w:id="157" w:name="_Toc519241651"/>
      <w:r/>
      <w:bookmarkStart w:id="158" w:name="_Toc420487862"/>
      <w:r/>
      <w:bookmarkStart w:id="159" w:name="_Toc420657357"/>
      <w:r/>
      <w:bookmarkStart w:id="160" w:name="_Toc466452044"/>
      <w:r/>
      <w:bookmarkStart w:id="161" w:name="_Toc96347879"/>
      <w:r/>
      <w:bookmarkStart w:id="162" w:name="_Toc68159552"/>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57"/>
      <w:r/>
      <w:bookmarkEnd w:id="158"/>
      <w:r/>
      <w:bookmarkEnd w:id="159"/>
      <w:r/>
      <w:bookmarkEnd w:id="160"/>
      <w:r/>
      <w:bookmarkEnd w:id="161"/>
      <w:r/>
      <w:bookmarkEnd w:id="162"/>
      <w:r/>
      <w:r/>
    </w:p>
    <w:p>
      <w:pPr>
        <w:ind w:left="214" w:firstLine="315"/>
        <w:jc w:val="left"/>
        <w:spacing w:line="360" w:lineRule="auto"/>
        <w:rPr>
          <w:rFonts w:ascii="Times New Roman" w:hAnsi="Times New Roman" w:eastAsia="宋体"/>
          <w:szCs w:val="21"/>
          <w:highlight w:val="none"/>
        </w:rPr>
      </w:pPr>
      <w:r/>
      <w:bookmarkStart w:id="163" w:name="_Toc96347880"/>
      <w:r/>
      <w:bookmarkStart w:id="164" w:name="_Toc100905225"/>
      <w:r/>
      <w:bookmarkStart w:id="165" w:name="_Toc103848546"/>
      <w:r/>
      <w:bookmarkStart w:id="166" w:name="_Toc104560861"/>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801"/>
        <w:ind w:left="211" w:right="210" w:hanging="211"/>
        <w:spacing w:line="360" w:lineRule="auto"/>
        <w:rPr>
          <w:rFonts w:ascii="Times New Roman" w:hAnsi="Times New Roman" w:eastAsia="宋体" w:cs="Microsoft New Tai Lue"/>
          <w:highlight w:val="none"/>
        </w:rPr>
      </w:pPr>
      <w:r/>
      <w:bookmarkStart w:id="167" w:name="_Toc1661424511"/>
      <w:r/>
      <w:bookmarkStart w:id="168"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63"/>
      <w:r/>
      <w:bookmarkEnd w:id="164"/>
      <w:r/>
      <w:bookmarkEnd w:id="165"/>
      <w:r/>
      <w:bookmarkEnd w:id="166"/>
      <w:r/>
      <w:bookmarkEnd w:id="167"/>
      <w:r/>
      <w:bookmarkEnd w:id="168"/>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p>
    <w:p>
      <w:pPr>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p>
    <w:p>
      <w:pPr>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800"/>
        <w:ind w:left="211" w:right="210" w:hanging="211"/>
        <w:spacing w:line="360" w:lineRule="auto"/>
        <w:rPr>
          <w:rFonts w:ascii="Times New Roman" w:hAnsi="Times New Roman" w:eastAsia="宋体" w:cs="Microsoft New Tai Lue"/>
          <w:highlight w:val="none"/>
        </w:rPr>
      </w:pPr>
      <w:r/>
      <w:bookmarkStart w:id="169" w:name="_Toc1979378083"/>
      <w:r>
        <w:rPr>
          <w:rFonts w:ascii="Times New Roman" w:hAnsi="Times New Roman" w:eastAsia="宋体" w:cs="Microsoft New Tai Lue"/>
          <w:highlight w:val="none"/>
        </w:rPr>
        <w:t xml:space="preserve">四．投标文件的递交</w:t>
      </w:r>
      <w:bookmarkEnd w:id="169"/>
      <w:r/>
      <w:r/>
    </w:p>
    <w:p>
      <w:pPr>
        <w:pStyle w:val="801"/>
        <w:ind w:left="211" w:right="210" w:hanging="211"/>
        <w:spacing w:line="360" w:lineRule="auto"/>
        <w:rPr>
          <w:rFonts w:ascii="Times New Roman" w:hAnsi="Times New Roman" w:eastAsia="宋体" w:cs="Microsoft New Tai Lue"/>
          <w:highlight w:val="none"/>
        </w:rPr>
      </w:pPr>
      <w:r/>
      <w:bookmarkStart w:id="170" w:name="_Toc104560863"/>
      <w:r/>
      <w:bookmarkStart w:id="171" w:name="_Toc100905226"/>
      <w:r/>
      <w:bookmarkStart w:id="172" w:name="_Toc107246241"/>
      <w:r/>
      <w:bookmarkStart w:id="173" w:name="_Toc103848548"/>
      <w:r/>
      <w:bookmarkStart w:id="174" w:name="_Toc738265304"/>
      <w:r/>
      <w:bookmarkStart w:id="175" w:name="_Toc96347881"/>
      <w:r>
        <w:rPr>
          <w:rFonts w:ascii="Times New Roman" w:hAnsi="Times New Roman" w:eastAsia="宋体" w:cs="Microsoft New Tai Lue"/>
          <w:highlight w:val="none"/>
        </w:rPr>
        <w:t xml:space="preserve">24.投标文件的密封和标记</w:t>
      </w:r>
      <w:bookmarkEnd w:id="170"/>
      <w:r/>
      <w:bookmarkEnd w:id="171"/>
      <w:r/>
      <w:bookmarkEnd w:id="172"/>
      <w:r/>
      <w:bookmarkEnd w:id="173"/>
      <w:r/>
      <w:bookmarkEnd w:id="174"/>
      <w:r/>
      <w:bookmarkEnd w:id="175"/>
      <w:r/>
      <w:r/>
    </w:p>
    <w:p>
      <w:pPr>
        <w:ind w:firstLine="420"/>
        <w:spacing w:line="360" w:lineRule="auto"/>
        <w:rPr>
          <w:rFonts w:ascii="Times New Roman" w:hAnsi="Times New Roman" w:eastAsia="宋体" w:cs="Microsoft New Tai Lue"/>
          <w:bCs/>
          <w:szCs w:val="21"/>
          <w:highlight w:val="none"/>
        </w:rPr>
      </w:pPr>
      <w:r/>
      <w:bookmarkStart w:id="176" w:name="_Toc19963"/>
      <w:r/>
      <w:bookmarkStart w:id="177" w:name="_Toc46960670"/>
      <w:r/>
      <w:bookmarkStart w:id="178" w:name="_Toc38931614"/>
      <w:r/>
      <w:bookmarkStart w:id="179" w:name="_Toc5042"/>
      <w:r/>
      <w:bookmarkStart w:id="180" w:name="_Toc48151397"/>
      <w:r/>
      <w:bookmarkStart w:id="181" w:name="_Toc89586904"/>
      <w:r/>
      <w:bookmarkStart w:id="182" w:name="_Toc97561941"/>
      <w:r/>
      <w:bookmarkStart w:id="183" w:name="_Toc51928343"/>
      <w:r/>
      <w:bookmarkStart w:id="184" w:name="_Toc96347882"/>
      <w:r/>
      <w:bookmarkStart w:id="185" w:name="_Toc50528805"/>
      <w:r/>
      <w:bookmarkStart w:id="186" w:name="_Toc91399404"/>
      <w:r/>
      <w:bookmarkStart w:id="187" w:name="_Toc11952"/>
      <w:r/>
      <w:bookmarkStart w:id="188" w:name="_Toc103848549"/>
      <w:r/>
      <w:bookmarkStart w:id="189" w:name="_Toc11464"/>
      <w:r/>
      <w:bookmarkStart w:id="190" w:name="_Toc38931800"/>
      <w:r/>
      <w:bookmarkStart w:id="191" w:name="_Toc38933357"/>
      <w:r/>
      <w:bookmarkStart w:id="192" w:name="_Toc4536"/>
      <w:r/>
      <w:bookmarkStart w:id="193" w:name="_Toc46219699"/>
      <w:r/>
      <w:bookmarkStart w:id="194" w:name="_Toc469850063"/>
      <w:r/>
      <w:bookmarkStart w:id="195" w:name="_Toc40202948"/>
      <w:r/>
      <w:bookmarkStart w:id="196" w:name="_Toc100905227"/>
      <w:r/>
      <w:bookmarkStart w:id="197" w:name="_Toc46939510"/>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p>
    <w:p>
      <w:pPr>
        <w:pStyle w:val="801"/>
        <w:ind w:left="211" w:right="210" w:hanging="211"/>
        <w:spacing w:line="360" w:lineRule="auto"/>
        <w:rPr>
          <w:rFonts w:ascii="Times New Roman" w:hAnsi="Times New Roman" w:eastAsia="宋体" w:cs="Microsoft New Tai Lue"/>
          <w:highlight w:val="none"/>
        </w:rPr>
      </w:pPr>
      <w:r/>
      <w:bookmarkStart w:id="198" w:name="_Toc104560864"/>
      <w:r/>
      <w:bookmarkStart w:id="199" w:name="_Toc107246242"/>
      <w:r/>
      <w:bookmarkStart w:id="200" w:name="_Toc2011935609"/>
      <w:r>
        <w:rPr>
          <w:rFonts w:ascii="Times New Roman" w:hAnsi="Times New Roman" w:eastAsia="宋体" w:cs="Microsoft New Tai Lue"/>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Times New Roman" w:hAnsi="Times New Roman" w:eastAsia="宋体" w:cs="Microsoft New Tai Lue"/>
          <w:highlight w:val="none"/>
        </w:rPr>
        <w:t xml:space="preserve">投标截止时间</w:t>
      </w:r>
      <w:bookmarkEnd w:id="199"/>
      <w:r/>
      <w:bookmarkEnd w:id="200"/>
      <w:r/>
      <w:r/>
    </w:p>
    <w:p>
      <w:pPr>
        <w:ind w:firstLine="420"/>
        <w:spacing w:line="360" w:lineRule="auto"/>
        <w:rPr>
          <w:rFonts w:ascii="Times New Roman" w:hAnsi="Times New Roman" w:eastAsia="宋体" w:cs="Microsoft New Tai Lue"/>
          <w:bCs/>
          <w:szCs w:val="21"/>
          <w:highlight w:val="none"/>
          <w:lang w:val="zh-CN"/>
        </w:rPr>
      </w:pPr>
      <w:r/>
      <w:bookmarkStart w:id="201"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p>
    <w:p>
      <w:pPr>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01"/>
        <w:ind w:left="211" w:right="210" w:hanging="211"/>
        <w:spacing w:line="360" w:lineRule="auto"/>
        <w:rPr>
          <w:rFonts w:ascii="Times New Roman" w:hAnsi="Times New Roman" w:eastAsia="宋体" w:cs="Microsoft New Tai Lue"/>
          <w:highlight w:val="none"/>
        </w:rPr>
      </w:pPr>
      <w:r/>
      <w:bookmarkStart w:id="202" w:name="_Toc324274801"/>
      <w:r/>
      <w:bookmarkStart w:id="203" w:name="_Toc100905228"/>
      <w:r/>
      <w:bookmarkStart w:id="204" w:name="_Toc103848550"/>
      <w:r/>
      <w:bookmarkStart w:id="205" w:name="_Toc107246243"/>
      <w:r/>
      <w:bookmarkStart w:id="206" w:name="_Toc104560865"/>
      <w:r>
        <w:rPr>
          <w:rFonts w:ascii="Times New Roman" w:hAnsi="Times New Roman" w:eastAsia="宋体" w:cs="Microsoft New Tai Lue"/>
          <w:highlight w:val="none"/>
        </w:rPr>
        <w:t xml:space="preserve">26.投标文件的修改和撤回</w:t>
      </w:r>
      <w:bookmarkEnd w:id="134"/>
      <w:r/>
      <w:bookmarkEnd w:id="201"/>
      <w:r/>
      <w:bookmarkEnd w:id="202"/>
      <w:r/>
      <w:bookmarkEnd w:id="203"/>
      <w:r/>
      <w:bookmarkEnd w:id="204"/>
      <w:r/>
      <w:bookmarkEnd w:id="205"/>
      <w:r/>
      <w:bookmarkEnd w:id="206"/>
      <w:r/>
      <w:r/>
    </w:p>
    <w:p>
      <w:pPr>
        <w:ind w:left="214" w:firstLine="420"/>
        <w:spacing w:before="120" w:line="360" w:lineRule="auto"/>
        <w:rPr>
          <w:rFonts w:ascii="Times New Roman" w:hAnsi="Times New Roman" w:eastAsia="宋体" w:cs="Microsoft New Tai Lue"/>
          <w:bCs/>
          <w:szCs w:val="21"/>
          <w:highlight w:val="none"/>
        </w:rPr>
      </w:pPr>
      <w:r/>
      <w:bookmarkStart w:id="207"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ascii="Times New Roman" w:hAnsi="Times New Roman" w:eastAsia="宋体"/>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801"/>
        <w:ind w:left="211" w:right="210" w:hanging="211"/>
        <w:spacing w:line="360" w:lineRule="auto"/>
        <w:rPr>
          <w:rFonts w:ascii="Times New Roman" w:hAnsi="Times New Roman" w:eastAsia="宋体" w:cs="Microsoft New Tai Lue"/>
          <w:highlight w:val="none"/>
        </w:rPr>
      </w:pPr>
      <w:r/>
      <w:bookmarkStart w:id="208" w:name="_Toc104560866"/>
      <w:r/>
      <w:bookmarkStart w:id="209" w:name="_Toc103848551"/>
      <w:r/>
      <w:bookmarkStart w:id="210" w:name="_Toc1920567968"/>
      <w:r/>
      <w:bookmarkStart w:id="211" w:name="_Toc107246244"/>
      <w:r>
        <w:rPr>
          <w:rFonts w:ascii="Times New Roman" w:hAnsi="Times New Roman" w:eastAsia="宋体" w:cs="Microsoft New Tai Lue"/>
          <w:highlight w:val="none"/>
        </w:rPr>
        <w:t xml:space="preserve">27.诚实信用</w:t>
      </w:r>
      <w:bookmarkEnd w:id="208"/>
      <w:r/>
      <w:bookmarkEnd w:id="209"/>
      <w:r/>
      <w:bookmarkEnd w:id="210"/>
      <w:r/>
      <w:bookmarkEnd w:id="211"/>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800"/>
        <w:ind w:left="211" w:right="210" w:hanging="211"/>
        <w:spacing w:line="360" w:lineRule="auto"/>
        <w:rPr>
          <w:rFonts w:ascii="Times New Roman" w:hAnsi="Times New Roman" w:eastAsia="宋体" w:cs="Microsoft New Tai Lue"/>
          <w:highlight w:val="none"/>
        </w:rPr>
      </w:pPr>
      <w:r/>
      <w:bookmarkStart w:id="212" w:name="_Toc159140119"/>
      <w:r>
        <w:rPr>
          <w:rFonts w:ascii="Times New Roman" w:hAnsi="Times New Roman" w:eastAsia="宋体" w:cs="Microsoft New Tai Lue"/>
          <w:highlight w:val="none"/>
        </w:rPr>
        <w:t xml:space="preserve">五．开标和评标</w:t>
      </w:r>
      <w:bookmarkEnd w:id="212"/>
      <w:r/>
      <w:bookmarkStart w:id="213" w:name="_Toc96347885"/>
      <w:r/>
      <w:r/>
    </w:p>
    <w:p>
      <w:pPr>
        <w:pStyle w:val="801"/>
        <w:ind w:left="211" w:right="210" w:hanging="211"/>
        <w:spacing w:line="360" w:lineRule="auto"/>
        <w:rPr>
          <w:rFonts w:ascii="Times New Roman" w:hAnsi="Times New Roman" w:eastAsia="宋体" w:cs="Microsoft New Tai Lue"/>
          <w:highlight w:val="none"/>
        </w:rPr>
      </w:pPr>
      <w:r/>
      <w:bookmarkStart w:id="214" w:name="_Toc1050839518"/>
      <w:r/>
      <w:bookmarkStart w:id="215" w:name="_Toc100905230"/>
      <w:r/>
      <w:bookmarkStart w:id="216" w:name="_Toc103848553"/>
      <w:r/>
      <w:bookmarkStart w:id="217" w:name="_Toc107246246"/>
      <w:r/>
      <w:bookmarkStart w:id="218" w:name="_Toc104560868"/>
      <w:r>
        <w:rPr>
          <w:rFonts w:ascii="Times New Roman" w:hAnsi="Times New Roman" w:eastAsia="宋体" w:cs="Microsoft New Tai Lue"/>
          <w:highlight w:val="none"/>
        </w:rPr>
        <w:t xml:space="preserve">28.开标</w:t>
      </w:r>
      <w:bookmarkEnd w:id="213"/>
      <w:r/>
      <w:bookmarkEnd w:id="214"/>
      <w:r/>
      <w:bookmarkEnd w:id="215"/>
      <w:r/>
      <w:bookmarkEnd w:id="216"/>
      <w:r/>
      <w:bookmarkEnd w:id="217"/>
      <w:r/>
      <w:bookmarkEnd w:id="218"/>
      <w:r/>
      <w:r/>
    </w:p>
    <w:p>
      <w:pPr>
        <w:ind w:firstLine="420"/>
        <w:spacing w:line="360" w:lineRule="auto"/>
        <w:rPr>
          <w:rFonts w:ascii="Times New Roman" w:hAnsi="Times New Roman" w:eastAsia="宋体" w:cs="宋体"/>
          <w:bCs/>
          <w:szCs w:val="21"/>
          <w:highlight w:val="none"/>
        </w:rPr>
      </w:pPr>
      <w:r/>
      <w:bookmarkStart w:id="219" w:name="_Toc96347886"/>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val="en-US" w:eastAsia="zh-CN"/>
        </w:rPr>
        <w:t xml:space="preserve">1</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招标文件</w:t>
      </w:r>
      <w:r>
        <w:rPr>
          <w:rFonts w:hint="eastAsia" w:ascii="Times New Roman" w:hAnsi="Times New Roman" w:eastAsia="宋体" w:cs="宋体"/>
          <w:bCs/>
          <w:szCs w:val="21"/>
          <w:highlight w:val="none"/>
          <w:lang w:val="en-US" w:eastAsia="zh-CN"/>
        </w:rPr>
        <w:t xml:space="preserve">没有</w:t>
      </w:r>
      <w:r>
        <w:rPr>
          <w:rFonts w:hint="eastAsia" w:ascii="Times New Roman" w:hAnsi="Times New Roman" w:eastAsia="宋体" w:cs="宋体"/>
          <w:bCs/>
          <w:szCs w:val="21"/>
          <w:highlight w:val="none"/>
        </w:rPr>
        <w:t xml:space="preserve">不合理条款</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招标程序符合规定，采购人、采购代理机构依法重新招标；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2</w:t>
      </w:r>
      <w:r>
        <w:rPr>
          <w:rFonts w:hint="eastAsia" w:ascii="Times New Roman" w:hAnsi="Times New Roman" w:eastAsia="宋体"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bookmarkEnd w:id="219"/>
      <w:r/>
      <w:r/>
    </w:p>
    <w:p>
      <w:pPr>
        <w:pStyle w:val="801"/>
        <w:ind w:left="211" w:right="210" w:hanging="211"/>
        <w:spacing w:line="360" w:lineRule="auto"/>
        <w:rPr>
          <w:rFonts w:ascii="Times New Roman" w:hAnsi="Times New Roman" w:eastAsia="宋体" w:cs="Microsoft New Tai Lue"/>
          <w:highlight w:val="none"/>
        </w:rPr>
      </w:pPr>
      <w:r/>
      <w:bookmarkStart w:id="220" w:name="_Toc107246247"/>
      <w:r/>
      <w:bookmarkStart w:id="221" w:name="_Toc554266098"/>
      <w:r/>
      <w:bookmarkStart w:id="22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220"/>
      <w:r/>
      <w:bookmarkEnd w:id="221"/>
      <w:r/>
      <w:r/>
    </w:p>
    <w:p>
      <w:pPr>
        <w:ind w:left="214" w:firstLine="420"/>
        <w:spacing w:before="120" w:line="360" w:lineRule="auto"/>
        <w:rPr>
          <w:rFonts w:ascii="Times New Roman" w:hAnsi="Times New Roman" w:eastAsia="宋体" w:cs="Microsoft New Tai Lue"/>
          <w:bCs/>
          <w:szCs w:val="21"/>
          <w:highlight w:val="none"/>
        </w:rPr>
      </w:pPr>
      <w:r/>
      <w:bookmarkStart w:id="223" w:name="_Toc103848554"/>
      <w:r/>
      <w:bookmarkStart w:id="224"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801"/>
        <w:ind w:left="211" w:right="210" w:hanging="211"/>
        <w:spacing w:line="360" w:lineRule="auto"/>
        <w:rPr>
          <w:rFonts w:ascii="Times New Roman" w:hAnsi="Times New Roman" w:eastAsia="宋体" w:cs="Microsoft New Tai Lue"/>
          <w:highlight w:val="none"/>
        </w:rPr>
      </w:pPr>
      <w:r/>
      <w:bookmarkStart w:id="225" w:name="_Toc1913732047"/>
      <w:r/>
      <w:bookmarkStart w:id="226" w:name="_Toc107246248"/>
      <w:r>
        <w:rPr>
          <w:rFonts w:ascii="Times New Roman" w:hAnsi="Times New Roman" w:eastAsia="宋体" w:cs="Microsoft New Tai Lue"/>
          <w:highlight w:val="none"/>
        </w:rPr>
        <w:t xml:space="preserve">30.评标</w:t>
      </w:r>
      <w:bookmarkEnd w:id="223"/>
      <w:r/>
      <w:bookmarkEnd w:id="224"/>
      <w:r/>
      <w:bookmarkEnd w:id="225"/>
      <w:r/>
      <w:bookmarkEnd w:id="226"/>
      <w:r/>
      <w:r/>
    </w:p>
    <w:p>
      <w:pPr>
        <w:pStyle w:val="801"/>
        <w:ind w:left="211" w:right="210" w:hanging="211"/>
        <w:spacing w:line="360" w:lineRule="auto"/>
        <w:rPr>
          <w:rFonts w:ascii="Times New Roman" w:hAnsi="Times New Roman" w:eastAsia="宋体" w:cs="Microsoft New Tai Lue"/>
          <w:highlight w:val="none"/>
        </w:rPr>
      </w:pPr>
      <w:r/>
      <w:bookmarkStart w:id="227" w:name="_Toc1231932810"/>
      <w:r/>
      <w:bookmarkStart w:id="228" w:name="_Toc103848555"/>
      <w:r/>
      <w:bookmarkStart w:id="229" w:name="_Toc107246249"/>
      <w:r/>
      <w:bookmarkStart w:id="230" w:name="_Toc104560870"/>
      <w:r>
        <w:rPr>
          <w:rFonts w:ascii="Times New Roman" w:hAnsi="Times New Roman" w:eastAsia="宋体" w:cs="Microsoft New Tai Lue"/>
          <w:highlight w:val="none"/>
        </w:rPr>
        <w:t xml:space="preserve">30.1评标委员会</w:t>
      </w:r>
      <w:bookmarkEnd w:id="227"/>
      <w:r/>
      <w:bookmarkEnd w:id="228"/>
      <w:r/>
      <w:bookmarkEnd w:id="229"/>
      <w:r/>
      <w:bookmarkEnd w:id="230"/>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801"/>
        <w:ind w:left="211" w:right="210" w:hanging="211"/>
        <w:spacing w:line="360" w:lineRule="auto"/>
        <w:rPr>
          <w:rFonts w:ascii="Times New Roman" w:hAnsi="Times New Roman" w:eastAsia="宋体" w:cs="Microsoft New Tai Lue"/>
          <w:highlight w:val="none"/>
        </w:rPr>
      </w:pPr>
      <w:r/>
      <w:bookmarkStart w:id="231" w:name="_Toc103848556"/>
      <w:r/>
      <w:bookmarkStart w:id="232" w:name="_Toc104560871"/>
      <w:r/>
      <w:bookmarkStart w:id="233" w:name="_Toc107246250"/>
      <w:r/>
      <w:bookmarkStart w:id="234" w:name="_Toc1204896943"/>
      <w:r>
        <w:rPr>
          <w:rFonts w:ascii="Times New Roman" w:hAnsi="Times New Roman" w:eastAsia="宋体" w:cs="Microsoft New Tai Lue"/>
          <w:highlight w:val="none"/>
        </w:rPr>
        <w:t xml:space="preserve">30.2</w:t>
      </w:r>
      <w:bookmarkEnd w:id="231"/>
      <w:r/>
      <w:bookmarkEnd w:id="232"/>
      <w:r>
        <w:rPr>
          <w:rFonts w:hint="eastAsia" w:ascii="Times New Roman" w:hAnsi="Times New Roman" w:eastAsia="宋体" w:cs="Microsoft New Tai Lue"/>
          <w:highlight w:val="none"/>
        </w:rPr>
        <w:t xml:space="preserve">符合性审查</w:t>
      </w:r>
      <w:bookmarkEnd w:id="233"/>
      <w:r/>
      <w:bookmarkEnd w:id="234"/>
      <w:r>
        <w:rPr>
          <w:rFonts w:ascii="Times New Roman" w:hAnsi="Times New Roman" w:eastAsia="宋体" w:cs="Microsoft New Tai Lue"/>
          <w:highlight w:val="none"/>
        </w:rPr>
        <w:t xml:space="preserve"> </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（1）投标人在“苏采云”系统规定的时间内未成功解密电子投标文件的；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bookmarkEnd w:id="222"/>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r/>
    </w:p>
    <w:p>
      <w:pPr>
        <w:pStyle w:val="801"/>
        <w:ind w:left="211" w:right="210" w:hanging="211"/>
        <w:spacing w:line="360" w:lineRule="auto"/>
        <w:rPr>
          <w:rFonts w:ascii="Times New Roman" w:hAnsi="Times New Roman" w:eastAsia="宋体" w:cs="Microsoft New Tai Lue"/>
          <w:highlight w:val="none"/>
        </w:rPr>
      </w:pPr>
      <w:r/>
      <w:bookmarkStart w:id="235" w:name="_Toc107246251"/>
      <w:r/>
      <w:bookmarkStart w:id="236" w:name="_Toc103848557"/>
      <w:r/>
      <w:bookmarkStart w:id="237" w:name="_Toc2079613438"/>
      <w:r/>
      <w:bookmarkStart w:id="238" w:name="_Toc104560872"/>
      <w:r>
        <w:rPr>
          <w:rFonts w:ascii="Times New Roman" w:hAnsi="Times New Roman" w:eastAsia="宋体" w:cs="Microsoft New Tai Lue"/>
          <w:highlight w:val="none"/>
        </w:rPr>
        <w:t xml:space="preserve">30.3投标文件澄清</w:t>
      </w:r>
      <w:bookmarkEnd w:id="235"/>
      <w:r/>
      <w:bookmarkEnd w:id="236"/>
      <w:r/>
      <w:bookmarkEnd w:id="237"/>
      <w:r/>
      <w:bookmarkEnd w:id="23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801"/>
        <w:ind w:left="211" w:right="210" w:hanging="211"/>
        <w:spacing w:line="360" w:lineRule="auto"/>
        <w:rPr>
          <w:rFonts w:ascii="Times New Roman" w:hAnsi="Times New Roman" w:eastAsia="宋体" w:cs="Microsoft New Tai Lue"/>
          <w:highlight w:val="none"/>
        </w:rPr>
      </w:pPr>
      <w:r/>
      <w:bookmarkStart w:id="239" w:name="_Toc107246252"/>
      <w:r/>
      <w:bookmarkStart w:id="240" w:name="_Toc1766697541"/>
      <w:r>
        <w:rPr>
          <w:rFonts w:ascii="Times New Roman" w:hAnsi="Times New Roman" w:eastAsia="宋体" w:cs="Microsoft New Tai Lue"/>
          <w:highlight w:val="none"/>
        </w:rPr>
        <w:t xml:space="preserve">30.4</w:t>
      </w:r>
      <w:bookmarkEnd w:id="239"/>
      <w:r>
        <w:rPr>
          <w:rFonts w:hint="eastAsia" w:ascii="Times New Roman" w:hAnsi="Times New Roman" w:eastAsia="宋体" w:cs="Microsoft New Tai Lue"/>
          <w:highlight w:val="none"/>
        </w:rPr>
        <w:t xml:space="preserve">报价修正</w:t>
      </w:r>
      <w:bookmarkEnd w:id="24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01"/>
        <w:ind w:left="211" w:right="210" w:hanging="211"/>
        <w:spacing w:line="360" w:lineRule="auto"/>
        <w:rPr>
          <w:rFonts w:ascii="Times New Roman" w:hAnsi="Times New Roman" w:eastAsia="宋体" w:cs="Microsoft New Tai Lue"/>
          <w:highlight w:val="none"/>
        </w:rPr>
      </w:pPr>
      <w:r/>
      <w:bookmarkStart w:id="241" w:name="_Toc1776668165"/>
      <w:r/>
      <w:bookmarkStart w:id="242" w:name="_Toc107246253"/>
      <w:r/>
      <w:bookmarkStart w:id="243" w:name="_Toc104560873"/>
      <w:r/>
      <w:bookmarkStart w:id="244" w:name="_Toc103848558"/>
      <w:r>
        <w:rPr>
          <w:rFonts w:ascii="Times New Roman" w:hAnsi="Times New Roman" w:eastAsia="宋体" w:cs="Microsoft New Tai Lue"/>
          <w:highlight w:val="none"/>
        </w:rPr>
        <w:t xml:space="preserve">30.5同品牌多家投标人处理原则</w:t>
      </w:r>
      <w:bookmarkEnd w:id="241"/>
      <w:r/>
      <w:bookmarkEnd w:id="242"/>
      <w:r/>
      <w:bookmarkEnd w:id="243"/>
      <w:r/>
      <w:bookmarkEnd w:id="24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848"/>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801"/>
        <w:ind w:left="211" w:right="210" w:hanging="211"/>
        <w:spacing w:line="360" w:lineRule="auto"/>
        <w:rPr>
          <w:rFonts w:ascii="Times New Roman" w:hAnsi="Times New Roman" w:eastAsia="宋体" w:cs="Microsoft New Tai Lue"/>
          <w:highlight w:val="none"/>
        </w:rPr>
      </w:pPr>
      <w:r/>
      <w:bookmarkStart w:id="245" w:name="_Toc107246254"/>
      <w:r/>
      <w:bookmarkStart w:id="246" w:name="_Toc104560874"/>
      <w:r/>
      <w:bookmarkStart w:id="247" w:name="_Toc103848559"/>
      <w:r/>
      <w:bookmarkStart w:id="248" w:name="_Toc1849221267"/>
      <w:r>
        <w:rPr>
          <w:rFonts w:ascii="Times New Roman" w:hAnsi="Times New Roman" w:eastAsia="宋体" w:cs="Microsoft New Tai Lue"/>
          <w:highlight w:val="none"/>
        </w:rPr>
        <w:t xml:space="preserve">30.6比较与评价</w:t>
      </w:r>
      <w:bookmarkEnd w:id="245"/>
      <w:r/>
      <w:bookmarkEnd w:id="246"/>
      <w:r/>
      <w:bookmarkEnd w:id="247"/>
      <w:r/>
      <w:bookmarkEnd w:id="24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031"/>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eastAsia="宋体" w:cs="Microsoft New Tai Lue"/>
          <w:sz w:val="21"/>
          <w:szCs w:val="21"/>
          <w:highlight w:val="none"/>
          <w:lang w:val="en-US" w:eastAsia="zh-CN"/>
        </w:rPr>
        <w:t xml:space="preserve">异常低价</w:t>
      </w:r>
      <w:r/>
    </w:p>
    <w:p>
      <w:pPr>
        <w:pStyle w:val="1031"/>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p>
    <w:p>
      <w:pPr>
        <w:pStyle w:val="1031"/>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031"/>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031"/>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1031"/>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p>
    <w:p>
      <w:pPr>
        <w:pStyle w:val="1031"/>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1"/>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p>
    <w:p>
      <w:pPr>
        <w:pStyle w:val="801"/>
        <w:ind w:left="211" w:right="210" w:hanging="211"/>
        <w:spacing w:line="360" w:lineRule="auto"/>
        <w:rPr>
          <w:rFonts w:ascii="Times New Roman" w:hAnsi="Times New Roman" w:eastAsia="宋体" w:cs="Microsoft New Tai Lue"/>
          <w:highlight w:val="none"/>
        </w:rPr>
      </w:pPr>
      <w:r/>
      <w:bookmarkStart w:id="249" w:name="_Toc1478495085"/>
      <w:r/>
      <w:bookmarkStart w:id="250"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49"/>
      <w:r/>
      <w:bookmarkEnd w:id="250"/>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801"/>
        <w:ind w:left="211" w:right="210" w:hanging="211"/>
        <w:spacing w:line="360" w:lineRule="auto"/>
        <w:tabs>
          <w:tab w:val="left" w:pos="5882" w:leader="none"/>
        </w:tabs>
        <w:rPr>
          <w:rFonts w:ascii="Times New Roman" w:hAnsi="Times New Roman" w:eastAsia="宋体" w:cs="Microsoft New Tai Lue"/>
          <w:highlight w:val="none"/>
        </w:rPr>
      </w:pPr>
      <w:r/>
      <w:bookmarkStart w:id="251" w:name="_Toc533614158"/>
      <w:r/>
      <w:bookmarkStart w:id="252" w:name="_Toc104560876"/>
      <w:r/>
      <w:bookmarkStart w:id="253" w:name="_Toc107246256"/>
      <w:r/>
      <w:bookmarkStart w:id="254" w:name="_Toc103848561"/>
      <w:r>
        <w:rPr>
          <w:rFonts w:ascii="Times New Roman" w:hAnsi="Times New Roman" w:eastAsia="宋体" w:cs="Microsoft New Tai Lue"/>
          <w:highlight w:val="none"/>
        </w:rPr>
        <w:t xml:space="preserve">30.8评标过程的保密</w:t>
      </w:r>
      <w:bookmarkEnd w:id="251"/>
      <w:r/>
      <w:bookmarkEnd w:id="252"/>
      <w:r/>
      <w:bookmarkEnd w:id="253"/>
      <w:r/>
      <w:bookmarkEnd w:id="254"/>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800"/>
        <w:ind w:left="211" w:right="210" w:hanging="211"/>
        <w:spacing w:line="360" w:lineRule="auto"/>
        <w:rPr>
          <w:rFonts w:ascii="Times New Roman" w:hAnsi="Times New Roman" w:eastAsia="宋体" w:cs="Microsoft New Tai Lue"/>
          <w:highlight w:val="none"/>
        </w:rPr>
      </w:pPr>
      <w:r/>
      <w:bookmarkStart w:id="255" w:name="_Toc561443634"/>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55"/>
      <w:r/>
      <w:r/>
    </w:p>
    <w:p>
      <w:pPr>
        <w:pStyle w:val="801"/>
        <w:ind w:left="211" w:right="210" w:hanging="211"/>
        <w:spacing w:line="360" w:lineRule="auto"/>
        <w:rPr>
          <w:rFonts w:ascii="Times New Roman" w:hAnsi="Times New Roman" w:eastAsia="宋体" w:cs="Microsoft New Tai Lue"/>
          <w:highlight w:val="none"/>
        </w:rPr>
      </w:pPr>
      <w:r/>
      <w:bookmarkStart w:id="256" w:name="_Toc104560878"/>
      <w:r/>
      <w:bookmarkStart w:id="257" w:name="_Toc103848563"/>
      <w:r/>
      <w:bookmarkStart w:id="258" w:name="_Toc107246258"/>
      <w:r/>
      <w:bookmarkStart w:id="259" w:name="_Toc140011720"/>
      <w:r>
        <w:rPr>
          <w:rFonts w:ascii="Times New Roman" w:hAnsi="Times New Roman" w:eastAsia="宋体" w:cs="Microsoft New Tai Lue"/>
          <w:highlight w:val="none"/>
        </w:rPr>
        <w:t xml:space="preserve">31.确定中标</w:t>
      </w:r>
      <w:bookmarkEnd w:id="256"/>
      <w:r/>
      <w:bookmarkEnd w:id="257"/>
      <w:r>
        <w:rPr>
          <w:rFonts w:hint="eastAsia" w:ascii="Times New Roman" w:hAnsi="Times New Roman" w:eastAsia="宋体" w:cs="Microsoft New Tai Lue"/>
          <w:highlight w:val="none"/>
        </w:rPr>
        <w:t xml:space="preserve">人</w:t>
      </w:r>
      <w:bookmarkEnd w:id="258"/>
      <w:r/>
      <w:bookmarkEnd w:id="25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801"/>
        <w:ind w:left="211" w:right="210" w:hanging="211"/>
        <w:spacing w:line="360" w:lineRule="auto"/>
        <w:rPr>
          <w:rFonts w:ascii="Times New Roman" w:hAnsi="Times New Roman" w:eastAsia="宋体" w:cs="Microsoft New Tai Lue"/>
          <w:highlight w:val="none"/>
        </w:rPr>
      </w:pPr>
      <w:r/>
      <w:bookmarkStart w:id="260" w:name="_Toc107246259"/>
      <w:r/>
      <w:bookmarkStart w:id="261" w:name="_Toc104560879"/>
      <w:r/>
      <w:bookmarkStart w:id="262" w:name="_Toc1682384575"/>
      <w:r/>
      <w:bookmarkStart w:id="263" w:name="_Toc103848564"/>
      <w:r>
        <w:rPr>
          <w:rFonts w:ascii="Times New Roman" w:hAnsi="Times New Roman" w:eastAsia="宋体" w:cs="Microsoft New Tai Lue"/>
          <w:highlight w:val="none"/>
        </w:rPr>
        <w:t xml:space="preserve">32.中标通知书</w:t>
      </w:r>
      <w:bookmarkEnd w:id="260"/>
      <w:r/>
      <w:bookmarkEnd w:id="261"/>
      <w:r/>
      <w:bookmarkEnd w:id="262"/>
      <w:r/>
      <w:bookmarkEnd w:id="26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64" w:name="_Toc104560875"/>
      <w:r/>
      <w:bookmarkStart w:id="265"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801"/>
        <w:ind w:left="211" w:right="210" w:hanging="211"/>
        <w:spacing w:line="360" w:lineRule="auto"/>
        <w:rPr>
          <w:rFonts w:ascii="Times New Roman" w:hAnsi="Times New Roman" w:eastAsia="宋体" w:cs="Microsoft New Tai Lue"/>
          <w:highlight w:val="none"/>
        </w:rPr>
      </w:pPr>
      <w:r/>
      <w:bookmarkStart w:id="266" w:name="_Toc2067855623"/>
      <w:r/>
      <w:bookmarkStart w:id="267" w:name="_Toc107246260"/>
      <w:r>
        <w:rPr>
          <w:rFonts w:ascii="Times New Roman" w:hAnsi="Times New Roman" w:eastAsia="宋体" w:cs="Microsoft New Tai Lue"/>
          <w:highlight w:val="none"/>
        </w:rPr>
        <w:t xml:space="preserve">33.废标</w:t>
      </w:r>
      <w:bookmarkEnd w:id="264"/>
      <w:r/>
      <w:bookmarkEnd w:id="265"/>
      <w:r/>
      <w:bookmarkEnd w:id="266"/>
      <w:r/>
      <w:bookmarkEnd w:id="267"/>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801"/>
        <w:ind w:left="211" w:right="210" w:hanging="211"/>
        <w:spacing w:line="360" w:lineRule="auto"/>
        <w:rPr>
          <w:rFonts w:ascii="Times New Roman" w:hAnsi="Times New Roman" w:eastAsia="宋体" w:cs="Microsoft New Tai Lue"/>
          <w:highlight w:val="none"/>
        </w:rPr>
      </w:pPr>
      <w:r/>
      <w:bookmarkStart w:id="268" w:name="_Toc104560880"/>
      <w:r/>
      <w:bookmarkStart w:id="269" w:name="_Toc103848565"/>
      <w:r/>
      <w:bookmarkStart w:id="270" w:name="_Toc1721596360"/>
      <w:r/>
      <w:bookmarkStart w:id="271" w:name="_Toc107246261"/>
      <w:r/>
      <w:bookmarkStart w:id="272" w:name="_Toc513029237"/>
      <w:r/>
      <w:bookmarkStart w:id="273" w:name="_Toc16938553"/>
      <w:r/>
      <w:bookmarkStart w:id="274" w:name="_Toc20823309"/>
      <w:r>
        <w:rPr>
          <w:rFonts w:ascii="Times New Roman" w:hAnsi="Times New Roman" w:eastAsia="宋体" w:cs="Microsoft New Tai Lue"/>
          <w:highlight w:val="none"/>
        </w:rPr>
        <w:t xml:space="preserve">34.签订合同</w:t>
      </w:r>
      <w:bookmarkEnd w:id="268"/>
      <w:r/>
      <w:bookmarkEnd w:id="269"/>
      <w:r/>
      <w:bookmarkEnd w:id="270"/>
      <w:r/>
      <w:bookmarkEnd w:id="271"/>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801"/>
        <w:ind w:left="211" w:right="210" w:hanging="211"/>
        <w:spacing w:line="360" w:lineRule="auto"/>
        <w:rPr>
          <w:rFonts w:ascii="Times New Roman" w:hAnsi="Times New Roman" w:eastAsia="宋体" w:cs="Microsoft New Tai Lue"/>
          <w:szCs w:val="21"/>
          <w:highlight w:val="none"/>
        </w:rPr>
      </w:pPr>
      <w:r/>
      <w:bookmarkStart w:id="275" w:name="_Toc103848567"/>
      <w:r/>
      <w:bookmarkStart w:id="276" w:name="_Toc104560881"/>
      <w:r/>
      <w:bookmarkStart w:id="277" w:name="_Toc1822846489"/>
      <w:r/>
      <w:bookmarkStart w:id="278" w:name="_Toc107246262"/>
      <w:r>
        <w:rPr>
          <w:rFonts w:ascii="Times New Roman" w:hAnsi="Times New Roman" w:eastAsia="宋体" w:cs="Microsoft New Tai Lue"/>
          <w:szCs w:val="21"/>
          <w:highlight w:val="none"/>
        </w:rPr>
        <w:t xml:space="preserve">35.履约保证金</w:t>
      </w:r>
      <w:bookmarkEnd w:id="275"/>
      <w:r/>
      <w:bookmarkEnd w:id="276"/>
      <w:r/>
      <w:bookmarkEnd w:id="277"/>
      <w:r/>
      <w:bookmarkEnd w:id="27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72"/>
      <w:r/>
      <w:bookmarkEnd w:id="273"/>
      <w:r/>
      <w:bookmarkEnd w:id="274"/>
      <w:r/>
      <w:r/>
    </w:p>
    <w:p>
      <w:pPr>
        <w:pStyle w:val="800"/>
        <w:ind w:left="211" w:right="210" w:hanging="211"/>
        <w:spacing w:line="360" w:lineRule="auto"/>
        <w:rPr>
          <w:rFonts w:ascii="Times New Roman" w:hAnsi="Times New Roman" w:eastAsia="宋体" w:cs="Microsoft New Tai Lue"/>
          <w:highlight w:val="none"/>
        </w:rPr>
      </w:pPr>
      <w:r/>
      <w:bookmarkStart w:id="279" w:name="_Toc579232521"/>
      <w:r>
        <w:rPr>
          <w:rFonts w:ascii="Times New Roman" w:hAnsi="Times New Roman" w:eastAsia="宋体" w:cs="Microsoft New Tai Lue"/>
          <w:highlight w:val="none"/>
        </w:rPr>
        <w:t xml:space="preserve">七．</w:t>
      </w:r>
      <w:bookmarkStart w:id="280" w:name="_Toc103848569"/>
      <w:r>
        <w:rPr>
          <w:rFonts w:hint="eastAsia" w:ascii="Times New Roman" w:hAnsi="Times New Roman" w:eastAsia="宋体" w:cs="Microsoft New Tai Lue"/>
          <w:highlight w:val="none"/>
        </w:rPr>
        <w:t xml:space="preserve">询问与质疑</w:t>
      </w:r>
      <w:bookmarkEnd w:id="279"/>
      <w:r/>
      <w:bookmarkEnd w:id="280"/>
      <w:r/>
      <w:r/>
    </w:p>
    <w:p>
      <w:pPr>
        <w:pStyle w:val="801"/>
        <w:ind w:left="211" w:right="210" w:hanging="211"/>
        <w:spacing w:line="360" w:lineRule="auto"/>
        <w:rPr>
          <w:rFonts w:ascii="Times New Roman" w:hAnsi="Times New Roman" w:eastAsia="宋体" w:cs="Microsoft New Tai Lue"/>
          <w:szCs w:val="21"/>
          <w:highlight w:val="none"/>
        </w:rPr>
      </w:pPr>
      <w:r/>
      <w:bookmarkStart w:id="281" w:name="_Toc104560883"/>
      <w:r/>
      <w:bookmarkStart w:id="282" w:name="_Toc617608596"/>
      <w:r/>
      <w:bookmarkStart w:id="283" w:name="_Toc107246264"/>
      <w:r/>
      <w:bookmarkStart w:id="284" w:name="_Toc102117305"/>
      <w:r>
        <w:rPr>
          <w:rFonts w:ascii="Times New Roman" w:hAnsi="Times New Roman" w:eastAsia="宋体" w:cs="Microsoft New Tai Lue"/>
          <w:szCs w:val="21"/>
          <w:highlight w:val="none"/>
        </w:rPr>
        <w:t xml:space="preserve">36.询问</w:t>
      </w:r>
      <w:bookmarkEnd w:id="281"/>
      <w:r/>
      <w:bookmarkEnd w:id="282"/>
      <w:r/>
      <w:bookmarkEnd w:id="283"/>
      <w:r/>
      <w:bookmarkEnd w:id="28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801"/>
        <w:ind w:left="211" w:right="210" w:hanging="211"/>
        <w:spacing w:line="360" w:lineRule="auto"/>
        <w:rPr>
          <w:rFonts w:ascii="Times New Roman" w:hAnsi="Times New Roman" w:eastAsia="宋体" w:cs="Microsoft New Tai Lue"/>
          <w:szCs w:val="21"/>
          <w:highlight w:val="none"/>
        </w:rPr>
      </w:pPr>
      <w:r/>
      <w:bookmarkStart w:id="285" w:name="_Toc104560884"/>
      <w:r/>
      <w:bookmarkStart w:id="286" w:name="_Toc102117306"/>
      <w:r/>
      <w:bookmarkStart w:id="287" w:name="_Toc1359207021"/>
      <w:r/>
      <w:bookmarkStart w:id="288" w:name="_Toc107246265"/>
      <w:r>
        <w:rPr>
          <w:rFonts w:ascii="Times New Roman" w:hAnsi="Times New Roman" w:eastAsia="宋体" w:cs="Microsoft New Tai Lue"/>
          <w:szCs w:val="21"/>
          <w:highlight w:val="none"/>
        </w:rPr>
        <w:t xml:space="preserve">37.质疑</w:t>
      </w:r>
      <w:bookmarkEnd w:id="285"/>
      <w:r/>
      <w:bookmarkEnd w:id="286"/>
      <w:r/>
      <w:bookmarkEnd w:id="287"/>
      <w:r/>
      <w:bookmarkEnd w:id="28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800"/>
        <w:ind w:left="211" w:right="210" w:hanging="211"/>
        <w:spacing w:line="360" w:lineRule="auto"/>
        <w:rPr>
          <w:rFonts w:ascii="Times New Roman" w:hAnsi="Times New Roman" w:eastAsia="宋体" w:cs="Microsoft New Tai Lue"/>
          <w:highlight w:val="none"/>
        </w:rPr>
      </w:pPr>
      <w:r/>
      <w:bookmarkStart w:id="289" w:name="_Toc1408848808"/>
      <w:r>
        <w:rPr>
          <w:rFonts w:ascii="Times New Roman" w:hAnsi="Times New Roman" w:eastAsia="宋体" w:cs="Microsoft New Tai Lue"/>
          <w:highlight w:val="none"/>
        </w:rPr>
        <w:t xml:space="preserve">八．其他</w:t>
      </w:r>
      <w:bookmarkEnd w:id="289"/>
      <w:r/>
      <w:r/>
    </w:p>
    <w:p>
      <w:pPr>
        <w:pStyle w:val="801"/>
        <w:ind w:left="211" w:right="210" w:hanging="211"/>
        <w:spacing w:line="360" w:lineRule="auto"/>
        <w:rPr>
          <w:rFonts w:ascii="Times New Roman" w:hAnsi="Times New Roman" w:eastAsia="宋体" w:cs="Microsoft New Tai Lue"/>
          <w:szCs w:val="21"/>
          <w:highlight w:val="none"/>
        </w:rPr>
      </w:pPr>
      <w:r/>
      <w:bookmarkStart w:id="290" w:name="_Toc103848572"/>
      <w:r/>
      <w:bookmarkStart w:id="291" w:name="_Toc104560886"/>
      <w:r/>
      <w:bookmarkStart w:id="292" w:name="_Toc367224234"/>
      <w:r/>
      <w:bookmarkStart w:id="293" w:name="_Toc107246267"/>
      <w:r>
        <w:rPr>
          <w:rFonts w:ascii="Times New Roman" w:hAnsi="Times New Roman" w:eastAsia="宋体" w:cs="Microsoft New Tai Lue"/>
          <w:szCs w:val="21"/>
          <w:highlight w:val="none"/>
        </w:rPr>
        <w:t xml:space="preserve">38.招标代理服务费</w:t>
      </w:r>
      <w:bookmarkEnd w:id="290"/>
      <w:r/>
      <w:bookmarkEnd w:id="291"/>
      <w:r/>
      <w:bookmarkEnd w:id="292"/>
      <w:r/>
      <w:bookmarkEnd w:id="29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01"/>
        <w:ind w:left="211" w:right="210" w:hanging="211"/>
        <w:spacing w:line="360" w:lineRule="auto"/>
        <w:rPr>
          <w:rFonts w:ascii="Times New Roman" w:hAnsi="Times New Roman" w:eastAsia="宋体" w:cs="Microsoft New Tai Lue"/>
          <w:szCs w:val="21"/>
          <w:highlight w:val="none"/>
        </w:rPr>
      </w:pPr>
      <w:r/>
      <w:bookmarkStart w:id="294" w:name="_Toc107246268"/>
      <w:r/>
      <w:bookmarkStart w:id="295" w:name="_Toc103848573"/>
      <w:r/>
      <w:bookmarkStart w:id="296" w:name="_Toc69699360"/>
      <w:r/>
      <w:bookmarkStart w:id="297" w:name="_Toc104560887"/>
      <w:r>
        <w:rPr>
          <w:rFonts w:ascii="Times New Roman" w:hAnsi="Times New Roman" w:eastAsia="宋体" w:cs="Microsoft New Tai Lue"/>
          <w:szCs w:val="21"/>
          <w:highlight w:val="none"/>
        </w:rPr>
        <w:t xml:space="preserve">39.其他规定</w:t>
      </w:r>
      <w:bookmarkEnd w:id="294"/>
      <w:r/>
      <w:bookmarkEnd w:id="295"/>
      <w:r/>
      <w:bookmarkEnd w:id="296"/>
      <w:r/>
      <w:bookmarkEnd w:id="29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801"/>
        <w:ind w:left="211" w:right="210" w:hanging="211"/>
        <w:spacing w:line="360" w:lineRule="auto"/>
        <w:rPr>
          <w:rFonts w:ascii="Times New Roman" w:hAnsi="Times New Roman" w:eastAsia="宋体" w:cs="Microsoft New Tai Lue"/>
          <w:szCs w:val="21"/>
          <w:highlight w:val="none"/>
        </w:rPr>
      </w:pPr>
      <w:r/>
      <w:bookmarkStart w:id="298" w:name="_Toc104560888"/>
      <w:r/>
      <w:bookmarkStart w:id="299" w:name="_Toc103848574"/>
      <w:r/>
      <w:bookmarkStart w:id="300" w:name="_Toc107246269"/>
      <w:r/>
      <w:bookmarkStart w:id="301" w:name="_Toc1058555905"/>
      <w:r>
        <w:rPr>
          <w:rFonts w:ascii="Times New Roman" w:hAnsi="Times New Roman" w:eastAsia="宋体" w:cs="Microsoft New Tai Lue"/>
          <w:szCs w:val="21"/>
          <w:highlight w:val="none"/>
        </w:rPr>
        <w:t xml:space="preserve">40.文件解释权</w:t>
      </w:r>
      <w:bookmarkEnd w:id="298"/>
      <w:r/>
      <w:bookmarkEnd w:id="299"/>
      <w:r/>
      <w:bookmarkEnd w:id="300"/>
      <w:r/>
      <w:bookmarkEnd w:id="30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207"/>
      <w:r/>
      <w:bookmarkStart w:id="302" w:name="_Toc91836563"/>
      <w:r/>
      <w:r/>
    </w:p>
    <w:p>
      <w:pPr>
        <w:pStyle w:val="838"/>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838"/>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303" w:name="_Toc1394563587"/>
      <w:r>
        <w:rPr>
          <w:rFonts w:ascii="Times New Roman" w:hAnsi="Times New Roman" w:eastAsia="宋体" w:cs="Microsoft New Tai Lue"/>
          <w:highlight w:val="none"/>
        </w:rPr>
        <w:t xml:space="preserve">第三章 </w:t>
      </w:r>
      <w:bookmarkEnd w:id="302"/>
      <w:r>
        <w:rPr>
          <w:rFonts w:hint="default" w:ascii="Times New Roman" w:hAnsi="Times New Roman" w:eastAsia="宋体" w:cs="Microsoft New Tai Lue"/>
          <w:highlight w:val="none"/>
          <w:lang w:val="zh-CN"/>
        </w:rPr>
        <w:t xml:space="preserve">合同主要条款及格式</w:t>
      </w:r>
      <w:bookmarkEnd w:id="303"/>
      <w:r/>
      <w:r/>
    </w:p>
    <w:p>
      <w:pPr>
        <w:ind w:firstLine="560"/>
        <w:jc w:val="center"/>
        <w:spacing w:line="480" w:lineRule="exact"/>
        <w:rPr>
          <w:rFonts w:ascii="Times New Roman" w:hAnsi="Times New Roman" w:eastAsia="宋体" w:cs="仿宋"/>
          <w:b/>
          <w:sz w:val="28"/>
        </w:rPr>
      </w:pPr>
      <w:r>
        <w:rPr>
          <w:rFonts w:ascii="Times New Roman" w:hAnsi="Times New Roman" w:eastAsia="宋体" w:cs="仿宋"/>
          <w:b/>
          <w:sz w:val="28"/>
        </w:rPr>
      </w:r>
      <w:r/>
    </w:p>
    <w:p>
      <w:pPr>
        <w:ind w:firstLine="560"/>
        <w:jc w:val="center"/>
        <w:spacing w:line="480" w:lineRule="exact"/>
        <w:rPr>
          <w:rFonts w:ascii="Times New Roman" w:hAnsi="Times New Roman" w:eastAsia="宋体" w:cs="仿宋"/>
          <w:b/>
          <w:sz w:val="28"/>
        </w:rPr>
      </w:pPr>
      <w:r/>
      <w:bookmarkStart w:id="304" w:name="_Toc91836564"/>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车 辆 购 置 合 同</w:t>
      </w:r>
      <w:r/>
    </w:p>
    <w:p>
      <w:pPr>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（特种车辆）</w:t>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spacing w:line="720" w:lineRule="exact"/>
        <w:rPr>
          <w:rFonts w:ascii="Times New Roman" w:hAnsi="Times New Roman" w:eastAsia="宋体" w:cs="仿宋"/>
          <w:b/>
          <w:bCs/>
          <w:sz w:val="28"/>
          <w:szCs w:val="28"/>
        </w:rPr>
      </w:pPr>
      <w:r>
        <w:rPr>
          <w:rFonts w:ascii="Times New Roman" w:hAnsi="Times New Roman" w:eastAsia="宋体" w:cs="仿宋"/>
          <w:b/>
          <w:bCs/>
          <w:sz w:val="28"/>
          <w:szCs w:val="28"/>
        </w:rPr>
      </w:r>
      <w:r/>
    </w:p>
    <w:p>
      <w:pPr>
        <w:ind w:firstLine="4560"/>
        <w:spacing w:line="440" w:lineRule="exact"/>
        <w:rPr>
          <w:rFonts w:ascii="Times New Roman" w:hAnsi="Times New Roman" w:eastAsia="宋体" w:cs="仿宋"/>
          <w:sz w:val="24"/>
          <w:u w:val="single"/>
        </w:rPr>
      </w:pPr>
      <w:r>
        <w:rPr>
          <w:rFonts w:hint="eastAsia" w:ascii="Times New Roman" w:hAnsi="Times New Roman" w:eastAsia="宋体" w:cs="仿宋"/>
          <w:sz w:val="24"/>
        </w:rPr>
        <w:t xml:space="preserve">合同编号：</w:t>
      </w:r>
      <w:bookmarkStart w:id="305" w:name="ContractNo4_1"/>
      <w:r/>
      <w:bookmarkEnd w:id="305"/>
      <w:r/>
      <w:r/>
    </w:p>
    <w:p>
      <w:pPr>
        <w:ind w:firstLine="4620"/>
        <w:spacing w:line="440" w:lineRule="exact"/>
        <w:rPr>
          <w:rFonts w:ascii="Times New Roman" w:hAnsi="Times New Roman" w:eastAsia="宋体" w:cs="仿宋"/>
          <w:sz w:val="24"/>
        </w:rPr>
      </w:pPr>
      <w:r>
        <w:rPr>
          <w:rFonts w:hint="eastAsia" w:ascii="Times New Roman" w:hAnsi="Times New Roman"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57.0pt,0.0pt" to="357.1pt,0.0pt" filled="f" strokecolor="#000000" strokeweight="0.75pt"/>
            </w:pict>
          </mc:Fallback>
        </mc:AlternateContent>
      </w:r>
      <w:r>
        <w:rPr>
          <w:rFonts w:hint="eastAsia" w:ascii="Times New Roman" w:hAnsi="Times New Roman" w:eastAsia="宋体" w:cs="仿宋"/>
          <w:sz w:val="24"/>
        </w:rPr>
        <w:t xml:space="preserve">签订时间：</w:t>
      </w:r>
      <w:bookmarkStart w:id="306" w:name="Year4_1"/>
      <w:r/>
      <w:bookmarkEnd w:id="306"/>
      <w:r/>
      <w:r/>
    </w:p>
    <w:p>
      <w:pPr>
        <w:ind w:firstLine="4560"/>
        <w:spacing w:line="440" w:lineRule="exact"/>
        <w:rPr>
          <w:rFonts w:ascii="Times New Roman" w:hAnsi="Times New Roman" w:eastAsia="宋体" w:cs="仿宋"/>
          <w:sz w:val="36"/>
          <w:szCs w:val="36"/>
        </w:rPr>
      </w:pPr>
      <w:r>
        <w:rPr>
          <w:rFonts w:hint="eastAsia" w:ascii="Times New Roman" w:hAnsi="Times New Roman" w:eastAsia="宋体" w:cs="仿宋"/>
          <w:sz w:val="24"/>
        </w:rPr>
        <w:t xml:space="preserve">签订地点：</w:t>
      </w:r>
      <w:r/>
    </w:p>
    <w:p>
      <w:pPr>
        <w:jc w:val="center"/>
        <w:rPr>
          <w:rFonts w:ascii="Times New Roman" w:hAnsi="Times New Roman" w:eastAsia="宋体" w:cs="仿宋"/>
          <w:b/>
          <w:sz w:val="32"/>
        </w:rPr>
      </w:pPr>
      <w:r>
        <w:rPr>
          <w:rFonts w:ascii="Times New Roman" w:hAnsi="Times New Roman" w:eastAsia="宋体" w:cs="仿宋"/>
          <w:b/>
          <w:sz w:val="32"/>
        </w:rPr>
      </w:r>
      <w:r/>
    </w:p>
    <w:p>
      <w:pPr>
        <w:jc w:val="center"/>
        <w:rPr>
          <w:rFonts w:ascii="Times New Roman" w:hAnsi="Times New Roman" w:eastAsia="宋体" w:cs="仿宋"/>
          <w:b/>
          <w:sz w:val="32"/>
        </w:rPr>
      </w:pPr>
      <w:r>
        <w:rPr>
          <w:rFonts w:ascii="Times New Roman" w:hAnsi="Times New Roman" w:eastAsia="宋体" w:cs="仿宋"/>
          <w:b/>
          <w:sz w:val="32"/>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买方：江苏省高速公路经营管理中心</w:t>
      </w:r>
      <w:r/>
    </w:p>
    <w:p>
      <w:pPr>
        <w:ind w:firstLine="480"/>
        <w:spacing w:line="480" w:lineRule="exact"/>
        <w:rPr>
          <w:rFonts w:hint="eastAsia" w:ascii="Times New Roman" w:hAnsi="Times New Roman" w:eastAsia="宋体" w:cs="仿宋"/>
          <w:b/>
          <w:sz w:val="24"/>
          <w:lang w:eastAsia="zh-CN"/>
        </w:rPr>
      </w:pPr>
      <w:r>
        <w:rPr>
          <w:rFonts w:hint="eastAsia" w:ascii="Times New Roman" w:hAnsi="Times New Roman" w:eastAsia="宋体" w:cs="仿宋"/>
          <w:b/>
          <w:sz w:val="24"/>
        </w:rPr>
        <w:t xml:space="preserve">地 址：</w:t>
      </w:r>
      <w:r>
        <w:rPr>
          <w:rFonts w:hint="eastAsia" w:ascii="Times New Roman" w:hAnsi="Times New Roman" w:eastAsia="宋体" w:cs="仿宋"/>
          <w:b/>
          <w:sz w:val="24"/>
          <w:lang w:eastAsia="zh-CN"/>
        </w:rPr>
        <w:t xml:space="preserve">江苏省南京市鼓楼区江苏路60-1号</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p>
    <w:p>
      <w:pPr>
        <w:ind w:firstLine="480"/>
        <w:spacing w:line="480" w:lineRule="exact"/>
        <w:rPr>
          <w:rFonts w:ascii="Times New Roman" w:hAnsi="Times New Roman" w:eastAsia="宋体" w:cs="仿宋"/>
          <w:b/>
          <w:sz w:val="24"/>
        </w:rPr>
      </w:pPr>
      <w:r>
        <w:rPr>
          <w:rFonts w:ascii="Times New Roman" w:hAnsi="Times New Roman" w:eastAsia="宋体" w:cs="仿宋"/>
          <w:b/>
          <w:sz w:val="24"/>
        </w:rPr>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卖方：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地 址：</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p>
    <w:p>
      <w:pPr>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p>
    <w:p>
      <w:pPr>
        <w:jc w:val="left"/>
        <w:widowControl/>
        <w:rPr>
          <w:rFonts w:ascii="Times New Roman" w:hAnsi="Times New Roman" w:eastAsia="宋体" w:cs="仿宋"/>
          <w:b/>
          <w:sz w:val="24"/>
        </w:rPr>
      </w:pPr>
      <w:r>
        <w:rPr>
          <w:rFonts w:hint="eastAsia" w:ascii="Times New Roman" w:hAnsi="Times New Roman" w:eastAsia="宋体" w:cs="仿宋"/>
          <w:b/>
          <w:sz w:val="24"/>
        </w:rPr>
        <w:br w:type="page" w:clear="all"/>
      </w:r>
      <w:r/>
    </w:p>
    <w:p>
      <w:pPr>
        <w:jc w:val="center"/>
        <w:rPr>
          <w:rFonts w:ascii="Times New Roman" w:hAnsi="Times New Roman" w:eastAsia="宋体" w:cs="仿宋"/>
          <w:b/>
          <w:bCs/>
          <w:sz w:val="32"/>
          <w:szCs w:val="32"/>
        </w:rPr>
      </w:pPr>
      <w:r/>
      <w:bookmarkStart w:id="307" w:name="_Toc529475938"/>
      <w:r>
        <w:rPr>
          <w:rFonts w:hint="eastAsia" w:ascii="Times New Roman" w:hAnsi="Times New Roman" w:eastAsia="宋体" w:cs="仿宋"/>
          <w:b/>
          <w:bCs/>
          <w:sz w:val="32"/>
          <w:szCs w:val="32"/>
        </w:rPr>
        <w:t xml:space="preserve">第一部分  合同协议书</w:t>
      </w:r>
      <w:bookmarkEnd w:id="307"/>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鉴于买方拟向卖方采购</w:t>
      </w:r>
      <w:r>
        <w:rPr>
          <w:rFonts w:hint="eastAsia" w:cs="仿宋"/>
          <w:sz w:val="24"/>
          <w:u w:val="single"/>
          <w:lang w:eastAsia="zh-CN"/>
        </w:rPr>
        <w:t xml:space="preserve">防撞车</w:t>
      </w:r>
      <w:r>
        <w:rPr>
          <w:rFonts w:hint="eastAsia" w:ascii="Times New Roman" w:hAnsi="Times New Roman" w:eastAsia="宋体" w:cs="仿宋"/>
          <w:sz w:val="24"/>
        </w:rPr>
        <w:t xml:space="preserve">（简称“合同车辆”），且卖方同意向买方供应上述合同车辆，买卖双方就合同车辆的采购订立本协议。</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一、词语含义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本协议中所用词语的含义与通用合同条款和专用合同条款中相应词语的含义相同。</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二、合同组成部分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下列文件为合同的组成部分：</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1．双方在合同履行过程中达成的协议、纪要等文件；</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2．合同协议书及附件；</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3．中标通知书；</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4．专用合同条款及附件；</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5．通用合同条款；</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6．投标文件及附件（如有）</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7．招标文件；</w:t>
      </w:r>
      <w:r/>
    </w:p>
    <w:p>
      <w:pPr>
        <w:pStyle w:val="1022"/>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8．构成合同的其他文件。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上述组成合同的各项文件应互相解释，互为说明。如有不一致，解释合同文件的优先顺序按照上述文件所列顺序为准。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上述各项合同文件包括合同当事人就该项合同文件所作出的补充和修改，属于同一类内容的文件，应以最新签署的为准。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在合同订立及履行过程中形成的与合同有关的文件均构成合同文件组成部分，并根据其性质确定优先解释顺序。</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三、合同标的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1、卖方应按照合同供应的合同车辆名称、规格型号、数量等见《已标价合同车辆清单》（附件1）。</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2、卖方所提供的售后服务不得低于卖方对社会销售汽车的售后服务承诺，还应当符合本次招标文件、采购文件中的要求。</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四、合同价格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1、本合同总价为￥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元（大写）（含税价，税率</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%）。本合同约定的合同总价包括但不限于货物的运输及运输保险费、安装、调试、投标人应缴纳的税金和售后服务等全部费用。车辆保险费、车辆购置由</w:t>
      </w:r>
      <w:r>
        <w:rPr>
          <w:rFonts w:hint="eastAsia" w:cs="仿宋"/>
          <w:sz w:val="24"/>
          <w:lang w:eastAsia="zh-CN"/>
        </w:rPr>
        <w:t xml:space="preserve">买方</w:t>
      </w:r>
      <w:r>
        <w:rPr>
          <w:rFonts w:hint="eastAsia" w:ascii="Times New Roman" w:hAnsi="Times New Roman" w:eastAsia="宋体" w:cs="仿宋"/>
          <w:sz w:val="24"/>
        </w:rPr>
        <w:t xml:space="preserve">自行办理，费用不包含在合同中。上牌需卖方协助办理，并由卖方支付费用。</w:t>
      </w:r>
      <w:r>
        <w:rPr>
          <w:rFonts w:hint="eastAsia" w:cs="仿宋"/>
          <w:sz w:val="24"/>
          <w:lang w:eastAsia="zh-CN"/>
        </w:rPr>
        <w:t xml:space="preserve">买方</w:t>
      </w:r>
      <w:r>
        <w:rPr>
          <w:rFonts w:hint="eastAsia" w:ascii="Times New Roman" w:hAnsi="Times New Roman" w:eastAsia="宋体" w:cs="仿宋"/>
          <w:sz w:val="24"/>
        </w:rPr>
        <w:t xml:space="preserve">除依本合同约定支付价款外，不再向卖方支付任何费用。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合同价格在本合同期限内固定不变。具体价格构成见《已标价合同车辆清单》。若国家出台新的税收政策，则按新政策执行。</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五、支付方式</w:t>
      </w:r>
      <w:r/>
    </w:p>
    <w:p>
      <w:pPr>
        <w:ind w:firstLine="480"/>
        <w:spacing w:line="480" w:lineRule="exact"/>
        <w:tabs>
          <w:tab w:val="left" w:pos="800" w:leader="none"/>
        </w:tabs>
        <w:rPr>
          <w:rFonts w:ascii="Times New Roman" w:hAnsi="Times New Roman" w:eastAsia="宋体" w:cs="仿宋"/>
          <w:bCs/>
          <w:iCs/>
          <w:sz w:val="24"/>
        </w:rPr>
      </w:pPr>
      <w:r>
        <w:rPr>
          <w:rFonts w:hint="eastAsia" w:ascii="Times New Roman" w:hAnsi="Times New Roman" w:eastAsia="宋体" w:cs="仿宋"/>
          <w:bCs/>
          <w:iCs/>
          <w:sz w:val="24"/>
        </w:rPr>
        <w:t xml:space="preserve">1、本合同支付方式按照下列执行：</w:t>
      </w:r>
      <w:r/>
    </w:p>
    <w:p>
      <w:pPr>
        <w:ind w:firstLine="480"/>
        <w:spacing w:line="480" w:lineRule="exact"/>
        <w:tabs>
          <w:tab w:val="left" w:pos="800" w:leader="none"/>
        </w:tabs>
        <w:rPr>
          <w:rFonts w:ascii="Times New Roman" w:hAnsi="Times New Roman" w:eastAsia="宋体" w:cs="仿宋"/>
          <w:sz w:val="24"/>
        </w:rPr>
      </w:pPr>
      <w:r>
        <w:rPr>
          <w:rFonts w:hint="eastAsia" w:ascii="Times New Roman" w:hAnsi="Times New Roman" w:eastAsia="宋体" w:cs="仿宋"/>
          <w:sz w:val="24"/>
        </w:rPr>
        <w:t xml:space="preserve">本合同签订生效且卖方提供符合</w:t>
      </w:r>
      <w:r>
        <w:rPr>
          <w:rFonts w:hint="eastAsia" w:cs="仿宋"/>
          <w:sz w:val="24"/>
          <w:lang w:eastAsia="zh-CN"/>
        </w:rPr>
        <w:t xml:space="preserve">买方</w:t>
      </w:r>
      <w:r>
        <w:rPr>
          <w:rFonts w:hint="eastAsia" w:ascii="Times New Roman" w:hAnsi="Times New Roman" w:eastAsia="宋体" w:cs="仿宋"/>
          <w:sz w:val="24"/>
        </w:rPr>
        <w:t xml:space="preserve">财务制度要求的正规发票后，按以下合同履约进度付款：</w:t>
      </w:r>
      <w:r/>
    </w:p>
    <w:tbl>
      <w:tblPr>
        <w:tblStyle w:val="809"/>
        <w:tblW w:w="8115" w:type="dxa"/>
        <w:tblInd w:w="4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1417"/>
        <w:gridCol w:w="5175"/>
      </w:tblGrid>
      <w:tr>
        <w:trPr/>
        <w:tc>
          <w:tcPr>
            <w:tcW w:w="1523"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付款比例（%）</w:t>
            </w:r>
            <w:r/>
          </w:p>
        </w:tc>
        <w:tc>
          <w:tcPr>
            <w:tcW w:w="1417"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付款金额（元）</w:t>
            </w:r>
            <w:r/>
          </w:p>
        </w:tc>
        <w:tc>
          <w:tcPr>
            <w:tcW w:w="5175" w:type="dxa"/>
            <w:vAlign w:val="center"/>
            <w:textDirection w:val="lrTb"/>
            <w:noWrap w:val="false"/>
          </w:tcPr>
          <w:p>
            <w:pPr>
              <w:ind w:right="-57"/>
              <w:jc w:val="center"/>
              <w:spacing w:line="480" w:lineRule="exact"/>
              <w:rPr>
                <w:rFonts w:ascii="Times New Roman" w:hAnsi="Times New Roman" w:eastAsia="宋体" w:cs="仿宋"/>
                <w:bCs/>
                <w:sz w:val="24"/>
              </w:rPr>
            </w:pPr>
            <w:r>
              <w:rPr>
                <w:rFonts w:hint="eastAsia" w:ascii="Times New Roman" w:hAnsi="Times New Roman" w:eastAsia="宋体" w:cs="仿宋"/>
                <w:bCs/>
                <w:sz w:val="24"/>
              </w:rPr>
              <w:t xml:space="preserve">付款条件</w:t>
            </w:r>
            <w:r/>
          </w:p>
        </w:tc>
      </w:tr>
      <w:tr>
        <w:trPr/>
        <w:tc>
          <w:tcPr>
            <w:tcW w:w="1523" w:type="dxa"/>
            <w:vAlign w:val="center"/>
            <w:textDirection w:val="lrTb"/>
            <w:noWrap w:val="false"/>
          </w:tcPr>
          <w:p>
            <w:pPr>
              <w:ind w:right="-57"/>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支付合同价格的100%</w:t>
            </w:r>
            <w:r/>
          </w:p>
        </w:tc>
        <w:tc>
          <w:tcPr>
            <w:tcW w:w="1417" w:type="dxa"/>
            <w:vAlign w:val="center"/>
            <w:textDirection w:val="lrTb"/>
            <w:noWrap w:val="false"/>
          </w:tcPr>
          <w:p>
            <w:pPr>
              <w:ind w:right="-57"/>
              <w:jc w:val="center"/>
              <w:spacing w:line="480" w:lineRule="exact"/>
              <w:rPr>
                <w:rFonts w:ascii="Times New Roman" w:hAnsi="Times New Roman" w:eastAsia="宋体" w:cs="仿宋"/>
                <w:sz w:val="24"/>
              </w:rPr>
            </w:pPr>
            <w:r>
              <w:rPr>
                <w:rFonts w:ascii="Times New Roman" w:hAnsi="Times New Roman" w:eastAsia="宋体" w:cs="仿宋"/>
                <w:sz w:val="24"/>
              </w:rPr>
            </w:r>
            <w:r/>
          </w:p>
        </w:tc>
        <w:tc>
          <w:tcPr>
            <w:tcW w:w="5175" w:type="dxa"/>
            <w:vAlign w:val="center"/>
            <w:textDirection w:val="lrTb"/>
            <w:noWrap w:val="false"/>
          </w:tcPr>
          <w:p>
            <w:pPr>
              <w:ind w:right="-57"/>
              <w:jc w:val="left"/>
              <w:spacing w:line="480" w:lineRule="exact"/>
              <w:rPr>
                <w:rFonts w:ascii="Times New Roman" w:hAnsi="Times New Roman" w:eastAsia="宋体" w:cs="仿宋"/>
                <w:sz w:val="24"/>
              </w:rPr>
            </w:pPr>
            <w:r>
              <w:rPr>
                <w:rFonts w:hint="eastAsia" w:ascii="Times New Roman" w:hAnsi="Times New Roman" w:eastAsia="宋体" w:cs="仿宋"/>
                <w:sz w:val="24"/>
              </w:rPr>
              <w:t xml:space="preserve">设备全部到货安装调试验收合格后30个工作日内</w:t>
            </w:r>
            <w:r/>
          </w:p>
        </w:tc>
      </w:tr>
    </w:tbl>
    <w:p>
      <w:pPr>
        <w:ind w:firstLine="480"/>
        <w:spacing w:line="480" w:lineRule="exact"/>
        <w:tabs>
          <w:tab w:val="left" w:pos="800" w:leader="none"/>
        </w:tabs>
        <w:rPr>
          <w:rFonts w:ascii="Times New Roman" w:hAnsi="Times New Roman" w:eastAsia="宋体" w:cs="仿宋"/>
          <w:sz w:val="24"/>
        </w:rPr>
      </w:pPr>
      <w:r>
        <w:rPr>
          <w:rFonts w:ascii="Times New Roman" w:hAnsi="Times New Roman" w:eastAsia="宋体" w:cs="仿宋"/>
          <w:sz w:val="24"/>
        </w:rPr>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卖方若变更本合同的收款单位、收款账号，应及时向买方提供其所要求的证明文件。</w:t>
      </w:r>
      <w:r/>
    </w:p>
    <w:p>
      <w:pPr>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付款前，卖方向买方出具符合法律规定的增值税专用发票否则买方可以迟延付款且不承担任何责任。</w:t>
      </w:r>
      <w:r/>
    </w:p>
    <w:p>
      <w:pPr>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六、合同履约保证金</w:t>
      </w:r>
      <w:r/>
    </w:p>
    <w:p>
      <w:pPr>
        <w:pStyle w:val="1069"/>
        <w:numPr>
          <w:ilvl w:val="1"/>
          <w:numId w:val="0"/>
        </w:numPr>
        <w:ind w:firstLine="480"/>
        <w:spacing w:before="156"/>
        <w:rPr>
          <w:rFonts w:ascii="Times New Roman" w:hAnsi="Times New Roman" w:eastAsia="宋体" w:cs="仿宋"/>
          <w:color w:val="000000"/>
        </w:rPr>
      </w:pPr>
      <w:r/>
      <w:bookmarkStart w:id="308" w:name="_Toc793683351"/>
      <w:r>
        <w:rPr>
          <w:rFonts w:hint="eastAsia" w:ascii="Times New Roman" w:hAnsi="Times New Roman" w:eastAsia="宋体" w:cs="仿宋"/>
          <w:color w:val="000000"/>
        </w:rPr>
        <w:t xml:space="preserve">1、卖方应在合同生效后的30天内向</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提交相当于合同含税总价5%的履约保证金，即人民币</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元（人民币大写：</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）。履约保证金按照如下</w:t>
      </w:r>
      <w:r>
        <w:rPr>
          <w:rFonts w:hint="eastAsia" w:ascii="Times New Roman" w:hAnsi="Times New Roman" w:eastAsia="宋体" w:cs="仿宋"/>
          <w:color w:val="000000"/>
          <w:u w:val="single"/>
        </w:rPr>
        <w:t xml:space="preserve"> 2 </w:t>
      </w:r>
      <w:r>
        <w:rPr>
          <w:rFonts w:hint="eastAsia" w:ascii="Times New Roman" w:hAnsi="Times New Roman" w:eastAsia="宋体" w:cs="仿宋"/>
          <w:color w:val="000000"/>
        </w:rPr>
        <w:t xml:space="preserve">种任意一种方式提供：1）银行转账 2）</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认可的银行签发的不可撤销保函。</w:t>
      </w:r>
      <w:bookmarkEnd w:id="308"/>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2、卖方承诺对所提供的车辆提供</w:t>
      </w:r>
      <w:r>
        <w:rPr>
          <w:rFonts w:hint="eastAsia" w:ascii="Times New Roman" w:hAnsi="Times New Roman" w:eastAsia="宋体" w:cs="仿宋"/>
          <w:sz w:val="24"/>
          <w:u w:val="single"/>
        </w:rPr>
        <w:t xml:space="preserve">   个月</w:t>
      </w:r>
      <w:r>
        <w:rPr>
          <w:rFonts w:hint="eastAsia" w:ascii="Times New Roman" w:hAnsi="Times New Roman" w:eastAsia="宋体" w:cs="仿宋"/>
          <w:sz w:val="24"/>
        </w:rPr>
        <w:t xml:space="preserve">（含本数）的质量保证，自设备到现场并调试验收合格之日起计算（底盘按国家汽车行业相关规定执行）。其他关于履约保证的约定见通用合同条款。</w:t>
      </w:r>
      <w:r/>
    </w:p>
    <w:p>
      <w:pPr>
        <w:pStyle w:val="1069"/>
        <w:numPr>
          <w:ilvl w:val="1"/>
          <w:numId w:val="0"/>
        </w:numPr>
        <w:ind w:firstLine="480"/>
        <w:rPr>
          <w:rFonts w:hint="eastAsia" w:ascii="Times New Roman" w:hAnsi="Times New Roman" w:eastAsia="宋体" w:cs="仿宋"/>
          <w:color w:val="000000"/>
        </w:rPr>
      </w:pPr>
      <w:r/>
      <w:bookmarkStart w:id="309" w:name="_Toc1415148740"/>
      <w:r>
        <w:rPr>
          <w:rFonts w:hint="eastAsia" w:ascii="Times New Roman" w:hAnsi="Times New Roman" w:eastAsia="宋体" w:cs="仿宋"/>
          <w:color w:val="000000"/>
        </w:rPr>
        <w:t xml:space="preserve">3、卖方以银行转账方式交纳履约保证金的：</w:t>
      </w:r>
      <w:bookmarkEnd w:id="309"/>
      <w:r/>
      <w:r/>
    </w:p>
    <w:p>
      <w:pPr>
        <w:pStyle w:val="1069"/>
        <w:numPr>
          <w:ilvl w:val="1"/>
          <w:numId w:val="0"/>
        </w:numPr>
        <w:ind w:firstLine="480"/>
        <w:rPr>
          <w:rFonts w:hint="eastAsia" w:ascii="Times New Roman" w:hAnsi="Times New Roman" w:eastAsia="宋体" w:cs="仿宋"/>
          <w:color w:val="000000"/>
        </w:rPr>
      </w:pPr>
      <w:r/>
      <w:bookmarkStart w:id="310" w:name="_Toc1023482655"/>
      <w:r>
        <w:rPr>
          <w:rFonts w:hint="eastAsia" w:ascii="Times New Roman" w:hAnsi="Times New Roman" w:eastAsia="宋体" w:cs="仿宋"/>
          <w:color w:val="000000"/>
        </w:rPr>
        <w:t xml:space="preserve">以买方全款收到履约保证金之日作为卖方的交纳日。买方收取履约保证金账户信息如下：</w:t>
      </w:r>
      <w:bookmarkEnd w:id="310"/>
      <w:r/>
      <w:r/>
    </w:p>
    <w:p>
      <w:pPr>
        <w:pStyle w:val="1069"/>
        <w:numPr>
          <w:ilvl w:val="1"/>
          <w:numId w:val="0"/>
        </w:numPr>
        <w:ind w:firstLine="480"/>
        <w:rPr>
          <w:rFonts w:hint="eastAsia" w:ascii="Times New Roman" w:hAnsi="Times New Roman" w:eastAsia="宋体" w:cs="仿宋"/>
          <w:color w:val="000000"/>
        </w:rPr>
      </w:pPr>
      <w:r/>
      <w:bookmarkStart w:id="311" w:name="_Toc328970115"/>
      <w:r>
        <w:rPr>
          <w:rFonts w:hint="eastAsia" w:ascii="Times New Roman" w:hAnsi="Times New Roman" w:eastAsia="宋体" w:cs="仿宋"/>
          <w:color w:val="000000"/>
        </w:rPr>
        <w:t xml:space="preserve">账户名称：</w:t>
      </w:r>
      <w:bookmarkEnd w:id="311"/>
      <w:r/>
      <w:r/>
    </w:p>
    <w:p>
      <w:pPr>
        <w:pStyle w:val="1069"/>
        <w:numPr>
          <w:ilvl w:val="1"/>
          <w:numId w:val="0"/>
        </w:numPr>
        <w:ind w:firstLine="480"/>
        <w:rPr>
          <w:rFonts w:hint="eastAsia" w:ascii="Times New Roman" w:hAnsi="Times New Roman" w:eastAsia="宋体" w:cs="仿宋"/>
          <w:color w:val="000000"/>
        </w:rPr>
      </w:pPr>
      <w:r/>
      <w:bookmarkStart w:id="312" w:name="_Toc1377815427"/>
      <w:r>
        <w:rPr>
          <w:rFonts w:hint="eastAsia" w:ascii="Times New Roman" w:hAnsi="Times New Roman" w:eastAsia="宋体" w:cs="仿宋"/>
          <w:color w:val="000000"/>
        </w:rPr>
        <w:t xml:space="preserve">银行账号：</w:t>
      </w:r>
      <w:bookmarkEnd w:id="312"/>
      <w:r/>
      <w:r/>
    </w:p>
    <w:p>
      <w:pPr>
        <w:pStyle w:val="1069"/>
        <w:numPr>
          <w:ilvl w:val="1"/>
          <w:numId w:val="0"/>
        </w:numPr>
        <w:ind w:firstLine="480"/>
        <w:rPr>
          <w:rFonts w:hint="eastAsia" w:ascii="Times New Roman" w:hAnsi="Times New Roman" w:eastAsia="宋体" w:cs="仿宋"/>
          <w:color w:val="000000"/>
        </w:rPr>
      </w:pPr>
      <w:r/>
      <w:bookmarkStart w:id="313" w:name="_Toc627715988"/>
      <w:r>
        <w:rPr>
          <w:rFonts w:hint="eastAsia" w:ascii="Times New Roman" w:hAnsi="Times New Roman" w:eastAsia="宋体" w:cs="仿宋"/>
          <w:color w:val="000000"/>
        </w:rPr>
        <w:t xml:space="preserve">开户银行：</w:t>
      </w:r>
      <w:bookmarkEnd w:id="313"/>
      <w:r/>
      <w:r/>
    </w:p>
    <w:p>
      <w:pPr>
        <w:pStyle w:val="1069"/>
        <w:numPr>
          <w:ilvl w:val="1"/>
          <w:numId w:val="0"/>
        </w:numPr>
        <w:ind w:firstLine="480"/>
        <w:rPr>
          <w:rFonts w:hint="eastAsia" w:ascii="Times New Roman" w:hAnsi="Times New Roman" w:eastAsia="宋体" w:cs="仿宋"/>
          <w:color w:val="000000"/>
        </w:rPr>
      </w:pPr>
      <w:r/>
      <w:bookmarkStart w:id="314" w:name="_Toc1582936252"/>
      <w:r>
        <w:rPr>
          <w:rFonts w:hint="eastAsia" w:ascii="Times New Roman" w:hAnsi="Times New Roman" w:eastAsia="宋体" w:cs="仿宋"/>
          <w:color w:val="000000"/>
        </w:rPr>
        <w:t xml:space="preserve">用途请备注：【XXX】</w:t>
      </w:r>
      <w:bookmarkEnd w:id="314"/>
      <w:r/>
      <w:r/>
    </w:p>
    <w:p>
      <w:pPr>
        <w:pStyle w:val="1069"/>
        <w:numPr>
          <w:ilvl w:val="1"/>
          <w:numId w:val="0"/>
        </w:numPr>
        <w:ind w:firstLine="480"/>
        <w:rPr>
          <w:rFonts w:ascii="Times New Roman" w:hAnsi="Times New Roman" w:eastAsia="宋体" w:cs="仿宋"/>
          <w:color w:val="000000"/>
        </w:rPr>
      </w:pPr>
      <w:r/>
      <w:bookmarkStart w:id="315" w:name="_Toc1382168328"/>
      <w:r>
        <w:rPr>
          <w:rFonts w:hint="eastAsia" w:ascii="Times New Roman" w:hAnsi="Times New Roman" w:eastAsia="宋体" w:cs="仿宋"/>
          <w:color w:val="000000"/>
        </w:rPr>
        <w:t xml:space="preserve">4、卖方如以银行保函的方式提交履约保证金，则本协议项下的履约保证金是指履约保函。履约保函的有效至质保期满，所需费用由卖方承担。卖方应提供</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认可的银行签发的见索即付的无条件且不可撤销保函。保函的格式和内容应符合本合同规定及</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的最终实际要求。发生索赔或扣款情况时，</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有权行使银行保函权利。当</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行使保函权利后，卖方应当提供新的银行保函，且提供新的银行保函应当符合买方的要求。卖方未履行前述义务视为未提供履约保证金。</w:t>
      </w:r>
      <w:bookmarkEnd w:id="315"/>
      <w:r/>
      <w:r/>
    </w:p>
    <w:p>
      <w:pPr>
        <w:pStyle w:val="1069"/>
        <w:numPr>
          <w:ilvl w:val="1"/>
          <w:numId w:val="0"/>
        </w:numPr>
        <w:ind w:firstLine="480"/>
        <w:rPr>
          <w:rFonts w:ascii="Times New Roman" w:hAnsi="Times New Roman" w:eastAsia="宋体" w:cs="仿宋"/>
          <w:color w:val="000000"/>
        </w:rPr>
      </w:pPr>
      <w:r/>
      <w:bookmarkStart w:id="316" w:name="_Toc772479097"/>
      <w:r>
        <w:rPr>
          <w:rFonts w:hint="eastAsia" w:ascii="Times New Roman" w:hAnsi="Times New Roman" w:eastAsia="宋体" w:cs="仿宋"/>
          <w:color w:val="000000"/>
        </w:rPr>
        <w:t xml:space="preserve">5、履约保证金在项目确认完成且卖方已履行合同规定的卖方相应义务后，于本条第2款约定的</w:t>
      </w:r>
      <w:r>
        <w:rPr>
          <w:rFonts w:hint="eastAsia" w:ascii="Times New Roman" w:hAnsi="Times New Roman" w:eastAsia="宋体" w:cs="仿宋"/>
        </w:rPr>
        <w:t xml:space="preserve">整车质保期届满后10个工作日内，买方向卖方</w:t>
      </w:r>
      <w:r>
        <w:rPr>
          <w:rFonts w:hint="eastAsia" w:ascii="Times New Roman" w:hAnsi="Times New Roman" w:eastAsia="宋体" w:cs="仿宋"/>
          <w:color w:val="000000"/>
        </w:rPr>
        <w:t xml:space="preserve">予以退还，不计利息。</w:t>
      </w:r>
      <w:bookmarkEnd w:id="316"/>
      <w:r/>
      <w:r/>
    </w:p>
    <w:p>
      <w:pPr>
        <w:pStyle w:val="1069"/>
        <w:numPr>
          <w:ilvl w:val="1"/>
          <w:numId w:val="0"/>
        </w:numPr>
        <w:ind w:firstLine="480"/>
        <w:rPr>
          <w:rFonts w:ascii="Times New Roman" w:hAnsi="Times New Roman" w:eastAsia="宋体" w:cs="仿宋"/>
          <w:color w:val="000000"/>
        </w:rPr>
      </w:pPr>
      <w:r/>
      <w:bookmarkStart w:id="317" w:name="_Toc1517537164"/>
      <w:r>
        <w:rPr>
          <w:rFonts w:hint="eastAsia" w:ascii="Times New Roman" w:hAnsi="Times New Roman" w:eastAsia="宋体" w:cs="仿宋"/>
          <w:color w:val="000000"/>
        </w:rPr>
        <w:t xml:space="preserve">6、在合同期内，卖方责任造成损失或有任何违约行为，且在买方限定的期限内未予以赔偿损失或交付相应违约金或其它费用的，买方有权在卖方缴纳的履约保证金中扣除其相应的索赔金额或违约责任金及其它应当由卖方支付的费用。买方在扣除相应款项或违约金后，应书面通知卖方扣除的金额和事由。卖方应自收到买方的书面通知发出后10个工作日内补足履约保证金，逾期，视为卖方根本违约，买方有权单方面提前终止合同，且剩余履约保证金不予返还。</w:t>
      </w:r>
      <w:bookmarkEnd w:id="317"/>
      <w:r/>
      <w:r/>
    </w:p>
    <w:p>
      <w:pPr>
        <w:pStyle w:val="1069"/>
        <w:numPr>
          <w:ilvl w:val="1"/>
          <w:numId w:val="0"/>
        </w:numPr>
        <w:ind w:firstLine="480"/>
        <w:rPr>
          <w:rFonts w:ascii="Times New Roman" w:hAnsi="Times New Roman" w:eastAsia="宋体" w:cs="仿宋"/>
          <w:color w:val="000000"/>
        </w:rPr>
      </w:pPr>
      <w:r/>
      <w:bookmarkStart w:id="318" w:name="_Toc1731323576"/>
      <w:r>
        <w:rPr>
          <w:rFonts w:hint="eastAsia" w:ascii="Times New Roman" w:hAnsi="Times New Roman" w:eastAsia="宋体" w:cs="仿宋"/>
          <w:color w:val="000000"/>
        </w:rPr>
        <w:t xml:space="preserve">7、在履约保证金扣除后仍不足以抵扣卖方的相关扣款、违约金、赔偿款或其他应当由卖方支付的费用的情形下，经买方催告在合理的期限内，卖方不仅要补足履约保证金，并且仍需支付不足部分。否则，视为违约。</w:t>
      </w:r>
      <w:bookmarkEnd w:id="318"/>
      <w:r/>
      <w:r/>
    </w:p>
    <w:p>
      <w:pPr>
        <w:pStyle w:val="1069"/>
        <w:numPr>
          <w:ilvl w:val="1"/>
          <w:numId w:val="0"/>
        </w:numPr>
        <w:ind w:firstLine="480"/>
        <w:rPr>
          <w:rFonts w:ascii="Times New Roman" w:hAnsi="Times New Roman" w:eastAsia="宋体" w:cs="仿宋"/>
          <w:color w:val="000000"/>
        </w:rPr>
      </w:pPr>
      <w:r/>
      <w:bookmarkStart w:id="319" w:name="_Toc2099408629"/>
      <w:r>
        <w:rPr>
          <w:rFonts w:hint="eastAsia" w:ascii="Times New Roman" w:hAnsi="Times New Roman" w:eastAsia="宋体" w:cs="仿宋"/>
          <w:color w:val="000000"/>
        </w:rPr>
        <w:t xml:space="preserve">8、若本合同终止或提前终止时，履约保证金不足以扣除/索回卖方应赔偿和违约支付的费用的，则卖方应另行向买方缴纳不足部分。</w:t>
      </w:r>
      <w:bookmarkEnd w:id="319"/>
      <w:r/>
      <w:r/>
    </w:p>
    <w:p>
      <w:pPr>
        <w:pStyle w:val="1069"/>
        <w:numPr>
          <w:ilvl w:val="1"/>
          <w:numId w:val="0"/>
        </w:numPr>
        <w:ind w:firstLine="480"/>
        <w:rPr>
          <w:rFonts w:ascii="Times New Roman" w:hAnsi="Times New Roman" w:eastAsia="宋体" w:cs="仿宋"/>
          <w:color w:val="000000"/>
        </w:rPr>
      </w:pPr>
      <w:r/>
      <w:bookmarkStart w:id="320" w:name="_Toc1604507393"/>
      <w:r>
        <w:rPr>
          <w:rFonts w:hint="eastAsia" w:ascii="Times New Roman" w:hAnsi="Times New Roman" w:eastAsia="宋体" w:cs="仿宋"/>
          <w:color w:val="000000"/>
        </w:rPr>
        <w:t xml:space="preserve">9、任何情况下，履约保证金不计利息。本合同期内，卖方不得将履约保证金的作为债权转让给第三人，不得将履约保证金充抵其它任何费用或对外设置担保。</w:t>
      </w:r>
      <w:bookmarkEnd w:id="320"/>
      <w:r/>
      <w:r/>
    </w:p>
    <w:p>
      <w:pPr>
        <w:ind w:right="-16" w:firstLine="560"/>
        <w:jc w:val="left"/>
        <w:spacing w:line="480" w:lineRule="exact"/>
        <w:rPr>
          <w:rFonts w:ascii="Times New Roman" w:hAnsi="Times New Roman" w:eastAsia="宋体" w:cs="仿宋"/>
          <w:sz w:val="28"/>
        </w:rPr>
      </w:pPr>
      <w:r>
        <w:rPr>
          <w:rFonts w:ascii="Times New Roman" w:hAnsi="Times New Roman" w:eastAsia="宋体" w:cs="仿宋"/>
          <w:sz w:val="28"/>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七、交货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1、交货时间：合同签订后的60日内。</w:t>
      </w:r>
      <w:r/>
    </w:p>
    <w:p>
      <w:pPr>
        <w:ind w:firstLine="480"/>
        <w:spacing w:line="480" w:lineRule="exact"/>
        <w:rPr>
          <w:rFonts w:ascii="Times New Roman" w:hAnsi="Times New Roman" w:eastAsia="宋体" w:cs="仿宋"/>
          <w:sz w:val="28"/>
        </w:rPr>
      </w:pPr>
      <w:r>
        <w:rPr>
          <w:rFonts w:hint="eastAsia" w:ascii="Times New Roman" w:hAnsi="Times New Roman" w:eastAsia="宋体" w:cs="仿宋"/>
          <w:sz w:val="24"/>
        </w:rPr>
        <w:t xml:space="preserve">2、交货地点为江苏省内，</w:t>
      </w:r>
      <w:r>
        <w:rPr>
          <w:rFonts w:hint="eastAsia" w:cs="仿宋"/>
          <w:sz w:val="24"/>
          <w:lang w:eastAsia="zh"/>
        </w:rPr>
        <w:t xml:space="preserve">具体地点由买方指定并通知卖方</w:t>
      </w:r>
      <w:r>
        <w:rPr>
          <w:rFonts w:hint="eastAsia" w:ascii="Times New Roman" w:hAnsi="Times New Roman" w:eastAsia="宋体" w:cs="仿宋"/>
          <w:sz w:val="24"/>
        </w:rPr>
        <w:t xml:space="preserve">。</w:t>
      </w:r>
      <w:r/>
    </w:p>
    <w:p>
      <w:pPr>
        <w:ind w:firstLine="480"/>
        <w:spacing w:line="480" w:lineRule="exact"/>
        <w:rPr>
          <w:rFonts w:ascii="Times New Roman" w:hAnsi="Times New Roman" w:eastAsia="宋体" w:cs="仿宋"/>
          <w:sz w:val="24"/>
        </w:rPr>
      </w:pPr>
      <w:r>
        <w:rPr>
          <w:rFonts w:ascii="Times New Roman" w:hAnsi="Times New Roman" w:eastAsia="宋体" w:cs="仿宋"/>
          <w:sz w:val="24"/>
        </w:rPr>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八、承诺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1、卖方承诺按合同约定向买方提供符合要求的合同车辆和售后服务。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2、买方承诺按合同约定向卖方支付合同价款。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3、未经买方同意，卖方不得将本合同项下的债权（合同价款及其他权利）转让给任何第三方、向任何第三方提供担保或者办理保理事项。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4、未经买方同意，卖方不得将本合同项下的部分或全部义务转让给第三方。</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九、生效</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本合同经双方法定代表人（负责人）或其授权代表签署并加盖双方公章或合同专用章之日起生效。合同签订日期以双方中最后一方签署并加盖公章或合同专用章的日期为准。</w:t>
      </w:r>
      <w:r/>
    </w:p>
    <w:p>
      <w:pPr>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十、份数</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本合同一式</w:t>
      </w:r>
      <w:r>
        <w:rPr>
          <w:rFonts w:hint="eastAsia" w:ascii="Times New Roman" w:hAnsi="Times New Roman" w:eastAsia="宋体" w:cs="仿宋"/>
          <w:sz w:val="24"/>
          <w:u w:val="single"/>
        </w:rPr>
        <w:t xml:space="preserve">捌</w:t>
      </w:r>
      <w:r>
        <w:rPr>
          <w:rFonts w:hint="eastAsia" w:ascii="Times New Roman" w:hAnsi="Times New Roman" w:eastAsia="宋体" w:cs="仿宋"/>
          <w:sz w:val="24"/>
        </w:rPr>
        <w:t xml:space="preserve">份，买卖双方各执</w:t>
      </w:r>
      <w:r>
        <w:rPr>
          <w:rFonts w:hint="eastAsia" w:ascii="Times New Roman" w:hAnsi="Times New Roman" w:eastAsia="宋体" w:cs="仿宋"/>
          <w:sz w:val="24"/>
          <w:u w:val="single"/>
        </w:rPr>
        <w:t xml:space="preserve">肆</w:t>
      </w:r>
      <w:r>
        <w:rPr>
          <w:rFonts w:hint="eastAsia" w:ascii="Times New Roman" w:hAnsi="Times New Roman" w:eastAsia="宋体" w:cs="仿宋"/>
          <w:sz w:val="24"/>
        </w:rPr>
        <w:t xml:space="preserve">份。</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spacing w:line="480" w:lineRule="exact"/>
        <w:rPr>
          <w:rFonts w:ascii="Times New Roman" w:hAnsi="Times New Roman" w:eastAsia="宋体" w:cs="仿宋"/>
          <w:b/>
          <w:sz w:val="32"/>
        </w:rPr>
      </w:pPr>
      <w:r>
        <w:rPr>
          <w:rFonts w:hint="eastAsia" w:ascii="Times New Roman" w:hAnsi="Times New Roman" w:eastAsia="宋体" w:cs="仿宋"/>
          <w:sz w:val="28"/>
        </w:rPr>
        <w:br w:type="page" w:clear="all"/>
      </w:r>
      <w:r>
        <w:rPr>
          <w:rFonts w:hint="eastAsia" w:ascii="Times New Roman" w:hAnsi="Times New Roman" w:eastAsia="宋体" w:cs="仿宋"/>
          <w:b/>
          <w:sz w:val="32"/>
        </w:rPr>
        <w:t xml:space="preserve">签 署 页</w:t>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tbl>
      <w:tblPr>
        <w:tblStyle w:val="809"/>
        <w:tblW w:w="8508" w:type="dxa"/>
        <w:jc w:val="center"/>
        <w:tblLayout w:type="fixed"/>
        <w:tblCellMar>
          <w:left w:w="108" w:type="dxa"/>
          <w:top w:w="0" w:type="dxa"/>
          <w:right w:w="108" w:type="dxa"/>
          <w:bottom w:w="0" w:type="dxa"/>
        </w:tblCellMar>
        <w:tblLook w:val="04A0" w:firstRow="1" w:lastRow="0" w:firstColumn="1" w:lastColumn="0" w:noHBand="0" w:noVBand="1"/>
      </w:tblPr>
      <w:tblGrid>
        <w:gridCol w:w="4511"/>
        <w:gridCol w:w="3997"/>
      </w:tblGrid>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买方：江苏省高速公路经营管理中心</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     </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卖方：</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（盖章）</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法定代表人（负责人）或</w:t>
            </w:r>
            <w:r/>
          </w:p>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授权代表（签字）：</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签订日期：</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地址：江苏省南京市鼓楼区江苏路60-1号</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地址：</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联系人：</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电话：</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传真：</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开户银行： </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账号：</w:t>
            </w:r>
            <w:r/>
          </w:p>
        </w:tc>
      </w:tr>
      <w:tr>
        <w:trPr>
          <w:cantSplit/>
          <w:jc w:val="center"/>
        </w:trPr>
        <w:tc>
          <w:tcPr>
            <w:tcW w:w="4511"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统一社会信用代码：12320000466012361L</w:t>
            </w:r>
            <w:r/>
          </w:p>
        </w:tc>
        <w:tc>
          <w:tcPr>
            <w:tcW w:w="3997" w:type="dxa"/>
            <w:vAlign w:val="bottom"/>
            <w:textDirection w:val="lrTb"/>
            <w:noWrap w:val="false"/>
          </w:tcPr>
          <w:p>
            <w:pPr>
              <w:spacing w:line="480" w:lineRule="exact"/>
              <w:rPr>
                <w:rFonts w:ascii="Times New Roman" w:hAnsi="Times New Roman" w:eastAsia="宋体" w:cs="仿宋"/>
                <w:sz w:val="24"/>
              </w:rPr>
            </w:pPr>
            <w:r>
              <w:rPr>
                <w:rFonts w:hint="eastAsia" w:ascii="Times New Roman" w:hAnsi="Times New Roman" w:eastAsia="宋体" w:cs="仿宋"/>
                <w:sz w:val="24"/>
              </w:rPr>
              <w:t xml:space="preserve">统一社会信用代码：</w:t>
            </w:r>
            <w:r/>
          </w:p>
        </w:tc>
      </w:tr>
    </w:tbl>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right="-16"/>
        <w:spacing w:line="480" w:lineRule="exact"/>
        <w:rPr>
          <w:rFonts w:ascii="Times New Roman" w:hAnsi="Times New Roman" w:eastAsia="宋体" w:cs="仿宋"/>
          <w:b/>
          <w:sz w:val="28"/>
        </w:rPr>
        <w:sectPr>
          <w:headerReference w:type="default" r:id="rId12"/>
          <w:footerReference w:type="default" r:id="rId16"/>
          <w:footnotePr>
            <w:numFmt w:val="decimalEnclosedCircleChinese"/>
            <w:numRestart w:val="eachPage"/>
          </w:footnotePr>
          <w:endnotePr/>
          <w:type w:val="nextPage"/>
          <w:pgSz w:w="11907" w:h="16840" w:orient="portrait"/>
          <w:pgMar w:top="1270" w:right="1066" w:bottom="1123" w:left="1134" w:header="851" w:footer="850" w:gutter="0"/>
          <w:pgNumType w:start="1"/>
          <w:cols w:num="1" w:sep="0" w:space="425" w:equalWidth="1"/>
          <w:docGrid w:linePitch="360"/>
        </w:sectPr>
      </w:pPr>
      <w:r>
        <w:rPr>
          <w:rFonts w:hint="eastAsia" w:ascii="Times New Roman" w:hAnsi="Times New Roman" w:eastAsia="宋体" w:cs="仿宋"/>
          <w:b/>
          <w:sz w:val="28"/>
        </w:rPr>
        <w:br w:type="page" w:clear="all"/>
      </w:r>
      <w:r/>
    </w:p>
    <w:p>
      <w:pPr>
        <w:ind w:right="-16"/>
        <w:spacing w:line="480" w:lineRule="exact"/>
        <w:rPr>
          <w:rFonts w:ascii="Times New Roman" w:hAnsi="Times New Roman" w:eastAsia="宋体" w:cs="仿宋"/>
          <w:sz w:val="28"/>
        </w:rPr>
      </w:pPr>
      <w:r>
        <w:rPr>
          <w:rFonts w:hint="eastAsia" w:ascii="Times New Roman" w:hAnsi="Times New Roman" w:eastAsia="宋体" w:cs="仿宋"/>
          <w:sz w:val="28"/>
        </w:rPr>
        <w:t xml:space="preserve">附件1：已标价合同车辆清单格式</w:t>
      </w:r>
      <w:r/>
    </w:p>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ind w:right="-16" w:firstLine="480"/>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已标价合同车辆清单</w:t>
      </w:r>
      <w:r/>
    </w:p>
    <w:p>
      <w:pPr>
        <w:ind w:firstLine="562"/>
        <w:spacing w:line="480" w:lineRule="exact"/>
        <w:rPr>
          <w:rFonts w:ascii="Times New Roman" w:hAnsi="Times New Roman" w:eastAsia="宋体" w:cs="仿宋"/>
          <w:b/>
          <w:sz w:val="28"/>
        </w:rPr>
      </w:pPr>
      <w:r>
        <w:rPr>
          <w:rFonts w:ascii="Times New Roman" w:hAnsi="Times New Roman" w:eastAsia="宋体" w:cs="仿宋"/>
          <w:b/>
          <w:sz w:val="28"/>
        </w:rPr>
      </w:r>
      <w:r/>
    </w:p>
    <w:p>
      <w:pPr>
        <w:ind w:firstLine="5280"/>
        <w:spacing w:line="480" w:lineRule="exact"/>
        <w:rPr>
          <w:rFonts w:ascii="Times New Roman" w:hAnsi="Times New Roman" w:eastAsia="宋体" w:cs="仿宋"/>
          <w:b/>
          <w:sz w:val="24"/>
        </w:rPr>
      </w:pPr>
      <w:r>
        <w:rPr>
          <w:rFonts w:hint="eastAsia" w:ascii="Times New Roman" w:hAnsi="Times New Roman" w:eastAsia="宋体" w:cs="仿宋"/>
          <w:sz w:val="24"/>
        </w:rPr>
        <w:t xml:space="preserve">单位：人民币万元</w:t>
      </w:r>
      <w:r/>
    </w:p>
    <w:tbl>
      <w:tblPr>
        <w:tblStyle w:val="80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23"/>
        <w:gridCol w:w="757"/>
        <w:gridCol w:w="757"/>
        <w:gridCol w:w="769"/>
        <w:gridCol w:w="1532"/>
        <w:gridCol w:w="736"/>
        <w:gridCol w:w="1336"/>
        <w:gridCol w:w="1188"/>
        <w:gridCol w:w="1036"/>
        <w:gridCol w:w="1485"/>
        <w:gridCol w:w="1634"/>
        <w:gridCol w:w="1658"/>
      </w:tblGrid>
      <w:tr>
        <w:trPr>
          <w:jc w:val="center"/>
          <w:trHeight w:val="1121"/>
        </w:trPr>
        <w:tc>
          <w:tcPr>
            <w:tcW w:w="247"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序号</w:t>
            </w:r>
            <w:r/>
          </w:p>
        </w:tc>
        <w:tc>
          <w:tcPr>
            <w:tcW w:w="41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车辆名称</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55"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生产厂家</w:t>
            </w:r>
            <w:r/>
          </w:p>
        </w:tc>
        <w:tc>
          <w:tcPr>
            <w:tcW w:w="25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底盘厂家</w:t>
            </w:r>
            <w:r/>
          </w:p>
        </w:tc>
        <w:tc>
          <w:tcPr>
            <w:tcW w:w="516"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发动机</w:t>
            </w:r>
            <w:r/>
          </w:p>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型号</w:t>
            </w:r>
            <w:r/>
          </w:p>
        </w:tc>
        <w:tc>
          <w:tcPr>
            <w:tcW w:w="248"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颜色</w:t>
            </w:r>
            <w:r/>
          </w:p>
        </w:tc>
        <w:tc>
          <w:tcPr>
            <w:tcW w:w="4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单价</w:t>
            </w:r>
            <w:r/>
          </w:p>
        </w:tc>
        <w:tc>
          <w:tcPr>
            <w:tcW w:w="4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税率</w:t>
            </w:r>
            <w:r/>
          </w:p>
        </w:tc>
        <w:tc>
          <w:tcPr>
            <w:tcW w:w="349"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数量</w:t>
            </w:r>
            <w:r/>
          </w:p>
        </w:tc>
        <w:tc>
          <w:tcPr>
            <w:tcW w:w="50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合同价款</w:t>
            </w:r>
            <w:r/>
          </w:p>
        </w:tc>
        <w:tc>
          <w:tcPr>
            <w:tcW w:w="550"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552" w:type="pct"/>
            <w:vAlign w:val="center"/>
            <w:textDirection w:val="lrTb"/>
            <w:noWrap w:val="false"/>
          </w:tcPr>
          <w:p>
            <w:pPr>
              <w:ind w:right="-16"/>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交货地点</w:t>
            </w:r>
            <w:r/>
          </w:p>
        </w:tc>
      </w:tr>
      <w:tr>
        <w:trPr>
          <w:jc w:val="center"/>
          <w:trHeight w:val="415"/>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452"/>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90"/>
        </w:trPr>
        <w:tc>
          <w:tcPr>
            <w:tcW w:w="247"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1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840"/>
        </w:trPr>
        <w:tc>
          <w:tcPr>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总计</w:t>
            </w:r>
            <w:r/>
          </w:p>
        </w:tc>
        <w:tc>
          <w:tcPr>
            <w:tcW w:w="412" w:type="pct"/>
            <w:textDirection w:val="lrTb"/>
            <w:noWrap w:val="false"/>
          </w:tcPr>
          <w:p>
            <w:pPr>
              <w:ind w:right="-16"/>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5"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5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16"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248"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4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349"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0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0"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c>
          <w:tcPr>
            <w:tcW w:w="5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247" w:type="pct"/>
            <w:textDirection w:val="lrTb"/>
            <w:noWrap w:val="false"/>
          </w:tcPr>
          <w:p>
            <w:pPr>
              <w:ind w:right="-16"/>
              <w:spacing w:line="480" w:lineRule="exact"/>
              <w:rPr>
                <w:rFonts w:ascii="Times New Roman" w:hAnsi="Times New Roman" w:eastAsia="宋体" w:cs="仿宋"/>
                <w:sz w:val="24"/>
              </w:rPr>
            </w:pPr>
            <w:r>
              <w:rPr>
                <w:rFonts w:hint="eastAsia" w:ascii="Times New Roman" w:hAnsi="Times New Roman" w:eastAsia="宋体" w:cs="仿宋"/>
                <w:sz w:val="24"/>
              </w:rPr>
              <w:t xml:space="preserve">备注</w:t>
            </w:r>
            <w:r/>
          </w:p>
        </w:tc>
        <w:tc>
          <w:tcPr>
            <w:gridSpan w:val="12"/>
            <w:tcBorders>
              <w:top w:val="single" w:color="000000" w:sz="4" w:space="0"/>
              <w:left w:val="single" w:color="000000" w:sz="4" w:space="0"/>
              <w:bottom w:val="single" w:color="000000" w:sz="4" w:space="0"/>
              <w:right w:val="single" w:color="000000" w:sz="4" w:space="0"/>
            </w:tcBorders>
            <w:tcW w:w="4752" w:type="pct"/>
            <w:textDirection w:val="lrTb"/>
            <w:noWrap w:val="false"/>
          </w:tcPr>
          <w:p>
            <w:pPr>
              <w:ind w:right="-16"/>
              <w:jc w:val="left"/>
              <w:spacing w:line="480" w:lineRule="exact"/>
              <w:rPr>
                <w:rFonts w:ascii="Times New Roman" w:hAnsi="Times New Roman" w:eastAsia="宋体" w:cs="仿宋"/>
                <w:sz w:val="24"/>
              </w:rPr>
            </w:pPr>
            <w:r>
              <w:rPr>
                <w:rFonts w:ascii="Times New Roman" w:hAnsi="Times New Roman" w:eastAsia="宋体" w:cs="仿宋"/>
                <w:sz w:val="24"/>
              </w:rPr>
            </w:r>
            <w:r/>
          </w:p>
        </w:tc>
      </w:tr>
    </w:tbl>
    <w:p>
      <w:pPr>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00"/>
        <w:jc w:val="center"/>
        <w:spacing w:line="480" w:lineRule="exact"/>
        <w:rPr>
          <w:rFonts w:ascii="Times New Roman" w:hAnsi="Times New Roman" w:eastAsia="宋体" w:cs="仿宋"/>
          <w:sz w:val="28"/>
        </w:rPr>
        <w:sectPr>
          <w:footnotePr>
            <w:numFmt w:val="decimalEnclosedCircleChinese"/>
            <w:numRestart w:val="eachPage"/>
          </w:footnotePr>
          <w:endnotePr/>
          <w:type w:val="nextPage"/>
          <w:pgSz w:w="16840" w:h="11907" w:orient="landscape"/>
          <w:pgMar w:top="1270" w:right="1066" w:bottom="1123" w:left="1134" w:header="851" w:footer="1588" w:gutter="0"/>
          <w:cols w:num="1" w:sep="0" w:space="425" w:equalWidth="1"/>
          <w:docGrid w:linePitch="360"/>
        </w:sectPr>
      </w:pPr>
      <w:r/>
      <w:bookmarkStart w:id="321" w:name="_Toc529475939"/>
      <w:r/>
      <w:r/>
    </w:p>
    <w:p>
      <w:pPr>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 xml:space="preserve">第二部分 通用合同条款</w:t>
      </w:r>
      <w:bookmarkEnd w:id="321"/>
      <w:r/>
      <w:r/>
    </w:p>
    <w:p>
      <w:pPr>
        <w:ind w:firstLine="560"/>
        <w:spacing w:line="480" w:lineRule="exact"/>
        <w:rPr>
          <w:rFonts w:ascii="Times New Roman" w:hAnsi="Times New Roman" w:eastAsia="宋体" w:cs="仿宋"/>
          <w:sz w:val="28"/>
        </w:rPr>
      </w:pPr>
      <w:r>
        <w:rPr>
          <w:rFonts w:ascii="Times New Roman" w:hAnsi="Times New Roman" w:eastAsia="宋体" w:cs="仿宋"/>
          <w:sz w:val="28"/>
        </w:rPr>
      </w:r>
      <w:r/>
    </w:p>
    <w:p>
      <w:pPr>
        <w:ind w:firstLine="480"/>
        <w:spacing w:line="480" w:lineRule="exact"/>
        <w:rPr>
          <w:rFonts w:ascii="Times New Roman" w:hAnsi="Times New Roman" w:eastAsia="宋体" w:cs="仿宋"/>
          <w:sz w:val="24"/>
        </w:rPr>
      </w:pPr>
      <w:r/>
      <w:bookmarkStart w:id="322" w:name="_Toc529475940"/>
      <w:r/>
      <w:bookmarkStart w:id="323" w:name="_Toc223419776"/>
      <w:r>
        <w:rPr>
          <w:rFonts w:hint="eastAsia" w:ascii="Times New Roman" w:hAnsi="Times New Roman" w:eastAsia="宋体" w:cs="仿宋"/>
          <w:sz w:val="24"/>
        </w:rPr>
        <w:t xml:space="preserve">1.  定义</w:t>
      </w:r>
      <w:bookmarkEnd w:id="322"/>
      <w:r/>
      <w:bookmarkEnd w:id="323"/>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除本合同上下文另有规定外，下列术语具有如下含义：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 “合同”指买卖双方签署的合同协议书、合同通用条款、合同专用条款以及合同协议书中载明的其他文件所组成的整体，包括双方根据合同规定不时所进行的修改和补充。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 “技术规范书”指采购文件中的技术规范部分，包括双方根据约定进行的修改和补充。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1.3 “采购文件”指谈判文件及应答文件、询价文件及报价文件、单一来源采购文件及响应文件、合同文本、质疑答复及其他有关文件、资料。</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1.4 “货物清单单价分析表”指卖方按照买方采购文件的要求所提交的货物清单单价分析表。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1.5 “货物清单行报价暨报价汇总表”指卖方按照买方采购文件的要求所提交的货物清单行报价暨报价汇总表。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1.6 “买方”指购买合同车辆和技术服务的法人或其他组织，包括其法定的承继者和经许可的受让人。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1.7 “卖方”指提供合同车辆和技术服务的法人或其他组织，包括其法定的承继者。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1.8 “合同价格”指根据合同规定，就卖方正确完全履行合同义务买方应支付给卖方的总费用。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1.9 “合同车辆”指卖方根据合同所需供应的车辆、专用工具、备品备件、消耗品和有关物品。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1.10 “备品备件”指卖方根据本合同提供的备用部件，包括随机备品备件和买方根据实际运行要求所需的生产用备品备件。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“技术资料”指与合同车辆相关的设计、制造、检验、安装、调试、验收和技术指导等文件。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“技术服务”指由卖方提供的与本合同车辆的安装、调试、验收、性能试验、检修有关的技术指导、技术配合、技术培训等全过程的服务。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“验收”指为证明合同车辆已完成安装、调试和性能试验且试运行合格而按照合同规定进行的活动。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“缺陷”指合同车辆存在危及人身、财产安全的不合理危险；合同车辆有保障人体健康和人身、财产安全的国家标准、行业标准的，是指不符合该标准。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1.15 “潜在缺陷”是指合同货物在正常运行工况下按要求进行操作和维护时出现的，经买卖双方和/或第三方权威部门或专家认定的由于设计、材料和制造工艺引起的潜在性缺陷，而非正常的老化、磨损。</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1.16 “家族性缺陷”指同一厂家生产的不同型号、不同规格、不同系列或不同品种的产品存在因相同工艺、相同材料或相同设计理念等因素造成的同一类缺陷。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1.17 “召回”指卖方根据买方要求采取修理、更换、收回等方式消除合同车辆缺陷。</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1.18 “法律”指中华人民共和国现行的法律、行政法规、部门规章、地方性法规、地方政府规章及其他对本合同履行可能产生影响的规范性文件。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1.19 “书面形式”指合同文件、信件和数据电文（包括传真、电子数据交换和电子邮件）等可以有形地表现所载内容的形式。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1.20 “元”指专用条款中约定的合同计价货币单位。</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1.21 “日（天）”指公历日。</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1.22 除本合同另有约定外，“以上”、“以下”、“以内”、“×日内”、“届满”，均包括本数；“不满”、“以外”，不包括本数；“×日前”、“×日后”不包括当日。按照日、月、年计算期间的，开始的当天不算入，从下一天开始计算。期间的最后一天不是工作日的，该期间应于下一个工作日终止。</w:t>
      </w:r>
      <w:r/>
    </w:p>
    <w:p>
      <w:pPr>
        <w:ind w:firstLine="480"/>
        <w:spacing w:line="480" w:lineRule="exact"/>
        <w:rPr>
          <w:rFonts w:ascii="Times New Roman" w:hAnsi="Times New Roman" w:eastAsia="宋体" w:cs="仿宋"/>
          <w:sz w:val="24"/>
        </w:rPr>
      </w:pPr>
      <w:r/>
      <w:bookmarkStart w:id="324" w:name="_Toc529475941"/>
      <w:r>
        <w:rPr>
          <w:rFonts w:hint="eastAsia" w:ascii="Times New Roman" w:hAnsi="Times New Roman" w:eastAsia="宋体" w:cs="仿宋"/>
          <w:sz w:val="24"/>
        </w:rPr>
        <w:t xml:space="preserve">2.  合同标的</w:t>
      </w:r>
      <w:bookmarkEnd w:id="324"/>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2.1 卖方向买方供应的车辆的名称、品牌、规格型号、数量等见《已标价合同车辆清单》。</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2.2 卖方应向买方提供全新的、技术水平先进的、质量可靠的车辆，详细要求见“技术规范书”。</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2.3 卖方提供的车辆应符合国家或行业技术标准，生产厂家的技术标准高于国家或行业技术标准的，卖方应按生产厂家技术标准执行。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2.4 卖方应提供与车辆安装使用相关的技术资料和技术服务。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2.5 卖方保证其依照本合同向买方交付的车辆没有任何权利瑕疵，车辆上合同货物上不存在任何抵押、质押、留置等担保物权、任何第三方知识</w:t>
      </w:r>
      <w:r>
        <w:rPr>
          <w:rFonts w:hint="eastAsia" w:ascii="Times New Roman" w:hAnsi="Times New Roman" w:eastAsia="宋体" w:cs="仿宋"/>
          <w:sz w:val="24"/>
        </w:rPr>
        <w:t xml:space="preserve">产权，不存在任何性质的附属或者限制性权益，也不存在被任何政府机关或者司法机关查封、扣押、冻结的情形。卖方对车辆享有合法完整的所有权及其他相应的权利。卖方依照本合同交付车辆、提供服务及履行其他本合同项下的义务不会违反其组织章程，不会超越经营范围和方式，并不会违反与任何第三方达成的协议、承诺、任何政府部门或者司法/仲裁机构对其的要求。卖方保证买方不会因为车辆侵犯任何第三方权利而被提起索赔、指控或请求，否则，卖方应当就买方因此遭受的损失（包括但不限于直接损失、间接损失、律师费、诉讼费或仲裁费等）承担全部赔偿责任。</w:t>
      </w:r>
      <w:r/>
    </w:p>
    <w:p>
      <w:pPr>
        <w:ind w:firstLine="480"/>
        <w:spacing w:line="480" w:lineRule="exact"/>
        <w:rPr>
          <w:rFonts w:ascii="Times New Roman" w:hAnsi="Times New Roman" w:eastAsia="宋体" w:cs="仿宋"/>
          <w:sz w:val="24"/>
        </w:rPr>
      </w:pPr>
      <w:r/>
      <w:bookmarkStart w:id="325" w:name="_Toc529475943"/>
      <w:r>
        <w:rPr>
          <w:rFonts w:hint="eastAsia" w:ascii="Times New Roman" w:hAnsi="Times New Roman" w:eastAsia="宋体" w:cs="仿宋"/>
          <w:sz w:val="24"/>
        </w:rPr>
        <w:t xml:space="preserve">3.  交货</w:t>
      </w:r>
      <w:bookmarkEnd w:id="325"/>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3.1 卖方负责办理车辆免税手续、工商验证、环保检测、车辆检测，并负责按照买方指定的时间、地点和方式向买方交付本合同项下的车辆。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3.2 卖方负责将合同车辆运输至双方约定地点，具体见合同协议书，并承担由此发生的所有费用。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3.3 合同车辆的实际交货日期以符合合同要求的车辆包括备品配件到达合同约定的交货地点为准。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3.4 卖方承担车辆交付给买方之前的损毁、灭失等一切风险。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3.5 如买方需变更交货时间，应提前30日（含本数）采用传真或函件等方式通知卖方。</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3.6 卖方如需提前交货，需提出书面要求并征得买方同意。</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3.7 卖方应将技术资料随车辆一并提交买方，包括但不限于车辆合格证（国产车）或海关进口证明及商品检验单（进口车）、保修卡或保修手册、说明书等，否则视同延迟交货处理。</w:t>
      </w:r>
      <w:r/>
    </w:p>
    <w:p>
      <w:pPr>
        <w:ind w:firstLine="480"/>
        <w:spacing w:line="480" w:lineRule="exact"/>
        <w:rPr>
          <w:rFonts w:ascii="Times New Roman" w:hAnsi="Times New Roman" w:eastAsia="宋体" w:cs="仿宋"/>
          <w:sz w:val="24"/>
        </w:rPr>
      </w:pPr>
      <w:r/>
      <w:bookmarkStart w:id="326" w:name="_Toc529475944"/>
      <w:r>
        <w:rPr>
          <w:rFonts w:hint="eastAsia" w:ascii="Times New Roman" w:hAnsi="Times New Roman" w:eastAsia="宋体" w:cs="仿宋"/>
          <w:sz w:val="24"/>
        </w:rPr>
        <w:t xml:space="preserve">4.  包装</w:t>
      </w:r>
      <w:bookmarkEnd w:id="326"/>
      <w:r/>
      <w:r/>
    </w:p>
    <w:p>
      <w:pPr>
        <w:ind w:firstLine="480"/>
        <w:spacing w:line="480" w:lineRule="exact"/>
        <w:rPr>
          <w:rFonts w:ascii="Times New Roman" w:hAnsi="Times New Roman" w:eastAsia="宋体" w:cs="仿宋"/>
          <w:sz w:val="24"/>
        </w:rPr>
      </w:pPr>
      <w:r/>
      <w:bookmarkStart w:id="327" w:name="_Toc223419781"/>
      <w:r>
        <w:rPr>
          <w:rFonts w:hint="eastAsia" w:ascii="Times New Roman" w:hAnsi="Times New Roman" w:eastAsia="宋体" w:cs="仿宋"/>
          <w:sz w:val="24"/>
        </w:rPr>
        <w:t xml:space="preserve">4.1 卖方交付的所有合同车辆均应符合相关包装储运指示标志的规定。合同车辆包装前，卖方应负责检查清理，不留异物，并保证零部件齐全。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4.2 卖方应负责检查合同车辆的备胎等备件和专用工具与合同车辆一起发货。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4.3 如果在合同履行过程中发现合同规定的设备材料、技术资料、专用工具、备品备件和技术服务有任何漏项和短缺，而该遗漏或短缺部分确实是卖方供货范围中应该有的，并且是满足合同对合同车辆的性能保证值要求所必须的，卖方均应负责将遗漏或短缺的部分补上，发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4.4 卖方应在合同货物铭牌上明确标注卖方联系人及联系方式等信息。</w:t>
      </w:r>
      <w:r/>
    </w:p>
    <w:p>
      <w:pPr>
        <w:ind w:firstLine="480"/>
        <w:spacing w:line="480" w:lineRule="exact"/>
        <w:rPr>
          <w:rFonts w:ascii="Times New Roman" w:hAnsi="Times New Roman" w:eastAsia="宋体" w:cs="仿宋"/>
          <w:sz w:val="24"/>
        </w:rPr>
      </w:pPr>
      <w:r/>
      <w:bookmarkStart w:id="328" w:name="_Toc529475945"/>
      <w:r>
        <w:rPr>
          <w:rFonts w:hint="eastAsia" w:ascii="Times New Roman" w:hAnsi="Times New Roman" w:eastAsia="宋体" w:cs="仿宋"/>
          <w:sz w:val="24"/>
        </w:rPr>
        <w:t xml:space="preserve">5.  技术服务和联络</w:t>
      </w:r>
      <w:bookmarkEnd w:id="327"/>
      <w:r/>
      <w:bookmarkEnd w:id="32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5.1 卖方应指派经验丰富的技术人员到现场进行技术服务（如需要），负责解决合同车辆在运行过程中发现的质量问题。卖方技术人员若不能胜任工作，买方有权要求卖方在不影响工程进度的条件下重新选派服务人员。</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5.2 当买方要求卖方进行现场服务时，卖方技术人员应在接到买方通知后</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小时内（含本数）给予答复并在8小时内（含本数）到达现场。</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5.3 卖方有义务在必要时邀请买方参与合同车辆的技术设计，并向买方解释技术设计。</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5.4 卖方应在合同生效后15天内（含本数）以传真方式向买方提交规定的技术服务工作的组织计划一份，如遇有重大问题需要双方立即研究协商时，任何一方均可建议召开会议，一般情况下，另一方应同意参加。</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5.5 对每次会议及联络，双方均应签署会议纪要或联络纪要，所签纪要文件与合同具有同等效力，双方均应遵照执行。如涉及合同变更，需经双方协商一致。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5.6 双方协商确定的技术服务内容（如有），卖方如有修改，须以书面形式通知买方，经买方确认后方可实施。为适应现场使用的要求，买方有权提出变更或修改意见，并书面通知卖方，卖方应给予充分考虑，尽量满足买方要求。</w:t>
      </w:r>
      <w:r/>
    </w:p>
    <w:p>
      <w:pPr>
        <w:ind w:firstLine="480"/>
        <w:spacing w:line="480" w:lineRule="exact"/>
        <w:rPr>
          <w:rFonts w:ascii="Times New Roman" w:hAnsi="Times New Roman" w:eastAsia="宋体" w:cs="仿宋"/>
          <w:sz w:val="24"/>
        </w:rPr>
      </w:pPr>
      <w:r/>
      <w:bookmarkStart w:id="329" w:name="_Toc529475946"/>
      <w:r>
        <w:rPr>
          <w:rFonts w:hint="eastAsia" w:ascii="Times New Roman" w:hAnsi="Times New Roman" w:eastAsia="宋体" w:cs="仿宋"/>
          <w:sz w:val="24"/>
        </w:rPr>
        <w:t xml:space="preserve">6.  到货检验</w:t>
      </w:r>
      <w:bookmarkEnd w:id="32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6.1 车辆到达交货地点后，买方将对车辆的外观及数量进行检验。如发现车辆非因买方原因有任何损坏、缺陷、短少或不符合合同约定的质量标准和规范的情况，卖方应在接到买方通知后，尽快修理、更换，或补齐短缺部件，并承担相关费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6.2 上述检验为现场的到货检验，现场检验未发现问题或卖方已按索赔要求予以修理、更换，或补齐短缺部件，均不减轻或免除卖方按合同约定所应承担的质量责任。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6.3 现场检验时，如发现合同车辆由于卖方原因有任何损坏、缺陷、短少或不符合合同规定的质量标准和规范，双方应做好并签署检验记录，各执一份；如果发现合同车辆由于买方原因有任何损坏、缺陷或短少，卖方在接到买方通知后，应尽快修理、更换或补齐相应的部件，费用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6.4 卖方对买方根据上述规定提出的索赔如有异议，应在接到买方索赔通知后7日内（含本数）提出，否则视为接受买方的索赔要求。卖方可在接到索赔通知后10日内（含本数），派代表自费赴检验现场同买方代表共同复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6.5 如双方代表对共同检验中的检验记录不能取得一致意见时，任何一方均可提请国家质量监督检验机构进行商检，该商检结果为最终检验结果，对双方均有约束力。</w:t>
      </w:r>
      <w:r/>
    </w:p>
    <w:p>
      <w:pPr>
        <w:ind w:firstLine="480"/>
        <w:spacing w:line="480" w:lineRule="exact"/>
        <w:rPr>
          <w:rFonts w:ascii="Times New Roman" w:hAnsi="Times New Roman" w:eastAsia="宋体" w:cs="仿宋"/>
          <w:sz w:val="24"/>
        </w:rPr>
      </w:pPr>
      <w:r/>
      <w:bookmarkStart w:id="330" w:name="_Toc529475947"/>
      <w:r>
        <w:rPr>
          <w:rFonts w:hint="eastAsia" w:ascii="Times New Roman" w:hAnsi="Times New Roman" w:eastAsia="宋体" w:cs="仿宋"/>
          <w:sz w:val="24"/>
        </w:rPr>
        <w:t xml:space="preserve">7.  安装和质量保证</w:t>
      </w:r>
      <w:bookmarkEnd w:id="330"/>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 合同车辆由卖方根据买方提供的需求进行设计、安装。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7.2 卖方承诺对所提供的车辆提供24个月（含本数）的质量保证，自设备到现场并调试验收合格之日起计算（底盘按维保手册执行）。国家法律、法规等规定的质量保证期长于卖方承诺的质量保证期的，适用国家法律、法规等规定。</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 在从车辆运至交货地点之日起至质量保证期结束之日的期间，如发现卖方提供的车辆有缺陷或故障，不符合本合同约定时，买方有权选择且卖方须采取以下补救措施：</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7.3.1 对不符合合同约定的车辆进行修理，以使其符合合同要求，费用由卖方承担。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7.3.2 以符合合同要求的车辆更换不符合要求的车辆。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7.3.3 依其认为适当的条件和方法购买与未交合同车辆类似的车辆，由此发生的差价、增加的费用和损失等由卖方承担。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7.4 卖方向买方供应的合同车辆，必须是在《全国汽车、民用改装车和摩托车生产企业及产品目录》上备案的产品。</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7.5 卖方向买方提供车辆时要真实、准确地介绍所销售车辆的基本情况。</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7.6 卖方交付车辆时，买方应认真检查卖方提供的车辆手续是否齐全，对车辆的性能及外观进行检查无误后，双方填写《车辆交接单》并签字确认。</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7.7 车辆交付使用后，发现车辆生产中存在的质量问题，买方有权要求卖方协助买方联系生产厂家索赔。</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7.8 买方委托卖方提供上牌等基本服务的，如卖方在代理上牌过程中，非买方原因发生交通事故，卖方负责完成车辆修缮及相关手续，无法或没必要修缮的，卖方承担全部赔偿责任。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7.9 质量保证期的终止不能视为卖方对合同车辆中存在的可能引起合同车辆损坏的潜在缺陷所应负责任的解除，对于出现潜在缺陷的合同车辆，卖方应予以及时修理。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7.10 如果由于买方未按照卖方所提供的技术资料、图纸、说明书进行安装、操作或维护，及非卖方技术人员的原因造成合同车辆损坏，由买方负责修理、更换，但卖方有义务尽快提供所需更换的部件，对于买方要求的紧急部件，卖方应安排最快的方式运输，所有费用均由买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7.11 卖方负责买方3-10人到卖方处培训使用及维护等内容，培训期间产生的费用由卖方承担。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7.12 合同车辆存在家族性缺陷的，卖方应主动召回。</w:t>
      </w:r>
      <w:r/>
    </w:p>
    <w:p>
      <w:pPr>
        <w:ind w:firstLine="480"/>
        <w:spacing w:line="480" w:lineRule="exact"/>
        <w:rPr>
          <w:rFonts w:ascii="Times New Roman" w:hAnsi="Times New Roman" w:eastAsia="宋体" w:cs="仿宋"/>
          <w:sz w:val="24"/>
        </w:rPr>
      </w:pPr>
      <w:r/>
      <w:bookmarkStart w:id="331" w:name="_Toc251679915"/>
      <w:r/>
      <w:bookmarkStart w:id="332" w:name="_Toc529475948"/>
      <w:r>
        <w:rPr>
          <w:rFonts w:hint="eastAsia" w:ascii="Times New Roman" w:hAnsi="Times New Roman" w:eastAsia="宋体" w:cs="仿宋"/>
          <w:sz w:val="24"/>
        </w:rPr>
        <w:t xml:space="preserve">8.  违约责任</w:t>
      </w:r>
      <w:bookmarkEnd w:id="331"/>
      <w:r/>
      <w:bookmarkEnd w:id="33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 卖方的违约责任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8.1.1 经验收，由于卖方责任，合同车辆的主要技术参数不能够满足合同规定的保证值时，卖方应按专用合同条款的规定向买方支付违约金。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8.1.2 如果在出厂试验时合同车辆未满足合同规定的保证值，且卖方在发现不合格之日起1个月内（含本数）未能通过整改使合同车辆满足保证值，买方有权要求更换此车辆或解除合同，由此引起的一切后果由卖方承担。</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8.1.3卖方违反合同约定迟延交货的，买方有权按迟交货物金额的1%/7天向卖方主张迟延交货违约金。迟延交货违约金总额不超过合同价格的10%。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8.1.4 买方要求卖方进行现场服务时，若卖方未在规定的时间内答复和到达现场，每推迟1天卖方应向买方支付违约金500元。</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8.1.5 卖方明确表示无法供货或买方有理由认为卖方无法供货的，买方有权全部或部分解除合同。</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8.1.6 卖方未按本合同约定提供伴随服务/售后服务的，应按合同价格5%向买方支付违约金。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8.1.7 卖方按合同约定应支付的违约金低于给买方造成的损失的，并应就差额部分向买方进行赔偿。</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 买方的违约责任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8.2.1买方违反合同规定迟延支付合同价款的，应当按照全国银行间同业拆借中心公布的贷款市场报价利率就逾期部分向卖方支付迟延支付违约金。</w:t>
      </w:r>
      <w:bookmarkStart w:id="333" w:name="_Toc137103376"/>
      <w:r/>
      <w:bookmarkStart w:id="334" w:name="_Toc148518404"/>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8.2.2 买方无正当理由解除合同，卖方将收取合同价格的1％作为违约金。</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8.3上述违约损害赔偿责任，包括但不限于守约方为实现债权而发生的交通差旅费、诉讼费、保全费、律师费、担保费等费用。前述条款约定的违约金应在守约方通知后3日内支付完毕。</w:t>
      </w:r>
      <w:r/>
    </w:p>
    <w:p>
      <w:pPr>
        <w:ind w:firstLine="480"/>
        <w:spacing w:line="480" w:lineRule="exact"/>
        <w:rPr>
          <w:rFonts w:ascii="Times New Roman" w:hAnsi="Times New Roman" w:eastAsia="宋体" w:cs="仿宋"/>
          <w:sz w:val="24"/>
        </w:rPr>
      </w:pPr>
      <w:r/>
      <w:bookmarkStart w:id="335" w:name="_Toc529475949"/>
      <w:r/>
      <w:bookmarkStart w:id="336" w:name="_Toc223419787"/>
      <w:r>
        <w:rPr>
          <w:rFonts w:hint="eastAsia" w:ascii="Times New Roman" w:hAnsi="Times New Roman" w:eastAsia="宋体" w:cs="仿宋"/>
          <w:sz w:val="24"/>
        </w:rPr>
        <w:t xml:space="preserve">9.  </w:t>
      </w:r>
      <w:bookmarkEnd w:id="333"/>
      <w:r/>
      <w:bookmarkEnd w:id="334"/>
      <w:r>
        <w:rPr>
          <w:rFonts w:hint="eastAsia" w:ascii="Times New Roman" w:hAnsi="Times New Roman" w:eastAsia="宋体" w:cs="仿宋"/>
          <w:sz w:val="24"/>
        </w:rPr>
        <w:t xml:space="preserve">变更</w:t>
      </w:r>
      <w:bookmarkEnd w:id="335"/>
      <w:r/>
      <w:bookmarkEnd w:id="33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9.1 在合同执行期间，若非因卖方原因需对合同车辆进行重大变更，或扩大供货范围的，买方可向卖方发送书面变更通知。卖方接到买方的书面通知后，应充分考虑买方的意见，并与买方一起尽早完成对合同的修改。买方的变更要求应考虑卖方的设计和生产周期及由此而发生的费用变化。</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 买方有权向卖方发出书面通知，从以下方面对合同内容进行变更，卖方应无条件执行买方的变更要求：</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9.2.1 提前、推迟或暂停合同车辆的交货，但应在交货期30天前（含本数）通知卖方，以便卖方提前做好各项准备工作。提前、推迟、暂停及重新确定交货时间均应办理有关合同变更手续。</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9.2.2 在交货期15天前（含本数）通知卖方变更交货地点及卖方需提供的服务。</w:t>
      </w:r>
      <w:r/>
    </w:p>
    <w:p>
      <w:pPr>
        <w:ind w:firstLine="480"/>
        <w:spacing w:line="480" w:lineRule="exact"/>
        <w:rPr>
          <w:rFonts w:ascii="Times New Roman" w:hAnsi="Times New Roman" w:eastAsia="宋体" w:cs="仿宋"/>
          <w:sz w:val="24"/>
        </w:rPr>
      </w:pPr>
      <w:r/>
      <w:bookmarkStart w:id="337" w:name="_Toc41724801"/>
      <w:r/>
      <w:bookmarkStart w:id="338" w:name="_Toc27813002"/>
      <w:r/>
      <w:bookmarkStart w:id="339" w:name="_Toc41734177"/>
      <w:r/>
      <w:bookmarkStart w:id="340" w:name="_Toc41724683"/>
      <w:r/>
      <w:bookmarkStart w:id="341" w:name="_Toc148518411"/>
      <w:r/>
      <w:bookmarkStart w:id="342" w:name="_Toc137103383"/>
      <w:r/>
      <w:bookmarkStart w:id="343" w:name="_Toc529475950"/>
      <w:r/>
      <w:bookmarkStart w:id="344" w:name="_Toc223419788"/>
      <w:r>
        <w:rPr>
          <w:rFonts w:hint="eastAsia" w:ascii="Times New Roman" w:hAnsi="Times New Roman" w:eastAsia="宋体" w:cs="仿宋"/>
          <w:sz w:val="24"/>
        </w:rPr>
        <w:t xml:space="preserve">10.  合同解除</w:t>
      </w:r>
      <w:bookmarkEnd w:id="337"/>
      <w:r/>
      <w:bookmarkEnd w:id="338"/>
      <w:r/>
      <w:bookmarkEnd w:id="339"/>
      <w:r/>
      <w:bookmarkEnd w:id="340"/>
      <w:r/>
      <w:bookmarkEnd w:id="341"/>
      <w:r/>
      <w:bookmarkEnd w:id="342"/>
      <w:r/>
      <w:bookmarkEnd w:id="343"/>
      <w:r/>
      <w:bookmarkEnd w:id="344"/>
      <w:r/>
      <w:r/>
    </w:p>
    <w:p>
      <w:pPr>
        <w:ind w:firstLine="480"/>
        <w:spacing w:line="480" w:lineRule="exact"/>
        <w:rPr>
          <w:rFonts w:ascii="Times New Roman" w:hAnsi="Times New Roman" w:eastAsia="宋体" w:cs="仿宋"/>
          <w:sz w:val="24"/>
        </w:rPr>
      </w:pPr>
      <w:r/>
      <w:bookmarkStart w:id="345" w:name="_Toc251679916"/>
      <w:r>
        <w:rPr>
          <w:rFonts w:hint="eastAsia" w:ascii="Times New Roman" w:hAnsi="Times New Roman" w:eastAsia="宋体" w:cs="仿宋"/>
          <w:sz w:val="24"/>
        </w:rPr>
        <w:t xml:space="preserve">10.1 除本合同已有约定的合同解除情形外，若发生下述任何一种情况，则买方有权解除合同，并可要求卖方立即退还买方已支付的合同价款：</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（1）卖方提供的车辆完全不能使用；</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（2）卖方明确表示无法供货或买方有合理理由认为卖方无法供货；</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（3）卖方应支付的违约金总额达到合同价格的20%；</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（4）卖方出现违约行为，经买方通知后在限定时间内仍不改正的。</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10.2 买方解除合同的，卖方应自费将所交付的车辆（如有）运离现场。买方部分解除合同的，卖方应继续执行合同中未解除的部分。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10.3 当合同一方破产或无清偿能力时，任何一方可在任何时候以书面方式解除合同。此种合同解除并不损害或影响对方根据本合同已采取或将采取任何补救措施的权利。</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10.4 买方依本合同约定单方解除合同时，依本合同第14约定的方式通知对方，解除合同的通知自到达卖方时生效。</w:t>
      </w:r>
      <w:r/>
    </w:p>
    <w:p>
      <w:pPr>
        <w:ind w:firstLine="480"/>
        <w:spacing w:line="480" w:lineRule="exact"/>
        <w:rPr>
          <w:rFonts w:ascii="Times New Roman" w:hAnsi="Times New Roman" w:eastAsia="宋体" w:cs="仿宋"/>
          <w:sz w:val="24"/>
        </w:rPr>
      </w:pPr>
      <w:r/>
      <w:bookmarkStart w:id="346" w:name="_Toc529475951"/>
      <w:r>
        <w:rPr>
          <w:rFonts w:hint="eastAsia" w:ascii="Times New Roman" w:hAnsi="Times New Roman" w:eastAsia="宋体" w:cs="仿宋"/>
          <w:sz w:val="24"/>
        </w:rPr>
        <w:t xml:space="preserve">11.  不可抗力</w:t>
      </w:r>
      <w:bookmarkEnd w:id="345"/>
      <w:r/>
      <w:bookmarkEnd w:id="346"/>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本合同中不可抗力是指不能预见、不能避免并不能克服的客观情况，包括但不限于自然灾害、战争、武装冲突、社会动乱、暴乱或按照本条的定义构成不可抗力的其他事件。</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受到不可抗力影响的一方应在不可抗力事件发生后2周内（含本数），取得有关部门关于发生不可抗力事件的证明文件，并以传真等书面形式提交另一方确认。否则，无权以不可抗力为由要求减轻或免除合同责任。</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如果不可抗力事件的影响已达120天或双方预计不可抗力事件的影响将延续120天以上（含本数）时，任何一方有权终止本合同。由于合同终止所引起的后续问题由双方友好协商解决。</w:t>
      </w:r>
      <w:r/>
    </w:p>
    <w:p>
      <w:pPr>
        <w:ind w:firstLine="480"/>
        <w:spacing w:line="480" w:lineRule="exact"/>
        <w:rPr>
          <w:rFonts w:ascii="Times New Roman" w:hAnsi="Times New Roman" w:eastAsia="宋体" w:cs="仿宋"/>
          <w:sz w:val="24"/>
        </w:rPr>
      </w:pPr>
      <w:r/>
      <w:bookmarkStart w:id="347" w:name="_Toc529475952"/>
      <w:r>
        <w:rPr>
          <w:rFonts w:hint="eastAsia" w:ascii="Times New Roman" w:hAnsi="Times New Roman" w:eastAsia="宋体" w:cs="仿宋"/>
          <w:sz w:val="24"/>
        </w:rPr>
        <w:t xml:space="preserve">12.  适用法律</w:t>
      </w:r>
      <w:bookmarkEnd w:id="347"/>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本合同的订立、解释、履行及争议解决，均适用中华人民共和国法律。</w:t>
      </w:r>
      <w:r/>
    </w:p>
    <w:p>
      <w:pPr>
        <w:ind w:firstLine="480"/>
        <w:spacing w:line="480" w:lineRule="exact"/>
        <w:rPr>
          <w:rFonts w:ascii="Times New Roman" w:hAnsi="Times New Roman" w:eastAsia="宋体" w:cs="仿宋"/>
          <w:sz w:val="24"/>
        </w:rPr>
      </w:pPr>
      <w:r/>
      <w:bookmarkStart w:id="348" w:name="_Toc529475953"/>
      <w:r>
        <w:rPr>
          <w:rFonts w:hint="eastAsia" w:ascii="Times New Roman" w:hAnsi="Times New Roman" w:eastAsia="宋体" w:cs="仿宋"/>
          <w:sz w:val="24"/>
        </w:rPr>
        <w:t xml:space="preserve">13.  通知</w:t>
      </w:r>
      <w:bookmarkEnd w:id="348"/>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r/>
    </w:p>
    <w:p>
      <w:pPr>
        <w:ind w:firstLine="480"/>
        <w:spacing w:line="480" w:lineRule="exact"/>
        <w:rPr>
          <w:rFonts w:ascii="Times New Roman" w:hAnsi="Times New Roman" w:eastAsia="宋体" w:cs="仿宋"/>
          <w:sz w:val="24"/>
        </w:rPr>
      </w:pPr>
      <w:r/>
      <w:bookmarkStart w:id="349" w:name="_Toc529475954"/>
      <w:r>
        <w:rPr>
          <w:rFonts w:hint="eastAsia" w:ascii="Times New Roman" w:hAnsi="Times New Roman" w:eastAsia="宋体" w:cs="仿宋"/>
          <w:sz w:val="24"/>
        </w:rPr>
        <w:t xml:space="preserve">14.  争议解决</w:t>
      </w:r>
      <w:bookmarkEnd w:id="349"/>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双方发生争议时，应首先通过友好协商解决；协商不成的，向买方所在地有管辖权的人民法院提起诉讼。</w:t>
      </w:r>
      <w:r/>
    </w:p>
    <w:p>
      <w:pPr>
        <w:ind w:firstLine="480"/>
        <w:spacing w:line="480" w:lineRule="exact"/>
        <w:rPr>
          <w:rFonts w:ascii="Times New Roman" w:hAnsi="Times New Roman" w:eastAsia="宋体" w:cs="仿宋"/>
          <w:sz w:val="24"/>
        </w:rPr>
      </w:pPr>
      <w:r/>
      <w:bookmarkStart w:id="350" w:name="_Toc529475955"/>
      <w:r>
        <w:rPr>
          <w:rFonts w:hint="eastAsia" w:ascii="Times New Roman" w:hAnsi="Times New Roman" w:eastAsia="宋体" w:cs="仿宋"/>
          <w:sz w:val="24"/>
        </w:rPr>
        <w:t xml:space="preserve">15.  合同生效</w:t>
      </w:r>
      <w:bookmarkEnd w:id="350"/>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本合同生效条件见合同协议书。</w:t>
      </w:r>
      <w:r/>
    </w:p>
    <w:p>
      <w:pPr>
        <w:ind w:firstLine="480"/>
        <w:spacing w:line="480" w:lineRule="exact"/>
        <w:rPr>
          <w:rFonts w:ascii="Times New Roman" w:hAnsi="Times New Roman" w:eastAsia="宋体" w:cs="仿宋"/>
          <w:sz w:val="24"/>
        </w:rPr>
      </w:pPr>
      <w:r/>
      <w:bookmarkStart w:id="351" w:name="_Toc529475956"/>
      <w:r>
        <w:rPr>
          <w:rFonts w:hint="eastAsia" w:ascii="Times New Roman" w:hAnsi="Times New Roman" w:eastAsia="宋体" w:cs="仿宋"/>
          <w:sz w:val="24"/>
        </w:rPr>
        <w:t xml:space="preserve">16.  份数</w:t>
      </w:r>
      <w:bookmarkEnd w:id="351"/>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本合同份数见合同协议书。</w:t>
      </w:r>
      <w:r/>
    </w:p>
    <w:p>
      <w:pPr>
        <w:spacing w:line="480" w:lineRule="exact"/>
        <w:rPr>
          <w:rFonts w:ascii="Times New Roman" w:hAnsi="Times New Roman" w:eastAsia="宋体" w:cs="仿宋"/>
          <w:szCs w:val="21"/>
        </w:rPr>
      </w:pPr>
      <w:r>
        <w:rPr>
          <w:rFonts w:ascii="Times New Roman" w:hAnsi="Times New Roman" w:eastAsia="宋体" w:cs="仿宋"/>
          <w:szCs w:val="21"/>
        </w:rPr>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p>
    <w:p>
      <w:pPr>
        <w:jc w:val="center"/>
        <w:rPr>
          <w:rFonts w:ascii="Times New Roman" w:hAnsi="Times New Roman" w:eastAsia="宋体" w:cs="仿宋"/>
          <w:b/>
          <w:bCs/>
          <w:sz w:val="32"/>
          <w:szCs w:val="32"/>
        </w:rPr>
      </w:pPr>
      <w:r>
        <w:rPr>
          <w:rFonts w:hint="eastAsia" w:ascii="Times New Roman" w:hAnsi="Times New Roman" w:eastAsia="宋体" w:cs="仿宋"/>
          <w:sz w:val="28"/>
        </w:rPr>
        <w:br w:type="page" w:clear="all"/>
      </w:r>
      <w:bookmarkStart w:id="352" w:name="_Toc529475957"/>
      <w:r>
        <w:rPr>
          <w:rFonts w:hint="eastAsia" w:ascii="Times New Roman" w:hAnsi="Times New Roman" w:eastAsia="宋体" w:cs="仿宋"/>
          <w:b/>
          <w:bCs/>
          <w:sz w:val="32"/>
          <w:szCs w:val="32"/>
        </w:rPr>
        <w:t xml:space="preserve">第三部分 专用合同条款</w:t>
      </w:r>
      <w:bookmarkEnd w:id="35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专用合同条款是合同各方经协商后对通用合同条款的修改或补充。专用合同条款与通用合同条款不一致时，以专用合同条款为准。</w:t>
      </w:r>
      <w:r/>
    </w:p>
    <w:p>
      <w:pPr>
        <w:ind w:firstLine="420"/>
        <w:jc w:val="left"/>
        <w:rPr>
          <w:rFonts w:ascii="Times New Roman" w:hAnsi="Times New Roman" w:eastAsia="宋体" w:cs="仿宋"/>
          <w:szCs w:val="21"/>
        </w:rPr>
      </w:pPr>
      <w:r>
        <w:rPr>
          <w:rFonts w:ascii="Times New Roman" w:hAnsi="Times New Roman" w:eastAsia="宋体" w:cs="仿宋"/>
          <w:szCs w:val="21"/>
        </w:rPr>
      </w:r>
      <w:r/>
    </w:p>
    <w:tbl>
      <w:tblPr>
        <w:tblStyle w:val="80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1332"/>
        <w:gridCol w:w="6963"/>
      </w:tblGrid>
      <w:tr>
        <w:trPr>
          <w:tblHeade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合同事项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条款项号</w:t>
            </w:r>
            <w:r/>
          </w:p>
        </w:tc>
        <w:tc>
          <w:tcPr>
            <w:tcW w:w="350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约定内容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买方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1.6</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买方全称：江苏省高速公路经营管理中心</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合同车辆</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1.9</w:t>
            </w:r>
            <w:r/>
          </w:p>
        </w:tc>
        <w:tc>
          <w:tcPr>
            <w:tcW w:w="3509" w:type="pct"/>
            <w:textDirection w:val="lrTb"/>
            <w:noWrap w:val="false"/>
          </w:tcPr>
          <w:p>
            <w:pPr>
              <w:rPr>
                <w:rFonts w:hint="eastAsia" w:ascii="Times New Roman" w:hAnsi="Times New Roman" w:eastAsia="宋体" w:cs="仿宋"/>
                <w:sz w:val="24"/>
                <w:lang w:eastAsia="zh-CN"/>
              </w:rPr>
            </w:pPr>
            <w:r>
              <w:rPr>
                <w:rFonts w:hint="eastAsia" w:cs="仿宋"/>
                <w:sz w:val="24"/>
                <w:lang w:eastAsia="zh-CN"/>
              </w:rPr>
              <w:t xml:space="preserve">防撞车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交货期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3.1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合同签订后的60日内。</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包装形式</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4.1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整车</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技术服务</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5.1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（1）卖方免费提供操作培训、简单故障排除和跟车指导服务，时间不少于1周，具体培训时间和地点由买方确定。</w:t>
            </w:r>
            <w:r/>
          </w:p>
          <w:p>
            <w:pPr>
              <w:rPr>
                <w:rFonts w:ascii="Times New Roman" w:hAnsi="Times New Roman" w:eastAsia="宋体" w:cs="仿宋"/>
                <w:sz w:val="24"/>
              </w:rPr>
            </w:pPr>
            <w:r>
              <w:rPr>
                <w:rFonts w:hint="eastAsia" w:ascii="Times New Roman" w:hAnsi="Times New Roman" w:eastAsia="宋体" w:cs="仿宋"/>
                <w:sz w:val="24"/>
              </w:rPr>
              <w:t xml:space="preserve">（2）卖方应配合买方进行多批次的养排人员设备操作培训，由卖方派出若干名经验丰富的设备工程师至买方单位担任培训师（培训师人数和培训时间按照买方的培训计划确定），其所有培训师费用由卖方承担（报价单列，计入总价）</w:t>
            </w:r>
            <w:r/>
          </w:p>
          <w:p>
            <w:pPr>
              <w:rPr>
                <w:rFonts w:ascii="Times New Roman" w:hAnsi="Times New Roman" w:eastAsia="宋体" w:cs="仿宋"/>
                <w:sz w:val="24"/>
              </w:rPr>
            </w:pPr>
            <w:r>
              <w:rPr>
                <w:rFonts w:hint="eastAsia" w:ascii="Times New Roman" w:hAnsi="Times New Roman" w:eastAsia="宋体" w:cs="仿宋"/>
                <w:sz w:val="24"/>
              </w:rPr>
              <w:t xml:space="preserve">（3）卖方全力协助买方负责及时办理上牌手续，上牌费用由卖方承担。</w:t>
            </w:r>
            <w:r/>
          </w:p>
          <w:p>
            <w:pPr>
              <w:rPr>
                <w:rFonts w:ascii="Times New Roman" w:hAnsi="Times New Roman" w:eastAsia="宋体" w:cs="仿宋"/>
                <w:sz w:val="24"/>
              </w:rPr>
            </w:pPr>
            <w:r>
              <w:rPr>
                <w:rFonts w:hint="eastAsia" w:ascii="Times New Roman" w:hAnsi="Times New Roman" w:eastAsia="宋体" w:cs="仿宋"/>
                <w:sz w:val="24"/>
              </w:rPr>
              <w:t xml:space="preserve">（4）卖方对其所提供的货物免费保修24个月，保修期从买方验收合格签字之日起。质保期内，卖方接到报修通知后应在2小时以内作出安排答复，8小时以内派员到达现场处理问题，一般情况下应不超过24小时解决问题。如果卖方在收到报修通知后24小时内没有完成缺陷弥补工作，买方可采取必要的补救措施，但费用和风险由卖方承担。如若属于产品质量问题，卖方应及时免费提供更换配件或维修技术服务；如若属于</w:t>
            </w:r>
            <w:r>
              <w:rPr>
                <w:rFonts w:hint="eastAsia" w:cs="仿宋"/>
                <w:sz w:val="24"/>
                <w:lang w:eastAsia="zh"/>
              </w:rPr>
              <w:t xml:space="preserve">买方人员存在重大过失或故意违规</w:t>
            </w:r>
            <w:r>
              <w:rPr>
                <w:rFonts w:hint="eastAsia" w:cs="仿宋"/>
                <w:sz w:val="24"/>
                <w:lang w:val="en-US" w:eastAsia="zh-CN"/>
              </w:rPr>
              <w:t xml:space="preserve">操作</w:t>
            </w:r>
            <w:r>
              <w:rPr>
                <w:rFonts w:hint="eastAsia" w:cs="仿宋"/>
                <w:sz w:val="24"/>
                <w:lang w:eastAsia="zh"/>
              </w:rPr>
              <w:t xml:space="preserve">导致</w:t>
            </w:r>
            <w:r>
              <w:rPr>
                <w:rFonts w:hint="eastAsia" w:ascii="Times New Roman" w:hAnsi="Times New Roman" w:eastAsia="宋体" w:cs="仿宋"/>
                <w:sz w:val="24"/>
              </w:rPr>
              <w:t xml:space="preserve">的故障，则卖方负责维修，人工费不计，材料费另算。</w:t>
            </w:r>
            <w:r/>
          </w:p>
          <w:p>
            <w:pPr>
              <w:rPr>
                <w:rFonts w:ascii="Times New Roman" w:hAnsi="Times New Roman" w:eastAsia="宋体" w:cs="仿宋"/>
                <w:sz w:val="24"/>
              </w:rPr>
            </w:pPr>
            <w:r>
              <w:rPr>
                <w:rFonts w:hint="eastAsia" w:ascii="Times New Roman" w:hAnsi="Times New Roman" w:eastAsia="宋体" w:cs="仿宋"/>
                <w:sz w:val="24"/>
              </w:rPr>
              <w:t xml:space="preserve">（5）质保期内，卖方每半年免费对设备进行一次全面的维护保养工作</w:t>
            </w:r>
            <w:r>
              <w:rPr>
                <w:rFonts w:hint="eastAsia" w:cs="仿宋"/>
                <w:sz w:val="24"/>
                <w:lang w:eastAsia="zh-CN"/>
              </w:rPr>
              <w:t xml:space="preserve">，</w:t>
            </w:r>
            <w:r>
              <w:rPr>
                <w:rFonts w:hint="eastAsia" w:cs="仿宋"/>
                <w:sz w:val="24"/>
                <w:lang w:val="en-US" w:eastAsia="zh-CN"/>
              </w:rPr>
              <w:t xml:space="preserve">具体维护保养时间和地点由买方确定</w:t>
            </w:r>
            <w:r>
              <w:rPr>
                <w:rFonts w:hint="eastAsia" w:ascii="Times New Roman" w:hAnsi="Times New Roman" w:eastAsia="宋体" w:cs="仿宋"/>
                <w:sz w:val="24"/>
              </w:rPr>
              <w:t xml:space="preserve">。</w:t>
            </w:r>
            <w:r/>
          </w:p>
          <w:p>
            <w:pPr>
              <w:rPr>
                <w:rFonts w:ascii="Times New Roman" w:hAnsi="Times New Roman" w:eastAsia="宋体" w:cs="仿宋"/>
                <w:sz w:val="24"/>
              </w:rPr>
            </w:pPr>
            <w:r>
              <w:rPr>
                <w:rFonts w:hint="eastAsia" w:ascii="Times New Roman" w:hAnsi="Times New Roman" w:eastAsia="宋体" w:cs="仿宋"/>
                <w:sz w:val="24"/>
              </w:rPr>
              <w:t xml:space="preserve">（6）质保期外出现故障时，卖方应及时提供维修技术服务，以投标文件中的价格收取材料费及人工费。</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质量保证期</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7.2</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设备到现场并调试验收合格后24个月（底盘按维保手册执行）</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误期赔偿费</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8.1.3</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货物金额的1%/7天向卖方主张迟延交货违约金，误期赔偿费最高限额为合同价格的10%。</w:t>
            </w:r>
            <w:r/>
          </w:p>
        </w:tc>
      </w:tr>
      <w:tr>
        <w:trPr/>
        <w:tc>
          <w:tcPr>
            <w:tcW w:w="819"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变更</w:t>
            </w:r>
            <w:r/>
          </w:p>
        </w:tc>
        <w:tc>
          <w:tcPr>
            <w:tcW w:w="671" w:type="pct"/>
            <w:vAlign w:val="center"/>
            <w:textDirection w:val="lrTb"/>
            <w:noWrap w:val="false"/>
          </w:tcPr>
          <w:p>
            <w:pPr>
              <w:jc w:val="center"/>
              <w:rPr>
                <w:rFonts w:ascii="Times New Roman" w:hAnsi="Times New Roman" w:eastAsia="宋体" w:cs="仿宋"/>
                <w:sz w:val="24"/>
              </w:rPr>
            </w:pPr>
            <w:r>
              <w:rPr>
                <w:rFonts w:hint="eastAsia" w:ascii="Times New Roman" w:hAnsi="Times New Roman" w:eastAsia="宋体" w:cs="仿宋"/>
                <w:sz w:val="24"/>
              </w:rPr>
              <w:t xml:space="preserve">9.2.1</w:t>
            </w:r>
            <w:r/>
          </w:p>
        </w:tc>
        <w:tc>
          <w:tcPr>
            <w:tcW w:w="3509" w:type="pct"/>
            <w:textDirection w:val="lrTb"/>
            <w:noWrap w:val="false"/>
          </w:tcPr>
          <w:p>
            <w:pPr>
              <w:rPr>
                <w:rFonts w:ascii="Times New Roman" w:hAnsi="Times New Roman" w:eastAsia="宋体" w:cs="仿宋"/>
                <w:sz w:val="24"/>
              </w:rPr>
            </w:pPr>
            <w:r>
              <w:rPr>
                <w:rFonts w:hint="eastAsia" w:ascii="Times New Roman" w:hAnsi="Times New Roman" w:eastAsia="宋体" w:cs="仿宋"/>
                <w:sz w:val="24"/>
              </w:rPr>
              <w:t xml:space="preserve">（1）在履行合同过程中，买方对招标文件中规定的货物数量的增加或减少，将不会导致中标单价或其它的合同条款的改变。</w:t>
            </w:r>
            <w:r/>
          </w:p>
          <w:p>
            <w:pPr>
              <w:rPr>
                <w:rFonts w:ascii="Times New Roman" w:hAnsi="Times New Roman" w:eastAsia="宋体" w:cs="仿宋"/>
                <w:sz w:val="24"/>
              </w:rPr>
            </w:pPr>
            <w:r>
              <w:rPr>
                <w:rFonts w:hint="eastAsia" w:ascii="Times New Roman" w:hAnsi="Times New Roman" w:eastAsia="宋体" w:cs="仿宋"/>
                <w:sz w:val="24"/>
              </w:rPr>
              <w:t xml:space="preserve">（2）买方有权根据需要确定本次招标货物的具体交货地点，但不调整中标单价；也有权调整为上述范围之外的交货地点。</w:t>
            </w:r>
            <w:r/>
          </w:p>
        </w:tc>
      </w:tr>
    </w:tbl>
    <w:p>
      <w:pPr>
        <w:rPr>
          <w:rFonts w:ascii="Times New Roman" w:hAnsi="Times New Roman" w:eastAsia="宋体" w:cs="仿宋"/>
          <w:b/>
          <w:bCs/>
          <w:sz w:val="36"/>
          <w:szCs w:val="32"/>
        </w:rPr>
      </w:pPr>
      <w:r>
        <w:rPr>
          <w:rFonts w:hint="eastAsia" w:ascii="Times New Roman" w:hAnsi="Times New Roman" w:eastAsia="宋体" w:cs="仿宋"/>
          <w:b/>
          <w:bCs/>
          <w:sz w:val="36"/>
          <w:szCs w:val="32"/>
        </w:rPr>
        <w:br w:type="page" w:clear="all"/>
      </w:r>
      <w:r/>
    </w:p>
    <w:p>
      <w:pPr>
        <w:jc w:val="center"/>
        <w:spacing w:line="360" w:lineRule="auto"/>
        <w:rPr>
          <w:rFonts w:ascii="Times New Roman" w:hAnsi="Times New Roman" w:eastAsia="宋体" w:cs="仿宋"/>
          <w:b/>
          <w:bCs/>
          <w:sz w:val="36"/>
          <w:szCs w:val="32"/>
          <w:u w:val="single"/>
        </w:rPr>
      </w:pPr>
      <w:r>
        <w:rPr>
          <w:rFonts w:hint="eastAsia" w:ascii="Times New Roman" w:hAnsi="Times New Roman" w:eastAsia="宋体" w:cs="仿宋"/>
          <w:b/>
          <w:bCs/>
          <w:sz w:val="36"/>
          <w:szCs w:val="32"/>
        </w:rPr>
        <w:t xml:space="preserve">廉政合同</w:t>
      </w:r>
      <w:r/>
    </w:p>
    <w:p>
      <w:pPr>
        <w:ind w:firstLine="480"/>
        <w:spacing w:line="360" w:lineRule="auto"/>
        <w:tabs>
          <w:tab w:val="left" w:pos="6540" w:leader="none"/>
        </w:tabs>
        <w:rPr>
          <w:rFonts w:ascii="Times New Roman" w:hAnsi="Times New Roman" w:eastAsia="宋体" w:cs="仿宋"/>
          <w:sz w:val="24"/>
        </w:rPr>
      </w:pPr>
      <w:r>
        <w:rPr>
          <w:rFonts w:hint="eastAsia" w:ascii="Times New Roman" w:hAnsi="Times New Roman" w:eastAsia="宋体" w:cs="仿宋"/>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cs="仿宋"/>
          <w:sz w:val="24"/>
          <w:u w:val="single"/>
        </w:rPr>
        <w:t xml:space="preserve">江苏省高速公路经营管理中心</w:t>
      </w:r>
      <w:r>
        <w:rPr>
          <w:rFonts w:hint="eastAsia" w:ascii="Times New Roman" w:hAnsi="Times New Roman" w:eastAsia="宋体" w:cs="仿宋"/>
          <w:sz w:val="24"/>
        </w:rPr>
        <w:t xml:space="preserve">（以下称买方）与服务单位</w:t>
      </w:r>
      <w:r>
        <w:rPr>
          <w:rFonts w:hint="eastAsia" w:ascii="Times New Roman" w:hAnsi="Times New Roman" w:eastAsia="宋体" w:cs="仿宋"/>
          <w:sz w:val="24"/>
          <w:u w:val="single"/>
        </w:rPr>
        <w:t xml:space="preserve">（以下称卖方）</w:t>
      </w:r>
      <w:r>
        <w:rPr>
          <w:rFonts w:hint="eastAsia" w:ascii="Times New Roman" w:hAnsi="Times New Roman" w:eastAsia="宋体" w:cs="仿宋"/>
          <w:sz w:val="24"/>
        </w:rPr>
        <w:t xml:space="preserve">，特订立如下合同。</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第一条甲、卖方双方的权利和义务</w:t>
      </w:r>
      <w:r/>
    </w:p>
    <w:p>
      <w:pPr>
        <w:ind w:firstLine="480"/>
        <w:jc w:val="left"/>
        <w:spacing w:line="360" w:lineRule="auto"/>
        <w:rPr>
          <w:rFonts w:ascii="Times New Roman" w:hAnsi="Times New Roman" w:eastAsia="宋体" w:cs="仿宋"/>
          <w:sz w:val="24"/>
        </w:rPr>
      </w:pPr>
      <w:r>
        <w:rPr>
          <w:rFonts w:hint="eastAsia" w:ascii="Times New Roman" w:hAnsi="Times New Roman" w:eastAsia="宋体" w:cs="仿宋"/>
          <w:sz w:val="24"/>
        </w:rPr>
        <w:t xml:space="preserve">（一）严格遵守党和国家有关法律法规及交通部的有关规定。</w:t>
      </w:r>
      <w:r/>
    </w:p>
    <w:p>
      <w:pPr>
        <w:ind w:firstLine="480"/>
        <w:spacing w:line="360" w:lineRule="auto"/>
        <w:rPr>
          <w:rFonts w:ascii="Times New Roman" w:hAnsi="Times New Roman" w:eastAsia="宋体" w:cs="仿宋"/>
          <w:b/>
          <w:sz w:val="24"/>
        </w:rPr>
      </w:pPr>
      <w:r>
        <w:rPr>
          <w:rFonts w:hint="eastAsia" w:ascii="Times New Roman" w:hAnsi="Times New Roman" w:eastAsia="宋体" w:cs="仿宋"/>
          <w:sz w:val="24"/>
        </w:rPr>
        <w:t xml:space="preserve">（二）严格遵守项目的合同文件，自觉按合同办事。</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（四）建立健全廉政制度，开展廉政教育，设立廉政告示牌，公布举报电话，监督并认真查处违法违纪行为。</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（五）发现对方在业务活动中有违反廉政规定的行为，有及时提醒对方纠正的权利和义务。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（六）发现对方严重违反本合同义务条款的行为，有向其上级有关部门举报、建议给予处理并要求告之处理结果的权利。</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第二条买方的义务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（一）买方及其工作人员不得索要或接受卖方的礼金、有价证券和贵重物品，不得在卖方报销任何应由买方或个人支付的费用等。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（二）买方工作人员不得参加卖方安排的超标准宴请和娱乐活动；不得接受卖方提供的通讯工具、交通工具和高档办公用品等。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（三）买方及其工作人员不得要求或者接受卖方为其住房装修、婚丧嫁娶活动、配偶子女的工作安排以及出国出境、旅游等提供方便等。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（四）买方工作人员的配偶、子女不得从事与卖方工程有关的材料设备供应、工程分包、劳务等经济活动等。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（五）买方及其工作人员不得以任何理由向卖方推荐分包单位，不得要求卖方购买合同规定外的材料和设备。</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第三条卖方义务</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（一）卖方不得以任何理由向买方及其工作人员行贿或馈赠礼金、有价证券、贵重礼品。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（二）卖方不得以任何名义为买方及其工作人员报销应由买方单位或个人支付的任何费用。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（三）卖方不得以任何理由安排买方工作人员参加超标准宴请及娱乐活动。</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（四）卖方不得为买方单位和个人购置或提供通讯工具、交通工具和高档办公用品等。</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第四条违约责任</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（一）买方及其工作人员违反本合同第一、二条，按管理权限，依据有关规定给予党纪、政纪或组织处理；涉嫌犯罪的，移交司法机关追究刑事责任；给卖方单位造成经济损失的，应予以赔偿。</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及其工作人员违反本合同第一、三条，按管理权限，依据有关规定，给予党纪、政纪或组织处理；给买方单位造成经济损失的，应予以赔偿；情节严重的，买方建议交通工程建设主管部门给予卖方一至三年内不得进入其主管的交通工程建设市场的处罚。</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五条双方约定：本合同由双方或双方上级单位的纪检监察机关负责监督。由买方或买方上级单位的纪检监察机关约请卖方或卖方上级单位纪检监察机关对本合同履行情况进行检查，提出在本合同规定范围内的裁定意见。</w:t>
      </w:r>
      <w:r/>
    </w:p>
    <w:p>
      <w:pPr>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卖方本合同作为项目合同的附件，与合同具有同等的法律效力，经合同双方签署立即生效。</w:t>
      </w:r>
      <w:r/>
    </w:p>
    <w:p>
      <w:pPr>
        <w:rPr>
          <w:rFonts w:ascii="Times New Roman" w:hAnsi="Times New Roman" w:eastAsia="宋体" w:cs="仿宋"/>
          <w:color w:val="000000" w:themeColor="text1"/>
          <w14:textFill>
            <w14:solidFill>
              <w14:schemeClr w14:val="tx1"/>
            </w14:solidFill>
          </w14:textFill>
        </w:rPr>
      </w:pPr>
      <w:r>
        <w:rPr>
          <w:rFonts w:ascii="Times New Roman" w:hAnsi="Times New Roman" w:eastAsia="宋体" w:cs="仿宋"/>
          <w:color w:val="000000" w:themeColor="text1"/>
          <w14:textFill>
            <w14:solidFill>
              <w14:schemeClr w14:val="tx1"/>
            </w14:solidFill>
          </w14:textFill>
        </w:rPr>
      </w:r>
      <w:r/>
    </w:p>
    <w:p>
      <w:pPr>
        <w:rPr>
          <w:rFonts w:ascii="Times New Roman" w:hAnsi="Times New Roman" w:eastAsia="宋体" w:cs="仿宋"/>
          <w:color w:val="000000" w:themeColor="text1"/>
          <w:szCs w:val="21"/>
          <w14:textFill>
            <w14:solidFill>
              <w14:schemeClr w14:val="tx1"/>
            </w14:solidFill>
          </w14:textFill>
        </w:rPr>
      </w:pPr>
      <w:r>
        <w:rPr>
          <w:rFonts w:ascii="Times New Roman" w:hAnsi="Times New Roman" w:eastAsia="宋体" w:cs="仿宋"/>
          <w:color w:val="000000" w:themeColor="text1"/>
          <w:szCs w:val="21"/>
          <w14:textFill>
            <w14:solidFill>
              <w14:schemeClr w14:val="tx1"/>
            </w14:solidFill>
          </w14:textFill>
        </w:rPr>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ind w:firstLine="420"/>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8"/>
        <w:numPr>
          <w:ilvl w:val="0"/>
          <w:numId w:val="5"/>
        </w:numPr>
        <w:ind w:left="535" w:hanging="321"/>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 </w:t>
      </w:r>
      <w:bookmarkStart w:id="353" w:name="_Toc1003598772"/>
      <w:r>
        <w:rPr>
          <w:rFonts w:ascii="Times New Roman" w:hAnsi="Times New Roman" w:eastAsia="宋体" w:cs="Microsoft New Tai Lue"/>
          <w:highlight w:val="none"/>
        </w:rPr>
        <w:t xml:space="preserve">采购需求</w:t>
      </w:r>
      <w:bookmarkEnd w:id="304"/>
      <w:r/>
      <w:bookmarkEnd w:id="353"/>
      <w:r/>
      <w:r/>
    </w:p>
    <w:p>
      <w:pPr>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项目概况</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结合路段实际需求，拟为全路段增配7辆防撞车，其中：1辆中大型防撞车，6辆皮卡防撞车，具体分配为：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（1）机场处增配1辆中大型防撞车，1辆皮卡防撞车；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（2）北段处增配1辆皮卡防撞车；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（3）通启处增配1辆皮卡防撞车；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（4）南京处增配1辆皮卡防撞车；</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（5）</w:t>
      </w:r>
      <w:r>
        <w:rPr>
          <w:rFonts w:hint="eastAsia" w:ascii="Times New Roman" w:hAnsi="Times New Roman" w:eastAsia="宋体" w:cs="仿宋"/>
          <w:b w:val="0"/>
          <w:bCs/>
          <w:sz w:val="28"/>
          <w:lang w:val="en-US" w:eastAsia="zh-CN"/>
        </w:rPr>
        <w:t xml:space="preserve">淮安处增配2辆皮卡防撞车。</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659"/>
        <w:gridCol w:w="2659"/>
        <w:gridCol w:w="1792"/>
        <w:gridCol w:w="1971"/>
      </w:tblGrid>
      <w:tr>
        <w:trPr>
          <w:trHeight w:val="723"/>
        </w:trPr>
        <w:tc>
          <w:tcPr>
            <w:gridSpan w:val="5"/>
            <w:tcW w:w="500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采购需求一览表（货物类）</w:t>
            </w:r>
            <w:r/>
          </w:p>
        </w:tc>
      </w:tr>
      <w:tr>
        <w:trPr>
          <w:trHeight w:val="723"/>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序号</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货物名称</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是否接受进口设备</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数量</w:t>
            </w:r>
            <w:r/>
          </w:p>
        </w:tc>
        <w:tc>
          <w:tcPr>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是否属核心产品</w:t>
            </w:r>
            <w:r/>
          </w:p>
        </w:tc>
      </w:tr>
      <w:tr>
        <w:trPr>
          <w:trHeight w:val="70"/>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1</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皮卡防撞车</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6</w:t>
            </w:r>
            <w:r>
              <w:rPr>
                <w:rFonts w:hint="eastAsia" w:ascii="宋体" w:hAnsi="宋体" w:eastAsia="宋体" w:cs="宋体"/>
                <w:b w:val="0"/>
                <w:bCs/>
                <w:color w:val="000000" w:themeColor="text1"/>
                <w:sz w:val="24"/>
                <w14:textFill>
                  <w14:solidFill>
                    <w14:schemeClr w14:val="tx1"/>
                  </w14:solidFill>
                </w14:textFill>
              </w:rPr>
              <w:t xml:space="preserve">辆</w:t>
            </w:r>
            <w:r/>
          </w:p>
        </w:tc>
        <w:tc>
          <w:tcPr>
            <w:shd w:val="clear" w:color="auto" w:fill="auto"/>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是</w:t>
            </w:r>
            <w:r/>
          </w:p>
        </w:tc>
      </w:tr>
      <w:tr>
        <w:trPr>
          <w:trHeight w:val="70"/>
        </w:trPr>
        <w:tc>
          <w:tcPr>
            <w:tcW w:w="424"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2</w:t>
            </w:r>
            <w:r/>
          </w:p>
        </w:tc>
        <w:tc>
          <w:tcPr>
            <w:shd w:val="clear" w:color="auto" w:fill="auto"/>
            <w:tcW w:w="1340" w:type="pct"/>
            <w:vAlign w:val="center"/>
            <w:textDirection w:val="lrTb"/>
            <w:noWrap w:val="false"/>
          </w:tcPr>
          <w:p>
            <w:pPr>
              <w:jc w:val="center"/>
              <w:spacing w:line="360" w:lineRule="auto"/>
              <w:widowControl/>
              <w:rPr>
                <w:rFonts w:hint="default"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中大型防撞车</w:t>
            </w:r>
            <w:r/>
          </w:p>
        </w:tc>
        <w:tc>
          <w:tcPr>
            <w:shd w:val="clear" w:color="auto" w:fill="auto"/>
            <w:tcW w:w="134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c>
          <w:tcPr>
            <w:shd w:val="clear" w:color="auto" w:fill="auto"/>
            <w:tcW w:w="903"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14:textFill>
                  <w14:solidFill>
                    <w14:schemeClr w14:val="tx1"/>
                  </w14:solidFill>
                </w14:textFill>
              </w:rPr>
              <w:t xml:space="preserve">辆</w:t>
            </w:r>
            <w:r/>
          </w:p>
        </w:tc>
        <w:tc>
          <w:tcPr>
            <w:shd w:val="clear" w:color="auto" w:fill="auto"/>
            <w:tcW w:w="990" w:type="pct"/>
            <w:vAlign w:val="center"/>
            <w:textDirection w:val="lrTb"/>
            <w:noWrap w:val="false"/>
          </w:tcPr>
          <w:p>
            <w:pPr>
              <w:jc w:val="center"/>
              <w:spacing w:line="360" w:lineRule="auto"/>
              <w:widowControl/>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否</w:t>
            </w:r>
            <w:r/>
          </w:p>
        </w:tc>
      </w:tr>
    </w:tbl>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商务要求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1.交货时间：接到采购人订单60日内完成供货。</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2.服务地点：江苏省内招标人指定地点。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支付方式：设备全部到货安装调试验收合格后30个工作日内支付至合同价格的100%，中标人在合同生效后的30天内向招标人提交相当于合同含税总价5%的履约保证金，整车质保期届满后10个工作日内，买方向卖方退还履约保证金，如为履约保函形式提交，履约保函到期后自动结束。</w:t>
      </w:r>
      <w:r/>
    </w:p>
    <w:p>
      <w:pPr>
        <w:numPr>
          <w:ilvl w:val="0"/>
          <w:numId w:val="6"/>
        </w:numPr>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技术要求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一、技术要求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供应商拟供货的防撞车需符合《特种车辆后部防撞吸能装置》QC/T 1129-2019等规范要求。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（一）中大型防撞车</w:t>
      </w:r>
      <w:r>
        <w:rPr>
          <w:rFonts w:hint="eastAsia" w:cs="仿宋"/>
          <w:b/>
          <w:bCs w:val="0"/>
          <w:sz w:val="28"/>
          <w:lang w:val="en-US" w:eastAsia="zh-CN"/>
        </w:rPr>
        <w:t xml:space="preserve">（共计23项技术参数评分项）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（1）整车符合国家现行标准，已纳入国家工信部《道路机动车辆生产企业及产品公告》、具有环保公告，具有3C认证，可以办理上牌。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（2）车辆安全警示设施、车辆监控系统等投标时未进行公告拓展的，供应商需提供书面承诺在车辆交货前完成公告拓展工作，确保车辆能正常上牌。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（3）整车整备质量≥12000kg。</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（4）车辆采用金属配重，配重应牢固固定于货箱内，保证在撞击事故中不发生位移。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（5）车身标识、颜色根据采购人要求定制。</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2.发动机及其它配置：</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（1）发动机功率≥135kw。</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（2）排放标准：国Ⅵ排放</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（3）配备倒车影像</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3.防撞缓冲垫：</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（1）配备的防撞缓冲垫具有以《NCHRPReport350》或《MASH》为测试依据的实车足尺碰撞测试报告。</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（2）防撞级别：100K。</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注：此处防撞级别要求是指防撞缓冲垫通过实车足尺碰撞试验，且试验中车辆碰撞速度不低于100km/h。</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4.车辆安全警示设施：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（1）提供LED显示屏，面积≥3㎡，可分别或同时显示向左变道、向右变道、禁止通行箭头标识，显示屏文字可通过手机APP自行更改。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（2）制式双面黄色示警灯：车辆驾驶室顶部设置，黄箭头导向灯，发光频率为1~3Hz。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（3）条形双面（单面）黄色示警灯：发光频率为1~3Hz，用于警示后方行驶车辆注意工程作业车辆。条形黄色示警灯长度根据车型选择。</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（4）车载式雷达智能预警装置：实现对可能闯入管制区的车辆进行声光等形式的主动预警。车载式雷达智能预警装置雷达探测距离300m，声音预警距离200m，条形黄色小警灯发光频率为1~3Hz。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（5）配备360°旋转黄闪灯。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（6）警示报警器：警示报警器喇叭功率不小于400w，喇叭发声口安装方向面向迎车方向。</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（7）车身反光标识：反光膜等级不低于Ⅱ(ClassTwo)，由白色、红色单元相间条状材料。</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（8）车身文字：车厢侧面应粘贴“道路清障”字样，字体为方正大黑简体，字体颜色为红色，反光膜等级为V类。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（9）配备红蓝警灯、爆闪灯、定向喇叭。</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（10）防撞垫配备与底盘同步的灯光显示，包括不限于行车灯、刹车灯。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5.监控系统</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配备视频监控系统，能清晰完整记录车辆正常工作及被撞击时现场情况。</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6.其他功能：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（1）配备升降照明装置，满足夜间作业照明需求。</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（2）配备独立供电系统，确保车辆熄火后安全预警、监控、照明能正常运行。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（二）皮卡防撞车</w:t>
      </w:r>
      <w:r>
        <w:rPr>
          <w:rFonts w:hint="eastAsia" w:cs="仿宋"/>
          <w:b/>
          <w:bCs w:val="0"/>
          <w:sz w:val="28"/>
          <w:lang w:val="en-US" w:eastAsia="zh-CN"/>
        </w:rPr>
        <w:t xml:space="preserve">（共计22项技术参数评分项）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（1）整车符合国家现行标准，已纳入国家工信部《道路机动车辆生产企业及产品公告》、具有环保公告，具有3C认证，可以办理上牌。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（2）车辆安全警示设施、车辆监控系统等投标时未进行公告拓展的，供应商需提供书面承诺在车辆交货前完成公告拓展工作，确保车辆能正常上牌。</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（3）整车整备质量≥3000kg。</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（4）车辆采用金属配重，配重应牢固固定于货箱内，保证在撞击事故中不发生位移。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（5）车身标识、颜色根据采购人要求定制。</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2.发动机及其它配置：</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（1）发动机功率≥100kw。</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（2）排放标准：国Ⅵ排放。</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（3）配备倒车影像。</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（4）车货箱须能同时容纳30个锥桶（高90cm 宽40cm）和1个声光报警器（长高50cm 宽40cm）和1个警示标识牌（长140cm 宽90cm）。</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3.防撞缓冲垫：</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（1）配备的防撞缓冲垫具有以《NCHRPReport350》或《MASH》为测试依据的实车足尺碰撞测试报告。</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（2）防撞级别：≥70K。</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注：此处防撞级别要求是指防撞缓冲垫通过实车足尺碰撞试验，且试验中车辆碰撞速度不低于70km/h。</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4.车辆安全警示设施：</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（1）提供LED显示屏，面积≥0.7㎡，可分别或同时显示向左变道、向右变道、禁止通行箭头标识，显示屏文字可通过手机APP自行更改。</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（2）制式双面黄色示警灯：车辆驾驶室顶部设置，黄箭头导向灯，发光频率为1~3Hz。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（3）条形双面（单面）黄色示警灯：发光频率为1~3Hz，用于警示后方行驶车辆注意工程作业车辆。条形黄色示警灯长度根据车型选择。</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（4）车载式雷达智能预警装置：实现对可能闯入管制区的车辆进行声光等形式的主动预警。车载式雷达智能预警装置雷达探测距离300m，声音预警距离200m，条形黄色小警灯发光频率为1~3Hz。</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（5）配备360°旋转黄闪灯。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（6）警示报警器：警示报警器喇叭功率不小于400w，喇叭发声口安装方向面向迎车方向。</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（7）车身反光标识：反光膜等级不低于Ⅱ(ClassTwo)，由白色、红色单元相间条状材料。</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（8）车身文字：车厢侧面应粘贴“道路清障”字样，字体为方正大黑简体，字体颜色为红色，反光膜等级为V类。</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（9）配备红蓝警灯、爆闪灯、定向喇叭。</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（10）防撞垫配备与底盘同步的灯光显示，包括不限于行车灯、刹车灯。</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5.监控系统</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default" w:ascii="Times New Roman" w:hAnsi="Times New Roman" w:eastAsia="宋体" w:cs="仿宋"/>
          <w:b w:val="0"/>
          <w:bCs/>
          <w:sz w:val="28"/>
          <w:lang w:val="en-US" w:eastAsia="zh-CN"/>
        </w:rPr>
        <w:t xml:space="preserve">配备视频监控系统，能清晰完整记录车辆正常工作及被撞击时现场情况。</w:t>
      </w:r>
      <w:r/>
    </w:p>
    <w:p>
      <w:pPr>
        <w:numPr>
          <w:ilvl w:val="0"/>
          <w:numId w:val="6"/>
        </w:numPr>
        <w:jc w:val="both"/>
        <w:spacing w:line="360" w:lineRule="auto"/>
        <w:rPr>
          <w:rFonts w:hint="default" w:ascii="Times New Roman" w:hAnsi="Times New Roman" w:eastAsia="宋体" w:cs="仿宋"/>
          <w:b/>
          <w:sz w:val="28"/>
          <w:lang w:val="en-US" w:eastAsia="zh-CN"/>
        </w:rPr>
      </w:pPr>
      <w:r>
        <w:rPr>
          <w:rFonts w:hint="default" w:ascii="Times New Roman" w:hAnsi="Times New Roman" w:eastAsia="宋体" w:cs="仿宋"/>
          <w:b/>
          <w:sz w:val="28"/>
          <w:lang w:val="en-US" w:eastAsia="zh-CN"/>
        </w:rPr>
        <w:t xml:space="preserve">售后服务</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1.供应商应按照本采购项目特点提供长期良好的售后服务，并在响应文件中提供详细具体的售后服务承诺条款及保证。</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2.底盘质保期按底盘生产厂家相关规定执行，整车质保期不少于24个月，底盘质保期不少于12个月。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3.供应商应在江苏省设有售后维修点及专业维修人员和充足的备品备件，设立24小时维护热线电话。在质保期内出现故障，必须在2小时内响应，接到采购人通知后24小时内上门服务，解决设备故障不得超过48小时；在质保期内无偿提供人员和技术支持，配合采购人进行技术改进；供应商应提供质保期内日常维护和保养计划。</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质保期内，若因非操作不当引起的故障，应无偿维修；维修不能解决的，无条件更换；若因买方操作不当引起的故障，供应商可合理地收取维修费。质保期内，供应商对采购人提出的维修通知在24小时内不予响应的，采购人有权委托其他维修单位维修，所需费用由供应商承担。</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5.质保期结束后，供应商应继续为用户提供完善且优惠的售后服务。底盘过质保期后，供货商负责售后联系。供应商应每年提供一次全车免费检测，并提供检测报告及维保建议。</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6.质保期外能提供车辆终身维修所需的配件，并在接到采购人通知后2小时内响应，24小时内将配件寄出。</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7.技术培训：车辆交付后，供应商应于工厂内免费提供设备安装、调试和培训。保证设备的正常使用和使用方技术人员能够熟练正确操作。</w:t>
      </w:r>
      <w:r/>
    </w:p>
    <w:p>
      <w:pPr>
        <w:numPr>
          <w:ilvl w:val="0"/>
          <w:numId w:val="0"/>
        </w:numPr>
        <w:ind w:firstLine="560"/>
        <w:jc w:val="both"/>
        <w:spacing w:line="360" w:lineRule="auto"/>
        <w:rPr>
          <w:rFonts w:hint="default"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8.防撞车被撞后，供应商应免费协助采购人办理保险理赔等事项。</w:t>
      </w:r>
      <w:r/>
    </w:p>
    <w:p>
      <w:pPr>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其他要求</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（1）整车要符合国家现行标准，并列入国家机动车辆正式公告，具有3C认证，可以办理上牌、强制保险、商业保险等。</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（2）报价应包括拟提供货物的运输及运输保险费、安装、调试、投标人应缴纳的税金和售后服务等全部费用。供应商负责办理车牌，上牌的行政收费由中标人支付。车辆保险费、车辆购置税由招标人办理。</w:t>
      </w:r>
      <w:r/>
    </w:p>
    <w:p>
      <w:pPr>
        <w:numPr>
          <w:ilvl w:val="0"/>
          <w:numId w:val="0"/>
        </w:numPr>
        <w:ind w:firstLine="560"/>
        <w:jc w:val="both"/>
        <w:spacing w:line="360" w:lineRule="auto"/>
        <w:rPr>
          <w:rFonts w:hint="default" w:ascii="Times New Roman" w:hAnsi="Times New Roman" w:eastAsia="宋体" w:cs="仿宋"/>
          <w:b/>
          <w:sz w:val="28"/>
          <w:lang w:val="en-US" w:eastAsia="zh-CN"/>
        </w:rPr>
      </w:pPr>
      <w:r>
        <w:rPr>
          <w:rFonts w:hint="eastAsia" w:ascii="Times New Roman" w:hAnsi="Times New Roman" w:eastAsia="宋体" w:cs="仿宋"/>
          <w:b w:val="0"/>
          <w:bCs/>
          <w:sz w:val="28"/>
          <w:lang w:val="en-US" w:eastAsia="zh-CN"/>
        </w:rPr>
        <w:t xml:space="preserve">（3）整车质保期不少于24个月。</w:t>
      </w:r>
      <w:r/>
    </w:p>
    <w:p>
      <w:pPr>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（4）投标方需提供详细的生产组织架构（包括项目管理团队、技术人员配置及职责分工）、标准化作业流程、明确质量检测节点、常态化服务时效及突发任务响应流程等内容。</w:t>
      </w:r>
      <w:r/>
    </w:p>
    <w:p>
      <w:pPr>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p>
    <w:p>
      <w:pPr>
        <w:pStyle w:val="838"/>
        <w:rPr>
          <w:rFonts w:hint="eastAsia" w:ascii="Times New Roman" w:hAnsi="Times New Roman" w:eastAsia="宋体" w:cs="Microsoft New Tai Lue"/>
          <w:highlight w:val="none"/>
        </w:rPr>
      </w:pPr>
      <w:r/>
      <w:bookmarkStart w:id="354" w:name="_Toc1147997466"/>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54"/>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pStyle w:val="1063"/>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01标段</w:t>
      </w:r>
      <w:r/>
    </w:p>
    <w:tbl>
      <w:tblPr>
        <w:tblStyle w:val="809"/>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631"/>
        <w:gridCol w:w="6177"/>
      </w:tblGrid>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auto"/>
                <w:sz w:val="30"/>
                <w:szCs w:val="30"/>
                <w:lang w:val="en-US" w:eastAsia="zh-CN"/>
              </w:rPr>
              <w:br w:type="page" w:clear="all"/>
            </w:r>
            <w:r>
              <w:rPr>
                <w:rFonts w:hint="eastAsia" w:asciiTheme="minorEastAsia" w:hAnsiTheme="minorEastAsia" w:eastAsiaTheme="minorEastAsia" w:cstheme="minorEastAsia"/>
                <w:b/>
                <w:bCs/>
                <w:sz w:val="21"/>
                <w:szCs w:val="21"/>
              </w:rPr>
              <w:t xml:space="preserve">条款号</w:t>
            </w:r>
            <w:r/>
          </w:p>
        </w:tc>
        <w:tc>
          <w:tcPr>
            <w:tcW w:w="1631" w:type="dxa"/>
            <w:vAlign w:val="center"/>
            <w:textDirection w:val="lrTb"/>
            <w:noWrap w:val="false"/>
          </w:tcPr>
          <w:p>
            <w:pPr>
              <w:pStyle w:val="1063"/>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条款内容</w:t>
            </w:r>
            <w:r/>
          </w:p>
        </w:tc>
        <w:tc>
          <w:tcPr>
            <w:tcW w:w="6177" w:type="dxa"/>
            <w:vAlign w:val="center"/>
            <w:textDirection w:val="lrTb"/>
            <w:noWrap w:val="false"/>
          </w:tcPr>
          <w:p>
            <w:pPr>
              <w:pStyle w:val="1063"/>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编列内容</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631" w:type="dxa"/>
            <w:vAlign w:val="center"/>
            <w:textDirection w:val="lrTb"/>
            <w:noWrap w:val="false"/>
          </w:tcPr>
          <w:p>
            <w:pPr>
              <w:pStyle w:val="1063"/>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分值构成</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（总分100分）</w:t>
            </w:r>
            <w:r/>
          </w:p>
        </w:tc>
        <w:tc>
          <w:tcPr>
            <w:tcW w:w="6177"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投标报价评分标准：30分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商务响应评分标准：</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技术响应评分标准：</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631"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评标基准价计算方法</w:t>
            </w:r>
            <w:r/>
          </w:p>
        </w:tc>
        <w:tc>
          <w:tcPr>
            <w:tcW w:w="6177"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采用低价优先法计算，即满足招标文件要求且投标价格最低的有效投标报价为评标基准价，其价格分为满分。其他投标人的价格分统一按照投标报价得分计算公式进行计算。</w:t>
            </w:r>
            <w:r/>
          </w:p>
        </w:tc>
      </w:tr>
      <w:tr>
        <w:trPr>
          <w:jc w:val="center"/>
          <w:trHeight w:val="454"/>
        </w:trPr>
        <w:tc>
          <w:tcPr>
            <w:gridSpan w:val="2"/>
            <w:tcW w:w="1809"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631"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投标报价得分计算公式</w:t>
            </w:r>
            <w:r/>
          </w:p>
        </w:tc>
        <w:tc>
          <w:tcPr>
            <w:tcW w:w="6177"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投标报价得分=(评标基准价/投标报价)×30（小数点保留两位）</w:t>
            </w:r>
            <w:r/>
          </w:p>
        </w:tc>
      </w:tr>
      <w:tr>
        <w:trPr>
          <w:jc w:val="center"/>
          <w:trHeight w:val="454"/>
        </w:trPr>
        <w:tc>
          <w:tcPr>
            <w:gridSpan w:val="2"/>
            <w:tcW w:w="1809"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条款号</w:t>
            </w:r>
            <w:r/>
          </w:p>
        </w:tc>
        <w:tc>
          <w:tcPr>
            <w:tcW w:w="1631"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评分因素</w:t>
            </w:r>
            <w:r/>
          </w:p>
        </w:tc>
        <w:tc>
          <w:tcPr>
            <w:tcW w:w="6177" w:type="dxa"/>
            <w:vAlign w:val="center"/>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评分标准</w:t>
            </w:r>
            <w:r/>
          </w:p>
        </w:tc>
      </w:tr>
      <w:tr>
        <w:trPr>
          <w:jc w:val="center"/>
          <w:trHeight w:val="454"/>
        </w:trPr>
        <w:tc>
          <w:tcPr>
            <w:tcW w:w="675"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w:t>
            </w:r>
            <w:r/>
          </w:p>
        </w:tc>
        <w:tc>
          <w:tcPr>
            <w:tcW w:w="1134"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投标报价评分标准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tcW w:w="1631" w:type="dxa"/>
            <w:vAlign w:val="center"/>
            <w:textDirection w:val="lrTb"/>
            <w:noWrap w:val="false"/>
          </w:tcPr>
          <w:p>
            <w:pPr>
              <w:pStyle w:val="1063"/>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w:t>
            </w:r>
            <w:r/>
          </w:p>
          <w:p>
            <w:pPr>
              <w:pStyle w:val="1063"/>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c>
          <w:tcPr>
            <w:tcW w:w="6177" w:type="dxa"/>
            <w:vAlign w:val="center"/>
            <w:textDirection w:val="lrTb"/>
            <w:noWrap w:val="false"/>
          </w:tcPr>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000000"/>
                <w:sz w:val="21"/>
                <w:szCs w:val="21"/>
                <w:highlight w:val="none"/>
              </w:rPr>
              <w:t xml:space="preserve">价格分采用低价优先法计算，即满足招标文件要求且投标价格最低的投标报价为评标基准价，其价格分为满分30分。价格分按照下列公式计算：投标报价得分=（评标基准价/投标报价）×30。</w:t>
            </w:r>
            <w:r/>
          </w:p>
        </w:tc>
      </w:tr>
      <w:tr>
        <w:trPr>
          <w:jc w:val="center"/>
          <w:trHeight w:val="454"/>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w:t>
            </w:r>
            <w:r/>
          </w:p>
        </w:tc>
        <w:tc>
          <w:tcPr>
            <w:tcW w:w="1134"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商务响应评分标准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企业管理</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体系认证</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lang w:val="en-US" w:eastAsia="zh-CN"/>
              </w:rPr>
              <w:t xml:space="preserve">①供应商持有有效的质量管理体系认证证书得1分；</w:t>
            </w:r>
            <w:r/>
          </w:p>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bCs/>
                <w:color w:val="000000"/>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②供应商持有有效的环境管理体系认证证书得1分；</w:t>
            </w:r>
            <w:r/>
          </w:p>
          <w:p>
            <w:pPr>
              <w:ind w:left="42" w:right="42"/>
              <w:jc w:val="left"/>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③供应商持有有效的职业健康安全管理体系认证证书得1分。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供货业绩</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rPr>
              <w:t xml:space="preserve">投标人或所投产品制造商</w:t>
            </w:r>
            <w:r>
              <w:rPr>
                <w:rFonts w:hint="eastAsia" w:asciiTheme="minorEastAsia" w:hAnsiTheme="minorEastAsia" w:eastAsiaTheme="minorEastAsia" w:cstheme="minorEastAsia"/>
                <w:sz w:val="21"/>
                <w:szCs w:val="21"/>
                <w:highlight w:val="none"/>
              </w:rPr>
              <w:t xml:space="preserve">202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月1日（含）以来</w:t>
            </w:r>
            <w:r>
              <w:rPr>
                <w:rFonts w:hint="eastAsia" w:asciiTheme="minorEastAsia" w:hAnsiTheme="minorEastAsia" w:eastAsiaTheme="minorEastAsia" w:cstheme="minorEastAsia"/>
                <w:szCs w:val="21"/>
              </w:rPr>
              <w:t xml:space="preserve">，与本次投标核心产品同品牌同型号</w:t>
            </w:r>
            <w:r>
              <w:rPr>
                <w:rFonts w:hint="eastAsia" w:asciiTheme="minorEastAsia" w:hAnsiTheme="minorEastAsia" w:eastAsiaTheme="minorEastAsia" w:cstheme="minorEastAsia"/>
                <w:sz w:val="21"/>
                <w:szCs w:val="21"/>
                <w:highlight w:val="none"/>
                <w:lang w:val="en-US" w:eastAsia="zh-CN"/>
              </w:rPr>
              <w:t xml:space="preserve">防撞车</w:t>
            </w:r>
            <w:r>
              <w:rPr>
                <w:rFonts w:hint="eastAsia" w:asciiTheme="minorEastAsia" w:hAnsiTheme="minorEastAsia" w:eastAsiaTheme="minorEastAsia" w:cstheme="minorEastAsia"/>
                <w:szCs w:val="21"/>
              </w:rPr>
              <w:t xml:space="preserve">产品销售业绩，每有1个合同业绩得</w:t>
            </w:r>
            <w:r>
              <w:rPr>
                <w:rFonts w:hint="eastAsia" w:asciiTheme="minorEastAsia" w:hAnsiTheme="minorEastAsia" w:eastAsiaTheme="minorEastAsia" w:cstheme="minorEastAsia"/>
                <w:szCs w:val="21"/>
                <w:lang w:val="en-US" w:eastAsia="zh-CN"/>
              </w:rPr>
              <w:t xml:space="preserve">0.5</w:t>
            </w:r>
            <w:r>
              <w:rPr>
                <w:rFonts w:hint="eastAsia" w:asciiTheme="minorEastAsia" w:hAnsiTheme="minorEastAsia" w:eastAsiaTheme="minorEastAsia" w:cstheme="minorEastAsia"/>
                <w:szCs w:val="21"/>
              </w:rPr>
              <w:t xml:space="preserve">分，本项满分</w:t>
            </w: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说明：</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①须提供合同复印件及销售发票，业绩时间以合同签订时间为准，提供的合同材料能体现业绩要求的全部信息内容：签约时间、合同内容等，若无法体现上述内容，须提供</w:t>
            </w:r>
            <w:r>
              <w:rPr>
                <w:rFonts w:hint="eastAsia" w:asciiTheme="minorEastAsia" w:hAnsiTheme="minorEastAsia" w:eastAsiaTheme="minorEastAsia" w:cstheme="minorEastAsia"/>
                <w:sz w:val="21"/>
                <w:szCs w:val="21"/>
                <w:highlight w:val="none"/>
                <w:lang w:val="en-US" w:eastAsia="zh-CN"/>
              </w:rPr>
              <w:t xml:space="preserve">相关证明材料佐证</w:t>
            </w:r>
            <w:r>
              <w:rPr>
                <w:rFonts w:hint="eastAsia" w:asciiTheme="minorEastAsia" w:hAnsiTheme="minorEastAsia" w:eastAsiaTheme="minorEastAsia" w:cstheme="minorEastAsia"/>
                <w:sz w:val="21"/>
                <w:szCs w:val="21"/>
                <w:highlight w:val="none"/>
              </w:rPr>
              <w:t xml:space="preserve">，否则评标时不予认可。</w:t>
            </w:r>
            <w:r/>
          </w:p>
          <w:p>
            <w:pPr>
              <w:pStyle w:val="1035"/>
              <w:numPr>
                <w:ilvl w:val="0"/>
                <w:numId w:val="0"/>
              </w:num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②同一业主单位业绩只记一次分。</w:t>
            </w:r>
            <w:r/>
          </w:p>
          <w:p>
            <w:pPr>
              <w:pStyle w:val="1035"/>
              <w:numPr>
                <w:ilvl w:val="0"/>
                <w:numId w:val="0"/>
              </w:numPr>
              <w:ind w:left="42" w:right="42" w:firstLine="0"/>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③制造商或投标人供货业绩均予以认可。</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售后服务</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根据售后服务体系（包括但不限于响应时间、应急维修等）、售后服务机构设置、人员配备、产品售后服务承诺进行综合评价：</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①售后服务方案优于招标文件要求得</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②售后服务方案满足招标文件要求得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③售后服务方案不满足招标文件要求得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根据投标人的培训方案、实施计划进行综合评价：</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①培训方案优于招标文件要求得</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②培训方案满足招标文件要求得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③培训方案不满足招标文件要求得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6177" w:type="dxa"/>
            <w:vAlign w:val="center"/>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质保期满后的零部件供货保障方案（包括但不限于零部件明细价格、承诺提供年限、供应时间等）：</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①零部件供货方案优于招标文件要求得5分；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②零部件供货方案满足招标文件要求得3分；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③零部件供货方案不满足招标文件要求得1分；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r>
        <w:trPr>
          <w:jc w:val="center"/>
          <w:trHeight w:val="931"/>
        </w:trPr>
        <w:tc>
          <w:tcPr>
            <w:tcW w:w="675"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w:t>
            </w:r>
            <w:r/>
          </w:p>
        </w:tc>
        <w:tc>
          <w:tcPr>
            <w:tcW w:w="1134" w:type="dxa"/>
            <w:vAlign w:val="center"/>
            <w:vMerge w:val="restart"/>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技术响应评分标准</w:t>
            </w:r>
            <w:r/>
          </w:p>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分）</w:t>
            </w:r>
            <w:r/>
          </w:p>
        </w:tc>
        <w:tc>
          <w:tcPr>
            <w:tcW w:w="1631" w:type="dxa"/>
            <w:vAlign w:val="center"/>
            <w:vMerge w:val="restart"/>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highlight w:val="none"/>
              </w:rPr>
              <w:t xml:space="preserve">产品性能参数及配置情况</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30</w:t>
            </w:r>
            <w:r>
              <w:rPr>
                <w:rFonts w:hint="eastAsia" w:asciiTheme="minorEastAsia" w:hAnsiTheme="minorEastAsia" w:eastAsiaTheme="minorEastAsia" w:cstheme="minorEastAsia"/>
                <w:sz w:val="21"/>
                <w:szCs w:val="21"/>
                <w:highlight w:val="none"/>
              </w:rPr>
              <w:t xml:space="preserve">分）</w:t>
            </w:r>
            <w:r/>
          </w:p>
        </w:tc>
        <w:tc>
          <w:tcPr>
            <w:tcW w:w="6177" w:type="dxa"/>
            <w:vAlign w:val="top"/>
            <w:textDirection w:val="lrTb"/>
            <w:noWrap w:val="false"/>
          </w:tcPr>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完全满足招标文件第四章采购需求</w:t>
            </w:r>
            <w:r>
              <w:rPr>
                <w:rFonts w:hint="eastAsia" w:asciiTheme="minorEastAsia" w:hAnsiTheme="minorEastAsia" w:eastAsiaTheme="minorEastAsia" w:cstheme="minorEastAsia"/>
                <w:sz w:val="21"/>
                <w:szCs w:val="21"/>
                <w:highlight w:val="none"/>
                <w:lang w:val="en-US" w:eastAsia="zh-CN"/>
              </w:rPr>
              <w:t xml:space="preserve">中评分</w:t>
            </w:r>
            <w:r>
              <w:rPr>
                <w:rFonts w:hint="eastAsia" w:asciiTheme="minorEastAsia" w:hAnsiTheme="minorEastAsia" w:eastAsiaTheme="minorEastAsia" w:cstheme="minorEastAsia"/>
                <w:sz w:val="21"/>
                <w:szCs w:val="21"/>
                <w:highlight w:val="none"/>
              </w:rPr>
              <w:t xml:space="preserve">技术</w:t>
            </w:r>
            <w:r>
              <w:rPr>
                <w:rFonts w:hint="eastAsia" w:asciiTheme="minorEastAsia" w:hAnsiTheme="minorEastAsia" w:eastAsiaTheme="minorEastAsia" w:cstheme="minorEastAsia"/>
                <w:sz w:val="21"/>
                <w:szCs w:val="21"/>
                <w:highlight w:val="none"/>
                <w:lang w:val="en-US" w:eastAsia="zh-CN"/>
              </w:rPr>
              <w:t xml:space="preserve">参数</w:t>
            </w:r>
            <w:r>
              <w:rPr>
                <w:rFonts w:hint="eastAsia" w:asciiTheme="minorEastAsia" w:hAnsiTheme="minorEastAsia" w:eastAsiaTheme="minorEastAsia" w:cstheme="minorEastAsia"/>
                <w:sz w:val="21"/>
                <w:szCs w:val="21"/>
                <w:highlight w:val="none"/>
              </w:rPr>
              <w:t xml:space="preserve">要求的</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共计45项）</w:t>
            </w:r>
            <w:r>
              <w:rPr>
                <w:rFonts w:hint="eastAsia" w:asciiTheme="minorEastAsia" w:hAnsiTheme="minorEastAsia" w:eastAsiaTheme="minorEastAsia" w:cstheme="minorEastAsia"/>
                <w:sz w:val="21"/>
                <w:szCs w:val="21"/>
                <w:highlight w:val="none"/>
              </w:rPr>
              <w:t xml:space="preserve">，且能详细描述</w:t>
            </w:r>
            <w:r>
              <w:rPr>
                <w:rFonts w:hint="eastAsia" w:asciiTheme="minorEastAsia" w:hAnsiTheme="minorEastAsia" w:eastAsiaTheme="minorEastAsia" w:cstheme="minorEastAsia"/>
                <w:sz w:val="21"/>
                <w:szCs w:val="21"/>
                <w:highlight w:val="none"/>
                <w:lang w:val="en-US" w:eastAsia="zh-CN"/>
              </w:rPr>
              <w:t xml:space="preserve">并提供有效作证材料</w:t>
            </w:r>
            <w:r>
              <w:rPr>
                <w:rFonts w:hint="eastAsia" w:asciiTheme="minorEastAsia" w:hAnsiTheme="minorEastAsia" w:eastAsiaTheme="minorEastAsia" w:cstheme="minorEastAsia"/>
                <w:sz w:val="21"/>
                <w:szCs w:val="21"/>
                <w:highlight w:val="none"/>
              </w:rPr>
              <w:t xml:space="preserve">的得满分</w:t>
            </w:r>
            <w:r>
              <w:rPr>
                <w:rFonts w:hint="eastAsia" w:asciiTheme="minorEastAsia" w:hAnsiTheme="minorEastAsia" w:eastAsiaTheme="minorEastAsia" w:cstheme="minorEastAsia"/>
                <w:sz w:val="21"/>
                <w:szCs w:val="21"/>
                <w:highlight w:val="none"/>
                <w:lang w:val="en-US" w:eastAsia="zh-CN"/>
              </w:rPr>
              <w:t xml:space="preserve">18</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val="en-US" w:eastAsia="zh-CN"/>
              </w:rPr>
              <w:t xml:space="preserve">评分</w:t>
            </w:r>
            <w:r>
              <w:rPr>
                <w:rFonts w:hint="eastAsia" w:asciiTheme="minorEastAsia" w:hAnsiTheme="minorEastAsia" w:eastAsiaTheme="minorEastAsia" w:cstheme="minorEastAsia"/>
                <w:sz w:val="21"/>
                <w:szCs w:val="21"/>
                <w:highlight w:val="none"/>
              </w:rPr>
              <w:t xml:space="preserve">技术</w:t>
            </w:r>
            <w:r>
              <w:rPr>
                <w:rFonts w:hint="eastAsia" w:asciiTheme="minorEastAsia" w:hAnsiTheme="minorEastAsia" w:eastAsiaTheme="minorEastAsia" w:cstheme="minorEastAsia"/>
                <w:sz w:val="21"/>
                <w:szCs w:val="21"/>
                <w:highlight w:val="none"/>
                <w:lang w:val="en-US" w:eastAsia="zh-CN"/>
              </w:rPr>
              <w:t xml:space="preserve">参数中</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每有一项负偏离扣</w:t>
            </w:r>
            <w:r>
              <w:rPr>
                <w:rFonts w:hint="eastAsia" w:asciiTheme="minorEastAsia" w:hAnsiTheme="minorEastAsia" w:eastAsiaTheme="minorEastAsia" w:cstheme="minorEastAsia"/>
                <w:sz w:val="21"/>
                <w:szCs w:val="21"/>
                <w:highlight w:val="none"/>
                <w:lang w:val="en-US" w:eastAsia="zh-CN"/>
              </w:rPr>
              <w:t xml:space="preserve">0.4</w:t>
            </w:r>
            <w:r>
              <w:rPr>
                <w:rFonts w:hint="eastAsia" w:asciiTheme="minorEastAsia" w:hAnsiTheme="minorEastAsia" w:eastAsiaTheme="minorEastAsia" w:cstheme="minorEastAsia"/>
                <w:sz w:val="21"/>
                <w:szCs w:val="21"/>
                <w:highlight w:val="none"/>
              </w:rPr>
              <w:t xml:space="preserve">分。本项满分</w:t>
            </w:r>
            <w:r>
              <w:rPr>
                <w:rFonts w:hint="eastAsia" w:asciiTheme="minorEastAsia" w:hAnsiTheme="minorEastAsia" w:eastAsiaTheme="minorEastAsia" w:cstheme="minorEastAsia"/>
                <w:sz w:val="21"/>
                <w:szCs w:val="21"/>
                <w:highlight w:val="none"/>
                <w:lang w:val="en-US" w:eastAsia="zh-CN"/>
              </w:rPr>
              <w:t xml:space="preserve">18</w:t>
            </w:r>
            <w:r>
              <w:rPr>
                <w:rFonts w:hint="eastAsia" w:asciiTheme="minorEastAsia" w:hAnsiTheme="minorEastAsia" w:eastAsiaTheme="minorEastAsia" w:cstheme="minorEastAsia"/>
                <w:sz w:val="21"/>
                <w:szCs w:val="21"/>
                <w:highlight w:val="none"/>
              </w:rPr>
              <w:t xml:space="preserve">分，最低0分。</w:t>
            </w:r>
            <w:r/>
          </w:p>
        </w:tc>
      </w:tr>
      <w:tr>
        <w:trPr>
          <w:jc w:val="center"/>
          <w:trHeight w:val="931"/>
        </w:trPr>
        <w:tc>
          <w:tcPr>
            <w:tcW w:w="675" w:type="dxa"/>
            <w:vAlign w:val="center"/>
            <w:vMerge w:val="continue"/>
            <w:textDirection w:val="lrTb"/>
            <w:noWrap w:val="false"/>
          </w:tcPr>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vMerge w:val="continue"/>
            <w:textDirection w:val="lrTb"/>
            <w:noWrap w:val="false"/>
          </w:tcPr>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177" w:type="dxa"/>
            <w:vAlign w:val="top"/>
            <w:textDirection w:val="lrTb"/>
            <w:noWrap w:val="false"/>
          </w:tcPr>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根据供应商拟供货的皮卡防撞车防撞能力进行评分：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①防撞能力达到100K及以上的，得12分；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②防撞能力达到90K的，得8分；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③防撞能力达到80K的，得4分；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④</w:t>
            </w:r>
            <w:r>
              <w:rPr>
                <w:rFonts w:hint="eastAsia" w:asciiTheme="minorEastAsia" w:hAnsiTheme="minorEastAsia" w:eastAsiaTheme="minorEastAsia" w:cstheme="minorEastAsia"/>
                <w:sz w:val="21"/>
                <w:szCs w:val="21"/>
                <w:highlight w:val="none"/>
                <w:lang w:val="en-US" w:eastAsia="zh-CN"/>
              </w:rPr>
              <w:t xml:space="preserve">其余情形不得分。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须提供有效佐证材料，否则不得分。</w:t>
            </w:r>
            <w:r/>
          </w:p>
        </w:tc>
      </w:tr>
      <w:tr>
        <w:trPr>
          <w:jc w:val="center"/>
          <w:trHeight w:val="454"/>
        </w:trPr>
        <w:tc>
          <w:tcPr>
            <w:tcW w:w="675" w:type="dxa"/>
            <w:vAlign w:val="center"/>
            <w:vMerge w:val="continue"/>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34" w:type="dxa"/>
            <w:vAlign w:val="center"/>
            <w:vMerge w:val="continue"/>
            <w:textDirection w:val="lrTb"/>
            <w:noWrap w:val="false"/>
          </w:tcPr>
          <w:p>
            <w:pPr>
              <w:pStyle w:val="1063"/>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631" w:type="dxa"/>
            <w:vAlign w:val="center"/>
            <w:textDirection w:val="lrTb"/>
            <w:noWrap w:val="false"/>
          </w:tcPr>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供货服务方案</w:t>
            </w:r>
            <w:r/>
          </w:p>
          <w:p>
            <w:pPr>
              <w:ind w:left="42" w:right="42"/>
              <w:jc w:val="center"/>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（5分）</w:t>
            </w:r>
            <w:r/>
          </w:p>
        </w:tc>
        <w:tc>
          <w:tcPr>
            <w:tcW w:w="6177" w:type="dxa"/>
            <w:vAlign w:val="top"/>
            <w:textDirection w:val="lrTb"/>
            <w:noWrap w:val="false"/>
          </w:tcPr>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投标人供货服务方案（包括但不限于生产组织、工艺流程、质量和进度保障措施等）：</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①供货服务方案优于招标文件要求得5分；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②供货服务方案满足招标文件要求得3分；</w:t>
            </w:r>
            <w:r/>
          </w:p>
          <w:p>
            <w:pPr>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③供货服务方案不满足招标文件要求得1分；</w:t>
            </w:r>
            <w:r/>
          </w:p>
          <w:p>
            <w:pPr>
              <w:pStyle w:val="1035"/>
              <w:ind w:left="42" w:right="42"/>
              <w:keepLines w:val="0"/>
              <w:keepNext w:val="0"/>
              <w:pageBreakBefore w:val="0"/>
              <w:spacing w:before="63" w:after="63" w:line="288"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④未提供不得分。</w:t>
            </w:r>
            <w:r/>
          </w:p>
        </w:tc>
      </w:tr>
    </w:tbl>
    <w:p>
      <w:pPr>
        <w:jc w:val="left"/>
        <w:widowControl/>
        <w:rPr>
          <w:rFonts w:hint="eastAsia" w:ascii="Times New Roman" w:hAnsi="Times New Roman" w:eastAsia="宋体"/>
          <w:b/>
          <w:bCs/>
          <w:sz w:val="21"/>
          <w:szCs w:val="21"/>
          <w:highlight w:val="none"/>
        </w:rPr>
      </w:pPr>
      <w:r>
        <w:rPr>
          <w:rFonts w:ascii="Times New Roman" w:hAnsi="Times New Roman" w:eastAsia="宋体" w:cs="Microsoft New Tai Lue"/>
          <w:color w:val="000000"/>
          <w:sz w:val="21"/>
          <w:szCs w:val="21"/>
        </w:rPr>
        <w:br w:type="page" w:clear="all"/>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bookmarkStart w:id="355" w:name="_Toc91836565"/>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8"/>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56" w:name="_Toc1400326414"/>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55"/>
      <w:r/>
      <w:bookmarkEnd w:id="356"/>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033"/>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5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2026年度高管中心防撞车采购项目</w:t>
      </w:r>
      <w:r/>
    </w:p>
    <w:p>
      <w:pPr>
        <w:pStyle w:val="821"/>
        <w:ind w:left="1057" w:hanging="843"/>
        <w:jc w:val="center"/>
        <w:rPr>
          <w:rFonts w:ascii="Times New Roman" w:hAnsi="Times New Roman" w:eastAsia="宋体" w:cs="Microsoft New Tai Lue"/>
          <w:b/>
          <w:sz w:val="84"/>
          <w:szCs w:val="84"/>
          <w:highlight w:val="none"/>
        </w:rPr>
      </w:pPr>
      <w:r/>
      <w:bookmarkStart w:id="358" w:name="_Toc100905255"/>
      <w:r/>
      <w:r/>
    </w:p>
    <w:p>
      <w:pPr>
        <w:pStyle w:val="82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5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ascii="Times New Roman" w:hAnsi="Times New Roman" w:eastAsia="宋体" w:cs="宋体"/>
          <w:b/>
          <w:sz w:val="36"/>
          <w:szCs w:val="36"/>
          <w:highlight w:val="none"/>
          <w:lang w:eastAsia="zh-CN"/>
        </w:rPr>
        <w:t xml:space="preserve">XXXXXXXXXXXXXXXXXXXX</w:t>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82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firstLine="480"/>
        <w:spacing w:line="360" w:lineRule="auto"/>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r>
      <w:r/>
    </w:p>
    <w:p>
      <w:pPr>
        <w:ind w:firstLine="480"/>
        <w:spacing w:line="360" w:lineRule="auto"/>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评标索引</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一</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投标基本</w:t>
      </w:r>
      <w:r>
        <w:rPr>
          <w:rFonts w:ascii="Times New Roman" w:hAnsi="Times New Roman" w:eastAsia="宋体"/>
          <w:color w:val="auto"/>
          <w:sz w:val="24"/>
          <w:szCs w:val="24"/>
          <w:highlight w:val="none"/>
        </w:rPr>
        <w:t xml:space="preserve">文件</w:t>
      </w:r>
      <w:r/>
    </w:p>
    <w:p>
      <w:pPr>
        <w:ind w:firstLine="48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w:t>
      </w:r>
      <w:r>
        <w:rPr>
          <w:rFonts w:hint="eastAsia" w:cs="Microsoft New Tai Lue"/>
          <w:bCs w:val="0"/>
          <w:sz w:val="24"/>
          <w:szCs w:val="24"/>
          <w:highlight w:val="none"/>
          <w:lang w:val="en-US" w:eastAsia="zh-CN"/>
        </w:rPr>
        <w:t xml:space="preserve">报告</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（2）产品信息报价表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（3）零部件组成报价表（如有）</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5</w:t>
      </w: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企业管理体系认证</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6</w:t>
      </w: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供货</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w:t>
      </w:r>
      <w:r>
        <w:rPr>
          <w:rFonts w:hint="eastAsia" w:cs="Microsoft New Tai Lue"/>
          <w:bCs w:val="0"/>
          <w:sz w:val="24"/>
          <w:szCs w:val="24"/>
          <w:highlight w:val="none"/>
          <w:lang w:val="en-US" w:eastAsia="zh-CN"/>
        </w:rPr>
        <w:t xml:space="preserve">货物</w:t>
      </w:r>
      <w:r>
        <w:rPr>
          <w:rFonts w:hint="eastAsia" w:ascii="Times New Roman" w:hAnsi="Times New Roman" w:eastAsia="宋体" w:cs="Microsoft New Tai Lue"/>
          <w:bCs w:val="0"/>
          <w:sz w:val="24"/>
          <w:szCs w:val="24"/>
          <w:highlight w:val="none"/>
        </w:rPr>
        <w:t xml:space="preserve">）</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4</w:t>
      </w:r>
      <w:r>
        <w:rPr>
          <w:rFonts w:hint="eastAsia" w:cs="Microsoft New Tai Lue"/>
          <w:bCs w:val="0"/>
          <w:sz w:val="24"/>
          <w:szCs w:val="24"/>
          <w:highlight w:val="none"/>
          <w:lang w:eastAsia="zh-CN"/>
        </w:rPr>
        <w:t xml:space="preserve">）符合本国产品标准的声明函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rFonts w:ascii="Times New Roman" w:hAnsi="Times New Roman" w:eastAsia="宋体"/>
          <w:color w:val="auto"/>
          <w:sz w:val="24"/>
          <w:szCs w:val="24"/>
          <w:highlight w:val="yellow"/>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ind w:firstLine="480"/>
        <w:spacing w:line="360" w:lineRule="auto"/>
        <w:rPr>
          <w:rFonts w:ascii="Times New Roman" w:hAnsi="Times New Roman" w:eastAsia="宋体"/>
          <w:color w:val="auto"/>
          <w:sz w:val="24"/>
          <w:szCs w:val="24"/>
          <w:highlight w:val="yellow"/>
        </w:rPr>
      </w:pPr>
      <w:r>
        <w:rPr>
          <w:rFonts w:ascii="Times New Roman" w:hAnsi="Times New Roman" w:eastAsia="宋体"/>
          <w:color w:val="auto"/>
          <w:sz w:val="24"/>
          <w:szCs w:val="24"/>
          <w:highlight w:val="yellow"/>
        </w:rPr>
      </w:r>
      <w:r/>
    </w:p>
    <w:p>
      <w:pPr>
        <w:pStyle w:val="838"/>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57"/>
      <w:r/>
      <w:bookmarkStart w:id="359" w:name="_Toc107246275"/>
      <w:r/>
      <w:bookmarkStart w:id="360" w:name="_Toc104560893"/>
      <w:r/>
      <w:r/>
    </w:p>
    <w:p>
      <w:pPr>
        <w:pStyle w:val="838"/>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8"/>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61" w:name="_Toc1012752625"/>
      <w:r>
        <w:rPr>
          <w:rFonts w:hint="eastAsia" w:ascii="Times New Roman" w:hAnsi="Times New Roman" w:eastAsia="宋体" w:cs="Microsoft New Tai Lue"/>
          <w:b/>
          <w:bCs w:val="0"/>
          <w:sz w:val="24"/>
          <w:highlight w:val="none"/>
        </w:rPr>
        <w:t xml:space="preserve">一、投标基本文件</w:t>
      </w:r>
      <w:bookmarkEnd w:id="361"/>
      <w:r/>
      <w:r/>
    </w:p>
    <w:p>
      <w:pPr>
        <w:pStyle w:val="838"/>
        <w:ind w:left="454" w:hanging="240"/>
        <w:spacing w:before="0" w:line="280" w:lineRule="exact"/>
        <w:rPr>
          <w:rFonts w:ascii="Times New Roman" w:hAnsi="Times New Roman" w:eastAsia="宋体" w:cs="Microsoft New Tai Lue"/>
          <w:sz w:val="28"/>
          <w:szCs w:val="24"/>
          <w:highlight w:val="none"/>
        </w:rPr>
        <w:outlineLvl w:val="2"/>
      </w:pPr>
      <w:r/>
      <w:bookmarkStart w:id="362" w:name="_Toc377982253"/>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59"/>
      <w:r/>
      <w:bookmarkEnd w:id="360"/>
      <w:r/>
      <w:bookmarkEnd w:id="362"/>
      <w:r/>
      <w:r/>
    </w:p>
    <w:p>
      <w:pPr>
        <w:ind w:left="214" w:firstLine="420"/>
        <w:spacing w:before="156" w:line="360" w:lineRule="exact"/>
        <w:rPr>
          <w:rFonts w:ascii="Times New Roman" w:hAnsi="Times New Roman" w:eastAsia="宋体"/>
          <w:szCs w:val="21"/>
          <w:highlight w:val="none"/>
        </w:rPr>
      </w:pPr>
      <w:r/>
      <w:bookmarkStart w:id="363" w:name="_Toc103848580"/>
      <w:r/>
      <w:bookmarkStart w:id="364"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83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83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83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836"/>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836"/>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8"/>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65" w:name="_Toc103848583"/>
      <w:r/>
      <w:bookmarkStart w:id="366" w:name="_Toc104560898"/>
      <w:r/>
      <w:bookmarkStart w:id="367" w:name="_Toc107246276"/>
      <w:r/>
      <w:bookmarkStart w:id="368" w:name="_Toc491098345"/>
      <w:r>
        <w:rPr>
          <w:rFonts w:ascii="Times New Roman" w:hAnsi="Times New Roman" w:eastAsia="宋体" w:cs="Microsoft New Tai Lue"/>
          <w:bCs w:val="0"/>
          <w:sz w:val="24"/>
          <w:szCs w:val="24"/>
          <w:highlight w:val="none"/>
        </w:rPr>
        <w:t xml:space="preserve">（2）</w:t>
      </w:r>
      <w:bookmarkEnd w:id="365"/>
      <w:r/>
      <w:bookmarkEnd w:id="366"/>
      <w:r>
        <w:rPr>
          <w:rFonts w:hint="eastAsia" w:ascii="Times New Roman" w:hAnsi="Times New Roman" w:eastAsia="宋体" w:cs="Microsoft New Tai Lue"/>
          <w:bCs w:val="0"/>
          <w:sz w:val="24"/>
          <w:szCs w:val="24"/>
          <w:highlight w:val="none"/>
        </w:rPr>
        <w:t xml:space="preserve">法定代表人（单位负责人）身份证明</w:t>
      </w:r>
      <w:bookmarkEnd w:id="367"/>
      <w:r/>
      <w:bookmarkEnd w:id="368"/>
      <w:r/>
      <w:r/>
    </w:p>
    <w:p>
      <w:pPr>
        <w:pStyle w:val="81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16"/>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6"/>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16"/>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816"/>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16"/>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816"/>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38"/>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69" w:name="_Toc103848584"/>
      <w:r/>
      <w:bookmarkStart w:id="370" w:name="_Toc104560899"/>
      <w:r/>
      <w:bookmarkStart w:id="371" w:name="_Toc1110228994"/>
      <w:r/>
      <w:bookmarkStart w:id="372" w:name="_Toc107246277"/>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69"/>
      <w:r/>
      <w:bookmarkEnd w:id="370"/>
      <w:r/>
      <w:bookmarkEnd w:id="371"/>
      <w:r/>
      <w:bookmarkEnd w:id="372"/>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2026年度高管中心防撞车采购项目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836"/>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36"/>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36"/>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1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36"/>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73" w:name="_Toc107246279"/>
      <w:r/>
      <w:bookmarkStart w:id="374" w:name="_Toc104560895"/>
      <w:r/>
      <w:r/>
    </w:p>
    <w:p>
      <w:pPr>
        <w:pStyle w:val="818"/>
        <w:ind w:left="241" w:hanging="241"/>
        <w:rPr>
          <w:rFonts w:ascii="Times New Roman" w:hAnsi="Times New Roman" w:eastAsia="宋体"/>
          <w:highlight w:val="none"/>
        </w:rPr>
      </w:pPr>
      <w:r>
        <w:rPr>
          <w:rFonts w:ascii="Times New Roman" w:hAnsi="Times New Roman" w:eastAsia="宋体"/>
          <w:highlight w:val="none"/>
        </w:rPr>
      </w:r>
      <w:r/>
    </w:p>
    <w:p>
      <w:pPr>
        <w:pStyle w:val="838"/>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38"/>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75" w:name="_Toc107246282"/>
      <w:r>
        <w:rPr>
          <w:rFonts w:hint="eastAsia" w:ascii="Times New Roman" w:hAnsi="Times New Roman" w:eastAsia="宋体" w:cs="Microsoft New Tai Lue"/>
          <w:b/>
          <w:bCs w:val="0"/>
          <w:sz w:val="24"/>
          <w:highlight w:val="none"/>
        </w:rPr>
        <w:br w:type="page" w:clear="all"/>
      </w:r>
      <w:bookmarkStart w:id="376" w:name="_Toc133293375"/>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75"/>
      <w:r/>
      <w:bookmarkEnd w:id="376"/>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bookmarkStart w:id="377" w:name="_Toc103848588"/>
      <w:r/>
      <w:bookmarkStart w:id="378" w:name="_Toc104560903"/>
      <w:r/>
      <w:bookmarkStart w:id="379" w:name="_Toc107246283"/>
      <w:r/>
      <w:bookmarkStart w:id="380" w:name="_Toc43630980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77"/>
      <w:r/>
      <w:bookmarkEnd w:id="378"/>
      <w:r/>
      <w:bookmarkEnd w:id="379"/>
      <w:r/>
      <w:bookmarkEnd w:id="380"/>
      <w:r/>
      <w:r/>
    </w:p>
    <w:p>
      <w:pPr>
        <w:ind w:left="425" w:hanging="211"/>
        <w:spacing w:line="360" w:lineRule="auto"/>
        <w:rPr>
          <w:rFonts w:ascii="Times New Roman" w:hAnsi="Times New Roman" w:eastAsia="宋体" w:cs="Microsoft New Tai Lue"/>
          <w:b/>
          <w:bCs/>
          <w:highlight w:val="none"/>
        </w:rPr>
      </w:pPr>
      <w:r/>
      <w:bookmarkStart w:id="381"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8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bookmarkStart w:id="382" w:name="_Toc103848589"/>
      <w:r/>
      <w:bookmarkStart w:id="383" w:name="_Toc102117320"/>
      <w:r>
        <w:rPr>
          <w:rFonts w:ascii="Times New Roman" w:hAnsi="Times New Roman" w:eastAsia="宋体" w:cs="Microsoft New Tai Lue"/>
          <w:bCs w:val="0"/>
          <w:sz w:val="24"/>
          <w:szCs w:val="24"/>
          <w:highlight w:val="none"/>
        </w:rPr>
        <w:br w:type="page" w:clear="all"/>
      </w:r>
      <w:bookmarkStart w:id="384" w:name="_Toc1549704970"/>
      <w:r/>
      <w:bookmarkStart w:id="385" w:name="_Toc107246284"/>
      <w:r/>
      <w:bookmarkStart w:id="386" w:name="_Toc104560904"/>
      <w:r>
        <w:rPr>
          <w:rFonts w:ascii="Times New Roman" w:hAnsi="Times New Roman" w:eastAsia="宋体" w:cs="Microsoft New Tai Lue"/>
          <w:bCs w:val="0"/>
          <w:sz w:val="24"/>
          <w:szCs w:val="24"/>
          <w:highlight w:val="none"/>
        </w:rPr>
        <w:t xml:space="preserve">工商变更登记文件（如需）</w:t>
      </w:r>
      <w:bookmarkEnd w:id="382"/>
      <w:r/>
      <w:bookmarkEnd w:id="383"/>
      <w:r/>
      <w:bookmarkEnd w:id="384"/>
      <w:r/>
      <w:bookmarkEnd w:id="385"/>
      <w:r/>
      <w:bookmarkEnd w:id="386"/>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838"/>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87" w:name="_Toc107246285"/>
      <w:r/>
      <w:bookmarkStart w:id="388" w:name="_Toc102117321"/>
      <w:r/>
      <w:bookmarkStart w:id="389" w:name="_Toc104560905"/>
      <w:r/>
      <w:bookmarkStart w:id="390" w:name="_Toc103848590"/>
      <w:r/>
      <w:bookmarkStart w:id="391" w:name="_Toc1209759974"/>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）财务</w:t>
      </w:r>
      <w:bookmarkEnd w:id="387"/>
      <w:r/>
      <w:bookmarkEnd w:id="388"/>
      <w:r/>
      <w:bookmarkEnd w:id="389"/>
      <w:r/>
      <w:bookmarkEnd w:id="390"/>
      <w:r>
        <w:rPr>
          <w:rFonts w:hint="eastAsia" w:ascii="Times New Roman" w:hAnsi="Times New Roman" w:cs="Microsoft New Tai Lue"/>
          <w:bCs w:val="0"/>
          <w:sz w:val="24"/>
          <w:szCs w:val="24"/>
          <w:highlight w:val="none"/>
          <w:lang w:val="en-US" w:eastAsia="zh-CN"/>
        </w:rPr>
        <w:t xml:space="preserve">报告</w:t>
      </w:r>
      <w:bookmarkEnd w:id="391"/>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8"/>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92" w:name="_Toc102117322"/>
      <w:r/>
      <w:bookmarkStart w:id="393" w:name="_Toc103848593"/>
      <w:r/>
      <w:bookmarkStart w:id="394" w:name="_Toc104560908"/>
      <w:r>
        <w:rPr>
          <w:rFonts w:ascii="Times New Roman" w:hAnsi="Times New Roman" w:eastAsia="宋体" w:cs="Microsoft New Tai Lue"/>
          <w:bCs w:val="0"/>
          <w:sz w:val="24"/>
          <w:szCs w:val="24"/>
          <w:highlight w:val="none"/>
        </w:rPr>
        <w:br w:type="page" w:clear="all"/>
      </w:r>
      <w:bookmarkStart w:id="395" w:name="_Toc107246286"/>
      <w:r/>
      <w:bookmarkStart w:id="396" w:name="_Toc6071322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92"/>
      <w:r/>
      <w:bookmarkEnd w:id="393"/>
      <w:r/>
      <w:bookmarkEnd w:id="394"/>
      <w:r/>
      <w:bookmarkEnd w:id="395"/>
      <w:r/>
      <w:bookmarkEnd w:id="39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81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8"/>
        <w:ind w:left="455" w:hanging="241"/>
        <w:spacing w:line="240" w:lineRule="atLeast"/>
        <w:rPr>
          <w:rFonts w:ascii="Times New Roman" w:hAnsi="Times New Roman" w:eastAsia="宋体" w:cs="Microsoft New Tai Lue"/>
          <w:b w:val="0"/>
          <w:highlight w:val="none"/>
        </w:rPr>
        <w:outlineLvl w:val="2"/>
      </w:pPr>
      <w:r/>
      <w:bookmarkStart w:id="397" w:name="_Toc103848591"/>
      <w:r/>
      <w:bookmarkStart w:id="398" w:name="_Toc102117323"/>
      <w:r>
        <w:rPr>
          <w:rFonts w:ascii="Times New Roman" w:hAnsi="Times New Roman" w:eastAsia="宋体" w:cs="Microsoft New Tai Lue"/>
          <w:bCs w:val="0"/>
          <w:sz w:val="24"/>
          <w:szCs w:val="24"/>
          <w:highlight w:val="none"/>
        </w:rPr>
        <w:br w:type="page" w:clear="all"/>
      </w:r>
      <w:bookmarkStart w:id="399" w:name="_Toc107246287"/>
      <w:r/>
      <w:bookmarkStart w:id="400" w:name="_Toc352389829"/>
      <w:r/>
      <w:bookmarkStart w:id="40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）依法缴纳税收的相关材料</w:t>
      </w:r>
      <w:bookmarkEnd w:id="397"/>
      <w:r/>
      <w:bookmarkEnd w:id="398"/>
      <w:r/>
      <w:bookmarkEnd w:id="399"/>
      <w:r/>
      <w:bookmarkEnd w:id="400"/>
      <w:r/>
      <w:bookmarkEnd w:id="40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2" w:name="_Toc102117324"/>
      <w:r/>
      <w:bookmarkStart w:id="403" w:name="_Toc2003441224"/>
      <w:r/>
      <w:bookmarkStart w:id="404" w:name="_Toc107246288"/>
      <w:r/>
      <w:bookmarkStart w:id="405" w:name="_Toc104560907"/>
      <w:r/>
      <w:bookmarkStart w:id="406" w:name="_Toc10384859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）依法缴纳社会保障资金的相关材料</w:t>
      </w:r>
      <w:bookmarkEnd w:id="402"/>
      <w:r/>
      <w:bookmarkEnd w:id="403"/>
      <w:r/>
      <w:bookmarkEnd w:id="404"/>
      <w:r/>
      <w:bookmarkEnd w:id="405"/>
      <w:r/>
      <w:bookmarkEnd w:id="40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7" w:name="_Toc1440550455"/>
      <w:r/>
      <w:bookmarkStart w:id="408" w:name="_Toc102117325"/>
      <w:r/>
      <w:bookmarkStart w:id="409" w:name="_Toc104560909"/>
      <w:r/>
      <w:bookmarkStart w:id="410" w:name="_Toc107246289"/>
      <w:r/>
      <w:bookmarkStart w:id="411" w:name="_Toc103848594"/>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）没有重大违法记录的书面声明</w:t>
      </w:r>
      <w:bookmarkEnd w:id="407"/>
      <w:r/>
      <w:bookmarkEnd w:id="408"/>
      <w:r/>
      <w:bookmarkEnd w:id="409"/>
      <w:r/>
      <w:bookmarkEnd w:id="410"/>
      <w:r/>
      <w:bookmarkEnd w:id="411"/>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2" w:name="_Toc600860907"/>
      <w:r/>
      <w:bookmarkStart w:id="413" w:name="_Toc107246290"/>
      <w:r/>
      <w:bookmarkStart w:id="414" w:name="_Toc104560910"/>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7</w:t>
      </w:r>
      <w:r>
        <w:rPr>
          <w:rFonts w:hint="eastAsia" w:ascii="Times New Roman" w:hAnsi="Times New Roman" w:eastAsia="宋体" w:cs="Microsoft New Tai Lue"/>
          <w:bCs w:val="0"/>
          <w:sz w:val="24"/>
          <w:szCs w:val="24"/>
          <w:highlight w:val="none"/>
        </w:rPr>
        <w:t xml:space="preserve">）无不良信用记录承诺函</w:t>
      </w:r>
      <w:bookmarkEnd w:id="412"/>
      <w:r/>
      <w:bookmarkEnd w:id="413"/>
      <w:r/>
      <w:bookmarkEnd w:id="414"/>
      <w:r/>
      <w:r/>
    </w:p>
    <w:p>
      <w:pPr>
        <w:pStyle w:val="1024"/>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024"/>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024"/>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024"/>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024"/>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024"/>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4"/>
        <w:ind w:left="214" w:firstLine="400"/>
        <w:rPr>
          <w:rFonts w:ascii="Times New Roman" w:hAnsi="Times New Roman" w:eastAsia="宋体"/>
          <w:highlight w:val="none"/>
        </w:rPr>
      </w:pPr>
      <w:r>
        <w:rPr>
          <w:rFonts w:ascii="Times New Roman" w:hAnsi="Times New Roman" w:eastAsia="宋体"/>
          <w:highlight w:val="none"/>
        </w:rPr>
      </w:r>
      <w:r/>
    </w:p>
    <w:p>
      <w:pPr>
        <w:pStyle w:val="1024"/>
        <w:ind w:left="214" w:firstLine="400"/>
        <w:rPr>
          <w:rFonts w:ascii="Times New Roman" w:hAnsi="Times New Roman" w:eastAsia="宋体"/>
          <w:highlight w:val="none"/>
        </w:rPr>
      </w:pPr>
      <w:r>
        <w:rPr>
          <w:rFonts w:ascii="Times New Roman" w:hAnsi="Times New Roman" w:eastAsia="宋体"/>
          <w:highlight w:val="none"/>
        </w:rPr>
      </w:r>
      <w:r/>
    </w:p>
    <w:p>
      <w:pPr>
        <w:pStyle w:val="1024"/>
        <w:ind w:left="214" w:firstLine="400"/>
        <w:rPr>
          <w:rFonts w:ascii="Times New Roman" w:hAnsi="Times New Roman" w:eastAsia="宋体"/>
          <w:highlight w:val="none"/>
        </w:rPr>
      </w:pPr>
      <w:r>
        <w:rPr>
          <w:rFonts w:ascii="Times New Roman" w:hAnsi="Times New Roman" w:eastAsia="宋体"/>
          <w:highlight w:val="none"/>
        </w:rPr>
      </w:r>
      <w:r/>
    </w:p>
    <w:p>
      <w:pPr>
        <w:pStyle w:val="1024"/>
        <w:ind w:left="214" w:firstLine="400"/>
        <w:rPr>
          <w:rFonts w:ascii="Times New Roman" w:hAnsi="Times New Roman" w:eastAsia="宋体"/>
          <w:highlight w:val="none"/>
        </w:rPr>
      </w:pPr>
      <w:r>
        <w:rPr>
          <w:rFonts w:ascii="Times New Roman" w:hAnsi="Times New Roman" w:eastAsia="宋体"/>
          <w:highlight w:val="none"/>
        </w:rPr>
      </w:r>
      <w:r/>
    </w:p>
    <w:p>
      <w:pPr>
        <w:pStyle w:val="1024"/>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415" w:name="_Toc102117326"/>
      <w:r/>
      <w:bookmarkStart w:id="416"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838"/>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7" w:name="_Toc104560911"/>
      <w:r/>
      <w:bookmarkStart w:id="418" w:name="_Toc107246291"/>
      <w:r/>
      <w:bookmarkStart w:id="419" w:name="_Toc1201155755"/>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8</w:t>
      </w:r>
      <w:r>
        <w:rPr>
          <w:rFonts w:ascii="Times New Roman" w:hAnsi="Times New Roman" w:eastAsia="宋体" w:cs="Microsoft New Tai Lue"/>
          <w:bCs w:val="0"/>
          <w:sz w:val="24"/>
          <w:szCs w:val="24"/>
          <w:highlight w:val="none"/>
        </w:rPr>
        <w:t xml:space="preserve">）</w:t>
      </w:r>
      <w:bookmarkEnd w:id="415"/>
      <w:r>
        <w:rPr>
          <w:rFonts w:ascii="Times New Roman" w:hAnsi="Times New Roman" w:eastAsia="宋体" w:cs="Microsoft New Tai Lue"/>
          <w:bCs w:val="0"/>
          <w:sz w:val="24"/>
          <w:szCs w:val="24"/>
          <w:highlight w:val="none"/>
        </w:rPr>
        <w:t xml:space="preserve">招标文件要求的其它实质性资格资信证明文件</w:t>
      </w:r>
      <w:bookmarkEnd w:id="417"/>
      <w:r/>
      <w:bookmarkEnd w:id="418"/>
      <w:r/>
      <w:bookmarkEnd w:id="419"/>
      <w:r/>
      <w:r/>
    </w:p>
    <w:p>
      <w:pPr>
        <w:spacing w:line="400" w:lineRule="exact"/>
        <w:shd w:val="clear" w:color="auto" w:fill="ffffff"/>
        <w:widowControl/>
        <w:rPr>
          <w:rFonts w:hint="eastAsia" w:ascii="Times New Roman" w:hAnsi="Times New Roman" w:eastAsia="宋体"/>
          <w:b/>
          <w:bCs/>
          <w:szCs w:val="21"/>
          <w:highlight w:val="none"/>
        </w:rPr>
      </w:pPr>
      <w:r/>
      <w:bookmarkStart w:id="420" w:name="_Toc107246292"/>
      <w:r>
        <w:rPr>
          <w:rFonts w:hint="eastAsia" w:ascii="Times New Roman" w:hAnsi="Times New Roman" w:eastAsia="宋体"/>
          <w:b/>
          <w:bCs/>
          <w:szCs w:val="21"/>
          <w:highlight w:val="none"/>
          <w:lang w:val="en-US" w:eastAsia="zh-CN"/>
        </w:rPr>
        <w:t xml:space="preserve">1、拟供货车辆已经纳入国家工信部《道路机动车辆生产企业及产品公告》内</w:t>
      </w:r>
      <w:r>
        <w:rPr>
          <w:rFonts w:hint="eastAsia" w:ascii="Times New Roman" w:hAnsi="Times New Roman" w:eastAsia="宋体"/>
          <w:b/>
          <w:bCs/>
          <w:szCs w:val="21"/>
          <w:highlight w:val="none"/>
        </w:rPr>
        <w:t xml:space="preserve">。</w:t>
      </w:r>
      <w:r/>
    </w:p>
    <w:p>
      <w:pPr>
        <w:pStyle w:val="838"/>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838"/>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416"/>
      <w:r/>
      <w:bookmarkEnd w:id="420"/>
      <w:r/>
      <w:bookmarkStart w:id="421" w:name="_Toc1478492485"/>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363"/>
      <w:r/>
      <w:bookmarkEnd w:id="373"/>
      <w:r/>
      <w:bookmarkEnd w:id="374"/>
      <w:r/>
      <w:bookmarkEnd w:id="421"/>
      <w:r/>
      <w:r/>
    </w:p>
    <w:p>
      <w:pPr>
        <w:pStyle w:val="838"/>
        <w:ind w:left="455" w:hanging="241"/>
        <w:rPr>
          <w:rFonts w:hint="eastAsia" w:ascii="Times New Roman" w:hAnsi="Times New Roman" w:eastAsia="宋体" w:cs="Microsoft New Tai Lue"/>
          <w:bCs w:val="0"/>
          <w:sz w:val="24"/>
          <w:szCs w:val="24"/>
          <w:highlight w:val="none"/>
          <w:lang w:val="en-US" w:eastAsia="zh-CN"/>
        </w:rPr>
        <w:outlineLvl w:val="2"/>
      </w:pPr>
      <w:r/>
      <w:bookmarkStart w:id="422" w:name="_Toc1163967210"/>
      <w:r/>
      <w:bookmarkStart w:id="423" w:name="_Toc1055188275"/>
      <w:r/>
      <w:bookmarkStart w:id="424" w:name="_Toc104560901"/>
      <w:r/>
      <w:bookmarkStart w:id="425" w:name="_Toc107246281"/>
      <w:r/>
      <w:bookmarkStart w:id="426" w:name="_Toc103848586"/>
      <w:r/>
      <w:bookmarkStart w:id="427"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422"/>
      <w:r/>
      <w:bookmarkStart w:id="428" w:name="_Toc103848581"/>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宋体" w:hAnsi="宋体" w:cs="宋体"/>
          <w:color w:val="000000"/>
          <w:lang w:eastAsia="zh-CN"/>
        </w:rPr>
        <w:t xml:space="preserve">2026年度高管中心防撞车采购项目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09"/>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 xml:space="preserve">供货期</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p>
    <w:p>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p>
    <w:p>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p>
    <w:p>
      <w:pPr>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r/>
    </w:p>
    <w:p>
      <w:pPr>
        <w:pStyle w:val="838"/>
        <w:rPr>
          <w:rFonts w:hint="default" w:ascii="Microsoft New Tai Lue" w:hAnsi="Microsoft New Tai Lue" w:eastAsia="宋体" w:cs="Microsoft New Tai Lue"/>
          <w:b/>
          <w:color w:val="auto"/>
          <w:sz w:val="24"/>
          <w:highlight w:val="none"/>
          <w:lang w:val="en-US" w:eastAsia="zh-CN"/>
        </w:rPr>
      </w:pPr>
      <w:r/>
      <w:bookmarkStart w:id="429" w:name="_Toc23129"/>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2</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产品信息报价表</w:t>
      </w:r>
      <w:bookmarkEnd w:id="429"/>
      <w:r/>
      <w:r/>
    </w:p>
    <w:p>
      <w:pPr>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rPr>
        <w:t xml:space="preserve">2026年度高管中心防撞车采购项目</w:t>
      </w:r>
      <w:r/>
    </w:p>
    <w:p>
      <w:pPr>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p>
    <w:p>
      <w:pPr>
        <w:ind w:left="420" w:right="464" w:firstLine="0"/>
        <w:jc w:val="right"/>
        <w:spacing w:before="65" w:line="228" w:lineRule="auto"/>
        <w:rPr>
          <w:rFonts w:hint="default"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p>
    <w:tbl>
      <w:tblPr>
        <w:tblStyle w:val="809"/>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皮卡防撞车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eastAsia"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top"/>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lang w:val="en-US" w:eastAsia="zh-CN"/>
              </w:rPr>
              <w:t xml:space="preserve">中大型防撞车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b w:val="0"/>
                <w:bCs/>
                <w:color w:val="auto"/>
                <w:szCs w:val="21"/>
                <w:highlight w:val="none"/>
                <w:lang w:val="en-US" w:eastAsia="zh-CN"/>
              </w:rPr>
            </w:pPr>
            <w:r>
              <w:rPr>
                <w:rFonts w:hint="eastAsia" w:ascii="Microsoft New Tai Lue" w:hAnsi="Microsoft New Tai Lue" w:eastAsia="宋体" w:cs="Microsoft New Tai Lue"/>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ascii="Microsoft New Tai Lue" w:hAnsi="Microsoft New Tai Lue" w:eastAsia="宋体" w:cs="Microsoft New Tai Lue"/>
                <w:b w:val="0"/>
                <w:bCs/>
                <w:color w:val="auto"/>
                <w:szCs w:val="21"/>
                <w:highlight w:val="none"/>
              </w:rPr>
            </w:r>
            <w:r/>
          </w:p>
        </w:tc>
      </w:tr>
      <w:tr>
        <w:trPr>
          <w:jc w:val="center"/>
          <w:trHeight w:val="554"/>
        </w:trPr>
        <w:tc>
          <w:tcPr>
            <w:gridSpan w:val="6"/>
            <w:tcBorders>
              <w:top w:val="single" w:color="auto" w:sz="4" w:space="0"/>
              <w:left w:val="single" w:color="auto" w:sz="4" w:space="0"/>
              <w:bottom w:val="single" w:color="auto" w:sz="4" w:space="0"/>
              <w:right w:val="single" w:color="auto" w:sz="4" w:space="0"/>
            </w:tcBorders>
            <w:tcW w:w="5592" w:type="dxa"/>
            <w:vAlign w:val="center"/>
            <w:textDirection w:val="lrTb"/>
            <w:noWrap w:val="false"/>
          </w:tcPr>
          <w:p>
            <w:pPr>
              <w:jc w:val="center"/>
              <w:widowControl/>
              <w:rPr>
                <w:rFonts w:ascii="Microsoft New Tai Lue" w:hAnsi="Microsoft New Tai Lue" w:eastAsia="宋体" w:cs="Microsoft New Tai Lue"/>
                <w:b w:val="0"/>
                <w:bCs/>
                <w:color w:val="auto"/>
                <w:szCs w:val="21"/>
                <w:highlight w:val="none"/>
              </w:rPr>
            </w:pPr>
            <w:r>
              <w:rPr>
                <w:rFonts w:hint="eastAsia" w:ascii="Microsoft New Tai Lue" w:hAnsi="Microsoft New Tai Lue" w:cs="Microsoft New Tai Lue"/>
                <w:color w:val="auto"/>
                <w:szCs w:val="21"/>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838"/>
        <w:rPr>
          <w:rFonts w:hint="eastAsia" w:ascii="Microsoft New Tai Lue" w:hAnsi="Microsoft New Tai Lue" w:eastAsia="宋体" w:cs="Microsoft New Tai Lue"/>
          <w:b/>
          <w:color w:val="auto"/>
          <w:sz w:val="24"/>
          <w:highlight w:val="none"/>
          <w:lang w:eastAsia="zh-CN"/>
        </w:rPr>
      </w:pPr>
      <w:r/>
      <w:bookmarkStart w:id="430" w:name="_Toc24536"/>
      <w:r>
        <w:rPr>
          <w:rFonts w:ascii="Microsoft New Tai Lue" w:hAnsi="Microsoft New Tai Lue" w:cs="Microsoft New Tai Lue"/>
          <w:b/>
          <w:bCs/>
          <w:color w:val="auto"/>
          <w:sz w:val="24"/>
          <w:highlight w:val="none"/>
        </w:rPr>
        <w:t xml:space="preserve">（</w:t>
      </w:r>
      <w:r>
        <w:rPr>
          <w:rFonts w:hint="default" w:ascii="Microsoft New Tai Lue" w:hAnsi="Microsoft New Tai Lue" w:cs="Microsoft New Tai Lue"/>
          <w:b/>
          <w:bCs/>
          <w:color w:val="auto"/>
          <w:sz w:val="24"/>
          <w:highlight w:val="none"/>
          <w:lang w:val="en-US" w:eastAsia="zh-CN"/>
        </w:rPr>
        <w:t xml:space="preserve">3</w:t>
      </w: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零部件组成报价</w:t>
      </w:r>
      <w:r>
        <w:rPr>
          <w:rFonts w:ascii="Microsoft New Tai Lue" w:hAnsi="Microsoft New Tai Lue" w:cs="Microsoft New Tai Lue"/>
          <w:sz w:val="24"/>
          <w:highlight w:val="none"/>
        </w:rPr>
        <w:t xml:space="preserve">表</w:t>
      </w:r>
      <w:bookmarkEnd w:id="430"/>
      <w:r>
        <w:rPr>
          <w:rFonts w:hint="eastAsia" w:ascii="Microsoft New Tai Lue" w:hAnsi="Microsoft New Tai Lue" w:cs="Microsoft New Tai Lue"/>
          <w:sz w:val="24"/>
          <w:highlight w:val="none"/>
          <w:lang w:eastAsia="zh-CN"/>
        </w:rPr>
        <w:t xml:space="preserve">（</w:t>
      </w:r>
      <w:r>
        <w:rPr>
          <w:rFonts w:hint="eastAsia" w:ascii="Microsoft New Tai Lue" w:hAnsi="Microsoft New Tai Lue" w:cs="Microsoft New Tai Lue"/>
          <w:sz w:val="24"/>
          <w:highlight w:val="none"/>
          <w:lang w:val="en-US" w:eastAsia="zh-CN"/>
        </w:rPr>
        <w:t xml:space="preserve">如有</w:t>
      </w:r>
      <w:r>
        <w:rPr>
          <w:rFonts w:hint="eastAsia" w:ascii="Microsoft New Tai Lue" w:hAnsi="Microsoft New Tai Lue" w:cs="Microsoft New Tai Lue"/>
          <w:sz w:val="24"/>
          <w:highlight w:val="none"/>
          <w:lang w:eastAsia="zh-CN"/>
        </w:rPr>
        <w:t xml:space="preserve">）</w:t>
      </w:r>
      <w:r/>
    </w:p>
    <w:p>
      <w:pPr>
        <w:pStyle w:val="818"/>
        <w:ind w:left="0"/>
        <w:rPr>
          <w:rFonts w:ascii="Microsoft New Tai Lue" w:hAnsi="Microsoft New Tai Lue" w:cs="Microsoft New Tai Lue"/>
          <w:b w:val="0"/>
          <w:bCs/>
          <w:color w:val="auto"/>
          <w:highlight w:val="none"/>
        </w:rPr>
      </w:pPr>
      <w:r>
        <w:rPr>
          <w:rFonts w:ascii="Microsoft New Tai Lue" w:hAnsi="Microsoft New Tai Lue" w:cs="Microsoft New Tai Lue"/>
          <w:b w:val="0"/>
          <w:bCs/>
          <w:color w:val="auto"/>
          <w:highlight w:val="none"/>
        </w:rPr>
      </w:r>
      <w:r/>
    </w:p>
    <w:p>
      <w:pPr>
        <w:pStyle w:val="818"/>
        <w:ind w:left="0"/>
        <w:rPr>
          <w:color w:val="auto"/>
          <w:highlight w:val="none"/>
        </w:rPr>
      </w:pPr>
      <w:r>
        <w:rPr>
          <w:rFonts w:ascii="Microsoft New Tai Lue" w:hAnsi="Microsoft New Tai Lue" w:cs="Microsoft New Tai Lue"/>
          <w:b w:val="0"/>
          <w:bCs/>
          <w:color w:val="auto"/>
          <w:highlight w:val="none"/>
        </w:rPr>
        <w:br w:type="page" w:clear="all"/>
      </w:r>
      <w:bookmarkEnd w:id="428"/>
      <w:r/>
      <w:r/>
    </w:p>
    <w:p>
      <w:pPr>
        <w:pStyle w:val="838"/>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）商务条款偏离表</w:t>
      </w:r>
      <w:bookmarkEnd w:id="423"/>
      <w:r/>
      <w:bookmarkEnd w:id="424"/>
      <w:r/>
      <w:bookmarkEnd w:id="425"/>
      <w:r/>
      <w:bookmarkEnd w:id="426"/>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809"/>
        <w:tblW w:w="9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招标文件的商务条款</w:t>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投标文件的商务条款</w:t>
            </w:r>
            <w:r/>
          </w:p>
        </w:tc>
        <w:tc>
          <w:tcPr>
            <w:tcW w:w="1317" w:type="dxa"/>
            <w:textDirection w:val="lrTb"/>
            <w:noWrap w:val="false"/>
          </w:tcPr>
          <w:p>
            <w:pPr>
              <w:pStyle w:val="1024"/>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36"/>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36"/>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431" w:name="_Toc104560902"/>
      <w:r/>
      <w:bookmarkStart w:id="432" w:name="_Toc103848587"/>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838"/>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433" w:name="_Toc104560918"/>
      <w:r/>
      <w:bookmarkStart w:id="434" w:name="_Toc107246301"/>
      <w:r/>
      <w:bookmarkStart w:id="435" w:name="_Toc103848601"/>
      <w:r/>
      <w:r/>
    </w:p>
    <w:p>
      <w:pPr>
        <w:pStyle w:val="838"/>
        <w:rPr>
          <w:rFonts w:hint="eastAsia" w:ascii="Times New Roman" w:hAnsi="Times New Roman" w:eastAsia="宋体" w:cs="Microsoft New Tai Lue"/>
          <w:sz w:val="28"/>
          <w:szCs w:val="24"/>
          <w:highlight w:val="none"/>
        </w:rPr>
        <w:outlineLvl w:val="2"/>
      </w:pPr>
      <w:r/>
      <w:bookmarkStart w:id="436" w:name="_Toc629380999"/>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eastAsia="宋体" w:cs="Microsoft New Tai Lue"/>
          <w:sz w:val="28"/>
          <w:szCs w:val="24"/>
          <w:highlight w:val="none"/>
          <w:lang w:eastAsia="zh-CN"/>
        </w:rPr>
        <w:t xml:space="preserve">）企业管理体系认证</w:t>
      </w:r>
      <w:bookmarkEnd w:id="436"/>
      <w:r/>
      <w:r/>
    </w:p>
    <w:tbl>
      <w:tblPr>
        <w:tblStyle w:val="80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6168"/>
        <w:gridCol w:w="2814"/>
      </w:tblGrid>
      <w:tr>
        <w:trPr>
          <w:jc w:val="center"/>
          <w:trHeight w:val="1003" w:hRule="exact"/>
        </w:trPr>
        <w:tc>
          <w:tcPr>
            <w:tcW w:w="47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310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证书名称</w:t>
            </w:r>
            <w:r/>
          </w:p>
        </w:tc>
        <w:tc>
          <w:tcPr>
            <w:tcW w:w="1418"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rPr>
            </w:pPr>
            <w:r>
              <w:rPr>
                <w:rFonts w:hint="eastAsia" w:ascii="Times New Roman" w:hAnsi="Times New Roman" w:eastAsia="宋体" w:cs="宋体"/>
                <w:b/>
                <w:bCs/>
                <w:sz w:val="20"/>
                <w:szCs w:val="21"/>
                <w:highlight w:val="none"/>
                <w:lang w:val="en-US" w:eastAsia="zh-CN"/>
              </w:rPr>
              <w:t xml:space="preserve">认证时间</w:t>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1</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2</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3</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default" w:ascii="Times New Roman" w:hAnsi="Times New Roman" w:eastAsia="宋体" w:cs="宋体"/>
                <w:sz w:val="20"/>
                <w:szCs w:val="21"/>
                <w:highlight w:val="none"/>
                <w:lang w:val="en-US" w:eastAsia="zh-CN"/>
              </w:rPr>
            </w:pPr>
            <w:r>
              <w:rPr>
                <w:rFonts w:hint="eastAsia" w:ascii="Times New Roman" w:hAnsi="Times New Roman" w:eastAsia="宋体" w:cs="宋体"/>
                <w:sz w:val="20"/>
                <w:szCs w:val="21"/>
                <w:highlight w:val="none"/>
                <w:lang w:val="en-US" w:eastAsia="zh-CN"/>
              </w:rPr>
              <w:t xml:space="preserve">...</w:t>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473"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310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1418" w:type="pct"/>
            <w:vAlign w:val="center"/>
            <w:textDirection w:val="lrTb"/>
            <w:noWrap w:val="false"/>
          </w:tcPr>
          <w:p>
            <w:pPr>
              <w:jc w:val="center"/>
              <w:keepLines w:val="0"/>
              <w:keepNext w:val="0"/>
              <w:pageBreakBefore w:val="0"/>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注：1、上表中行数不够可自加；</w:t>
      </w:r>
      <w:r/>
    </w:p>
    <w:p>
      <w:pPr>
        <w:ind w:firstLine="420"/>
        <w:jc w:val="left"/>
        <w:widowControl/>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lang w:val="en-US" w:eastAsia="zh-CN"/>
        </w:rPr>
        <w:t xml:space="preserve">招标文件要求的证明材料</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val="en-US" w:eastAsia="zh-CN"/>
        </w:rPr>
        <w:t xml:space="preserve">注</w:t>
      </w:r>
      <w:r>
        <w:rPr>
          <w:rFonts w:hint="eastAsia" w:ascii="Times New Roman" w:hAnsi="Times New Roman" w:eastAsia="宋体"/>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26"/>
        <w:spacing w:before="65" w:line="227" w:lineRule="auto"/>
        <w:rPr>
          <w:rFonts w:hint="eastAsia"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投标人名称（公章）：</w:t>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r>
      <w:r/>
    </w:p>
    <w:p>
      <w:pPr>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日</w:t>
      </w:r>
      <w:r>
        <w:rPr>
          <w:rFonts w:hint="eastAsia" w:ascii="Times New Roman" w:hAnsi="Times New Roman" w:eastAsia="宋体" w:cs="宋体"/>
          <w:spacing w:val="8"/>
          <w:sz w:val="21"/>
          <w:szCs w:val="21"/>
          <w:highlight w:val="none"/>
        </w:rPr>
        <w:t xml:space="preserve">   </w:t>
      </w:r>
      <w:r>
        <w:rPr>
          <w:rFonts w:ascii="Times New Roman" w:hAnsi="Times New Roman" w:eastAsia="宋体" w:cs="宋体"/>
          <w:spacing w:val="8"/>
          <w:sz w:val="21"/>
          <w:szCs w:val="21"/>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838"/>
        <w:rPr>
          <w:rFonts w:hint="eastAsia" w:ascii="Times New Roman" w:hAnsi="Times New Roman" w:eastAsia="宋体" w:cs="Microsoft New Tai Lue"/>
          <w:sz w:val="28"/>
          <w:szCs w:val="24"/>
          <w:highlight w:val="none"/>
        </w:rPr>
        <w:outlineLvl w:val="2"/>
      </w:pPr>
      <w:r/>
      <w:bookmarkStart w:id="437" w:name="_Toc1649488718"/>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供货</w:t>
      </w:r>
      <w:r>
        <w:rPr>
          <w:rFonts w:hint="eastAsia" w:ascii="Times New Roman" w:hAnsi="Times New Roman" w:eastAsia="宋体" w:cs="Microsoft New Tai Lue"/>
          <w:sz w:val="28"/>
          <w:szCs w:val="24"/>
          <w:highlight w:val="none"/>
        </w:rPr>
        <w:t xml:space="preserve">业绩一览表</w:t>
      </w:r>
      <w:bookmarkEnd w:id="437"/>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投标人</w:t>
      </w:r>
      <w:r>
        <w:rPr>
          <w:rFonts w:hint="eastAsia" w:ascii="Times New Roman" w:hAnsi="Times New Roman"/>
          <w:highlight w:val="none"/>
          <w:lang w:val="en-US" w:eastAsia="zh-CN"/>
        </w:rPr>
        <w:t xml:space="preserve">供货</w:t>
      </w:r>
      <w:r>
        <w:rPr>
          <w:rFonts w:hint="eastAsia" w:ascii="Times New Roman" w:hAnsi="Times New Roman" w:eastAsia="宋体"/>
          <w:highlight w:val="none"/>
        </w:rPr>
        <w:t xml:space="preserve">业绩</w:t>
      </w:r>
      <w:r/>
    </w:p>
    <w:tbl>
      <w:tblPr>
        <w:tblStyle w:val="80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19"/>
        <w:gridCol w:w="968"/>
        <w:gridCol w:w="1390"/>
        <w:gridCol w:w="1275"/>
        <w:gridCol w:w="954"/>
        <w:gridCol w:w="1160"/>
        <w:gridCol w:w="1715"/>
      </w:tblGrid>
      <w:tr>
        <w:trPr>
          <w:jc w:val="center"/>
          <w:trHeight w:val="1003" w:hRule="exact"/>
        </w:trPr>
        <w:tc>
          <w:tcPr>
            <w:tcW w:w="3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shd w:val="clear" w:color="auto" w:fill="auto"/>
            <w:tcW w:w="70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合同价格</w:t>
            </w:r>
            <w:r/>
          </w:p>
        </w:tc>
        <w:tc>
          <w:tcPr>
            <w:shd w:val="clear" w:color="auto" w:fill="auto"/>
            <w:tcW w:w="643"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rPr>
              <w:t xml:space="preserve">合同签订日期</w:t>
            </w:r>
            <w:r/>
          </w:p>
        </w:tc>
        <w:tc>
          <w:tcPr>
            <w:shd w:val="clear" w:color="auto" w:fill="auto"/>
            <w:tcW w:w="481"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en-US" w:eastAsia="zh-CN"/>
              </w:rPr>
              <w:t xml:space="preserve">品牌</w:t>
            </w:r>
            <w:r/>
          </w:p>
        </w:tc>
        <w:tc>
          <w:tcPr>
            <w:shd w:val="clear" w:color="auto" w:fill="auto"/>
            <w:tcW w:w="585"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rPr>
              <w:t xml:space="preserve">型号</w:t>
            </w:r>
            <w:r/>
          </w:p>
        </w:tc>
        <w:tc>
          <w:tcPr>
            <w:tcW w:w="865" w:type="pct"/>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w:t>
            </w:r>
            <w:r/>
          </w:p>
          <w:p>
            <w:pPr>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及电话</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8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注：</w:t>
      </w:r>
      <w:r>
        <w:rPr>
          <w:rFonts w:ascii="Times New Roman" w:hAnsi="Times New Roman" w:eastAsia="宋体"/>
          <w:color w:val="auto"/>
          <w:szCs w:val="21"/>
          <w:highlight w:val="none"/>
        </w:rPr>
        <w:t xml:space="preserve">1、上表中行数不够可自加；</w:t>
      </w:r>
      <w:r/>
    </w:p>
    <w:p>
      <w:pPr>
        <w:ind w:left="0" w:firstLine="420"/>
        <w:jc w:val="left"/>
        <w:spacing w:before="0"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val="en-US" w:eastAsia="zh-CN"/>
        </w:rPr>
        <w:t xml:space="preserve">2、</w:t>
      </w:r>
      <w:r>
        <w:rPr>
          <w:rFonts w:hint="eastAsia" w:ascii="Times New Roman" w:hAnsi="Times New Roman" w:eastAsia="宋体"/>
          <w:color w:val="auto"/>
          <w:szCs w:val="21"/>
          <w:highlight w:val="none"/>
          <w:lang w:val="en-US" w:eastAsia="zh-CN"/>
        </w:rPr>
        <w:t xml:space="preserve">项目合同复印件及相关证明材料复印件</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投标人需将合同签订时间及检测内容明确标注</w:t>
      </w:r>
      <w:r>
        <w:rPr>
          <w:rFonts w:hint="eastAsia" w:ascii="Times New Roman" w:hAnsi="Times New Roman" w:eastAsia="宋体"/>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p>
      <w:pPr>
        <w:ind w:firstLine="226"/>
        <w:spacing w:before="65" w:line="227" w:lineRule="auto"/>
        <w:rPr>
          <w:rFonts w:hint="eastAsia" w:ascii="Times New Roman" w:hAnsi="Times New Roman" w:eastAsia="宋体" w:cs="宋体"/>
          <w:sz w:val="21"/>
          <w:szCs w:val="21"/>
          <w:highlight w:val="none"/>
        </w:rPr>
      </w:pPr>
      <w:r>
        <w:rPr>
          <w:rFonts w:ascii="Times New Roman" w:hAnsi="Times New Roman" w:eastAsia="宋体" w:cs="宋体"/>
          <w:spacing w:val="8"/>
          <w:sz w:val="21"/>
          <w:szCs w:val="21"/>
          <w:highlight w:val="none"/>
        </w:rPr>
        <w:t xml:space="preserve">投标人名称（公章</w:t>
      </w:r>
      <w:r>
        <w:rPr>
          <w:rFonts w:ascii="Times New Roman" w:hAnsi="Times New Roman" w:eastAsia="宋体" w:cs="宋体"/>
          <w:spacing w:val="1"/>
          <w:sz w:val="21"/>
          <w:szCs w:val="21"/>
          <w:highlight w:val="none"/>
        </w:rPr>
        <w:t xml:space="preserve">）：</w:t>
      </w:r>
      <w:r/>
    </w:p>
    <w:p>
      <w:pPr>
        <w:ind w:left="396" w:hanging="182"/>
        <w:spacing w:before="162" w:line="408" w:lineRule="exact"/>
        <w:rPr>
          <w:rFonts w:ascii="Times New Roman" w:hAnsi="Times New Roman" w:eastAsia="宋体" w:cs="宋体"/>
          <w:spacing w:val="-9"/>
          <w:position w:val="15"/>
          <w:sz w:val="21"/>
          <w:szCs w:val="21"/>
          <w:highlight w:val="none"/>
        </w:rPr>
      </w:pPr>
      <w:r>
        <w:rPr>
          <w:rFonts w:ascii="Times New Roman" w:hAnsi="Times New Roman" w:eastAsia="宋体" w:cs="宋体"/>
          <w:spacing w:val="-9"/>
          <w:position w:val="15"/>
          <w:sz w:val="21"/>
          <w:szCs w:val="21"/>
          <w:highlight w:val="none"/>
        </w:rPr>
      </w:r>
      <w:r/>
    </w:p>
    <w:p>
      <w:pPr>
        <w:ind w:left="396" w:hanging="182"/>
        <w:spacing w:before="162" w:line="408" w:lineRule="exact"/>
        <w:rPr>
          <w:rFonts w:ascii="Times New Roman" w:hAnsi="Times New Roman" w:eastAsia="宋体"/>
          <w:b/>
          <w:sz w:val="21"/>
          <w:szCs w:val="21"/>
          <w:highlight w:val="none"/>
        </w:rPr>
      </w:pPr>
      <w:r>
        <w:rPr>
          <w:rFonts w:ascii="Times New Roman" w:hAnsi="Times New Roman" w:eastAsia="宋体" w:cs="宋体"/>
          <w:spacing w:val="-9"/>
          <w:position w:val="15"/>
          <w:sz w:val="21"/>
          <w:szCs w:val="21"/>
          <w:highlight w:val="none"/>
        </w:rPr>
        <w:t xml:space="preserve">日</w:t>
      </w:r>
      <w:r>
        <w:rPr>
          <w:rFonts w:hint="eastAsia" w:ascii="Times New Roman" w:hAnsi="Times New Roman" w:eastAsia="宋体" w:cs="宋体"/>
          <w:spacing w:val="-9"/>
          <w:position w:val="15"/>
          <w:sz w:val="21"/>
          <w:szCs w:val="21"/>
          <w:highlight w:val="none"/>
        </w:rPr>
        <w:t xml:space="preserve">   </w:t>
      </w:r>
      <w:r>
        <w:rPr>
          <w:rFonts w:ascii="Times New Roman" w:hAnsi="Times New Roman" w:eastAsia="宋体" w:cs="宋体"/>
          <w:spacing w:val="-9"/>
          <w:position w:val="15"/>
          <w:sz w:val="21"/>
          <w:szCs w:val="21"/>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rPr>
          <w:rFonts w:hint="eastAsia" w:ascii="Times New Roman" w:hAnsi="Times New Roman" w:eastAsia="宋体" w:cs="宋体"/>
          <w:spacing w:val="-9"/>
          <w:position w:val="15"/>
          <w:sz w:val="20"/>
          <w:szCs w:val="20"/>
          <w:highlight w:val="none"/>
        </w:rPr>
        <w:sectPr>
          <w:headerReference w:type="default" r:id="rId13"/>
          <w:footerReference w:type="default" r:id="rId17"/>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pStyle w:val="838"/>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438" w:name="_Toc1090484303"/>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bookmarkEnd w:id="438"/>
      <w:r/>
      <w:r/>
    </w:p>
    <w:p>
      <w:pPr>
        <w:pStyle w:val="838"/>
        <w:ind w:left="535" w:hanging="321"/>
        <w:spacing w:before="0"/>
        <w:rPr>
          <w:rFonts w:ascii="Times New Roman" w:hAnsi="Times New Roman" w:eastAsia="宋体" w:cs="Microsoft New Tai Lue"/>
          <w:bCs w:val="0"/>
          <w:sz w:val="24"/>
          <w:szCs w:val="24"/>
          <w:highlight w:val="none"/>
        </w:rPr>
        <w:outlineLvl w:val="2"/>
      </w:pPr>
      <w:r/>
      <w:bookmarkStart w:id="439" w:name="_Toc114423702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433"/>
      <w:r/>
      <w:bookmarkEnd w:id="434"/>
      <w:r/>
      <w:bookmarkEnd w:id="435"/>
      <w:r/>
      <w:bookmarkEnd w:id="439"/>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175" w:type="dxa"/>
            <w:vAlign w:val="center"/>
            <w:textDirection w:val="lrTb"/>
            <w:noWrap w:val="false"/>
          </w:tcPr>
          <w:p>
            <w:pPr>
              <w:pStyle w:val="1024"/>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4"/>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36"/>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3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024"/>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024"/>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024"/>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bookmarkEnd w:id="427"/>
      <w:bookmarkEnd w:id="431"/>
      <w:bookmarkEnd w:id="432"/>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hint="eastAsia" w:ascii="Times New Roman" w:hAnsi="Times New Roman" w:eastAsia="宋体" w:cs="Microsoft New Tai Lue"/>
          <w:sz w:val="28"/>
          <w:szCs w:val="24"/>
          <w:highlight w:val="none"/>
        </w:rPr>
      </w:pPr>
      <w:r/>
      <w:bookmarkStart w:id="440" w:name="_Toc279593437"/>
      <w:r/>
      <w:bookmarkStart w:id="441" w:name="_Toc104560916"/>
      <w:r/>
      <w:bookmarkStart w:id="442" w:name="_Toc107246299"/>
      <w:r/>
      <w:bookmarkStart w:id="443" w:name="_Toc103848599"/>
      <w:r>
        <w:rPr>
          <w:rFonts w:hint="eastAsia" w:ascii="Times New Roman" w:hAnsi="Times New Roman" w:eastAsia="宋体" w:cs="Microsoft New Tai Lue"/>
          <w:sz w:val="28"/>
          <w:szCs w:val="24"/>
          <w:highlight w:val="none"/>
        </w:rPr>
        <w:br w:type="page" w:clear="all"/>
      </w:r>
      <w:r/>
    </w:p>
    <w:p>
      <w:pPr>
        <w:pStyle w:val="838"/>
        <w:rPr>
          <w:rFonts w:ascii="Times New Roman" w:hAnsi="Times New Roman" w:eastAsia="宋体" w:cs="Microsoft New Tai Lue"/>
          <w:sz w:val="28"/>
          <w:szCs w:val="28"/>
          <w:highlight w:val="none"/>
        </w:rPr>
        <w:outlineLvl w:val="2"/>
      </w:pPr>
      <w:r/>
      <w:bookmarkStart w:id="444" w:name="_Toc475586676"/>
      <w:r>
        <w:rPr>
          <w:rFonts w:hint="eastAsia" w:ascii="Times New Roman" w:hAnsi="Times New Roman" w:eastAsia="宋体" w:cs="Microsoft New Tai Lue"/>
          <w:sz w:val="28"/>
          <w:szCs w:val="24"/>
          <w:highlight w:val="none"/>
        </w:rPr>
        <w:t xml:space="preserve">（</w:t>
      </w:r>
      <w:r>
        <w:rPr>
          <w:rFonts w:hint="eastAsia" w:ascii="Times New Roman" w:hAnsi="Times New Roman" w:eastAsia="宋体"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bookmarkEnd w:id="444"/>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Times New Roman" w:hAnsi="Times New Roman" w:eastAsia="宋体" w:cs="宋体"/>
          <w:color w:val="000000"/>
          <w:sz w:val="20"/>
          <w:szCs w:val="20"/>
          <w:highlight w:val="none"/>
          <w:lang w:val="en-US" w:eastAsia="zh-CN" w:bidi="ar"/>
        </w:rPr>
        <w:t xml:space="preserve">）售后服务；</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Times New Roman" w:hAnsi="Times New Roman" w:eastAsia="宋体" w:cs="宋体"/>
          <w:color w:val="000000"/>
          <w:sz w:val="20"/>
          <w:szCs w:val="20"/>
          <w:highlight w:val="none"/>
          <w:lang w:val="en-US" w:eastAsia="zh-CN" w:bidi="ar"/>
        </w:rPr>
        <w:t xml:space="preserve">）产品性能参数及配置情况； </w:t>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Times New Roman" w:hAnsi="Times New Roman" w:eastAsia="宋体" w:cs="宋体"/>
          <w:color w:val="000000"/>
          <w:sz w:val="20"/>
          <w:szCs w:val="20"/>
          <w:highlight w:val="none"/>
          <w:lang w:val="en-US" w:eastAsia="zh-CN" w:bidi="ar"/>
        </w:rPr>
        <w:t xml:space="preserve">）供货服务方案；</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4）</w:t>
      </w:r>
      <w:r>
        <w:rPr>
          <w:rFonts w:hint="eastAsia" w:ascii="Times New Roman" w:hAnsi="Times New Roman" w:eastAsia="宋体" w:cs="宋体"/>
          <w:color w:val="000000"/>
          <w:sz w:val="20"/>
          <w:szCs w:val="20"/>
          <w:highlight w:val="none"/>
          <w:lang w:val="en-US" w:eastAsia="zh-CN" w:bidi="ar"/>
        </w:rPr>
        <w:t xml:space="preserve">其他需要补充的内容。</w:t>
      </w:r>
      <w:r/>
    </w:p>
    <w:p>
      <w:pPr>
        <w:ind w:firstLine="420"/>
        <w:rPr>
          <w:rFonts w:hint="eastAsia" w:ascii="Times New Roman" w:hAnsi="Times New Roman" w:eastAsia="宋体"/>
          <w:highlight w:val="none"/>
          <w:lang w:val="en-US"/>
        </w:rPr>
      </w:pPr>
      <w:r>
        <w:rPr>
          <w:rFonts w:hint="eastAsia" w:ascii="Times New Roman" w:hAnsi="Times New Roman" w:eastAsia="宋体"/>
          <w:highlight w:val="none"/>
          <w:lang w:val="en-US"/>
        </w:rPr>
      </w:r>
      <w:r/>
    </w:p>
    <w:p>
      <w:pPr>
        <w:pStyle w:val="1040"/>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64"/>
      <w:r/>
      <w:bookmarkEnd w:id="440"/>
      <w:r/>
      <w:bookmarkEnd w:id="441"/>
      <w:r/>
      <w:bookmarkEnd w:id="442"/>
      <w:r/>
      <w:bookmarkEnd w:id="443"/>
      <w:r/>
      <w:r/>
    </w:p>
    <w:p>
      <w:pPr>
        <w:pStyle w:val="838"/>
        <w:rPr>
          <w:rFonts w:ascii="Times New Roman" w:hAnsi="Times New Roman" w:eastAsia="宋体" w:cs="Microsoft New Tai Lue"/>
          <w:sz w:val="28"/>
          <w:szCs w:val="24"/>
          <w:highlight w:val="none"/>
        </w:rPr>
        <w:outlineLvl w:val="1"/>
      </w:pPr>
      <w:r/>
      <w:bookmarkStart w:id="445" w:name="_Toc251129398"/>
      <w:r/>
      <w:bookmarkStart w:id="446" w:name="_Toc100905289"/>
      <w:r/>
      <w:bookmarkStart w:id="447"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bookmarkEnd w:id="445"/>
      <w:r/>
      <w:r/>
    </w:p>
    <w:p>
      <w:pPr>
        <w:pStyle w:val="838"/>
        <w:ind w:left="455" w:hanging="241"/>
        <w:spacing w:before="0"/>
        <w:rPr>
          <w:rFonts w:ascii="Times New Roman" w:hAnsi="Times New Roman" w:eastAsia="宋体" w:cs="Microsoft New Tai Lue"/>
          <w:b/>
          <w:sz w:val="24"/>
          <w:szCs w:val="24"/>
          <w:highlight w:val="none"/>
        </w:rPr>
        <w:outlineLvl w:val="2"/>
      </w:pPr>
      <w:r/>
      <w:bookmarkStart w:id="448" w:name="_Toc107246306"/>
      <w:r/>
      <w:bookmarkStart w:id="449" w:name="_Toc103848606"/>
      <w:r/>
      <w:bookmarkStart w:id="450" w:name="_Toc104560923"/>
      <w:r/>
      <w:bookmarkStart w:id="451" w:name="_Toc926425831"/>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446"/>
      <w:r/>
      <w:bookmarkEnd w:id="448"/>
      <w:r/>
      <w:bookmarkEnd w:id="449"/>
      <w:r/>
      <w:bookmarkEnd w:id="450"/>
      <w:r>
        <w:rPr>
          <w:rFonts w:ascii="Times New Roman" w:hAnsi="Times New Roman" w:eastAsia="宋体" w:cs="Microsoft New Tai Lue"/>
          <w:b/>
          <w:sz w:val="24"/>
          <w:szCs w:val="24"/>
          <w:highlight w:val="none"/>
        </w:rPr>
        <w:t xml:space="preserve">中小企业声明函（</w:t>
      </w:r>
      <w:r>
        <w:rPr>
          <w:rFonts w:hint="eastAsia" w:ascii="Times New Roman" w:hAnsi="Times New Roman" w:cs="Microsoft New Tai Lue"/>
          <w:b/>
          <w:sz w:val="24"/>
          <w:szCs w:val="24"/>
          <w:highlight w:val="none"/>
          <w:lang w:val="en-US" w:eastAsia="zh-CN"/>
        </w:rPr>
        <w:t xml:space="preserve">货物</w:t>
      </w:r>
      <w:r>
        <w:rPr>
          <w:rFonts w:ascii="Times New Roman" w:hAnsi="Times New Roman" w:eastAsia="宋体" w:cs="Microsoft New Tai Lue"/>
          <w:b/>
          <w:sz w:val="24"/>
          <w:szCs w:val="24"/>
          <w:highlight w:val="none"/>
        </w:rPr>
        <w:t xml:space="preserve">）</w:t>
      </w:r>
      <w:bookmarkEnd w:id="451"/>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430549790"/>
          <w:placeholder>
            <w:docPart w:val="{d92b02a0-d53e-48d2-b640-50e97b7a8a35}"/>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江苏省高速公路经营管理中心</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的</w:t>
      </w:r>
      <w:sdt>
        <w:sdtPr>
          <w15:appearance w15:val="boundingBox"/>
          <w:id w:val="377913787"/>
          <w:placeholder>
            <w:docPart w:val="{d92b02a0-d53e-48d2-b640-50e97b7a8a35}"/>
          </w:placeholde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sdtPr>
        <w:sdtContent>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2026年度高管中心防撞车采购项目</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1.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133368861"/>
          <w:placeholder>
            <w:docPart w:val="{d92b02a0-d53e-48d2-b640-50e97b7a8a35}"/>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 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w:t>
      </w: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2. </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，属于</w:t>
      </w:r>
      <w:sdt>
        <w:sdtPr>
          <w15:appearance w15:val="boundingBox"/>
          <w:id w:val="705003006"/>
          <w:placeholder>
            <w:docPart w:val="{3fd350f6-4892-476d-bdf7-cae1d92d0fd7}"/>
          </w:placeholder>
          <w:rPr>
            <w:rFonts w:hint="eastAsia" w:asciiTheme="minorEastAsia" w:hAnsiTheme="minorEastAsia" w:eastAsiaTheme="minorEastAsia" w:cstheme="minorEastAsia"/>
            <w:color w:val="000000" w:themeColor="text1"/>
            <w:position w:val="-2"/>
            <w:szCs w:val="21"/>
            <w14:textFill>
              <w14:solidFill>
                <w14:schemeClr w14:val="tx1"/>
              </w14:solidFill>
            </w14:textFill>
          </w:rPr>
        </w:sdtPr>
        <w:sdtContent>
          <w:r>
            <w:rPr>
              <w:rFonts w:hint="eastAsia" w:asciiTheme="minorEastAsia" w:hAnsiTheme="minorEastAsia" w:eastAsiaTheme="minorEastAsia" w:cstheme="minorEastAsia"/>
              <w:iCs/>
              <w:color w:val="000000" w:themeColor="text1"/>
              <w:position w:val="-2"/>
              <w:szCs w:val="21"/>
              <w:u w:val="single"/>
              <w14:textFill>
                <w14:solidFill>
                  <w14:schemeClr w14:val="tx1"/>
                </w14:solidFill>
              </w14:textFill>
            </w:rPr>
            <w:t xml:space="preserve">工业</w:t>
          </w:r>
        </w:sdtContent>
      </w:sdt>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行业；制造商（或工程</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承建/</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服务</w:t>
      </w:r>
      <w:r>
        <w:rPr>
          <w:rFonts w:hint="eastAsia" w:asciiTheme="minorEastAsia" w:hAnsiTheme="minorEastAsia" w:eastAsiaTheme="minorEastAsia" w:cstheme="minorEastAsia"/>
          <w:color w:val="000000" w:themeColor="text1"/>
          <w:spacing w:val="3"/>
          <w:szCs w:val="21"/>
          <w14:textFill>
            <w14:solidFill>
              <w14:schemeClr w14:val="tx1"/>
            </w14:solidFill>
          </w14:textFill>
        </w:rPr>
        <w:t xml:space="preserve">承接企业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）为</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ab/>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万元，属于</w:t>
      </w:r>
      <w:r>
        <w:rPr>
          <w:rFonts w:hint="eastAsia" w:asciiTheme="minorEastAsia" w:hAnsiTheme="minorEastAsia" w:eastAsiaTheme="minorEastAsia" w:cstheme="minorEastAsia"/>
          <w:i/>
          <w:color w:val="000000" w:themeColor="text1"/>
          <w:position w:val="-2"/>
          <w:szCs w:val="21"/>
          <w:u w:val="single"/>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本企业对上述声明内容的真实性负责。如有虚假，将依法承担相应责任。</w:t>
      </w:r>
      <w:r/>
    </w:p>
    <w:p>
      <w:pPr>
        <w:ind w:right="40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r>
      <w:r/>
    </w:p>
    <w:p>
      <w:pPr>
        <w:ind w:right="400" w:firstLine="3780"/>
        <w:spacing w:line="360" w:lineRule="auto"/>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企</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业</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名称</w:t>
      </w:r>
      <w:r>
        <w:rPr>
          <w:rFonts w:hint="eastAsia" w:asciiTheme="minorEastAsia" w:hAnsiTheme="minorEastAsia" w:eastAsiaTheme="minorEastAsia" w:cstheme="minorEastAsia"/>
          <w:color w:val="000000" w:themeColor="text1"/>
          <w:spacing w:val="3"/>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盖章</w:t>
      </w:r>
      <w:r>
        <w:rPr>
          <w:rFonts w:hint="eastAsia" w:asciiTheme="minorEastAsia" w:hAnsiTheme="minorEastAsia" w:eastAsiaTheme="minorEastAsia" w:cstheme="minorEastAsia"/>
          <w:color w:val="000000" w:themeColor="text1"/>
          <w:spacing w:val="-158"/>
          <w:position w:val="-2"/>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  ： </w:t>
      </w:r>
      <w:r>
        <w:rPr>
          <w:rFonts w:hint="eastAsia" w:asciiTheme="minorEastAsia" w:hAnsiTheme="minorEastAsia" w:eastAsiaTheme="minorEastAsia" w:cstheme="minorEastAsia"/>
          <w:color w:val="000000" w:themeColor="text1"/>
          <w:position w:val="-2"/>
          <w:szCs w:val="21"/>
          <w:u w:val="single"/>
          <w14:textFill>
            <w14:solidFill>
              <w14:schemeClr w14:val="tx1"/>
            </w14:solidFill>
          </w14:textFill>
        </w:rPr>
        <w:t xml:space="preserve">           </w:t>
      </w:r>
      <w:r/>
    </w:p>
    <w:p>
      <w:pPr>
        <w:ind w:right="420" w:firstLine="378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w:t>
      </w:r>
      <w:r/>
    </w:p>
    <w:p>
      <w:pPr>
        <w:ind w:right="420" w:firstLine="4200"/>
        <w:jc w:val="cente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ind w:right="-20"/>
        <w:spacing w:line="360" w:lineRule="auto"/>
        <w:rPr>
          <w:rFonts w:hint="eastAsia" w:asciiTheme="minorEastAsia" w:hAnsiTheme="minorEastAsia" w:eastAsiaTheme="minorEastAsia" w:cstheme="minorEastAsia"/>
          <w:color w:val="000000" w:themeColor="text1"/>
          <w:position w:val="-2"/>
          <w:szCs w:val="21"/>
          <w14:textFill>
            <w14:solidFill>
              <w14:schemeClr w14:val="tx1"/>
            </w14:solidFill>
          </w14:textFill>
        </w:rPr>
      </w:pPr>
      <w:r>
        <w:rPr>
          <w:rFonts w:hint="eastAsia" w:asciiTheme="minorEastAsia" w:hAnsiTheme="minorEastAsia" w:eastAsiaTheme="minorEastAsia" w:cstheme="minorEastAsia"/>
          <w:color w:val="000000" w:themeColor="text1"/>
          <w:position w:val="-2"/>
          <w:szCs w:val="21"/>
          <w:vertAlign w:val="superscript"/>
          <w14:textFill>
            <w14:solidFill>
              <w14:schemeClr w14:val="tx1"/>
            </w14:solidFill>
          </w14:textFill>
        </w:rPr>
        <w:t xml:space="preserve">1</w:t>
      </w:r>
      <w:r>
        <w:rPr>
          <w:rFonts w:hint="eastAsia" w:asciiTheme="minorEastAsia" w:hAnsiTheme="minorEastAsia" w:eastAsiaTheme="minorEastAsia" w:cstheme="minorEastAsia"/>
          <w:color w:val="000000" w:themeColor="text1"/>
          <w:position w:val="-2"/>
          <w:szCs w:val="21"/>
          <w14:textFill>
            <w14:solidFill>
              <w14:schemeClr w14:val="tx1"/>
            </w14:solidFill>
          </w14:textFill>
        </w:rPr>
        <w:t xml:space="preserve">从业人员、营业收入、资产总额填报上一年度数据，无上一年度数据的新成立企业可不填报。</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注：</w:t>
      </w:r>
      <w:r/>
    </w:p>
    <w:p>
      <w:pPr>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1. 本项目中小微企业划分标准为：</w:t>
      </w:r>
      <w:sdt>
        <w:sdtPr>
          <w15:appearance w15:val="boundingBox"/>
          <w:id w:val="87205353"/>
          <w:placeholder>
            <w:docPart w:val="{ab1c8881-f405-487e-81a8-43b95a0acdf4}"/>
          </w:placeholder>
          <w:rPr>
            <w:rFonts w:hint="eastAsia" w:asciiTheme="minorEastAsia" w:hAnsiTheme="minorEastAsia" w:eastAsiaTheme="minorEastAsia" w:cstheme="minorEastAsia"/>
            <w:b/>
            <w:color w:val="000000" w:themeColor="text1"/>
            <w:szCs w:val="21"/>
            <w14:textFill>
              <w14:solidFill>
                <w14:schemeClr w14:val="tx1"/>
              </w14:solidFill>
            </w14:textFill>
          </w:rPr>
        </w:sdtPr>
        <w:sdtContent>
          <w:r>
            <w:rPr>
              <w:rFonts w:hint="eastAsia" w:asciiTheme="minorEastAsia" w:hAnsiTheme="minorEastAsia" w:eastAsiaTheme="minorEastAsia" w:cstheme="minorEastAsia"/>
              <w:b/>
              <w:color w:val="000000" w:themeColor="text1"/>
              <w:szCs w:val="21"/>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themeColor="text1"/>
          <w:szCs w:val="21"/>
          <w14:textFill>
            <w14:solidFill>
              <w14:schemeClr w14:val="tx1"/>
            </w14:solidFill>
          </w14:textFill>
        </w:rPr>
        <w:t xml:space="preserve">。</w:t>
      </w:r>
      <w:r>
        <w:rPr>
          <w:color w:val="000000" w:themeColor="text1"/>
          <w14:textFill>
            <w14:solidFill>
              <w14:schemeClr w14:val="tx1"/>
            </w14:solidFill>
          </w14:textFill>
        </w:rPr>
        <w:br w:type="page" w:clear="all"/>
      </w:r>
      <w:r/>
    </w:p>
    <w:p>
      <w:pPr>
        <w:pStyle w:val="838"/>
        <w:ind w:left="455" w:hanging="241"/>
        <w:spacing w:before="0"/>
        <w:rPr>
          <w:rFonts w:hint="eastAsia" w:ascii="Times New Roman" w:hAnsi="Times New Roman" w:eastAsia="宋体" w:cs="Microsoft New Tai Lue"/>
          <w:bCs w:val="0"/>
          <w:sz w:val="24"/>
          <w:szCs w:val="24"/>
          <w:highlight w:val="none"/>
        </w:rPr>
        <w:outlineLvl w:val="2"/>
      </w:pPr>
      <w:r/>
      <w:bookmarkStart w:id="452" w:name="_Toc1182500867"/>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bookmarkEnd w:id="452"/>
      <w:r/>
      <w:r/>
    </w:p>
    <w:p>
      <w:pPr>
        <w:pStyle w:val="1024"/>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4"/>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838"/>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bookmarkStart w:id="453" w:name="_Toc1478402331"/>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bookmarkEnd w:id="453"/>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4"/>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bookmarkEnd w:id="447"/>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38"/>
        <w:ind w:left="455" w:hanging="241"/>
        <w:spacing w:before="0"/>
        <w:rPr>
          <w:rFonts w:hint="eastAsia" w:ascii="Times New Roman" w:hAnsi="Times New Roman" w:eastAsia="宋体" w:cs="Microsoft New Tai Lue"/>
          <w:bCs w:val="0"/>
          <w:sz w:val="24"/>
          <w:szCs w:val="24"/>
          <w:highlight w:val="none"/>
        </w:rPr>
        <w:outlineLvl w:val="2"/>
      </w:pPr>
      <w:r/>
      <w:bookmarkStart w:id="454" w:name="_Toc11678079"/>
      <w:r/>
      <w:bookmarkStart w:id="455" w:name="_Toc10472944"/>
      <w:r/>
      <w:bookmarkStart w:id="456" w:name="_Toc447021133"/>
      <w:r/>
      <w:bookmarkStart w:id="457" w:name="_Toc13233104"/>
      <w:r/>
      <w:bookmarkStart w:id="458" w:name="_Toc8742842"/>
      <w:r/>
      <w:bookmarkStart w:id="459" w:name="_Toc525720157"/>
      <w:r/>
      <w:bookmarkStart w:id="460" w:name="_Toc522290175"/>
      <w:r/>
      <w:bookmarkStart w:id="461" w:name="_Toc68159636"/>
      <w:r/>
      <w:bookmarkStart w:id="462" w:name="_Toc96347934"/>
      <w:r/>
      <w:bookmarkStart w:id="463" w:name="_Toc63695314"/>
      <w:r/>
      <w:bookmarkStart w:id="464" w:name="_Toc520719717"/>
      <w:r/>
      <w:bookmarkStart w:id="465" w:name="_Toc450220986"/>
      <w:r/>
      <w:bookmarkStart w:id="466" w:name="_Toc9515978"/>
      <w:r/>
      <w:bookmarkStart w:id="467" w:name="_Toc17097052"/>
      <w:r>
        <w:rPr>
          <w:rFonts w:hint="eastAsia" w:ascii="Times New Roman" w:hAnsi="Times New Roman" w:eastAsia="宋体" w:cs="Microsoft New Tai Lue"/>
          <w:bCs w:val="0"/>
          <w:sz w:val="24"/>
          <w:szCs w:val="24"/>
          <w:highlight w:val="none"/>
        </w:rPr>
        <w:br w:type="page" w:clear="all"/>
      </w:r>
      <w:bookmarkStart w:id="468" w:name="_Toc1122181327"/>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符合本国产品标准的声明函</w:t>
      </w:r>
      <w:bookmarkEnd w:id="468"/>
      <w:r/>
      <w:r/>
    </w:p>
    <w:p>
      <w:pPr>
        <w:pStyle w:val="83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3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3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37"/>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37"/>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3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37"/>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37"/>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37"/>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3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3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7"/>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p>
    <w:p>
      <w:pPr>
        <w:ind w:left="455" w:hanging="241"/>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rPr>
          <w:rFonts w:hint="eastAsia" w:ascii="Times New Roman" w:hAnsi="Times New Roman" w:eastAsia="宋体" w:cs="Microsoft New Tai Lue"/>
          <w:highlight w:val="none"/>
          <w:lang w:val="en-US" w:eastAsia="zh-CN"/>
        </w:rPr>
      </w:pPr>
      <w:r/>
      <w:bookmarkStart w:id="469" w:name="_Toc100905295"/>
      <w:r/>
      <w:bookmarkStart w:id="470" w:name="_Toc103848607"/>
      <w:r/>
      <w:bookmarkStart w:id="471" w:name="_Toc107246307"/>
      <w:r/>
      <w:bookmarkStart w:id="472" w:name="_Toc104560924"/>
      <w:r>
        <w:rPr>
          <w:rFonts w:hint="eastAsia" w:ascii="Times New Roman" w:hAnsi="Times New Roman" w:eastAsia="宋体" w:cs="Microsoft New Tai Lue"/>
          <w:highlight w:val="none"/>
          <w:lang w:val="en-US" w:eastAsia="zh-CN"/>
        </w:rPr>
        <w:br w:type="page" w:clear="all"/>
      </w:r>
      <w:r/>
    </w:p>
    <w:p>
      <w:pPr>
        <w:pStyle w:val="838"/>
        <w:rPr>
          <w:rFonts w:ascii="Times New Roman" w:hAnsi="Times New Roman" w:eastAsia="宋体" w:cs="Microsoft New Tai Lue"/>
          <w:highlight w:val="none"/>
        </w:rPr>
        <w:outlineLvl w:val="1"/>
      </w:pPr>
      <w:r/>
      <w:bookmarkStart w:id="473" w:name="_Toc1300174935"/>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69"/>
      <w:r>
        <w:rPr>
          <w:rFonts w:ascii="Times New Roman" w:hAnsi="Times New Roman" w:eastAsia="宋体" w:cs="Microsoft New Tai Lue"/>
          <w:highlight w:val="none"/>
        </w:rPr>
        <w:t xml:space="preserve">文件或证明材料</w:t>
      </w:r>
      <w:bookmarkEnd w:id="470"/>
      <w:r/>
      <w:bookmarkEnd w:id="471"/>
      <w:r/>
      <w:bookmarkEnd w:id="472"/>
      <w:r/>
      <w:bookmarkEnd w:id="473"/>
      <w:r/>
      <w:r/>
    </w:p>
    <w:p>
      <w:pPr>
        <w:pStyle w:val="838"/>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74" w:name="_Toc103848608"/>
      <w:r/>
      <w:bookmarkStart w:id="475" w:name="_Toc1394024320"/>
      <w:r/>
      <w:bookmarkStart w:id="476" w:name="_Toc104560925"/>
      <w:r/>
      <w:bookmarkStart w:id="477" w:name="_Toc1072463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74"/>
      <w:r/>
      <w:bookmarkEnd w:id="475"/>
      <w:r/>
      <w:bookmarkEnd w:id="476"/>
      <w:r/>
      <w:bookmarkEnd w:id="477"/>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 New Roman (正文 CS 字体)">
    <w:panose1 w:val="02020603050405020304"/>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等线 Light">
    <w:panose1 w:val="02010600030101010101"/>
  </w:font>
  <w:font w:name="等线">
    <w:panose1 w:val="02010600030101010101"/>
  </w:font>
  <w:font w:name="方正楷体_GB2312">
    <w:panose1 w:val="020B0503020202020204"/>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7"/>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7"/>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27"/>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2026年度高管中心防撞车采购项目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1">
      <w:start w:val="1"/>
      <w:numFmt w:val="decimal"/>
      <w:pStyle w:val="1069"/>
      <w:isLgl w:val="false"/>
      <w:suff w:val="tab"/>
      <w:lvlText w:val="%1.%2"/>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2">
      <w:start w:val="1"/>
      <w:numFmt w:val="decimal"/>
      <w:isLgl w:val="false"/>
      <w:suff w:val="tab"/>
      <w:lvlText w:val="%1.%2.%3"/>
      <w:lvlJc w:val="left"/>
      <w:pPr>
        <w:ind w:left="0" w:firstLine="482"/>
        <w:tabs>
          <w:tab w:val="left" w:pos="420" w:leader="none"/>
        </w:tabs>
      </w:pPr>
      <w:rPr>
        <w:rFonts w:hint="eastAsia" w:ascii="宋体" w:hAnsi="宋体" w:eastAsia="宋体"/>
        <w:b w:val="0"/>
        <w:i w:val="0"/>
        <w:caps w:val="0"/>
        <w:strike w:val="0"/>
        <w:vanish w:val="0"/>
        <w:sz w:val="24"/>
        <w:vertAlign w:val="baseline"/>
      </w:rPr>
    </w:lvl>
    <w:lvl w:ilvl="3">
      <w:start w:val="1"/>
      <w:numFmt w:val="decimal"/>
      <w:isLgl w:val="false"/>
      <w:suff w:val="tab"/>
      <w:lvlText w:val="%1.%2.%3.%4"/>
      <w:lvlJc w:val="left"/>
      <w:pPr>
        <w:ind w:left="0" w:firstLine="0"/>
      </w:pPr>
      <w:rPr>
        <w:rFonts w:hint="eastAsia" w:ascii="宋体" w:hAnsi="宋体" w:eastAsia="宋体"/>
        <w:b w:val="0"/>
        <w:i w:val="0"/>
        <w:caps w:val="0"/>
        <w:strike w:val="0"/>
        <w:vanish w:val="0"/>
        <w:sz w:val="24"/>
        <w:vertAlign w:val="baseline"/>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997"/>
    <w:uiPriority w:val="0"/>
    <w:qFormat/>
    <w:pPr>
      <w:ind w:left="100" w:right="100"/>
      <w:keepLines/>
      <w:keepNext/>
      <w:spacing w:before="120" w:after="120"/>
      <w:outlineLvl w:val="0"/>
    </w:pPr>
    <w:rPr>
      <w:b/>
      <w:bCs/>
      <w:szCs w:val="44"/>
    </w:rPr>
  </w:style>
  <w:style w:type="paragraph" w:styleId="800">
    <w:name w:val="Heading 2"/>
    <w:basedOn w:val="798"/>
    <w:next w:val="798"/>
    <w:link w:val="999"/>
    <w:uiPriority w:val="0"/>
    <w:qFormat/>
    <w:pPr>
      <w:keepLines/>
      <w:keepNext/>
      <w:spacing w:before="260" w:after="260" w:line="416" w:lineRule="auto"/>
      <w:outlineLvl w:val="1"/>
    </w:pPr>
    <w:rPr>
      <w:rFonts w:ascii="等线 Light" w:hAnsi="等线 Light" w:eastAsia="等线 Light"/>
      <w:b/>
      <w:bCs/>
      <w:sz w:val="32"/>
      <w:szCs w:val="32"/>
    </w:rPr>
  </w:style>
  <w:style w:type="paragraph" w:styleId="801">
    <w:name w:val="Heading 3"/>
    <w:basedOn w:val="798"/>
    <w:next w:val="798"/>
    <w:link w:val="1000"/>
    <w:uiPriority w:val="9"/>
    <w:qFormat/>
    <w:pPr>
      <w:keepLines/>
      <w:keepNext/>
      <w:spacing w:before="260" w:after="260" w:line="416" w:lineRule="auto"/>
      <w:outlineLvl w:val="2"/>
    </w:pPr>
    <w:rPr>
      <w:b/>
      <w:bCs/>
      <w:sz w:val="32"/>
      <w:szCs w:val="32"/>
    </w:rPr>
  </w:style>
  <w:style w:type="paragraph" w:styleId="802">
    <w:name w:val="Heading 4"/>
    <w:basedOn w:val="798"/>
    <w:next w:val="798"/>
    <w:link w:val="1001"/>
    <w:uiPriority w:val="0"/>
    <w:qFormat/>
    <w:pPr>
      <w:keepLines/>
      <w:keepNext/>
      <w:spacing w:before="280" w:after="290" w:line="376" w:lineRule="auto"/>
      <w:outlineLvl w:val="3"/>
    </w:pPr>
    <w:rPr>
      <w:rFonts w:ascii="等线 Light" w:hAnsi="等线 Light" w:eastAsia="等线 Light"/>
      <w:b/>
      <w:bCs/>
      <w:sz w:val="28"/>
      <w:szCs w:val="28"/>
    </w:rPr>
  </w:style>
  <w:style w:type="paragraph" w:styleId="803">
    <w:name w:val="Heading 5"/>
    <w:basedOn w:val="798"/>
    <w:next w:val="798"/>
    <w:link w:val="854"/>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1002"/>
    <w:uiPriority w:val="0"/>
    <w:qFormat/>
    <w:pPr>
      <w:keepLines/>
      <w:keepNext/>
      <w:spacing w:before="240" w:after="64" w:line="320" w:lineRule="auto"/>
      <w:outlineLvl w:val="5"/>
    </w:pPr>
    <w:rPr>
      <w:rFonts w:ascii="等线 Light" w:hAnsi="等线 Light" w:eastAsia="等线 Light"/>
      <w:b/>
      <w:bCs/>
      <w:sz w:val="24"/>
    </w:rPr>
  </w:style>
  <w:style w:type="paragraph" w:styleId="805">
    <w:name w:val="Heading 7"/>
    <w:basedOn w:val="798"/>
    <w:next w:val="798"/>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1003"/>
    <w:uiPriority w:val="0"/>
    <w:qFormat/>
    <w:pPr>
      <w:keepLines/>
      <w:keepNext/>
      <w:spacing w:before="240" w:after="64" w:line="320" w:lineRule="auto"/>
      <w:outlineLvl w:val="7"/>
    </w:pPr>
    <w:rPr>
      <w:rFonts w:ascii="等线 Light" w:hAnsi="等线 Light" w:eastAsia="等线 Light"/>
      <w:sz w:val="24"/>
    </w:rPr>
  </w:style>
  <w:style w:type="paragraph" w:styleId="807">
    <w:name w:val="Heading 9"/>
    <w:basedOn w:val="798"/>
    <w:next w:val="798"/>
    <w:link w:val="85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uiPriority w:val="0"/>
    <w:qFormat/>
    <w:pPr>
      <w:contextualSpacing/>
      <w:ind w:left="100" w:hanging="200"/>
      <w:jc w:val="left"/>
      <w:widowControl/>
    </w:pPr>
    <w:rPr>
      <w:sz w:val="20"/>
      <w:szCs w:val="20"/>
    </w:rPr>
  </w:style>
  <w:style w:type="paragraph" w:styleId="811">
    <w:name w:val="toc 7"/>
    <w:basedOn w:val="798"/>
    <w:next w:val="798"/>
    <w:uiPriority w:val="39"/>
    <w:unhideWhenUsed/>
    <w:qFormat/>
    <w:pPr>
      <w:ind w:left="2520"/>
    </w:pPr>
    <w:rPr>
      <w:rFonts w:ascii="等线" w:hAnsi="等线" w:eastAsia="等线"/>
      <w:szCs w:val="22"/>
    </w:rPr>
  </w:style>
  <w:style w:type="paragraph" w:styleId="812">
    <w:name w:val="Normal Indent"/>
    <w:basedOn w:val="798"/>
    <w:link w:val="1004"/>
    <w:uiPriority w:val="99"/>
    <w:qFormat/>
    <w:pPr>
      <w:ind w:firstLine="420"/>
    </w:pPr>
    <w:rPr>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8"/>
    <w:link w:val="1005"/>
    <w:uiPriority w:val="0"/>
    <w:qFormat/>
    <w:pPr>
      <w:shd w:val="clear" w:color="auto" w:fill="000080"/>
    </w:pPr>
  </w:style>
  <w:style w:type="paragraph" w:styleId="815">
    <w:name w:val="annotation text"/>
    <w:basedOn w:val="798"/>
    <w:link w:val="1006"/>
    <w:uiPriority w:val="0"/>
    <w:qFormat/>
    <w:pPr>
      <w:jc w:val="left"/>
    </w:pPr>
  </w:style>
  <w:style w:type="paragraph" w:styleId="816">
    <w:name w:val="Body Text"/>
    <w:basedOn w:val="798"/>
    <w:link w:val="1007"/>
    <w:uiPriority w:val="1"/>
    <w:qFormat/>
    <w:pPr>
      <w:spacing w:after="120"/>
    </w:pPr>
  </w:style>
  <w:style w:type="paragraph" w:styleId="817">
    <w:name w:val="Body Text Indent"/>
    <w:basedOn w:val="798"/>
    <w:next w:val="798"/>
    <w:uiPriority w:val="0"/>
    <w:qFormat/>
    <w:pPr>
      <w:ind w:left="420"/>
      <w:spacing w:after="120"/>
    </w:pPr>
  </w:style>
  <w:style w:type="paragraph" w:styleId="818">
    <w:name w:val="index 4"/>
    <w:basedOn w:val="798"/>
    <w:next w:val="798"/>
    <w:uiPriority w:val="99"/>
    <w:unhideWhenUsed/>
    <w:qFormat/>
    <w:pPr>
      <w:ind w:left="600"/>
    </w:pPr>
    <w:rPr>
      <w:rFonts w:ascii="宋体"/>
      <w:b/>
      <w:position w:val="-10"/>
      <w:sz w:val="24"/>
      <w:szCs w:val="20"/>
    </w:rPr>
  </w:style>
  <w:style w:type="paragraph" w:styleId="819">
    <w:name w:val="toc 5"/>
    <w:basedOn w:val="798"/>
    <w:next w:val="798"/>
    <w:uiPriority w:val="39"/>
    <w:unhideWhenUsed/>
    <w:qFormat/>
    <w:pPr>
      <w:ind w:left="1680"/>
    </w:pPr>
    <w:rPr>
      <w:rFonts w:ascii="等线" w:hAnsi="等线" w:eastAsia="等线"/>
      <w:szCs w:val="22"/>
    </w:rPr>
  </w:style>
  <w:style w:type="paragraph" w:styleId="820">
    <w:name w:val="toc 3"/>
    <w:basedOn w:val="798"/>
    <w:next w:val="798"/>
    <w:uiPriority w:val="39"/>
    <w:unhideWhenUsed/>
    <w:qFormat/>
    <w:pPr>
      <w:ind w:left="440"/>
      <w:jc w:val="left"/>
      <w:spacing w:after="100" w:line="259" w:lineRule="auto"/>
      <w:widowControl/>
    </w:pPr>
    <w:rPr>
      <w:rFonts w:ascii="等线" w:hAnsi="等线" w:eastAsia="等线"/>
      <w:sz w:val="22"/>
      <w:szCs w:val="22"/>
    </w:rPr>
  </w:style>
  <w:style w:type="paragraph" w:styleId="821">
    <w:name w:val="Plain Text"/>
    <w:basedOn w:val="798"/>
    <w:link w:val="1008"/>
    <w:uiPriority w:val="0"/>
    <w:qFormat/>
    <w:rPr>
      <w:rFonts w:ascii="宋体" w:hAnsi="Courier New" w:cs="Courier New"/>
      <w:szCs w:val="21"/>
    </w:rPr>
  </w:style>
  <w:style w:type="paragraph" w:styleId="822">
    <w:name w:val="toc 8"/>
    <w:basedOn w:val="798"/>
    <w:next w:val="798"/>
    <w:uiPriority w:val="39"/>
    <w:unhideWhenUsed/>
    <w:qFormat/>
    <w:pPr>
      <w:ind w:left="2940"/>
    </w:pPr>
    <w:rPr>
      <w:rFonts w:ascii="等线" w:hAnsi="等线" w:eastAsia="等线"/>
      <w:szCs w:val="22"/>
    </w:rPr>
  </w:style>
  <w:style w:type="paragraph" w:styleId="823">
    <w:name w:val="Date"/>
    <w:basedOn w:val="798"/>
    <w:next w:val="798"/>
    <w:link w:val="1009"/>
    <w:uiPriority w:val="0"/>
    <w:qFormat/>
    <w:rPr>
      <w:sz w:val="24"/>
      <w:szCs w:val="20"/>
    </w:rPr>
  </w:style>
  <w:style w:type="paragraph" w:styleId="824">
    <w:name w:val="endnote text"/>
    <w:basedOn w:val="798"/>
    <w:link w:val="994"/>
    <w:uiPriority w:val="99"/>
    <w:semiHidden/>
    <w:unhideWhenUsed/>
    <w:qFormat/>
    <w:pPr>
      <w:spacing w:after="0" w:line="240" w:lineRule="auto"/>
    </w:pPr>
    <w:rPr>
      <w:sz w:val="20"/>
    </w:rPr>
  </w:style>
  <w:style w:type="paragraph" w:styleId="825">
    <w:name w:val="Balloon Text"/>
    <w:basedOn w:val="798"/>
    <w:link w:val="1010"/>
    <w:uiPriority w:val="0"/>
    <w:qFormat/>
    <w:rPr>
      <w:sz w:val="18"/>
      <w:szCs w:val="18"/>
    </w:rPr>
  </w:style>
  <w:style w:type="paragraph" w:styleId="826">
    <w:name w:val="Footer"/>
    <w:basedOn w:val="798"/>
    <w:link w:val="1011"/>
    <w:uiPriority w:val="0"/>
    <w:qFormat/>
    <w:pPr>
      <w:jc w:val="left"/>
      <w:tabs>
        <w:tab w:val="center" w:pos="4153" w:leader="none"/>
        <w:tab w:val="right" w:pos="8306" w:leader="none"/>
      </w:tabs>
    </w:pPr>
    <w:rPr>
      <w:sz w:val="18"/>
      <w:szCs w:val="18"/>
    </w:rPr>
  </w:style>
  <w:style w:type="paragraph" w:styleId="827">
    <w:name w:val="Header"/>
    <w:basedOn w:val="798"/>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8"/>
    <w:next w:val="798"/>
    <w:uiPriority w:val="39"/>
    <w:qFormat/>
    <w:rPr>
      <w:rFonts w:ascii="仿宋_GB2312" w:eastAsia="仿宋_GB2312"/>
      <w:sz w:val="24"/>
    </w:rPr>
  </w:style>
  <w:style w:type="paragraph" w:styleId="829">
    <w:name w:val="toc 4"/>
    <w:basedOn w:val="798"/>
    <w:next w:val="798"/>
    <w:uiPriority w:val="39"/>
    <w:unhideWhenUsed/>
    <w:qFormat/>
    <w:pPr>
      <w:ind w:left="1260"/>
    </w:pPr>
    <w:rPr>
      <w:rFonts w:ascii="等线" w:hAnsi="等线" w:eastAsia="等线"/>
      <w:szCs w:val="22"/>
    </w:rPr>
  </w:style>
  <w:style w:type="paragraph" w:styleId="830">
    <w:name w:val="Subtitle"/>
    <w:basedOn w:val="798"/>
    <w:next w:val="798"/>
    <w:link w:val="860"/>
    <w:uiPriority w:val="11"/>
    <w:qFormat/>
    <w:pPr>
      <w:spacing w:before="200" w:after="200"/>
    </w:pPr>
    <w:rPr>
      <w:sz w:val="24"/>
      <w:szCs w:val="24"/>
    </w:rPr>
  </w:style>
  <w:style w:type="paragraph" w:styleId="831">
    <w:name w:val="footnote text"/>
    <w:basedOn w:val="798"/>
    <w:uiPriority w:val="99"/>
    <w:qFormat/>
    <w:rPr>
      <w:sz w:val="18"/>
    </w:rPr>
  </w:style>
  <w:style w:type="paragraph" w:styleId="832">
    <w:name w:val="toc 6"/>
    <w:basedOn w:val="798"/>
    <w:next w:val="798"/>
    <w:uiPriority w:val="39"/>
    <w:unhideWhenUsed/>
    <w:qFormat/>
    <w:pPr>
      <w:ind w:left="2100"/>
    </w:pPr>
    <w:rPr>
      <w:rFonts w:ascii="等线" w:hAnsi="等线" w:eastAsia="等线"/>
      <w:szCs w:val="22"/>
    </w:rPr>
  </w:style>
  <w:style w:type="paragraph" w:styleId="833">
    <w:name w:val="table of figures"/>
    <w:basedOn w:val="798"/>
    <w:next w:val="798"/>
    <w:uiPriority w:val="99"/>
    <w:unhideWhenUsed/>
    <w:qFormat/>
    <w:pPr>
      <w:spacing w:after="0" w:afterAutospacing="0"/>
    </w:pPr>
  </w:style>
  <w:style w:type="paragraph" w:styleId="834">
    <w:name w:val="toc 2"/>
    <w:basedOn w:val="798"/>
    <w:next w:val="798"/>
    <w:uiPriority w:val="39"/>
    <w:unhideWhenUsed/>
    <w:qFormat/>
    <w:pPr>
      <w:ind w:left="220"/>
      <w:jc w:val="left"/>
      <w:spacing w:after="100" w:line="259" w:lineRule="auto"/>
      <w:widowControl/>
    </w:pPr>
    <w:rPr>
      <w:rFonts w:ascii="等线" w:hAnsi="等线" w:eastAsia="等线"/>
      <w:sz w:val="22"/>
      <w:szCs w:val="22"/>
    </w:rPr>
  </w:style>
  <w:style w:type="paragraph" w:styleId="835">
    <w:name w:val="toc 9"/>
    <w:basedOn w:val="798"/>
    <w:next w:val="798"/>
    <w:uiPriority w:val="39"/>
    <w:unhideWhenUsed/>
    <w:qFormat/>
    <w:pPr>
      <w:ind w:left="3360"/>
    </w:pPr>
    <w:rPr>
      <w:rFonts w:ascii="等线" w:hAnsi="等线" w:eastAsia="等线"/>
      <w:szCs w:val="22"/>
    </w:rPr>
  </w:style>
  <w:style w:type="paragraph" w:styleId="836">
    <w:name w:val="Body Text 2"/>
    <w:basedOn w:val="798"/>
    <w:link w:val="1013"/>
    <w:uiPriority w:val="0"/>
    <w:qFormat/>
    <w:pPr>
      <w:spacing w:after="120" w:line="480" w:lineRule="auto"/>
    </w:pPr>
    <w:rPr>
      <w:rFonts w:ascii="Calibri" w:hAnsi="Calibri"/>
    </w:rPr>
  </w:style>
  <w:style w:type="paragraph" w:styleId="837">
    <w:name w:val="Normal (Web)"/>
    <w:basedOn w:val="798"/>
    <w:link w:val="1014"/>
    <w:uiPriority w:val="99"/>
    <w:qFormat/>
    <w:pPr>
      <w:ind w:firstLine="425"/>
      <w:shd w:val="clear" w:color="auto" w:fill="ffffff"/>
      <w:widowControl/>
    </w:pPr>
    <w:rPr>
      <w:sz w:val="24"/>
    </w:rPr>
  </w:style>
  <w:style w:type="paragraph" w:styleId="838">
    <w:name w:val="Title"/>
    <w:basedOn w:val="798"/>
    <w:next w:val="798"/>
    <w:link w:val="1015"/>
    <w:uiPriority w:val="0"/>
    <w:qFormat/>
    <w:pPr>
      <w:jc w:val="center"/>
      <w:spacing w:before="240" w:after="60"/>
      <w:outlineLvl w:val="0"/>
    </w:pPr>
    <w:rPr>
      <w:rFonts w:ascii="等线 Light" w:hAnsi="等线 Light"/>
      <w:b/>
      <w:bCs/>
      <w:sz w:val="32"/>
      <w:szCs w:val="32"/>
    </w:rPr>
  </w:style>
  <w:style w:type="paragraph" w:styleId="839">
    <w:name w:val="annotation subject"/>
    <w:basedOn w:val="815"/>
    <w:next w:val="815"/>
    <w:link w:val="1016"/>
    <w:uiPriority w:val="0"/>
    <w:qFormat/>
    <w:rPr>
      <w:b/>
      <w:bCs/>
    </w:rPr>
  </w:style>
  <w:style w:type="paragraph" w:styleId="840">
    <w:name w:val="Body Text First Indent"/>
    <w:basedOn w:val="816"/>
    <w:uiPriority w:val="0"/>
    <w:qFormat/>
    <w:pPr>
      <w:ind w:firstLine="480"/>
      <w:jc w:val="left"/>
    </w:pPr>
    <w:rPr>
      <w:rFonts w:ascii="仿宋_GB2312" w:hAnsi="Times New Roman" w:eastAsia="仿宋_GB2312" w:cs="Times New Roman"/>
      <w:szCs w:val="20"/>
      <w:lang w:val="en-US" w:bidi="ar-SA"/>
    </w:rPr>
  </w:style>
  <w:style w:type="paragraph" w:styleId="841">
    <w:name w:val="Body Text First Indent 2"/>
    <w:basedOn w:val="798"/>
    <w:uiPriority w:val="0"/>
    <w:qFormat/>
    <w:pPr>
      <w:ind w:firstLine="420"/>
      <w:spacing w:line="360" w:lineRule="auto"/>
    </w:pPr>
    <w:rPr>
      <w:rFonts w:ascii="宋体" w:hAnsi="宋体"/>
      <w:szCs w:val="20"/>
    </w:rPr>
  </w:style>
  <w:style w:type="table" w:styleId="842">
    <w:name w:val="Table Grid"/>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43">
    <w:name w:val="Strong"/>
    <w:uiPriority w:val="0"/>
    <w:qFormat/>
    <w:rPr>
      <w:b/>
      <w:bCs/>
    </w:rPr>
  </w:style>
  <w:style w:type="character" w:styleId="844">
    <w:name w:val="endnote reference"/>
    <w:basedOn w:val="808"/>
    <w:uiPriority w:val="99"/>
    <w:semiHidden/>
    <w:unhideWhenUsed/>
    <w:qFormat/>
    <w:rPr>
      <w:vertAlign w:val="superscript"/>
    </w:rPr>
  </w:style>
  <w:style w:type="character" w:styleId="845">
    <w:name w:val="page number"/>
    <w:uiPriority w:val="0"/>
    <w:qFormat/>
  </w:style>
  <w:style w:type="character" w:styleId="846">
    <w:name w:val="Emphasis"/>
    <w:uiPriority w:val="0"/>
    <w:qFormat/>
    <w:rPr>
      <w:i/>
      <w:iCs/>
    </w:rPr>
  </w:style>
  <w:style w:type="character" w:styleId="847">
    <w:name w:val="Hyperlink"/>
    <w:basedOn w:val="808"/>
    <w:uiPriority w:val="99"/>
    <w:qFormat/>
    <w:rPr>
      <w:color w:val="auto"/>
      <w:u w:val="none"/>
    </w:rPr>
  </w:style>
  <w:style w:type="character" w:styleId="848">
    <w:name w:val="annotation reference"/>
    <w:uiPriority w:val="0"/>
    <w:qFormat/>
    <w:rPr>
      <w:sz w:val="21"/>
      <w:szCs w:val="21"/>
    </w:rPr>
  </w:style>
  <w:style w:type="character" w:styleId="849">
    <w:name w:val="footnote reference"/>
    <w:basedOn w:val="808"/>
    <w:uiPriority w:val="99"/>
    <w:unhideWhenUsed/>
    <w:qFormat/>
    <w:rPr>
      <w:vertAlign w:val="superscript"/>
    </w:rPr>
  </w:style>
  <w:style w:type="character" w:styleId="850" w:customStyle="1">
    <w:name w:val="Heading 1 Char"/>
    <w:basedOn w:val="808"/>
    <w:uiPriority w:val="9"/>
    <w:rPr>
      <w:rFonts w:ascii="Arial" w:hAnsi="Arial" w:eastAsia="Arial" w:cs="Arial"/>
      <w:sz w:val="40"/>
      <w:szCs w:val="40"/>
    </w:rPr>
  </w:style>
  <w:style w:type="character" w:styleId="851" w:customStyle="1">
    <w:name w:val="Heading 2 Char"/>
    <w:basedOn w:val="808"/>
    <w:uiPriority w:val="9"/>
    <w:rPr>
      <w:rFonts w:ascii="Arial" w:hAnsi="Arial" w:eastAsia="Arial" w:cs="Arial"/>
      <w:sz w:val="34"/>
    </w:rPr>
  </w:style>
  <w:style w:type="character" w:styleId="852" w:customStyle="1">
    <w:name w:val="Heading 3 Char"/>
    <w:basedOn w:val="808"/>
    <w:uiPriority w:val="9"/>
    <w:qFormat/>
    <w:rPr>
      <w:rFonts w:ascii="Arial" w:hAnsi="Arial" w:eastAsia="Arial" w:cs="Arial"/>
      <w:sz w:val="30"/>
      <w:szCs w:val="30"/>
    </w:rPr>
  </w:style>
  <w:style w:type="character" w:styleId="853" w:customStyle="1">
    <w:name w:val="Heading 4 Char"/>
    <w:basedOn w:val="808"/>
    <w:uiPriority w:val="9"/>
    <w:rPr>
      <w:rFonts w:ascii="Arial" w:hAnsi="Arial" w:eastAsia="Arial" w:cs="Arial"/>
      <w:b/>
      <w:bCs/>
      <w:sz w:val="26"/>
      <w:szCs w:val="26"/>
    </w:rPr>
  </w:style>
  <w:style w:type="character" w:styleId="854" w:customStyle="1">
    <w:name w:val="Heading 5 Char"/>
    <w:basedOn w:val="808"/>
    <w:link w:val="803"/>
    <w:uiPriority w:val="9"/>
    <w:qFormat/>
    <w:rPr>
      <w:rFonts w:ascii="Arial" w:hAnsi="Arial" w:eastAsia="Arial" w:cs="Arial"/>
      <w:b/>
      <w:bCs/>
      <w:sz w:val="24"/>
      <w:szCs w:val="24"/>
    </w:rPr>
  </w:style>
  <w:style w:type="character" w:styleId="855" w:customStyle="1">
    <w:name w:val="Heading 6 Char"/>
    <w:basedOn w:val="808"/>
    <w:uiPriority w:val="9"/>
    <w:qFormat/>
    <w:rPr>
      <w:rFonts w:ascii="Arial" w:hAnsi="Arial" w:eastAsia="Arial" w:cs="Arial"/>
      <w:b/>
      <w:bCs/>
      <w:sz w:val="22"/>
      <w:szCs w:val="22"/>
    </w:rPr>
  </w:style>
  <w:style w:type="character" w:styleId="856" w:customStyle="1">
    <w:name w:val="Heading 7 Char"/>
    <w:basedOn w:val="808"/>
    <w:link w:val="805"/>
    <w:uiPriority w:val="9"/>
    <w:qFormat/>
    <w:rPr>
      <w:rFonts w:ascii="Arial" w:hAnsi="Arial" w:eastAsia="Arial" w:cs="Arial"/>
      <w:b/>
      <w:bCs/>
      <w:i/>
      <w:iCs/>
      <w:sz w:val="22"/>
      <w:szCs w:val="22"/>
    </w:rPr>
  </w:style>
  <w:style w:type="character" w:styleId="857" w:customStyle="1">
    <w:name w:val="Heading 8 Char"/>
    <w:basedOn w:val="808"/>
    <w:uiPriority w:val="9"/>
    <w:qFormat/>
    <w:rPr>
      <w:rFonts w:ascii="Arial" w:hAnsi="Arial" w:eastAsia="Arial" w:cs="Arial"/>
      <w:i/>
      <w:iCs/>
      <w:sz w:val="22"/>
      <w:szCs w:val="22"/>
    </w:rPr>
  </w:style>
  <w:style w:type="character" w:styleId="858" w:customStyle="1">
    <w:name w:val="Heading 9 Char"/>
    <w:basedOn w:val="808"/>
    <w:link w:val="807"/>
    <w:uiPriority w:val="9"/>
    <w:qFormat/>
    <w:rPr>
      <w:rFonts w:ascii="Arial" w:hAnsi="Arial" w:eastAsia="Arial" w:cs="Arial"/>
      <w:i/>
      <w:iCs/>
      <w:sz w:val="21"/>
      <w:szCs w:val="21"/>
    </w:rPr>
  </w:style>
  <w:style w:type="character" w:styleId="859" w:customStyle="1">
    <w:name w:val="Title Char"/>
    <w:basedOn w:val="808"/>
    <w:uiPriority w:val="10"/>
    <w:qFormat/>
    <w:rPr>
      <w:sz w:val="48"/>
      <w:szCs w:val="48"/>
    </w:rPr>
  </w:style>
  <w:style w:type="character" w:styleId="860" w:customStyle="1">
    <w:name w:val="Subtitle Char"/>
    <w:basedOn w:val="808"/>
    <w:link w:val="830"/>
    <w:uiPriority w:val="11"/>
    <w:qFormat/>
    <w:rPr>
      <w:sz w:val="24"/>
      <w:szCs w:val="24"/>
    </w:rPr>
  </w:style>
  <w:style w:type="paragraph" w:styleId="861">
    <w:name w:val="Quote"/>
    <w:basedOn w:val="798"/>
    <w:next w:val="798"/>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98"/>
    <w:next w:val="798"/>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basedOn w:val="808"/>
    <w:uiPriority w:val="99"/>
    <w:qFormat/>
  </w:style>
  <w:style w:type="character" w:styleId="866" w:customStyle="1">
    <w:name w:val="Footer Char"/>
    <w:basedOn w:val="808"/>
    <w:uiPriority w:val="99"/>
    <w:qFormat/>
  </w:style>
  <w:style w:type="character" w:styleId="867" w:customStyle="1">
    <w:name w:val="Caption Char"/>
    <w:uiPriority w:val="99"/>
    <w:qFormat/>
  </w:style>
  <w:style w:type="table" w:styleId="868" w:customStyle="1">
    <w:name w:val="Table Grid Light"/>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80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80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8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8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8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8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8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8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8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8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8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8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8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8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8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8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8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8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8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8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8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8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8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8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8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8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8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8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8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8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8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8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8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8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8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8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8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8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8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8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8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8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8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8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8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8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8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8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8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8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8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8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8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8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8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8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8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8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8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8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8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8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8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8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8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8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Footnote Text Char"/>
    <w:uiPriority w:val="99"/>
    <w:qFormat/>
    <w:rPr>
      <w:sz w:val="18"/>
    </w:rPr>
  </w:style>
  <w:style w:type="character" w:styleId="994" w:customStyle="1">
    <w:name w:val="Endnote Text Char"/>
    <w:link w:val="824"/>
    <w:uiPriority w:val="99"/>
    <w:qFormat/>
    <w:rPr>
      <w:sz w:val="20"/>
    </w:rPr>
  </w:style>
  <w:style w:type="paragraph" w:styleId="995" w:customStyle="1">
    <w:name w:val="TOC Heading"/>
    <w:uiPriority w:val="39"/>
    <w:unhideWhenUsed/>
    <w:qFormat/>
    <w:rPr>
      <w:rFonts w:hint="default" w:ascii="Times New Roman" w:hAnsi="Times New Roman" w:eastAsia="宋体" w:cs="Times New Roman"/>
    </w:rPr>
  </w:style>
  <w:style w:type="paragraph" w:styleId="996" w:customStyle="1">
    <w:name w:val="列表段落1"/>
    <w:basedOn w:val="798"/>
    <w:uiPriority w:val="99"/>
    <w:qFormat/>
    <w:pPr>
      <w:ind w:firstLine="420"/>
    </w:pPr>
    <w:rPr>
      <w:rFonts w:ascii="Times New Roman" w:hAnsi="Times New Roman" w:eastAsia="宋体" w:cs="Times New Roman"/>
      <w:szCs w:val="20"/>
    </w:rPr>
  </w:style>
  <w:style w:type="character" w:styleId="997" w:customStyle="1">
    <w:name w:val="标题 1 字符"/>
    <w:link w:val="799"/>
    <w:uiPriority w:val="0"/>
    <w:qFormat/>
    <w:rPr>
      <w:b/>
      <w:bCs/>
      <w:sz w:val="21"/>
      <w:szCs w:val="44"/>
    </w:rPr>
  </w:style>
  <w:style w:type="paragraph" w:styleId="998" w:customStyle="1">
    <w:name w:val="首行缩进"/>
    <w:basedOn w:val="798"/>
    <w:uiPriority w:val="99"/>
    <w:qFormat/>
    <w:pPr>
      <w:ind w:firstLine="480"/>
      <w:jc w:val="left"/>
      <w:spacing w:line="360" w:lineRule="auto"/>
    </w:pPr>
    <w:rPr>
      <w:rFonts w:ascii="宋体" w:hAnsi="宋体"/>
      <w:sz w:val="24"/>
    </w:rPr>
  </w:style>
  <w:style w:type="character" w:styleId="999" w:customStyle="1">
    <w:name w:val="标题 2 字符"/>
    <w:link w:val="800"/>
    <w:uiPriority w:val="0"/>
    <w:semiHidden/>
    <w:qFormat/>
    <w:rPr>
      <w:rFonts w:ascii="等线 Light" w:hAnsi="等线 Light" w:eastAsia="等线 Light" w:cs="Times New Roman"/>
      <w:b/>
      <w:bCs/>
      <w:sz w:val="32"/>
      <w:szCs w:val="32"/>
    </w:rPr>
  </w:style>
  <w:style w:type="character" w:styleId="1000" w:customStyle="1">
    <w:name w:val="标题 3 字符"/>
    <w:link w:val="801"/>
    <w:uiPriority w:val="9"/>
    <w:qFormat/>
    <w:rPr>
      <w:rFonts w:eastAsia="宋体"/>
      <w:b/>
      <w:bCs/>
      <w:sz w:val="32"/>
      <w:szCs w:val="32"/>
      <w:lang w:val="en-US" w:eastAsia="zh-CN" w:bidi="ar-SA"/>
    </w:rPr>
  </w:style>
  <w:style w:type="character" w:styleId="1001" w:customStyle="1">
    <w:name w:val="标题 4 字符"/>
    <w:link w:val="802"/>
    <w:uiPriority w:val="0"/>
    <w:semiHidden/>
    <w:qFormat/>
    <w:rPr>
      <w:rFonts w:ascii="等线 Light" w:hAnsi="等线 Light" w:eastAsia="等线 Light" w:cs="Times New Roman"/>
      <w:b/>
      <w:bCs/>
      <w:sz w:val="28"/>
      <w:szCs w:val="28"/>
    </w:rPr>
  </w:style>
  <w:style w:type="character" w:styleId="1002" w:customStyle="1">
    <w:name w:val="标题 6 字符"/>
    <w:link w:val="804"/>
    <w:uiPriority w:val="0"/>
    <w:qFormat/>
    <w:rPr>
      <w:rFonts w:ascii="等线 Light" w:hAnsi="等线 Light" w:eastAsia="等线 Light" w:cs="Times New Roman"/>
      <w:b/>
      <w:bCs/>
      <w:sz w:val="24"/>
      <w:szCs w:val="24"/>
    </w:rPr>
  </w:style>
  <w:style w:type="character" w:styleId="1003" w:customStyle="1">
    <w:name w:val="标题 8 字符"/>
    <w:link w:val="806"/>
    <w:uiPriority w:val="0"/>
    <w:semiHidden/>
    <w:qFormat/>
    <w:rPr>
      <w:rFonts w:ascii="等线 Light" w:hAnsi="等线 Light" w:eastAsia="等线 Light" w:cs="Times New Roman"/>
      <w:sz w:val="24"/>
      <w:szCs w:val="24"/>
    </w:rPr>
  </w:style>
  <w:style w:type="character" w:styleId="1004" w:customStyle="1">
    <w:name w:val="正文缩进 字符"/>
    <w:link w:val="812"/>
    <w:uiPriority w:val="0"/>
    <w:qFormat/>
    <w:rPr>
      <w:sz w:val="21"/>
    </w:rPr>
  </w:style>
  <w:style w:type="character" w:styleId="1005" w:customStyle="1">
    <w:name w:val="文档结构图 字符"/>
    <w:link w:val="814"/>
    <w:uiPriority w:val="0"/>
    <w:qFormat/>
    <w:rPr>
      <w:sz w:val="21"/>
      <w:szCs w:val="24"/>
      <w:shd w:val="clear" w:color="auto" w:fill="000080"/>
    </w:rPr>
  </w:style>
  <w:style w:type="character" w:styleId="1006" w:customStyle="1">
    <w:name w:val="批注文字 字符"/>
    <w:link w:val="815"/>
    <w:uiPriority w:val="0"/>
    <w:qFormat/>
    <w:rPr>
      <w:sz w:val="21"/>
      <w:szCs w:val="24"/>
    </w:rPr>
  </w:style>
  <w:style w:type="character" w:styleId="1007" w:customStyle="1">
    <w:name w:val="正文文本 字符"/>
    <w:link w:val="816"/>
    <w:uiPriority w:val="1"/>
    <w:qFormat/>
    <w:rPr>
      <w:sz w:val="21"/>
      <w:szCs w:val="24"/>
    </w:rPr>
  </w:style>
  <w:style w:type="character" w:styleId="1008" w:customStyle="1">
    <w:name w:val="纯文本 字符"/>
    <w:link w:val="821"/>
    <w:uiPriority w:val="0"/>
    <w:qFormat/>
    <w:rPr>
      <w:rFonts w:ascii="宋体" w:hAnsi="Courier New" w:cs="Courier New"/>
      <w:sz w:val="21"/>
      <w:szCs w:val="21"/>
    </w:rPr>
  </w:style>
  <w:style w:type="character" w:styleId="1009" w:customStyle="1">
    <w:name w:val="日期 字符"/>
    <w:link w:val="823"/>
    <w:uiPriority w:val="0"/>
    <w:qFormat/>
    <w:rPr>
      <w:sz w:val="24"/>
    </w:rPr>
  </w:style>
  <w:style w:type="character" w:styleId="1010" w:customStyle="1">
    <w:name w:val="批注框文本 字符"/>
    <w:link w:val="825"/>
    <w:uiPriority w:val="0"/>
    <w:qFormat/>
    <w:rPr>
      <w:sz w:val="18"/>
      <w:szCs w:val="18"/>
    </w:rPr>
  </w:style>
  <w:style w:type="character" w:styleId="1011" w:customStyle="1">
    <w:name w:val="页脚 字符"/>
    <w:link w:val="826"/>
    <w:uiPriority w:val="99"/>
    <w:qFormat/>
    <w:rPr>
      <w:sz w:val="18"/>
      <w:szCs w:val="18"/>
    </w:rPr>
  </w:style>
  <w:style w:type="character" w:styleId="1012" w:customStyle="1">
    <w:name w:val="页眉 字符"/>
    <w:link w:val="827"/>
    <w:uiPriority w:val="99"/>
    <w:qFormat/>
    <w:rPr>
      <w:sz w:val="18"/>
      <w:szCs w:val="18"/>
    </w:rPr>
  </w:style>
  <w:style w:type="character" w:styleId="1013" w:customStyle="1">
    <w:name w:val="正文文本 2 字符"/>
    <w:link w:val="836"/>
    <w:uiPriority w:val="0"/>
    <w:qFormat/>
    <w:rPr>
      <w:rFonts w:ascii="Calibri" w:hAnsi="Calibri"/>
      <w:sz w:val="21"/>
      <w:szCs w:val="24"/>
    </w:rPr>
  </w:style>
  <w:style w:type="character" w:styleId="1014" w:customStyle="1">
    <w:name w:val="普通(网站) 字符"/>
    <w:link w:val="837"/>
    <w:uiPriority w:val="99"/>
    <w:qFormat/>
    <w:rPr>
      <w:sz w:val="24"/>
      <w:szCs w:val="24"/>
      <w:shd w:val="clear" w:color="auto" w:fill="ffffff"/>
    </w:rPr>
  </w:style>
  <w:style w:type="character" w:styleId="1015" w:customStyle="1">
    <w:name w:val="标题 字符"/>
    <w:link w:val="838"/>
    <w:uiPriority w:val="0"/>
    <w:qFormat/>
    <w:rPr>
      <w:rFonts w:ascii="等线 Light" w:hAnsi="等线 Light" w:cs="Times New Roman"/>
      <w:b/>
      <w:bCs/>
      <w:sz w:val="32"/>
      <w:szCs w:val="32"/>
    </w:rPr>
  </w:style>
  <w:style w:type="character" w:styleId="1016" w:customStyle="1">
    <w:name w:val="批注主题 字符"/>
    <w:link w:val="839"/>
    <w:uiPriority w:val="0"/>
    <w:qFormat/>
    <w:rPr>
      <w:b/>
      <w:bCs/>
      <w:sz w:val="21"/>
      <w:szCs w:val="24"/>
    </w:rPr>
  </w:style>
  <w:style w:type="character" w:styleId="1017" w:customStyle="1">
    <w:name w:val="NormalCharacter"/>
    <w:uiPriority w:val="0"/>
    <w:semiHidden/>
    <w:qFormat/>
  </w:style>
  <w:style w:type="character" w:styleId="1018" w:customStyle="1">
    <w:name w:val="样式1 字符"/>
    <w:link w:val="1019"/>
    <w:uiPriority w:val="0"/>
    <w:qFormat/>
  </w:style>
  <w:style w:type="paragraph" w:styleId="1019" w:customStyle="1">
    <w:name w:val="样式1"/>
    <w:basedOn w:val="799"/>
    <w:link w:val="1018"/>
    <w:uiPriority w:val="0"/>
    <w:qFormat/>
    <w:pPr>
      <w:ind w:left="210" w:right="210"/>
    </w:pPr>
  </w:style>
  <w:style w:type="character" w:styleId="1020" w:customStyle="1">
    <w:name w:val="标题 2 Char Char Char"/>
    <w:uiPriority w:val="0"/>
    <w:qFormat/>
    <w:rPr>
      <w:rFonts w:ascii="Arial" w:hAnsi="Arial" w:eastAsia="黑体"/>
      <w:b/>
      <w:bCs/>
      <w:sz w:val="32"/>
      <w:szCs w:val="32"/>
      <w:lang w:val="en-US" w:eastAsia="zh-CN" w:bidi="ar-SA"/>
    </w:rPr>
  </w:style>
  <w:style w:type="character" w:styleId="1021" w:customStyle="1">
    <w:name w:val="p0 Char"/>
    <w:link w:val="1022"/>
    <w:uiPriority w:val="0"/>
    <w:qFormat/>
    <w:rPr>
      <w:sz w:val="21"/>
      <w:szCs w:val="21"/>
    </w:rPr>
  </w:style>
  <w:style w:type="paragraph" w:styleId="1022" w:customStyle="1">
    <w:name w:val="p0"/>
    <w:basedOn w:val="798"/>
    <w:link w:val="1021"/>
    <w:uiPriority w:val="0"/>
    <w:qFormat/>
    <w:pPr>
      <w:ind w:firstLine="420"/>
      <w:spacing w:line="480" w:lineRule="exact"/>
      <w:widowControl/>
    </w:pPr>
    <w:rPr>
      <w:szCs w:val="21"/>
    </w:rPr>
  </w:style>
  <w:style w:type="character" w:styleId="1023" w:customStyle="1">
    <w:name w:val="纯文本 Char"/>
    <w:link w:val="1024"/>
    <w:uiPriority w:val="0"/>
    <w:qFormat/>
    <w:rPr>
      <w:rFonts w:ascii="宋体" w:hAnsi="Courier New"/>
    </w:rPr>
  </w:style>
  <w:style w:type="paragraph" w:styleId="1024" w:customStyle="1">
    <w:name w:val="纯文本1"/>
    <w:basedOn w:val="798"/>
    <w:link w:val="1023"/>
    <w:uiPriority w:val="0"/>
    <w:qFormat/>
    <w:pPr>
      <w:ind w:firstLine="200"/>
      <w:spacing w:line="360" w:lineRule="auto"/>
    </w:pPr>
    <w:rPr>
      <w:rFonts w:ascii="宋体" w:hAnsi="Courier New"/>
      <w:sz w:val="20"/>
      <w:szCs w:val="20"/>
    </w:rPr>
  </w:style>
  <w:style w:type="character" w:styleId="1025" w:customStyle="1">
    <w:name w:val="ask-title2"/>
    <w:uiPriority w:val="0"/>
    <w:qFormat/>
  </w:style>
  <w:style w:type="character" w:styleId="1026" w:customStyle="1">
    <w:name w:val="纯文本 Char2"/>
    <w:uiPriority w:val="0"/>
    <w:qFormat/>
    <w:rPr>
      <w:rFonts w:ascii="宋体" w:hAnsi="Courier New"/>
      <w:sz w:val="21"/>
    </w:rPr>
  </w:style>
  <w:style w:type="character" w:styleId="1027" w:customStyle="1">
    <w:name w:val="页脚 Char"/>
    <w:uiPriority w:val="0"/>
    <w:qFormat/>
    <w:rPr>
      <w:sz w:val="18"/>
      <w:szCs w:val="18"/>
    </w:rPr>
  </w:style>
  <w:style w:type="paragraph" w:styleId="1028">
    <w:name w:val="List Paragraph"/>
    <w:basedOn w:val="798"/>
    <w:uiPriority w:val="1"/>
    <w:qFormat/>
    <w:pPr>
      <w:ind w:left="400" w:firstLine="420"/>
      <w:jc w:val="left"/>
    </w:pPr>
    <w:rPr>
      <w:rFonts w:ascii="宋体" w:hAnsi="宋体" w:cs="宋体"/>
      <w:sz w:val="22"/>
      <w:szCs w:val="22"/>
      <w:lang w:val="zh-CN" w:bidi="zh-CN"/>
    </w:rPr>
  </w:style>
  <w:style w:type="paragraph" w:styleId="1029" w:customStyle="1">
    <w:name w:val="_Style 83"/>
    <w:basedOn w:val="798"/>
    <w:next w:val="1028"/>
    <w:uiPriority w:val="99"/>
    <w:qFormat/>
    <w:pPr>
      <w:ind w:firstLine="420"/>
    </w:pPr>
  </w:style>
  <w:style w:type="paragraph" w:styleId="103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纯文本11"/>
    <w:basedOn w:val="798"/>
    <w:uiPriority w:val="0"/>
    <w:qFormat/>
    <w:rPr>
      <w:rFonts w:ascii="宋体" w:hAnsi="Courier New"/>
      <w:sz w:val="20"/>
      <w:szCs w:val="21"/>
    </w:rPr>
  </w:style>
  <w:style w:type="paragraph" w:styleId="1032" w:customStyle="1">
    <w:name w:val="Heading 2"/>
    <w:basedOn w:val="798"/>
    <w:next w:val="798"/>
    <w:uiPriority w:val="0"/>
    <w:qFormat/>
    <w:pPr>
      <w:jc w:val="center"/>
      <w:keepNext/>
      <w:widowControl/>
    </w:pPr>
    <w:rPr>
      <w:rFonts w:ascii="方正楷体_GB2312" w:eastAsia="方正楷体_GB2312"/>
      <w:sz w:val="18"/>
      <w:szCs w:val="20"/>
    </w:rPr>
  </w:style>
  <w:style w:type="paragraph" w:styleId="1033" w:customStyle="1">
    <w:name w:val="列出段落1"/>
    <w:basedOn w:val="798"/>
    <w:uiPriority w:val="0"/>
    <w:qFormat/>
    <w:pPr>
      <w:ind w:firstLine="420"/>
      <w:spacing w:line="0" w:lineRule="atLeast"/>
    </w:pPr>
    <w:rPr>
      <w:rFonts w:eastAsia="微软雅黑"/>
      <w:sz w:val="20"/>
      <w:szCs w:val="20"/>
    </w:rPr>
  </w:style>
  <w:style w:type="paragraph" w:styleId="1034" w:customStyle="1">
    <w:name w:val="_Style 77"/>
    <w:basedOn w:val="799"/>
    <w:next w:val="79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35" w:customStyle="1">
    <w:name w:val="Table Text"/>
    <w:basedOn w:val="798"/>
    <w:uiPriority w:val="0"/>
    <w:semiHidden/>
    <w:qFormat/>
    <w:pPr>
      <w:ind w:left="130" w:right="139"/>
      <w:jc w:val="left"/>
    </w:pPr>
    <w:rPr>
      <w:rFonts w:ascii="宋体" w:hAnsi="宋体" w:cs="宋体"/>
      <w:szCs w:val="21"/>
      <w:lang w:eastAsia="en-US"/>
    </w:rPr>
  </w:style>
  <w:style w:type="paragraph" w:styleId="1036" w:customStyle="1">
    <w:name w:val="Table Paragraph"/>
    <w:basedOn w:val="798"/>
    <w:uiPriority w:val="1"/>
    <w:qFormat/>
    <w:pPr>
      <w:jc w:val="left"/>
    </w:pPr>
    <w:rPr>
      <w:rFonts w:ascii="宋体" w:hAnsi="宋体" w:cs="宋体"/>
      <w:sz w:val="22"/>
      <w:szCs w:val="22"/>
      <w:lang w:val="zh-CN" w:bidi="zh-CN"/>
    </w:rPr>
  </w:style>
  <w:style w:type="paragraph" w:styleId="1037" w:customStyle="1">
    <w:name w:val="列出段落2"/>
    <w:basedOn w:val="798"/>
    <w:uiPriority w:val="99"/>
    <w:unhideWhenUsed/>
    <w:qFormat/>
    <w:pPr>
      <w:ind w:firstLine="420"/>
      <w:jc w:val="left"/>
    </w:pPr>
    <w:rPr>
      <w:rFonts w:ascii="宋体"/>
      <w:sz w:val="20"/>
      <w:szCs w:val="20"/>
    </w:rPr>
  </w:style>
  <w:style w:type="paragraph" w:styleId="1038" w:customStyle="1">
    <w:name w:val="标题 21"/>
    <w:basedOn w:val="79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039" w:customStyle="1">
    <w:name w:val="Table Normal"/>
    <w:uiPriority w:val="0"/>
    <w:unhideWhenUsed/>
    <w:qFormat/>
    <w:tblPr>
      <w:tblCellMar>
        <w:left w:w="0" w:type="dxa"/>
        <w:top w:w="0" w:type="dxa"/>
        <w:right w:w="0" w:type="dxa"/>
        <w:bottom w:w="0" w:type="dxa"/>
      </w:tblCellMar>
    </w:tblPr>
  </w:style>
  <w:style w:type="paragraph" w:styleId="1040" w:customStyle="1">
    <w:name w:val="索引 41"/>
    <w:basedOn w:val="798"/>
    <w:next w:val="798"/>
    <w:uiPriority w:val="0"/>
    <w:qFormat/>
    <w:pPr>
      <w:ind w:left="1260"/>
    </w:pPr>
    <w:rPr>
      <w:rFonts w:ascii="Calibri" w:hAnsi="Calibri" w:eastAsia="Calibri" w:cs="宋体"/>
      <w:sz w:val="20"/>
      <w:lang w:val="zh-CN"/>
    </w:rPr>
  </w:style>
  <w:style w:type="paragraph" w:styleId="1041" w:customStyle="1">
    <w:name w:val="修订1"/>
    <w:hidden/>
    <w:uiPriority w:val="99"/>
    <w:semiHidden/>
    <w:qFormat/>
    <w:rPr>
      <w:rFonts w:hint="default" w:ascii="Times New Roman" w:hAnsi="Times New Roman" w:eastAsia="宋体" w:cs="Times New Roman"/>
      <w:sz w:val="21"/>
      <w:szCs w:val="24"/>
      <w:lang w:val="en-US" w:eastAsia="zh-CN" w:bidi="ar-SA"/>
    </w:rPr>
  </w:style>
  <w:style w:type="paragraph" w:styleId="1042"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43" w:customStyle="1">
    <w:name w:val="修订3"/>
    <w:hidden/>
    <w:uiPriority w:val="99"/>
    <w:semiHidden/>
    <w:qFormat/>
    <w:rPr>
      <w:rFonts w:hint="default" w:ascii="Times New Roman" w:hAnsi="Times New Roman" w:eastAsia="宋体" w:cs="Times New Roman"/>
      <w:sz w:val="21"/>
      <w:szCs w:val="24"/>
      <w:lang w:val="en-US" w:eastAsia="zh-CN" w:bidi="ar-SA"/>
    </w:rPr>
  </w:style>
  <w:style w:type="paragraph" w:styleId="1044" w:customStyle="1">
    <w:name w:val="Default"/>
    <w:uiPriority w:val="0"/>
    <w:qFormat/>
    <w:pPr>
      <w:widowControl w:val="off"/>
    </w:pPr>
    <w:rPr>
      <w:rFonts w:hint="default" w:ascii="仿宋" w:hAnsi="仿宋" w:eastAsia="仿宋" w:cs="仿宋"/>
      <w:color w:val="000000"/>
      <w:sz w:val="24"/>
      <w:lang w:val="en-US" w:eastAsia="zh-CN" w:bidi="ar-SA"/>
    </w:rPr>
  </w:style>
  <w:style w:type="paragraph" w:styleId="1045"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046" w:customStyle="1">
    <w:name w:val="列出段落4"/>
    <w:basedOn w:val="798"/>
    <w:uiPriority w:val="0"/>
    <w:qFormat/>
    <w:pPr>
      <w:contextualSpacing/>
      <w:ind w:left="720"/>
      <w:jc w:val="left"/>
      <w:widowControl/>
    </w:pPr>
    <w:rPr>
      <w:rFonts w:ascii="Arial" w:hAnsi="Arial" w:eastAsia="黑体"/>
      <w:sz w:val="24"/>
      <w:lang w:eastAsia="en-US"/>
    </w:rPr>
  </w:style>
  <w:style w:type="character" w:styleId="1047" w:customStyle="1">
    <w:name w:val="默认段落字体11"/>
    <w:uiPriority w:val="1"/>
    <w:unhideWhenUsed/>
    <w:qFormat/>
  </w:style>
  <w:style w:type="paragraph" w:styleId="1048"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049" w:customStyle="1">
    <w:name w:val="目录1"/>
    <w:basedOn w:val="798"/>
    <w:uiPriority w:val="0"/>
    <w:qFormat/>
    <w:pPr>
      <w:spacing w:line="420" w:lineRule="atLeast"/>
    </w:pPr>
    <w:rPr>
      <w:rFonts w:eastAsia="黑体"/>
      <w:b/>
      <w:szCs w:val="20"/>
    </w:rPr>
  </w:style>
  <w:style w:type="character" w:styleId="1050" w:customStyle="1">
    <w:name w:val="font31"/>
    <w:basedOn w:val="808"/>
    <w:uiPriority w:val="0"/>
    <w:qFormat/>
    <w:rPr>
      <w:rFonts w:hint="default" w:ascii="Times New Roman" w:hAnsi="Times New Roman" w:cs="Times New Roman"/>
      <w:color w:val="000000"/>
      <w:sz w:val="20"/>
      <w:szCs w:val="20"/>
      <w:u w:val="none"/>
    </w:rPr>
  </w:style>
  <w:style w:type="character" w:styleId="1051" w:customStyle="1">
    <w:name w:val="font41"/>
    <w:basedOn w:val="808"/>
    <w:uiPriority w:val="0"/>
    <w:qFormat/>
    <w:rPr>
      <w:rFonts w:hint="eastAsia" w:ascii="仿宋" w:hAnsi="仿宋" w:eastAsia="仿宋" w:cs="仿宋"/>
      <w:color w:val="000000"/>
      <w:sz w:val="20"/>
      <w:szCs w:val="20"/>
      <w:u w:val="none"/>
    </w:rPr>
  </w:style>
  <w:style w:type="character" w:styleId="1052" w:customStyle="1">
    <w:name w:val="font51"/>
    <w:basedOn w:val="808"/>
    <w:uiPriority w:val="0"/>
    <w:qFormat/>
    <w:rPr>
      <w:rFonts w:ascii="仿宋" w:hAnsi="仿宋" w:eastAsia="仿宋" w:cs="仿宋"/>
      <w:color w:val="000000"/>
      <w:sz w:val="20"/>
      <w:szCs w:val="20"/>
      <w:u w:val="none"/>
    </w:rPr>
  </w:style>
  <w:style w:type="character" w:styleId="1053" w:customStyle="1">
    <w:name w:val="10"/>
    <w:basedOn w:val="808"/>
    <w:uiPriority w:val="0"/>
    <w:qFormat/>
    <w:rPr>
      <w:rFonts w:hint="eastAsia" w:ascii="等线" w:hAnsi="等线" w:eastAsia="等线" w:cs="等线"/>
    </w:rPr>
  </w:style>
  <w:style w:type="character" w:styleId="1054" w:customStyle="1">
    <w:name w:val="15"/>
    <w:basedOn w:val="808"/>
    <w:uiPriority w:val="0"/>
    <w:qFormat/>
    <w:rPr>
      <w:rFonts w:hint="eastAsia" w:ascii="等线" w:hAnsi="等线" w:eastAsia="等线" w:cs="等线"/>
      <w:color w:val="0563c1"/>
      <w:u w:val="single"/>
    </w:rPr>
  </w:style>
  <w:style w:type="character" w:styleId="1055" w:customStyle="1">
    <w:name w:val="font21"/>
    <w:basedOn w:val="808"/>
    <w:uiPriority w:val="0"/>
    <w:qFormat/>
    <w:rPr>
      <w:rFonts w:hint="default" w:ascii="Times New Roman" w:hAnsi="Times New Roman" w:cs="Times New Roman"/>
      <w:color w:val="000000"/>
      <w:sz w:val="20"/>
      <w:szCs w:val="20"/>
      <w:u w:val="none"/>
    </w:rPr>
  </w:style>
  <w:style w:type="character" w:styleId="1056" w:customStyle="1">
    <w:name w:val="font71"/>
    <w:basedOn w:val="808"/>
    <w:uiPriority w:val="0"/>
    <w:qFormat/>
    <w:rPr>
      <w:rFonts w:hint="eastAsia" w:ascii="宋体" w:hAnsi="宋体" w:eastAsia="宋体" w:cs="宋体"/>
      <w:color w:val="000000"/>
      <w:sz w:val="20"/>
      <w:szCs w:val="20"/>
      <w:u w:val="none"/>
    </w:rPr>
  </w:style>
  <w:style w:type="character" w:styleId="1057" w:customStyle="1">
    <w:name w:val="font81"/>
    <w:basedOn w:val="808"/>
    <w:uiPriority w:val="0"/>
    <w:qFormat/>
    <w:rPr>
      <w:rFonts w:hint="eastAsia" w:ascii="宋体" w:hAnsi="宋体" w:eastAsia="宋体" w:cs="宋体"/>
      <w:b/>
      <w:bCs/>
      <w:color w:val="000000"/>
      <w:sz w:val="20"/>
      <w:szCs w:val="20"/>
      <w:u w:val="none"/>
    </w:rPr>
  </w:style>
  <w:style w:type="character" w:styleId="1058" w:customStyle="1">
    <w:name w:val="font11"/>
    <w:basedOn w:val="808"/>
    <w:uiPriority w:val="0"/>
    <w:qFormat/>
    <w:rPr>
      <w:rFonts w:hint="eastAsia" w:ascii="宋体" w:hAnsi="宋体" w:eastAsia="宋体" w:cs="宋体"/>
      <w:color w:val="000000"/>
      <w:sz w:val="20"/>
      <w:szCs w:val="20"/>
      <w:u w:val="none"/>
    </w:rPr>
  </w:style>
  <w:style w:type="character" w:styleId="1059" w:customStyle="1">
    <w:name w:val="font91"/>
    <w:basedOn w:val="808"/>
    <w:uiPriority w:val="0"/>
    <w:qFormat/>
    <w:rPr>
      <w:rFonts w:hint="eastAsia" w:ascii="宋体" w:hAnsi="宋体" w:eastAsia="宋体" w:cs="宋体"/>
      <w:b/>
      <w:bCs/>
      <w:color w:val="000000"/>
      <w:sz w:val="20"/>
      <w:szCs w:val="20"/>
      <w:u w:val="none"/>
    </w:rPr>
  </w:style>
  <w:style w:type="character" w:styleId="1060" w:customStyle="1">
    <w:name w:val="font101"/>
    <w:basedOn w:val="808"/>
    <w:uiPriority w:val="0"/>
    <w:qFormat/>
    <w:rPr>
      <w:rFonts w:hint="eastAsia" w:ascii="宋体" w:hAnsi="宋体" w:eastAsia="宋体" w:cs="宋体"/>
      <w:color w:val="000000"/>
      <w:sz w:val="20"/>
      <w:szCs w:val="20"/>
      <w:u w:val="none"/>
    </w:rPr>
  </w:style>
  <w:style w:type="character" w:styleId="1061" w:customStyle="1">
    <w:name w:val="font112"/>
    <w:basedOn w:val="808"/>
    <w:uiPriority w:val="0"/>
    <w:qFormat/>
    <w:rPr>
      <w:rFonts w:hint="eastAsia" w:ascii="宋体" w:hAnsi="宋体" w:eastAsia="宋体" w:cs="宋体"/>
      <w:b/>
      <w:bCs/>
      <w:color w:val="000000"/>
      <w:sz w:val="20"/>
      <w:szCs w:val="20"/>
      <w:u w:val="none"/>
    </w:rPr>
  </w:style>
  <w:style w:type="character" w:styleId="1062" w:customStyle="1">
    <w:name w:val="font121"/>
    <w:basedOn w:val="808"/>
    <w:uiPriority w:val="0"/>
    <w:qFormat/>
    <w:rPr>
      <w:rFonts w:hint="eastAsia" w:ascii="宋体" w:hAnsi="宋体" w:eastAsia="宋体" w:cs="宋体"/>
      <w:b/>
      <w:bCs/>
      <w:color w:val="000000"/>
      <w:sz w:val="20"/>
      <w:szCs w:val="20"/>
      <w:u w:val="none"/>
    </w:rPr>
  </w:style>
  <w:style w:type="paragraph" w:styleId="1063" w:customStyle="1">
    <w:name w:val="正文1"/>
    <w:uiPriority w:val="0"/>
    <w:qFormat/>
    <w:pPr>
      <w:jc w:val="both"/>
      <w:widowControl w:val="off"/>
    </w:pPr>
    <w:rPr>
      <w:rFonts w:hint="default" w:ascii="Calibri" w:hAnsi="Calibri" w:eastAsia="宋体" w:cs="Times New Roman"/>
      <w:lang w:val="en-US" w:eastAsia="zh-CN" w:bidi="ar-SA"/>
    </w:rPr>
  </w:style>
  <w:style w:type="character" w:styleId="1064" w:customStyle="1">
    <w:name w:val="font61"/>
    <w:basedOn w:val="808"/>
    <w:uiPriority w:val="0"/>
    <w:qFormat/>
    <w:rPr>
      <w:rFonts w:hint="default" w:ascii="Times New Roman" w:hAnsi="Times New Roman" w:cs="Times New Roman"/>
      <w:b/>
      <w:bCs/>
      <w:color w:val="000000"/>
      <w:sz w:val="16"/>
      <w:szCs w:val="16"/>
      <w:u w:val="none"/>
    </w:rPr>
  </w:style>
  <w:style w:type="paragraph" w:styleId="1065" w:customStyle="1">
    <w:name w:val="p1"/>
    <w:basedOn w:val="798"/>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66" w:customStyle="1">
    <w:name w:val="s1"/>
    <w:basedOn w:val="808"/>
    <w:uiPriority w:val="0"/>
    <w:qFormat/>
    <w:rPr>
      <w:rFonts w:ascii="Helvetica Neue" w:hAnsi="Helvetica Neue" w:eastAsia="Helvetica Neue" w:cs="Helvetica Neue"/>
      <w:sz w:val="26"/>
      <w:szCs w:val="26"/>
    </w:rPr>
  </w:style>
  <w:style w:type="paragraph" w:styleId="1067" w:customStyle="1">
    <w:name w:val="p2"/>
    <w:basedOn w:val="798"/>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1068" w:customStyle="1">
    <w:name w:val="p3"/>
    <w:basedOn w:val="798"/>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1069" w:customStyle="1">
    <w:name w:val="lv2"/>
    <w:basedOn w:val="1028"/>
    <w:uiPriority w:val="0"/>
    <w:qFormat/>
    <w:pPr>
      <w:numPr>
        <w:ilvl w:val="1"/>
        <w:numId w:val="1"/>
      </w:numPr>
      <w:spacing w:line="360" w:lineRule="auto"/>
      <w:outlineLvl w:val="1"/>
    </w:pPr>
    <w:rPr>
      <w:rFonts w:cs="Times New Roman (正文 CS 字体)" w:asciiTheme="minorHAnsi" w:hAnsiTheme="minorHAnsi"/>
      <w:sz w:val="24"/>
    </w:rPr>
  </w:style>
  <w:style w:type="paragraph" w:styleId="1070" w:customStyle="1">
    <w:name w:val="纯文本2"/>
    <w:basedOn w:val="798"/>
    <w:uiPriority w:val="0"/>
    <w:qFormat/>
    <w:pPr>
      <w:ind w:firstLine="200"/>
      <w:spacing w:line="360" w:lineRule="auto"/>
    </w:pPr>
    <w:rPr>
      <w:rFonts w:ascii="宋体" w:hAnsi="Courier New"/>
      <w:sz w:val="20"/>
      <w:szCs w:val="20"/>
    </w:rPr>
  </w:style>
  <w:style w:type="numbering" w:styleId="15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92b02a0-d53e-48d2-b640-50e97b7a8a35}"/>
        <w:description w:val=""/>
        <w:category>
          <w:name w:val="常规"/>
          <w:gallery w:val="placeholder"/>
        </w:category>
        <w:types>
          <w:type w:val="bbPlcHdr"/>
        </w:types>
        <w:behaviors>
          <w:behavior w:val="content"/>
        </w:behaviors>
        <w:guid w:val="{d92b02a0-d53e-48d2-b640-50e97b7a8a35}"/>
      </w:docPartPr>
      <w:docPartBody>
        <w:p>
          <w:r>
            <w:rPr>
              <w:rStyle w:val="1664"/>
              <w:rFonts w:hint="eastAsia"/>
            </w:rPr>
            <w:t xml:space="preserve">单击或点击此处输入文字。</w:t>
          </w:r>
          <w:r/>
        </w:p>
      </w:docPartBody>
    </w:docPart>
    <w:docPart>
      <w:docPartPr>
        <w:name w:val="{3fd350f6-4892-476d-bdf7-cae1d92d0fd7}"/>
        <w:description w:val=""/>
        <w:category>
          <w:name w:val="常规"/>
          <w:gallery w:val="placeholder"/>
        </w:category>
        <w:types>
          <w:type w:val="bbPlcHdr"/>
        </w:types>
        <w:behaviors>
          <w:behavior w:val="content"/>
        </w:behaviors>
        <w:guid w:val="{3fd350f6-4892-476d-bdf7-cae1d92d0fd7}"/>
      </w:docPartPr>
      <w:docPartBody>
        <w:p>
          <w:pPr>
            <w:pStyle w:val="1665"/>
          </w:pPr>
          <w:r>
            <w:rPr>
              <w:rStyle w:val="1664"/>
              <w:rFonts w:hint="eastAsia"/>
            </w:rPr>
            <w:t xml:space="preserve">单击或点击此处输入文字。</w:t>
          </w:r>
          <w:r/>
        </w:p>
      </w:docPartBody>
    </w:docPart>
    <w:docPart>
      <w:docPartPr>
        <w:name w:val="{ab1c8881-f405-487e-81a8-43b95a0acdf4}"/>
        <w:description w:val=""/>
        <w:category>
          <w:name w:val="常规"/>
          <w:gallery w:val="placeholder"/>
        </w:category>
        <w:types>
          <w:type w:val="bbPlcHdr"/>
        </w:types>
        <w:behaviors>
          <w:behavior w:val="content"/>
        </w:behaviors>
        <w:guid w:val="{ab1c8881-f405-487e-81a8-43b95a0acdf4}"/>
      </w:docPartPr>
      <w:docPartBody>
        <w:p>
          <w:pPr>
            <w:pStyle w:val="1666"/>
          </w:pPr>
          <w:r>
            <w:rPr>
              <w:rStyle w:val="1664"/>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8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84">
    <w:name w:val="Heading 1"/>
    <w:basedOn w:val="1483"/>
    <w:next w:val="1483"/>
    <w:link w:val="1495"/>
    <w:uiPriority w:val="9"/>
    <w:qFormat/>
    <w:pPr>
      <w:keepLines/>
      <w:keepNext/>
      <w:spacing w:before="480" w:after="200"/>
      <w:outlineLvl w:val="0"/>
    </w:pPr>
    <w:rPr>
      <w:rFonts w:ascii="Arial" w:hAnsi="Arial" w:eastAsia="Arial" w:cs="Arial"/>
      <w:sz w:val="40"/>
      <w:szCs w:val="40"/>
    </w:rPr>
  </w:style>
  <w:style w:type="paragraph" w:styleId="1485">
    <w:name w:val="Heading 2"/>
    <w:basedOn w:val="1483"/>
    <w:next w:val="1483"/>
    <w:link w:val="1496"/>
    <w:uiPriority w:val="9"/>
    <w:unhideWhenUsed/>
    <w:qFormat/>
    <w:pPr>
      <w:keepLines/>
      <w:keepNext/>
      <w:spacing w:before="360" w:after="200"/>
      <w:outlineLvl w:val="1"/>
    </w:pPr>
    <w:rPr>
      <w:rFonts w:ascii="Arial" w:hAnsi="Arial" w:eastAsia="Arial" w:cs="Arial"/>
      <w:sz w:val="34"/>
    </w:rPr>
  </w:style>
  <w:style w:type="paragraph" w:styleId="1486">
    <w:name w:val="Heading 3"/>
    <w:basedOn w:val="1483"/>
    <w:next w:val="1483"/>
    <w:link w:val="1497"/>
    <w:uiPriority w:val="9"/>
    <w:unhideWhenUsed/>
    <w:qFormat/>
    <w:pPr>
      <w:keepLines/>
      <w:keepNext/>
      <w:spacing w:before="320" w:after="200"/>
      <w:outlineLvl w:val="2"/>
    </w:pPr>
    <w:rPr>
      <w:rFonts w:ascii="Arial" w:hAnsi="Arial" w:eastAsia="Arial" w:cs="Arial"/>
      <w:sz w:val="30"/>
      <w:szCs w:val="30"/>
    </w:rPr>
  </w:style>
  <w:style w:type="paragraph" w:styleId="1487">
    <w:name w:val="Heading 4"/>
    <w:basedOn w:val="1483"/>
    <w:next w:val="1483"/>
    <w:link w:val="1498"/>
    <w:uiPriority w:val="9"/>
    <w:unhideWhenUsed/>
    <w:qFormat/>
    <w:pPr>
      <w:keepLines/>
      <w:keepNext/>
      <w:spacing w:before="320" w:after="200"/>
      <w:outlineLvl w:val="3"/>
    </w:pPr>
    <w:rPr>
      <w:rFonts w:ascii="Arial" w:hAnsi="Arial" w:eastAsia="Arial" w:cs="Arial"/>
      <w:b/>
      <w:bCs/>
      <w:sz w:val="26"/>
      <w:szCs w:val="26"/>
    </w:rPr>
  </w:style>
  <w:style w:type="paragraph" w:styleId="1488">
    <w:name w:val="Heading 5"/>
    <w:basedOn w:val="1483"/>
    <w:next w:val="1483"/>
    <w:link w:val="1499"/>
    <w:uiPriority w:val="9"/>
    <w:unhideWhenUsed/>
    <w:qFormat/>
    <w:pPr>
      <w:keepLines/>
      <w:keepNext/>
      <w:spacing w:before="320" w:after="200"/>
      <w:outlineLvl w:val="4"/>
    </w:pPr>
    <w:rPr>
      <w:rFonts w:ascii="Arial" w:hAnsi="Arial" w:eastAsia="Arial" w:cs="Arial"/>
      <w:b/>
      <w:bCs/>
      <w:sz w:val="24"/>
      <w:szCs w:val="24"/>
    </w:rPr>
  </w:style>
  <w:style w:type="paragraph" w:styleId="1489">
    <w:name w:val="Heading 6"/>
    <w:basedOn w:val="1483"/>
    <w:next w:val="1483"/>
    <w:link w:val="1500"/>
    <w:uiPriority w:val="9"/>
    <w:unhideWhenUsed/>
    <w:qFormat/>
    <w:pPr>
      <w:keepLines/>
      <w:keepNext/>
      <w:spacing w:before="320" w:after="200"/>
      <w:outlineLvl w:val="5"/>
    </w:pPr>
    <w:rPr>
      <w:rFonts w:ascii="Arial" w:hAnsi="Arial" w:eastAsia="Arial" w:cs="Arial"/>
      <w:b/>
      <w:bCs/>
      <w:sz w:val="22"/>
      <w:szCs w:val="22"/>
    </w:rPr>
  </w:style>
  <w:style w:type="paragraph" w:styleId="1490">
    <w:name w:val="Heading 7"/>
    <w:basedOn w:val="1483"/>
    <w:next w:val="1483"/>
    <w:link w:val="1501"/>
    <w:uiPriority w:val="9"/>
    <w:unhideWhenUsed/>
    <w:qFormat/>
    <w:pPr>
      <w:keepLines/>
      <w:keepNext/>
      <w:spacing w:before="320" w:after="200"/>
      <w:outlineLvl w:val="6"/>
    </w:pPr>
    <w:rPr>
      <w:rFonts w:ascii="Arial" w:hAnsi="Arial" w:eastAsia="Arial" w:cs="Arial"/>
      <w:b/>
      <w:bCs/>
      <w:i/>
      <w:iCs/>
      <w:sz w:val="22"/>
      <w:szCs w:val="22"/>
    </w:rPr>
  </w:style>
  <w:style w:type="paragraph" w:styleId="1491">
    <w:name w:val="Heading 8"/>
    <w:basedOn w:val="1483"/>
    <w:next w:val="1483"/>
    <w:link w:val="1502"/>
    <w:uiPriority w:val="9"/>
    <w:unhideWhenUsed/>
    <w:qFormat/>
    <w:pPr>
      <w:keepLines/>
      <w:keepNext/>
      <w:spacing w:before="320" w:after="200"/>
      <w:outlineLvl w:val="7"/>
    </w:pPr>
    <w:rPr>
      <w:rFonts w:ascii="Arial" w:hAnsi="Arial" w:eastAsia="Arial" w:cs="Arial"/>
      <w:i/>
      <w:iCs/>
      <w:sz w:val="22"/>
      <w:szCs w:val="22"/>
    </w:rPr>
  </w:style>
  <w:style w:type="paragraph" w:styleId="1492">
    <w:name w:val="Heading 9"/>
    <w:basedOn w:val="1483"/>
    <w:next w:val="1483"/>
    <w:link w:val="1503"/>
    <w:uiPriority w:val="9"/>
    <w:unhideWhenUsed/>
    <w:qFormat/>
    <w:pPr>
      <w:keepLines/>
      <w:keepNext/>
      <w:spacing w:before="320" w:after="200"/>
      <w:outlineLvl w:val="8"/>
    </w:pPr>
    <w:rPr>
      <w:rFonts w:ascii="Arial" w:hAnsi="Arial" w:eastAsia="Arial" w:cs="Arial"/>
      <w:i/>
      <w:iCs/>
      <w:sz w:val="21"/>
      <w:szCs w:val="21"/>
    </w:rPr>
  </w:style>
  <w:style w:type="character" w:styleId="1493" w:default="1">
    <w:name w:val="Default Paragraph Font"/>
    <w:uiPriority w:val="1"/>
    <w:semiHidden/>
    <w:unhideWhenUsed/>
    <w:qFormat/>
  </w:style>
  <w:style w:type="table" w:styleId="1494" w:default="1">
    <w:name w:val="Normal Table"/>
    <w:uiPriority w:val="99"/>
    <w:semiHidden/>
    <w:unhideWhenUsed/>
    <w:qFormat/>
    <w:tblPr/>
  </w:style>
  <w:style w:type="character" w:styleId="1495" w:customStyle="1">
    <w:name w:val="Heading 1 Char"/>
    <w:basedOn w:val="1493"/>
    <w:link w:val="1484"/>
    <w:uiPriority w:val="9"/>
    <w:rPr>
      <w:rFonts w:ascii="Arial" w:hAnsi="Arial" w:eastAsia="Arial" w:cs="Arial"/>
      <w:sz w:val="40"/>
      <w:szCs w:val="40"/>
    </w:rPr>
  </w:style>
  <w:style w:type="character" w:styleId="1496" w:customStyle="1">
    <w:name w:val="Heading 2 Char"/>
    <w:basedOn w:val="1493"/>
    <w:link w:val="1485"/>
    <w:uiPriority w:val="9"/>
    <w:rPr>
      <w:rFonts w:ascii="Arial" w:hAnsi="Arial" w:eastAsia="Arial" w:cs="Arial"/>
      <w:sz w:val="34"/>
    </w:rPr>
  </w:style>
  <w:style w:type="character" w:styleId="1497" w:customStyle="1">
    <w:name w:val="Heading 3 Char"/>
    <w:basedOn w:val="1493"/>
    <w:link w:val="1486"/>
    <w:uiPriority w:val="9"/>
    <w:rPr>
      <w:rFonts w:ascii="Arial" w:hAnsi="Arial" w:eastAsia="Arial" w:cs="Arial"/>
      <w:sz w:val="30"/>
      <w:szCs w:val="30"/>
    </w:rPr>
  </w:style>
  <w:style w:type="character" w:styleId="1498" w:customStyle="1">
    <w:name w:val="Heading 4 Char"/>
    <w:basedOn w:val="1493"/>
    <w:link w:val="1487"/>
    <w:uiPriority w:val="9"/>
    <w:rPr>
      <w:rFonts w:ascii="Arial" w:hAnsi="Arial" w:eastAsia="Arial" w:cs="Arial"/>
      <w:b/>
      <w:bCs/>
      <w:sz w:val="26"/>
      <w:szCs w:val="26"/>
    </w:rPr>
  </w:style>
  <w:style w:type="character" w:styleId="1499" w:customStyle="1">
    <w:name w:val="Heading 5 Char"/>
    <w:basedOn w:val="1493"/>
    <w:link w:val="1488"/>
    <w:uiPriority w:val="9"/>
    <w:rPr>
      <w:rFonts w:ascii="Arial" w:hAnsi="Arial" w:eastAsia="Arial" w:cs="Arial"/>
      <w:b/>
      <w:bCs/>
      <w:sz w:val="24"/>
      <w:szCs w:val="24"/>
    </w:rPr>
  </w:style>
  <w:style w:type="character" w:styleId="1500" w:customStyle="1">
    <w:name w:val="Heading 6 Char"/>
    <w:basedOn w:val="1493"/>
    <w:link w:val="1489"/>
    <w:uiPriority w:val="9"/>
    <w:rPr>
      <w:rFonts w:ascii="Arial" w:hAnsi="Arial" w:eastAsia="Arial" w:cs="Arial"/>
      <w:b/>
      <w:bCs/>
      <w:sz w:val="22"/>
      <w:szCs w:val="22"/>
    </w:rPr>
  </w:style>
  <w:style w:type="character" w:styleId="1501" w:customStyle="1">
    <w:name w:val="Heading 7 Char"/>
    <w:basedOn w:val="1493"/>
    <w:link w:val="1490"/>
    <w:uiPriority w:val="9"/>
    <w:rPr>
      <w:rFonts w:ascii="Arial" w:hAnsi="Arial" w:eastAsia="Arial" w:cs="Arial"/>
      <w:b/>
      <w:bCs/>
      <w:i/>
      <w:iCs/>
      <w:sz w:val="22"/>
      <w:szCs w:val="22"/>
    </w:rPr>
  </w:style>
  <w:style w:type="character" w:styleId="1502" w:customStyle="1">
    <w:name w:val="Heading 8 Char"/>
    <w:basedOn w:val="1493"/>
    <w:link w:val="1491"/>
    <w:uiPriority w:val="9"/>
    <w:rPr>
      <w:rFonts w:ascii="Arial" w:hAnsi="Arial" w:eastAsia="Arial" w:cs="Arial"/>
      <w:i/>
      <w:iCs/>
      <w:sz w:val="22"/>
      <w:szCs w:val="22"/>
    </w:rPr>
  </w:style>
  <w:style w:type="character" w:styleId="1503" w:customStyle="1">
    <w:name w:val="Heading 9 Char"/>
    <w:basedOn w:val="1493"/>
    <w:link w:val="1492"/>
    <w:uiPriority w:val="9"/>
    <w:rPr>
      <w:rFonts w:ascii="Arial" w:hAnsi="Arial" w:eastAsia="Arial" w:cs="Arial"/>
      <w:i/>
      <w:iCs/>
      <w:sz w:val="21"/>
      <w:szCs w:val="21"/>
    </w:rPr>
  </w:style>
  <w:style w:type="paragraph" w:styleId="1504">
    <w:name w:val="List Paragraph"/>
    <w:basedOn w:val="1483"/>
    <w:uiPriority w:val="34"/>
    <w:qFormat/>
    <w:pPr>
      <w:contextualSpacing/>
      <w:ind w:left="720"/>
    </w:pPr>
  </w:style>
  <w:style w:type="paragraph" w:styleId="1505">
    <w:name w:val="No Spacing"/>
    <w:uiPriority w:val="1"/>
    <w:qFormat/>
    <w:pPr>
      <w:spacing w:before="0" w:after="0" w:line="240" w:lineRule="auto"/>
    </w:pPr>
    <w:rPr>
      <w:rFonts w:hint="default" w:asciiTheme="minorHAnsi" w:hAnsiTheme="minorHAnsi" w:eastAsiaTheme="minorEastAsia" w:cstheme="minorBidi"/>
    </w:rPr>
  </w:style>
  <w:style w:type="paragraph" w:styleId="1506">
    <w:name w:val="Title"/>
    <w:basedOn w:val="1483"/>
    <w:next w:val="1483"/>
    <w:link w:val="1507"/>
    <w:uiPriority w:val="10"/>
    <w:qFormat/>
    <w:pPr>
      <w:contextualSpacing/>
      <w:spacing w:before="300" w:after="200"/>
    </w:pPr>
    <w:rPr>
      <w:sz w:val="48"/>
      <w:szCs w:val="48"/>
    </w:rPr>
  </w:style>
  <w:style w:type="character" w:styleId="1507" w:customStyle="1">
    <w:name w:val="Title Char"/>
    <w:basedOn w:val="1493"/>
    <w:link w:val="1506"/>
    <w:uiPriority w:val="10"/>
    <w:rPr>
      <w:sz w:val="48"/>
      <w:szCs w:val="48"/>
    </w:rPr>
  </w:style>
  <w:style w:type="paragraph" w:styleId="1508">
    <w:name w:val="Subtitle"/>
    <w:basedOn w:val="1483"/>
    <w:next w:val="1483"/>
    <w:link w:val="1509"/>
    <w:uiPriority w:val="11"/>
    <w:qFormat/>
    <w:pPr>
      <w:spacing w:before="200" w:after="200"/>
    </w:pPr>
    <w:rPr>
      <w:sz w:val="24"/>
      <w:szCs w:val="24"/>
    </w:rPr>
  </w:style>
  <w:style w:type="character" w:styleId="1509" w:customStyle="1">
    <w:name w:val="Subtitle Char"/>
    <w:basedOn w:val="1493"/>
    <w:link w:val="1508"/>
    <w:uiPriority w:val="11"/>
    <w:rPr>
      <w:sz w:val="24"/>
      <w:szCs w:val="24"/>
    </w:rPr>
  </w:style>
  <w:style w:type="paragraph" w:styleId="1510">
    <w:name w:val="Quote"/>
    <w:basedOn w:val="1483"/>
    <w:next w:val="1483"/>
    <w:link w:val="1511"/>
    <w:uiPriority w:val="29"/>
    <w:qFormat/>
    <w:pPr>
      <w:ind w:left="720" w:right="720"/>
    </w:pPr>
    <w:rPr>
      <w:i/>
    </w:rPr>
  </w:style>
  <w:style w:type="character" w:styleId="1511" w:customStyle="1">
    <w:name w:val="Quote Char"/>
    <w:link w:val="1510"/>
    <w:uiPriority w:val="29"/>
    <w:rPr>
      <w:i/>
    </w:rPr>
  </w:style>
  <w:style w:type="paragraph" w:styleId="1512">
    <w:name w:val="Intense Quote"/>
    <w:basedOn w:val="1483"/>
    <w:next w:val="1483"/>
    <w:link w:val="15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13" w:customStyle="1">
    <w:name w:val="Intense Quote Char"/>
    <w:link w:val="1512"/>
    <w:uiPriority w:val="30"/>
    <w:rPr>
      <w:i/>
    </w:rPr>
  </w:style>
  <w:style w:type="paragraph" w:styleId="1514">
    <w:name w:val="Header"/>
    <w:basedOn w:val="1483"/>
    <w:link w:val="1515"/>
    <w:uiPriority w:val="99"/>
    <w:unhideWhenUsed/>
    <w:pPr>
      <w:spacing w:after="0" w:line="240" w:lineRule="auto"/>
      <w:tabs>
        <w:tab w:val="center" w:pos="7143" w:leader="none"/>
        <w:tab w:val="right" w:pos="14287" w:leader="none"/>
      </w:tabs>
    </w:pPr>
  </w:style>
  <w:style w:type="character" w:styleId="1515" w:customStyle="1">
    <w:name w:val="Header Char"/>
    <w:basedOn w:val="1493"/>
    <w:link w:val="1514"/>
    <w:uiPriority w:val="99"/>
  </w:style>
  <w:style w:type="paragraph" w:styleId="1516">
    <w:name w:val="Footer"/>
    <w:basedOn w:val="1483"/>
    <w:link w:val="1519"/>
    <w:uiPriority w:val="99"/>
    <w:unhideWhenUsed/>
    <w:pPr>
      <w:spacing w:after="0" w:line="240" w:lineRule="auto"/>
      <w:tabs>
        <w:tab w:val="center" w:pos="7143" w:leader="none"/>
        <w:tab w:val="right" w:pos="14287" w:leader="none"/>
      </w:tabs>
    </w:pPr>
  </w:style>
  <w:style w:type="character" w:styleId="1517" w:customStyle="1">
    <w:name w:val="Footer Char"/>
    <w:basedOn w:val="1493"/>
    <w:link w:val="1516"/>
    <w:uiPriority w:val="99"/>
  </w:style>
  <w:style w:type="paragraph" w:styleId="1518">
    <w:name w:val="Caption"/>
    <w:basedOn w:val="1483"/>
    <w:next w:val="1483"/>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19" w:customStyle="1">
    <w:name w:val="Caption Char"/>
    <w:link w:val="1516"/>
    <w:uiPriority w:val="99"/>
  </w:style>
  <w:style w:type="table" w:styleId="152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2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2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2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2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2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3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3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3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3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3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3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3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3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4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5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5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5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5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5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5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5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5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5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5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6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6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6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6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6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6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6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6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7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7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7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7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7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7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8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8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8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8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8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8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9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9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9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9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0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0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0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1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2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2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2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3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3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3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3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3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3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4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46">
    <w:name w:val="Hyperlink"/>
    <w:uiPriority w:val="99"/>
    <w:unhideWhenUsed/>
    <w:rPr>
      <w:color w:val="0000ff" w:themeColor="hyperlink"/>
      <w:u w:val="single"/>
      <w14:textFill>
        <w14:solidFill>
          <w14:schemeClr w14:val="hlink"/>
        </w14:solidFill>
      </w14:textFill>
    </w:rPr>
  </w:style>
  <w:style w:type="paragraph" w:styleId="1647">
    <w:name w:val="footnote text"/>
    <w:basedOn w:val="1483"/>
    <w:link w:val="1648"/>
    <w:uiPriority w:val="99"/>
    <w:semiHidden/>
    <w:unhideWhenUsed/>
    <w:pPr>
      <w:spacing w:after="40" w:line="240" w:lineRule="auto"/>
    </w:pPr>
    <w:rPr>
      <w:sz w:val="18"/>
    </w:rPr>
  </w:style>
  <w:style w:type="character" w:styleId="1648" w:customStyle="1">
    <w:name w:val="Footnote Text Char"/>
    <w:link w:val="1647"/>
    <w:uiPriority w:val="99"/>
    <w:qFormat/>
    <w:rPr>
      <w:sz w:val="18"/>
    </w:rPr>
  </w:style>
  <w:style w:type="character" w:styleId="1649">
    <w:name w:val="footnote reference"/>
    <w:basedOn w:val="1493"/>
    <w:uiPriority w:val="99"/>
    <w:unhideWhenUsed/>
    <w:qFormat/>
    <w:rPr>
      <w:vertAlign w:val="superscript"/>
    </w:rPr>
  </w:style>
  <w:style w:type="paragraph" w:styleId="1650">
    <w:name w:val="endnote text"/>
    <w:basedOn w:val="1483"/>
    <w:link w:val="1651"/>
    <w:uiPriority w:val="99"/>
    <w:semiHidden/>
    <w:unhideWhenUsed/>
    <w:qFormat/>
    <w:pPr>
      <w:spacing w:after="0" w:line="240" w:lineRule="auto"/>
    </w:pPr>
    <w:rPr>
      <w:sz w:val="20"/>
    </w:rPr>
  </w:style>
  <w:style w:type="character" w:styleId="1651" w:customStyle="1">
    <w:name w:val="Endnote Text Char"/>
    <w:link w:val="1650"/>
    <w:uiPriority w:val="99"/>
    <w:qFormat/>
    <w:rPr>
      <w:sz w:val="20"/>
    </w:rPr>
  </w:style>
  <w:style w:type="character" w:styleId="1652">
    <w:name w:val="endnote reference"/>
    <w:basedOn w:val="1493"/>
    <w:uiPriority w:val="99"/>
    <w:semiHidden/>
    <w:unhideWhenUsed/>
    <w:qFormat/>
    <w:rPr>
      <w:vertAlign w:val="superscript"/>
    </w:rPr>
  </w:style>
  <w:style w:type="paragraph" w:styleId="1653">
    <w:name w:val="toc 1"/>
    <w:basedOn w:val="1483"/>
    <w:next w:val="1483"/>
    <w:uiPriority w:val="39"/>
    <w:unhideWhenUsed/>
    <w:pPr>
      <w:ind w:left="0" w:right="0" w:firstLine="0"/>
      <w:spacing w:after="57"/>
    </w:pPr>
  </w:style>
  <w:style w:type="paragraph" w:styleId="1654">
    <w:name w:val="toc 2"/>
    <w:basedOn w:val="1483"/>
    <w:next w:val="1483"/>
    <w:uiPriority w:val="39"/>
    <w:unhideWhenUsed/>
    <w:pPr>
      <w:ind w:left="283" w:right="0" w:firstLine="0"/>
      <w:spacing w:after="57"/>
    </w:pPr>
  </w:style>
  <w:style w:type="paragraph" w:styleId="1655">
    <w:name w:val="toc 3"/>
    <w:basedOn w:val="1483"/>
    <w:next w:val="1483"/>
    <w:uiPriority w:val="39"/>
    <w:unhideWhenUsed/>
    <w:qFormat/>
    <w:pPr>
      <w:ind w:left="567" w:right="0" w:firstLine="0"/>
      <w:spacing w:after="57"/>
    </w:pPr>
  </w:style>
  <w:style w:type="paragraph" w:styleId="1656">
    <w:name w:val="toc 4"/>
    <w:basedOn w:val="1483"/>
    <w:next w:val="1483"/>
    <w:uiPriority w:val="39"/>
    <w:unhideWhenUsed/>
    <w:pPr>
      <w:ind w:left="850" w:right="0" w:firstLine="0"/>
      <w:spacing w:after="57"/>
    </w:pPr>
  </w:style>
  <w:style w:type="paragraph" w:styleId="1657">
    <w:name w:val="toc 5"/>
    <w:basedOn w:val="1483"/>
    <w:next w:val="1483"/>
    <w:uiPriority w:val="39"/>
    <w:unhideWhenUsed/>
    <w:pPr>
      <w:ind w:left="1134" w:right="0" w:firstLine="0"/>
      <w:spacing w:after="57"/>
    </w:pPr>
  </w:style>
  <w:style w:type="paragraph" w:styleId="1658">
    <w:name w:val="toc 6"/>
    <w:basedOn w:val="1483"/>
    <w:next w:val="1483"/>
    <w:uiPriority w:val="39"/>
    <w:unhideWhenUsed/>
    <w:qFormat/>
    <w:pPr>
      <w:ind w:left="1417" w:right="0" w:firstLine="0"/>
      <w:spacing w:after="57"/>
    </w:pPr>
  </w:style>
  <w:style w:type="paragraph" w:styleId="1659">
    <w:name w:val="toc 7"/>
    <w:basedOn w:val="1483"/>
    <w:next w:val="1483"/>
    <w:uiPriority w:val="39"/>
    <w:unhideWhenUsed/>
    <w:qFormat/>
    <w:pPr>
      <w:ind w:left="1701" w:right="0" w:firstLine="0"/>
      <w:spacing w:after="57"/>
    </w:pPr>
  </w:style>
  <w:style w:type="paragraph" w:styleId="1660">
    <w:name w:val="toc 8"/>
    <w:basedOn w:val="1483"/>
    <w:next w:val="1483"/>
    <w:uiPriority w:val="39"/>
    <w:unhideWhenUsed/>
    <w:pPr>
      <w:ind w:left="1984" w:right="0" w:firstLine="0"/>
      <w:spacing w:after="57"/>
    </w:pPr>
  </w:style>
  <w:style w:type="paragraph" w:styleId="1661">
    <w:name w:val="toc 9"/>
    <w:basedOn w:val="1483"/>
    <w:next w:val="1483"/>
    <w:uiPriority w:val="39"/>
    <w:unhideWhenUsed/>
    <w:qFormat/>
    <w:pPr>
      <w:ind w:left="2268" w:right="0" w:firstLine="0"/>
      <w:spacing w:after="57"/>
    </w:pPr>
  </w:style>
  <w:style w:type="paragraph" w:styleId="1662" w:customStyle="1">
    <w:name w:val="TOC Heading"/>
    <w:uiPriority w:val="39"/>
    <w:unhideWhenUsed/>
    <w:qFormat/>
    <w:rPr>
      <w:rFonts w:hint="default" w:asciiTheme="minorHAnsi" w:hAnsiTheme="minorHAnsi" w:eastAsiaTheme="minorEastAsia" w:cstheme="minorBidi"/>
    </w:rPr>
  </w:style>
  <w:style w:type="paragraph" w:styleId="1663">
    <w:name w:val="table of figures"/>
    <w:basedOn w:val="1483"/>
    <w:next w:val="1483"/>
    <w:uiPriority w:val="99"/>
    <w:unhideWhenUsed/>
    <w:pPr>
      <w:spacing w:after="0" w:afterAutospacing="0"/>
    </w:pPr>
  </w:style>
  <w:style w:type="character" w:styleId="1664">
    <w:name w:val="Placeholder Text"/>
    <w:basedOn w:val="1493"/>
    <w:uiPriority w:val="99"/>
    <w:unhideWhenUsed/>
    <w:qFormat/>
    <w:rPr>
      <w:color w:val="808080"/>
    </w:rPr>
  </w:style>
  <w:style w:type="paragraph" w:styleId="1665"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666"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69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337</cp:revision>
  <dcterms:created xsi:type="dcterms:W3CDTF">2025-08-25T10:03:00Z</dcterms:created>
  <dcterms:modified xsi:type="dcterms:W3CDTF">2026-08-04T05:25:13Z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24B374D43A2442F695395C33E03A5A34_13</vt:lpwstr>
  </property>
  <property fmtid="{D5CDD505-2E9C-101B-9397-08002B2CF9AE}" pid="4" name="KSOTemplateDocerSaveRecord">
    <vt:lpwstr>eyJoZGlkIjoiMWYxYmUwODIzYzk0M2QzOTM3M2I1MzA0NjYxZWNjMTciLCJ1c2VySWQiOiI3MDY5OTM5NjQifQ==</vt:lpwstr>
  </property>
</Properties>
</file>