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9DAB6">
      <w:pPr>
        <w:pStyle w:val="209"/>
        <w:spacing w:before="120" w:beforeAutospacing="0" w:after="120" w:afterAutospacing="0" w:line="360" w:lineRule="auto"/>
        <w:jc w:val="center"/>
        <w:rPr>
          <w:rFonts w:hint="default" w:ascii="Arial" w:hAnsi="Arial" w:eastAsia="宋体" w:cs="Arial"/>
          <w:b/>
          <w:color w:val="000000" w:themeColor="text1"/>
          <w:sz w:val="84"/>
          <w:szCs w:val="84"/>
          <w:highlight w:val="none"/>
          <w:lang w:val="en-US" w:eastAsia="zh-CN"/>
          <w14:textFill>
            <w14:solidFill>
              <w14:schemeClr w14:val="tx1"/>
            </w14:solidFill>
          </w14:textFill>
        </w:rPr>
      </w:pPr>
      <w:r>
        <w:rPr>
          <w:rFonts w:hint="eastAsia" w:ascii="Arial" w:hAnsi="Arial" w:cs="Arial"/>
          <w:b/>
          <w:color w:val="000000" w:themeColor="text1"/>
          <w:sz w:val="84"/>
          <w:szCs w:val="84"/>
          <w:highlight w:val="none"/>
          <w:lang w:val="en-US" w:eastAsia="zh-CN"/>
          <w14:textFill>
            <w14:solidFill>
              <w14:schemeClr w14:val="tx1"/>
            </w14:solidFill>
          </w14:textFill>
        </w:rPr>
        <w:t xml:space="preserve">              </w:t>
      </w:r>
    </w:p>
    <w:p w14:paraId="61E9CE02">
      <w:pPr>
        <w:pStyle w:val="209"/>
        <w:spacing w:before="120" w:beforeAutospacing="0" w:after="120" w:afterAutospacing="0" w:line="360" w:lineRule="auto"/>
        <w:jc w:val="center"/>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招 标 文 件</w:t>
      </w:r>
    </w:p>
    <w:p w14:paraId="13D70EA6">
      <w:pPr>
        <w:pStyle w:val="209"/>
        <w:spacing w:before="120" w:beforeAutospacing="0" w:after="120" w:afterAutospacing="0" w:line="360" w:lineRule="auto"/>
        <w:jc w:val="center"/>
        <w:rPr>
          <w:rFonts w:ascii="Arial" w:hAnsi="Arial" w:cs="Arial"/>
          <w:b/>
          <w:color w:val="000000" w:themeColor="text1"/>
          <w:sz w:val="32"/>
          <w:szCs w:val="32"/>
          <w:highlight w:val="none"/>
          <w14:textFill>
            <w14:solidFill>
              <w14:schemeClr w14:val="tx1"/>
            </w14:solidFill>
          </w14:textFill>
        </w:rPr>
      </w:pPr>
    </w:p>
    <w:p w14:paraId="4E15387F">
      <w:pPr>
        <w:pStyle w:val="209"/>
        <w:spacing w:before="120" w:beforeAutospacing="0" w:after="120" w:afterAutospacing="0" w:line="360" w:lineRule="auto"/>
        <w:jc w:val="both"/>
        <w:rPr>
          <w:rFonts w:ascii="Arial" w:hAnsi="Arial" w:cs="Arial"/>
          <w:b/>
          <w:color w:val="000000" w:themeColor="text1"/>
          <w:sz w:val="32"/>
          <w:szCs w:val="32"/>
          <w:highlight w:val="none"/>
          <w14:textFill>
            <w14:solidFill>
              <w14:schemeClr w14:val="tx1"/>
            </w14:solidFill>
          </w14:textFill>
        </w:rPr>
      </w:pPr>
    </w:p>
    <w:p w14:paraId="5E5147CF">
      <w:pPr>
        <w:pStyle w:val="209"/>
        <w:spacing w:before="120" w:beforeAutospacing="0" w:after="120" w:afterAutospacing="0" w:line="360" w:lineRule="auto"/>
        <w:jc w:val="center"/>
        <w:rPr>
          <w:rFonts w:hint="eastAsia" w:ascii="Arial" w:hAnsi="Arial" w:cs="Arial"/>
          <w:b/>
          <w:color w:val="000000" w:themeColor="text1"/>
          <w:sz w:val="32"/>
          <w:szCs w:val="32"/>
          <w:highlight w:val="none"/>
          <w:lang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项目名称：</w:t>
      </w:r>
      <w:r>
        <w:rPr>
          <w:rFonts w:hint="eastAsia" w:ascii="Arial" w:hAnsi="Arial" w:cs="Arial"/>
          <w:b/>
          <w:color w:val="000000" w:themeColor="text1"/>
          <w:sz w:val="32"/>
          <w:szCs w:val="32"/>
          <w:highlight w:val="none"/>
          <w:lang w:eastAsia="zh-CN"/>
          <w14:textFill>
            <w14:solidFill>
              <w14:schemeClr w14:val="tx1"/>
            </w14:solidFill>
          </w14:textFill>
        </w:rPr>
        <w:t>盐城市公安局巡特警支队无人机侦测与反制设备</w:t>
      </w:r>
    </w:p>
    <w:p w14:paraId="082FC7BB">
      <w:pPr>
        <w:pStyle w:val="209"/>
        <w:spacing w:before="120" w:beforeAutospacing="0" w:after="120" w:afterAutospacing="0" w:line="360" w:lineRule="auto"/>
        <w:jc w:val="center"/>
        <w:rPr>
          <w:rFonts w:hint="eastAsia" w:ascii="Arial" w:hAnsi="Arial" w:eastAsia="宋体" w:cs="Arial"/>
          <w:b/>
          <w:color w:val="000000" w:themeColor="text1"/>
          <w:sz w:val="32"/>
          <w:szCs w:val="32"/>
          <w:highlight w:val="none"/>
          <w:lang w:eastAsia="zh-CN"/>
          <w14:textFill>
            <w14:solidFill>
              <w14:schemeClr w14:val="tx1"/>
            </w14:solidFill>
          </w14:textFill>
        </w:rPr>
      </w:pPr>
      <w:r>
        <w:rPr>
          <w:rFonts w:hint="eastAsia" w:ascii="Arial" w:hAnsi="Arial" w:cs="Arial"/>
          <w:b/>
          <w:color w:val="000000" w:themeColor="text1"/>
          <w:sz w:val="32"/>
          <w:szCs w:val="32"/>
          <w:highlight w:val="none"/>
          <w:lang w:eastAsia="zh-CN"/>
          <w14:textFill>
            <w14:solidFill>
              <w14:schemeClr w14:val="tx1"/>
            </w14:solidFill>
          </w14:textFill>
        </w:rPr>
        <w:t>采购项目</w:t>
      </w:r>
    </w:p>
    <w:p w14:paraId="5286D5E0">
      <w:pPr>
        <w:pStyle w:val="209"/>
        <w:spacing w:before="120" w:beforeAutospacing="0" w:after="120" w:afterAutospacing="0" w:line="360" w:lineRule="auto"/>
        <w:ind w:firstLine="321"/>
        <w:rPr>
          <w:rFonts w:hint="eastAsia"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项目编号：</w:t>
      </w:r>
      <w:r>
        <w:rPr>
          <w:rFonts w:hint="eastAsia" w:ascii="Arial" w:hAnsi="Arial" w:cs="Arial"/>
          <w:b/>
          <w:color w:val="000000" w:themeColor="text1"/>
          <w:sz w:val="32"/>
          <w:szCs w:val="32"/>
          <w:highlight w:val="none"/>
          <w:lang w:eastAsia="zh-CN"/>
          <w14:textFill>
            <w14:solidFill>
              <w14:schemeClr w14:val="tx1"/>
            </w14:solidFill>
          </w14:textFill>
        </w:rPr>
        <w:t>JSZC-320900-YCZH-G2026-0015</w:t>
      </w:r>
    </w:p>
    <w:p w14:paraId="68D45704">
      <w:pPr>
        <w:pStyle w:val="209"/>
        <w:spacing w:beforeAutospacing="0" w:afterAutospacing="0" w:line="360" w:lineRule="auto"/>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w:t>
      </w:r>
      <w:r>
        <w:rPr>
          <w:rFonts w:hint="eastAsia"/>
          <w:color w:val="000000" w:themeColor="text1"/>
          <w:highlight w:val="none"/>
          <w:lang w:val="en-US" w:eastAsia="zh-CN"/>
          <w14:textFill>
            <w14:solidFill>
              <w14:schemeClr w14:val="tx1"/>
            </w14:solidFill>
          </w14:textFill>
        </w:rPr>
        <w:t xml:space="preserve"> </w:t>
      </w:r>
    </w:p>
    <w:p w14:paraId="747C9D40">
      <w:pPr>
        <w:pStyle w:val="20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D35C950">
      <w:pPr>
        <w:pStyle w:val="20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95A999C">
      <w:pPr>
        <w:pStyle w:val="20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444CFA4">
      <w:pPr>
        <w:pStyle w:val="20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9D69347">
      <w:pPr>
        <w:pStyle w:val="20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7A5A80D">
      <w:pPr>
        <w:pStyle w:val="209"/>
        <w:keepNext w:val="0"/>
        <w:keepLines w:val="0"/>
        <w:pageBreakBefore w:val="0"/>
        <w:widowControl w:val="0"/>
        <w:kinsoku/>
        <w:wordWrap/>
        <w:overflowPunct/>
        <w:topLinePunct w:val="0"/>
        <w:autoSpaceDE/>
        <w:autoSpaceDN/>
        <w:bidi w:val="0"/>
        <w:adjustRightInd/>
        <w:snapToGrid/>
        <w:spacing w:before="120" w:beforeAutospacing="0" w:after="120" w:afterAutospacing="0" w:line="240" w:lineRule="auto"/>
        <w:jc w:val="center"/>
        <w:textAlignment w:val="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盐城市公安局</w:t>
      </w:r>
    </w:p>
    <w:p w14:paraId="6CEF8EF3">
      <w:pPr>
        <w:pStyle w:val="209"/>
        <w:keepNext w:val="0"/>
        <w:keepLines w:val="0"/>
        <w:pageBreakBefore w:val="0"/>
        <w:widowControl w:val="0"/>
        <w:kinsoku/>
        <w:wordWrap/>
        <w:overflowPunct/>
        <w:topLinePunct w:val="0"/>
        <w:autoSpaceDE/>
        <w:autoSpaceDN/>
        <w:bidi w:val="0"/>
        <w:adjustRightInd/>
        <w:snapToGrid/>
        <w:spacing w:before="120" w:beforeAutospacing="0" w:after="120" w:afterAutospacing="0" w:line="240" w:lineRule="auto"/>
        <w:jc w:val="center"/>
        <w:textAlignment w:val="auto"/>
        <w:rPr>
          <w:rFonts w:hint="eastAsia" w:ascii="Arial" w:hAnsi="Arial" w:eastAsia="宋体" w:cs="Arial"/>
          <w:b/>
          <w:color w:val="000000" w:themeColor="text1"/>
          <w:sz w:val="32"/>
          <w:szCs w:val="32"/>
          <w:highlight w:val="none"/>
          <w14:textFill>
            <w14:solidFill>
              <w14:schemeClr w14:val="tx1"/>
            </w14:solidFill>
          </w14:textFill>
        </w:rPr>
      </w:pPr>
      <w:r>
        <w:rPr>
          <w:rFonts w:hint="eastAsia" w:ascii="Arial" w:hAnsi="Arial" w:eastAsia="宋体" w:cs="Arial"/>
          <w:b/>
          <w:color w:val="000000" w:themeColor="text1"/>
          <w:sz w:val="32"/>
          <w:szCs w:val="32"/>
          <w:highlight w:val="none"/>
          <w14:textFill>
            <w14:solidFill>
              <w14:schemeClr w14:val="tx1"/>
            </w14:solidFill>
          </w14:textFill>
        </w:rPr>
        <w:t>盐城市智禾项目管理有限公司</w:t>
      </w:r>
    </w:p>
    <w:p w14:paraId="2FF8F129">
      <w:pPr>
        <w:pStyle w:val="209"/>
        <w:keepNext w:val="0"/>
        <w:keepLines w:val="0"/>
        <w:pageBreakBefore w:val="0"/>
        <w:widowControl w:val="0"/>
        <w:kinsoku/>
        <w:wordWrap/>
        <w:overflowPunct/>
        <w:topLinePunct w:val="0"/>
        <w:autoSpaceDE/>
        <w:autoSpaceDN/>
        <w:bidi w:val="0"/>
        <w:adjustRightInd/>
        <w:snapToGrid/>
        <w:spacing w:before="120" w:beforeAutospacing="0" w:after="120" w:afterAutospacing="0" w:line="240" w:lineRule="auto"/>
        <w:jc w:val="center"/>
        <w:textAlignment w:val="auto"/>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202</w:t>
      </w:r>
      <w:r>
        <w:rPr>
          <w:rFonts w:hint="eastAsia" w:ascii="Arial" w:hAnsi="Arial" w:cs="Arial"/>
          <w:b/>
          <w:color w:val="000000" w:themeColor="text1"/>
          <w:sz w:val="32"/>
          <w:szCs w:val="32"/>
          <w:highlight w:val="none"/>
          <w:lang w:val="en-US" w:eastAsia="zh-CN"/>
          <w14:textFill>
            <w14:solidFill>
              <w14:schemeClr w14:val="tx1"/>
            </w14:solidFill>
          </w14:textFill>
        </w:rPr>
        <w:t>6</w:t>
      </w:r>
      <w:r>
        <w:rPr>
          <w:rFonts w:ascii="Arial" w:hAnsi="Arial" w:cs="Arial"/>
          <w:b/>
          <w:color w:val="000000" w:themeColor="text1"/>
          <w:sz w:val="32"/>
          <w:szCs w:val="32"/>
          <w:highlight w:val="none"/>
          <w14:textFill>
            <w14:solidFill>
              <w14:schemeClr w14:val="tx1"/>
            </w14:solidFill>
          </w14:textFill>
        </w:rPr>
        <w:t>年</w:t>
      </w:r>
      <w:r>
        <w:rPr>
          <w:rFonts w:hint="eastAsia" w:ascii="Arial" w:hAnsi="Arial" w:cs="Arial"/>
          <w:b/>
          <w:color w:val="000000" w:themeColor="text1"/>
          <w:sz w:val="32"/>
          <w:szCs w:val="32"/>
          <w:highlight w:val="none"/>
          <w:lang w:val="en-US" w:eastAsia="zh-CN"/>
          <w14:textFill>
            <w14:solidFill>
              <w14:schemeClr w14:val="tx1"/>
            </w14:solidFill>
          </w14:textFill>
        </w:rPr>
        <w:t>8</w:t>
      </w:r>
      <w:r>
        <w:rPr>
          <w:rFonts w:ascii="Arial" w:hAnsi="Arial" w:cs="Arial"/>
          <w:b/>
          <w:color w:val="000000" w:themeColor="text1"/>
          <w:sz w:val="32"/>
          <w:szCs w:val="32"/>
          <w:highlight w:val="none"/>
          <w14:textFill>
            <w14:solidFill>
              <w14:schemeClr w14:val="tx1"/>
            </w14:solidFill>
          </w14:textFill>
        </w:rPr>
        <w:t>月</w:t>
      </w:r>
    </w:p>
    <w:p w14:paraId="2C533240">
      <w:pPr>
        <w:pStyle w:val="209"/>
        <w:spacing w:before="120" w:beforeAutospacing="0" w:after="120" w:afterAutospacing="0" w:line="360" w:lineRule="auto"/>
        <w:rPr>
          <w:rFonts w:hint="eastAsia" w:eastAsia="宋体"/>
          <w:color w:val="000000" w:themeColor="text1"/>
          <w:highlight w:val="none"/>
          <w:lang w:val="en-US" w:eastAsia="zh-CN"/>
          <w14:textFill>
            <w14:solidFill>
              <w14:schemeClr w14:val="tx1"/>
            </w14:solidFill>
          </w14:textFill>
        </w:rPr>
      </w:pPr>
      <w:r>
        <w:rPr>
          <w:rFonts w:ascii="Arial" w:hAnsi="Arial" w:cs="Arial"/>
          <w:color w:val="000000" w:themeColor="text1"/>
          <w:highlight w:val="none"/>
          <w14:textFill>
            <w14:solidFill>
              <w14:schemeClr w14:val="tx1"/>
            </w14:solidFill>
          </w14:textFill>
        </w:rPr>
        <w:t>                       </w:t>
      </w:r>
    </w:p>
    <w:p w14:paraId="54FACF68">
      <w:pPr>
        <w:pStyle w:val="209"/>
        <w:spacing w:beforeAutospacing="0" w:afterAutospacing="0" w:line="480" w:lineRule="auto"/>
        <w:jc w:val="center"/>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r>
      <w:r>
        <w:rPr>
          <w:rFonts w:ascii="Times New Roman" w:hAnsi="Times New Roman"/>
          <w:color w:val="000000" w:themeColor="text1"/>
          <w:sz w:val="21"/>
          <w:szCs w:val="21"/>
          <w:highlight w:val="none"/>
          <w14:textFill>
            <w14:solidFill>
              <w14:schemeClr w14:val="tx1"/>
            </w14:solidFill>
          </w14:textFill>
        </w:rPr>
        <w:t> </w:t>
      </w:r>
      <w:bookmarkStart w:id="0" w:name="_Toc16938516"/>
      <w:bookmarkStart w:id="1" w:name="_Toc523127445"/>
      <w:bookmarkStart w:id="2" w:name="_Toc120614210"/>
      <w:bookmarkStart w:id="3" w:name="_Toc20823272"/>
      <w:bookmarkStart w:id="4" w:name="_Toc479757206"/>
      <w:bookmarkStart w:id="5" w:name="_Toc513029200"/>
    </w:p>
    <w:p w14:paraId="12AEF05B">
      <w:pPr>
        <w:pStyle w:val="209"/>
        <w:spacing w:beforeAutospacing="0" w:afterAutospacing="0" w:line="480" w:lineRule="auto"/>
        <w:jc w:val="center"/>
        <w:rPr>
          <w:rFonts w:ascii="Times New Roman" w:hAnsi="Times New Roman"/>
          <w:color w:val="000000" w:themeColor="text1"/>
          <w:sz w:val="21"/>
          <w:szCs w:val="21"/>
          <w:highlight w:val="none"/>
          <w14:textFill>
            <w14:solidFill>
              <w14:schemeClr w14:val="tx1"/>
            </w14:solidFill>
          </w14:textFill>
        </w:rPr>
      </w:pPr>
    </w:p>
    <w:p w14:paraId="25E7BDBC">
      <w:pPr>
        <w:pStyle w:val="209"/>
        <w:spacing w:beforeAutospacing="0" w:afterAutospacing="0" w:line="480" w:lineRule="auto"/>
        <w:jc w:val="center"/>
        <w:rPr>
          <w:color w:val="000000" w:themeColor="text1"/>
          <w:highlight w:val="none"/>
          <w14:textFill>
            <w14:solidFill>
              <w14:schemeClr w14:val="tx1"/>
            </w14:solidFill>
          </w14:textFill>
        </w:rPr>
      </w:pPr>
      <w:r>
        <w:rPr>
          <w:rFonts w:ascii="黑体" w:hAnsi="宋体" w:eastAsia="黑体" w:cs="黑体"/>
          <w:b/>
          <w:color w:val="000000" w:themeColor="text1"/>
          <w:sz w:val="44"/>
          <w:szCs w:val="44"/>
          <w:highlight w:val="none"/>
          <w14:textFill>
            <w14:solidFill>
              <w14:schemeClr w14:val="tx1"/>
            </w14:solidFill>
          </w14:textFill>
        </w:rPr>
        <w:t>总  目  录</w:t>
      </w:r>
      <w:bookmarkEnd w:id="0"/>
      <w:bookmarkEnd w:id="1"/>
      <w:bookmarkEnd w:id="2"/>
      <w:bookmarkEnd w:id="3"/>
      <w:bookmarkEnd w:id="4"/>
      <w:bookmarkEnd w:id="5"/>
    </w:p>
    <w:p w14:paraId="31571296">
      <w:pPr>
        <w:pStyle w:val="209"/>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C928FE6">
      <w:pPr>
        <w:pStyle w:val="20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招标公告……………………………………3</w:t>
      </w:r>
    </w:p>
    <w:p w14:paraId="2E62AABA">
      <w:pPr>
        <w:pStyle w:val="20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投标人须知…………………………………6 </w:t>
      </w:r>
    </w:p>
    <w:p w14:paraId="0C961229">
      <w:pPr>
        <w:pStyle w:val="209"/>
        <w:tabs>
          <w:tab w:val="left" w:pos="1441"/>
        </w:tabs>
        <w:spacing w:beforeAutospacing="0" w:afterAutospacing="0" w:line="480" w:lineRule="auto"/>
        <w:ind w:left="2160" w:hanging="1440"/>
        <w:jc w:val="both"/>
        <w:rPr>
          <w:rFonts w:eastAsia="黑体"/>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合同条款……………………………………19</w:t>
      </w:r>
    </w:p>
    <w:p w14:paraId="38BAA303">
      <w:pPr>
        <w:pStyle w:val="209"/>
        <w:tabs>
          <w:tab w:val="left" w:pos="1441"/>
        </w:tabs>
        <w:spacing w:beforeAutospacing="0" w:afterAutospacing="0" w:line="480" w:lineRule="auto"/>
        <w:ind w:left="2160" w:hanging="1440"/>
        <w:jc w:val="both"/>
        <w:rPr>
          <w:rFonts w:hint="eastAsia" w:eastAsia="黑体"/>
          <w:color w:val="000000" w:themeColor="text1"/>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采购需求……………………………………2</w:t>
      </w:r>
      <w:r>
        <w:rPr>
          <w:rFonts w:hint="eastAsia" w:ascii="黑体" w:hAnsi="宋体" w:eastAsia="黑体" w:cs="黑体"/>
          <w:color w:val="000000" w:themeColor="text1"/>
          <w:sz w:val="36"/>
          <w:szCs w:val="36"/>
          <w:highlight w:val="none"/>
          <w:lang w:val="en-US" w:eastAsia="zh-CN"/>
          <w14:textFill>
            <w14:solidFill>
              <w14:schemeClr w14:val="tx1"/>
            </w14:solidFill>
          </w14:textFill>
        </w:rPr>
        <w:t>6</w:t>
      </w:r>
    </w:p>
    <w:p w14:paraId="29AA176C">
      <w:pPr>
        <w:pStyle w:val="209"/>
        <w:tabs>
          <w:tab w:val="left" w:pos="1441"/>
        </w:tabs>
        <w:spacing w:beforeAutospacing="0" w:afterAutospacing="0" w:line="480" w:lineRule="auto"/>
        <w:ind w:left="2160" w:hanging="1440"/>
        <w:jc w:val="both"/>
        <w:rPr>
          <w:rFonts w:hint="default"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评标方法与评标标准………………………</w:t>
      </w:r>
      <w:r>
        <w:rPr>
          <w:rFonts w:hint="eastAsia" w:ascii="黑体" w:hAnsi="宋体" w:eastAsia="黑体" w:cs="黑体"/>
          <w:color w:val="000000" w:themeColor="text1"/>
          <w:sz w:val="36"/>
          <w:szCs w:val="36"/>
          <w:highlight w:val="none"/>
          <w:lang w:val="en-US" w:eastAsia="zh-CN"/>
          <w14:textFill>
            <w14:solidFill>
              <w14:schemeClr w14:val="tx1"/>
            </w14:solidFill>
          </w14:textFill>
        </w:rPr>
        <w:t>41</w:t>
      </w:r>
    </w:p>
    <w:p w14:paraId="2758962E">
      <w:pPr>
        <w:pStyle w:val="209"/>
        <w:tabs>
          <w:tab w:val="left" w:pos="1441"/>
        </w:tabs>
        <w:spacing w:beforeAutospacing="0" w:afterAutospacing="0" w:line="480" w:lineRule="auto"/>
        <w:ind w:left="2160" w:hanging="1440"/>
        <w:jc w:val="both"/>
        <w:rPr>
          <w:rFonts w:hint="default"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投标文件格式………………………………</w:t>
      </w:r>
      <w:r>
        <w:rPr>
          <w:rFonts w:hint="eastAsia" w:ascii="黑体" w:hAnsi="宋体" w:eastAsia="黑体" w:cs="黑体"/>
          <w:color w:val="000000" w:themeColor="text1"/>
          <w:sz w:val="36"/>
          <w:szCs w:val="36"/>
          <w:highlight w:val="none"/>
          <w:lang w:val="en-US" w:eastAsia="zh-CN"/>
          <w14:textFill>
            <w14:solidFill>
              <w14:schemeClr w14:val="tx1"/>
            </w14:solidFill>
          </w14:textFill>
        </w:rPr>
        <w:t>45</w:t>
      </w:r>
    </w:p>
    <w:p w14:paraId="288DE0F4">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D025893">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AB89C81">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5233EE3">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64DACE8">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BD5E35B">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8FD0084">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871891B">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DB32DF2">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1447E2F">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171DC96">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1B1ED9D">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9156046">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A91DB4B">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ACCF117">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8F55568">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4CD5EE2">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D052953">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41F8198">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7829D7A">
      <w:pPr>
        <w:pStyle w:val="209"/>
        <w:spacing w:beforeAutospacing="0" w:afterAutospacing="0"/>
        <w:jc w:val="center"/>
        <w:rPr>
          <w:rFonts w:eastAsia="黑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bookmarkStart w:id="6" w:name="_Toc28359086"/>
      <w:r>
        <w:rPr>
          <w:rFonts w:hint="eastAsia" w:ascii="黑体" w:hAnsi="宋体" w:eastAsia="黑体" w:cs="黑体"/>
          <w:color w:val="000000" w:themeColor="text1"/>
          <w:sz w:val="44"/>
          <w:szCs w:val="44"/>
          <w:highlight w:val="none"/>
          <w14:textFill>
            <w14:solidFill>
              <w14:schemeClr w14:val="tx1"/>
            </w14:solidFill>
          </w14:textFill>
        </w:rPr>
        <w:t>第一章 招标公告</w:t>
      </w:r>
    </w:p>
    <w:p w14:paraId="0A4EA4A6">
      <w:pPr>
        <w:pStyle w:val="209"/>
        <w:pBdr>
          <w:top w:val="single" w:color="000000" w:sz="4" w:space="0"/>
          <w:left w:val="single" w:color="000000" w:sz="4" w:space="0"/>
          <w:bottom w:val="single" w:color="000000" w:sz="4" w:space="0"/>
          <w:right w:val="single" w:color="000000" w:sz="4" w:space="0"/>
        </w:pBdr>
        <w:spacing w:beforeAutospacing="0" w:afterAutospacing="0" w:line="312" w:lineRule="auto"/>
        <w:ind w:firstLine="482"/>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项目概况</w:t>
      </w:r>
    </w:p>
    <w:p w14:paraId="57B6B98F">
      <w:pPr>
        <w:pStyle w:val="209"/>
        <w:pBdr>
          <w:top w:val="single" w:color="000000" w:sz="4" w:space="0"/>
          <w:left w:val="single" w:color="000000" w:sz="4" w:space="0"/>
          <w:bottom w:val="single" w:color="000000" w:sz="4" w:space="0"/>
          <w:right w:val="single" w:color="000000" w:sz="4" w:space="0"/>
        </w:pBdr>
        <w:spacing w:beforeAutospacing="0" w:afterAutospacing="0" w:line="312" w:lineRule="auto"/>
        <w:ind w:firstLine="482"/>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eastAsia="zh-CN"/>
          <w14:textFill>
            <w14:solidFill>
              <w14:schemeClr w14:val="tx1"/>
            </w14:solidFill>
          </w14:textFill>
        </w:rPr>
        <w:t>盐城市公安局巡特警支队无人机侦测与反制设备采购项目</w:t>
      </w:r>
      <w:r>
        <w:rPr>
          <w:rFonts w:hint="eastAsia" w:ascii="宋体" w:hAnsi="宋体" w:cs="宋体"/>
          <w:color w:val="000000" w:themeColor="text1"/>
          <w:sz w:val="21"/>
          <w:szCs w:val="21"/>
          <w:highlight w:val="none"/>
          <w14:textFill>
            <w14:solidFill>
              <w14:schemeClr w14:val="tx1"/>
            </w14:solidFill>
          </w14:textFill>
        </w:rPr>
        <w:t>招标项目的潜在投标人可在</w:t>
      </w:r>
      <w:r>
        <w:rPr>
          <w:rFonts w:hint="eastAsia" w:ascii="宋体" w:hAnsi="宋体" w:cs="宋体"/>
          <w:color w:val="000000" w:themeColor="text1"/>
          <w:sz w:val="21"/>
          <w:szCs w:val="21"/>
          <w:highlight w:val="none"/>
          <w:shd w:val="clear" w:color="auto" w:fill="FFFFFF"/>
          <w14:textFill>
            <w14:solidFill>
              <w14:schemeClr w14:val="tx1"/>
            </w14:solidFill>
          </w14:textFill>
        </w:rPr>
        <w:t>“苏采云”系统内免费下载（投标人必须在苏采云系统中获取采购文件，方能参与政府采购项目）</w:t>
      </w:r>
      <w:r>
        <w:rPr>
          <w:rFonts w:hint="eastAsia" w:ascii="宋体" w:hAnsi="宋体" w:cs="宋体"/>
          <w:color w:val="000000" w:themeColor="text1"/>
          <w:sz w:val="21"/>
          <w:szCs w:val="21"/>
          <w:highlight w:val="none"/>
          <w14:textFill>
            <w14:solidFill>
              <w14:schemeClr w14:val="tx1"/>
            </w14:solidFill>
          </w14:textFill>
        </w:rPr>
        <w:t>，并于</w:t>
      </w:r>
      <w:r>
        <w:rPr>
          <w:rFonts w:hint="eastAsia" w:ascii="宋体" w:hAnsi="宋体" w:cs="宋体"/>
          <w:color w:val="000000" w:themeColor="text1"/>
          <w:sz w:val="21"/>
          <w:szCs w:val="21"/>
          <w:highlight w:val="none"/>
          <w:u w:val="singl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14:textFill>
            <w14:solidFill>
              <w14:schemeClr w14:val="tx1"/>
            </w14:solidFill>
          </w14:textFill>
        </w:rPr>
        <w:t>6</w:t>
      </w:r>
      <w:r>
        <w:rPr>
          <w:rFonts w:hint="eastAsia" w:ascii="宋体" w:hAnsi="宋体" w:cs="宋体"/>
          <w:color w:val="000000" w:themeColor="text1"/>
          <w:sz w:val="21"/>
          <w:szCs w:val="21"/>
          <w:highlight w:val="none"/>
          <w:u w:val="single"/>
          <w14:textFill>
            <w14:solidFill>
              <w14:schemeClr w14:val="tx1"/>
            </w14:solidFill>
          </w14:textFill>
        </w:rPr>
        <w:t>年</w:t>
      </w:r>
      <w:r>
        <w:rPr>
          <w:rFonts w:hint="eastAsia" w:ascii="宋体" w:hAnsi="宋体" w:cs="宋体"/>
          <w:color w:val="000000" w:themeColor="text1"/>
          <w:sz w:val="21"/>
          <w:szCs w:val="21"/>
          <w:highlight w:val="none"/>
          <w:u w:val="single"/>
          <w:lang w:val="en-US" w:eastAsia="zh-CN"/>
          <w14:textFill>
            <w14:solidFill>
              <w14:schemeClr w14:val="tx1"/>
            </w14:solidFill>
          </w14:textFill>
        </w:rPr>
        <w:t>10</w:t>
      </w:r>
      <w:r>
        <w:rPr>
          <w:rFonts w:hint="eastAsia" w:ascii="宋体" w:hAnsi="宋体" w:cs="宋体"/>
          <w:color w:val="000000" w:themeColor="text1"/>
          <w:sz w:val="21"/>
          <w:szCs w:val="21"/>
          <w:highlight w:val="none"/>
          <w:u w:val="single"/>
          <w14:textFill>
            <w14:solidFill>
              <w14:schemeClr w14:val="tx1"/>
            </w14:solidFill>
          </w14:textFill>
        </w:rPr>
        <w:t>月</w:t>
      </w:r>
      <w:r>
        <w:rPr>
          <w:rFonts w:hint="eastAsia" w:ascii="宋体" w:hAnsi="宋体" w:cs="宋体"/>
          <w:color w:val="000000" w:themeColor="text1"/>
          <w:sz w:val="21"/>
          <w:szCs w:val="21"/>
          <w:highlight w:val="none"/>
          <w:u w:val="single"/>
          <w:lang w:val="en-US" w:eastAsia="zh-CN"/>
          <w14:textFill>
            <w14:solidFill>
              <w14:schemeClr w14:val="tx1"/>
            </w14:solidFill>
          </w14:textFill>
        </w:rPr>
        <w:t>13</w:t>
      </w:r>
      <w:r>
        <w:rPr>
          <w:rFonts w:hint="eastAsia" w:ascii="宋体" w:hAnsi="宋体" w:cs="宋体"/>
          <w:color w:val="000000" w:themeColor="text1"/>
          <w:sz w:val="21"/>
          <w:szCs w:val="21"/>
          <w:highlight w:val="none"/>
          <w:u w:val="single"/>
          <w14:textFill>
            <w14:solidFill>
              <w14:schemeClr w14:val="tx1"/>
            </w14:solidFill>
          </w14:textFill>
        </w:rPr>
        <w:t>日</w:t>
      </w:r>
      <w:r>
        <w:rPr>
          <w:rFonts w:hint="eastAsia" w:ascii="宋体" w:hAnsi="宋体" w:cs="宋体"/>
          <w:color w:val="000000" w:themeColor="text1"/>
          <w:sz w:val="21"/>
          <w:szCs w:val="21"/>
          <w:highlight w:val="none"/>
          <w:u w:val="single"/>
          <w:lang w:val="en-US" w:eastAsia="zh-CN"/>
          <w14:textFill>
            <w14:solidFill>
              <w14:schemeClr w14:val="tx1"/>
            </w14:solidFill>
          </w14:textFill>
        </w:rPr>
        <w:t>09</w:t>
      </w:r>
      <w:r>
        <w:rPr>
          <w:rFonts w:hint="eastAsia" w:ascii="宋体" w:hAnsi="宋体" w:cs="宋体"/>
          <w:color w:val="000000" w:themeColor="text1"/>
          <w:sz w:val="21"/>
          <w:szCs w:val="21"/>
          <w:highlight w:val="none"/>
          <w:u w:val="single"/>
          <w14:textFill>
            <w14:solidFill>
              <w14:schemeClr w14:val="tx1"/>
            </w14:solidFill>
          </w14:textFill>
        </w:rPr>
        <w:t>点</w:t>
      </w:r>
      <w:r>
        <w:rPr>
          <w:rFonts w:hint="eastAsia" w:ascii="宋体" w:hAnsi="宋体" w:cs="宋体"/>
          <w:color w:val="000000" w:themeColor="text1"/>
          <w:sz w:val="21"/>
          <w:szCs w:val="21"/>
          <w:highlight w:val="none"/>
          <w:u w:val="single"/>
          <w:lang w:val="en-US" w:eastAsia="zh-CN"/>
          <w14:textFill>
            <w14:solidFill>
              <w14:schemeClr w14:val="tx1"/>
            </w14:solidFill>
          </w14:textFill>
        </w:rPr>
        <w:t>30</w:t>
      </w:r>
      <w:r>
        <w:rPr>
          <w:rFonts w:hint="eastAsia" w:ascii="宋体" w:hAnsi="宋体" w:cs="宋体"/>
          <w:color w:val="000000" w:themeColor="text1"/>
          <w:sz w:val="21"/>
          <w:szCs w:val="21"/>
          <w:highlight w:val="none"/>
          <w:u w:val="single"/>
          <w14:textFill>
            <w14:solidFill>
              <w14:schemeClr w14:val="tx1"/>
            </w14:solidFill>
          </w14:textFill>
        </w:rPr>
        <w:t>分（</w:t>
      </w:r>
      <w:r>
        <w:rPr>
          <w:rFonts w:hint="eastAsia" w:ascii="宋体" w:hAnsi="宋体" w:cs="宋体"/>
          <w:color w:val="000000" w:themeColor="text1"/>
          <w:sz w:val="21"/>
          <w:szCs w:val="21"/>
          <w:highlight w:val="none"/>
          <w14:textFill>
            <w14:solidFill>
              <w14:schemeClr w14:val="tx1"/>
            </w14:solidFill>
          </w14:textFill>
        </w:rPr>
        <w:t>北京时间）前递交投标文件。</w:t>
      </w:r>
    </w:p>
    <w:p w14:paraId="4A95CBFC">
      <w:pPr>
        <w:pStyle w:val="209"/>
        <w:spacing w:beforeAutospacing="0" w:afterAutospacing="0" w:line="360" w:lineRule="auto"/>
        <w:ind w:firstLine="422"/>
        <w:jc w:val="both"/>
        <w:rPr>
          <w:rFonts w:hint="eastAsia" w:ascii="宋体" w:hAnsi="宋体" w:cs="宋体"/>
          <w:color w:val="000000" w:themeColor="text1"/>
          <w:sz w:val="21"/>
          <w:szCs w:val="21"/>
          <w:highlight w:val="none"/>
          <w14:textFill>
            <w14:solidFill>
              <w14:schemeClr w14:val="tx1"/>
            </w14:solidFill>
          </w14:textFill>
        </w:rPr>
      </w:pPr>
      <w:bookmarkStart w:id="7" w:name="_Toc28359079"/>
      <w:bookmarkStart w:id="8" w:name="_Toc35393790"/>
      <w:bookmarkStart w:id="9" w:name="_Toc35393621"/>
      <w:bookmarkStart w:id="10" w:name="_Toc28359002"/>
      <w:bookmarkStart w:id="11" w:name="_Hlk24379207"/>
      <w:bookmarkStart w:id="12" w:name="_Toc38985263"/>
      <w:r>
        <w:rPr>
          <w:rFonts w:hint="eastAsia" w:ascii="宋体" w:hAnsi="宋体" w:cs="宋体"/>
          <w:b/>
          <w:color w:val="000000" w:themeColor="text1"/>
          <w:sz w:val="21"/>
          <w:szCs w:val="21"/>
          <w:highlight w:val="none"/>
          <w14:textFill>
            <w14:solidFill>
              <w14:schemeClr w14:val="tx1"/>
            </w14:solidFill>
          </w14:textFill>
        </w:rPr>
        <w:t>一、项目基本情况</w:t>
      </w:r>
      <w:bookmarkEnd w:id="7"/>
      <w:bookmarkEnd w:id="8"/>
      <w:bookmarkEnd w:id="9"/>
      <w:bookmarkEnd w:id="10"/>
      <w:bookmarkEnd w:id="11"/>
      <w:bookmarkEnd w:id="12"/>
    </w:p>
    <w:p w14:paraId="25661D94">
      <w:pPr>
        <w:pStyle w:val="209"/>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1.项目编号：</w:t>
      </w:r>
      <w:r>
        <w:rPr>
          <w:rFonts w:hint="eastAsia" w:ascii="宋体" w:hAnsi="宋体" w:cs="宋体"/>
          <w:color w:val="000000" w:themeColor="text1"/>
          <w:sz w:val="21"/>
          <w:szCs w:val="21"/>
          <w:highlight w:val="none"/>
          <w:lang w:eastAsia="zh-CN"/>
          <w14:textFill>
            <w14:solidFill>
              <w14:schemeClr w14:val="tx1"/>
            </w14:solidFill>
          </w14:textFill>
        </w:rPr>
        <w:t>JSZC-320900-YCZH-G2026-0015</w:t>
      </w:r>
    </w:p>
    <w:p w14:paraId="31BCD70A">
      <w:pPr>
        <w:pStyle w:val="209"/>
        <w:spacing w:beforeAutospacing="0" w:afterAutospacing="0" w:line="360" w:lineRule="auto"/>
        <w:ind w:firstLine="42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2.项目名称：</w:t>
      </w:r>
      <w:r>
        <w:rPr>
          <w:rFonts w:hint="eastAsia" w:ascii="宋体" w:hAnsi="宋体" w:cs="宋体"/>
          <w:color w:val="000000" w:themeColor="text1"/>
          <w:sz w:val="21"/>
          <w:szCs w:val="21"/>
          <w:highlight w:val="none"/>
          <w:lang w:eastAsia="zh-CN"/>
          <w14:textFill>
            <w14:solidFill>
              <w14:schemeClr w14:val="tx1"/>
            </w14:solidFill>
          </w14:textFill>
        </w:rPr>
        <w:t>盐城市公安局巡特警支队无人机侦测与反制设备采购项目</w:t>
      </w:r>
    </w:p>
    <w:p w14:paraId="5983F913">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3.采购方式：公开招标</w:t>
      </w:r>
    </w:p>
    <w:p w14:paraId="607C3EF2">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4.预算金额：</w:t>
      </w:r>
      <w:r>
        <w:rPr>
          <w:rFonts w:hint="eastAsia" w:ascii="宋体" w:hAnsi="宋体" w:eastAsia="宋体" w:cs="宋体"/>
          <w:color w:val="000000" w:themeColor="text1"/>
          <w:sz w:val="21"/>
          <w:szCs w:val="21"/>
          <w:highlight w:val="none"/>
          <w14:textFill>
            <w14:solidFill>
              <w14:schemeClr w14:val="tx1"/>
            </w14:solidFill>
          </w14:textFill>
        </w:rPr>
        <w:t>499.76</w:t>
      </w:r>
      <w:r>
        <w:rPr>
          <w:rFonts w:hint="eastAsia" w:ascii="宋体" w:hAnsi="宋体" w:cs="宋体"/>
          <w:color w:val="000000" w:themeColor="text1"/>
          <w:sz w:val="21"/>
          <w:szCs w:val="21"/>
          <w:highlight w:val="none"/>
          <w14:textFill>
            <w14:solidFill>
              <w14:schemeClr w14:val="tx1"/>
            </w14:solidFill>
          </w14:textFill>
        </w:rPr>
        <w:t>万元</w:t>
      </w:r>
    </w:p>
    <w:p w14:paraId="29553F0A">
      <w:pPr>
        <w:pStyle w:val="209"/>
        <w:spacing w:beforeAutospacing="0" w:afterAutospacing="0" w:line="360" w:lineRule="auto"/>
        <w:ind w:firstLine="420"/>
        <w:jc w:val="both"/>
        <w:rPr>
          <w:rFonts w:hint="eastAsia" w:ascii="宋体" w:hAnsi="宋体" w:cs="宋体"/>
          <w:color w:val="000000" w:themeColor="text1"/>
          <w:sz w:val="21"/>
          <w:szCs w:val="21"/>
          <w:highlight w:val="none"/>
          <w:shd w:val="clear" w:color="FFFFFF" w:fill="D9D9D9"/>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5.最高限价：</w:t>
      </w:r>
      <w:bookmarkStart w:id="13" w:name="OLE_LINK30"/>
      <w:r>
        <w:rPr>
          <w:rFonts w:hint="eastAsia" w:ascii="宋体" w:hAnsi="宋体" w:eastAsia="宋体" w:cs="宋体"/>
          <w:color w:val="000000" w:themeColor="text1"/>
          <w:sz w:val="21"/>
          <w:szCs w:val="21"/>
          <w:highlight w:val="none"/>
          <w14:textFill>
            <w14:solidFill>
              <w14:schemeClr w14:val="tx1"/>
            </w14:solidFill>
          </w14:textFill>
        </w:rPr>
        <w:t>499.76</w:t>
      </w:r>
      <w:r>
        <w:rPr>
          <w:rFonts w:hint="eastAsia" w:ascii="宋体" w:hAnsi="宋体" w:cs="宋体"/>
          <w:color w:val="000000" w:themeColor="text1"/>
          <w:sz w:val="21"/>
          <w:szCs w:val="21"/>
          <w:highlight w:val="none"/>
          <w14:textFill>
            <w14:solidFill>
              <w14:schemeClr w14:val="tx1"/>
            </w14:solidFill>
          </w14:textFill>
        </w:rPr>
        <w:t>万元</w:t>
      </w:r>
      <w:bookmarkEnd w:id="13"/>
    </w:p>
    <w:p w14:paraId="61AC4DA8">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6.采购需求（简介）：</w:t>
      </w:r>
      <w:bookmarkStart w:id="14" w:name="OLE_LINK1"/>
      <w:r>
        <w:rPr>
          <w:rFonts w:hint="eastAsia" w:ascii="宋体" w:hAnsi="宋体" w:cs="宋体"/>
          <w:color w:val="000000" w:themeColor="text1"/>
          <w:sz w:val="21"/>
          <w:szCs w:val="21"/>
          <w:highlight w:val="none"/>
          <w14:textFill>
            <w14:solidFill>
              <w14:schemeClr w14:val="tx1"/>
            </w14:solidFill>
          </w14:textFill>
        </w:rPr>
        <w:t>详见附件本招标文件</w:t>
      </w:r>
      <w:bookmarkEnd w:id="14"/>
    </w:p>
    <w:p w14:paraId="36C2D2EA">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7.合同履行期限：</w:t>
      </w:r>
      <w:bookmarkStart w:id="15" w:name="OLE_LINK31"/>
      <w:r>
        <w:rPr>
          <w:rFonts w:hint="eastAsia" w:ascii="宋体" w:hAnsi="宋体" w:cs="宋体"/>
          <w:color w:val="000000" w:themeColor="text1"/>
          <w:sz w:val="21"/>
          <w:szCs w:val="21"/>
          <w:highlight w:val="none"/>
          <w14:textFill>
            <w14:solidFill>
              <w14:schemeClr w14:val="tx1"/>
            </w14:solidFill>
          </w14:textFill>
        </w:rPr>
        <w:t>同免费质保期</w:t>
      </w:r>
      <w:bookmarkEnd w:id="15"/>
    </w:p>
    <w:p w14:paraId="30FA1B04">
      <w:pPr>
        <w:pStyle w:val="209"/>
        <w:spacing w:beforeAutospacing="0" w:afterAutospacing="0" w:line="360" w:lineRule="auto"/>
        <w:ind w:firstLine="420"/>
        <w:jc w:val="both"/>
        <w:rPr>
          <w:rFonts w:hint="eastAsia" w:ascii="宋体" w:hAnsi="宋体" w:cs="宋体"/>
          <w:color w:val="000000" w:themeColor="text1"/>
          <w:sz w:val="21"/>
          <w:szCs w:val="21"/>
          <w:highlight w:val="none"/>
          <w:shd w:val="clear" w:color="auto" w:fill="FFFF00"/>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8.本项目（</w:t>
      </w:r>
      <w:r>
        <w:rPr>
          <w:rFonts w:hint="eastAsia" w:ascii="宋体" w:hAnsi="宋体" w:cs="宋体"/>
          <w:i/>
          <w:iCs/>
          <w:color w:val="000000" w:themeColor="text1"/>
          <w:sz w:val="21"/>
          <w:szCs w:val="21"/>
          <w:highlight w:val="none"/>
          <w:shd w:val="clear" w:color="auto" w:fill="FFFFFF"/>
          <w14:textFill>
            <w14:solidFill>
              <w14:schemeClr w14:val="tx1"/>
            </w14:solidFill>
          </w14:textFill>
        </w:rPr>
        <w:t>是/否</w:t>
      </w:r>
      <w:r>
        <w:rPr>
          <w:rFonts w:hint="eastAsia" w:ascii="宋体" w:hAnsi="宋体" w:cs="宋体"/>
          <w:color w:val="000000" w:themeColor="text1"/>
          <w:sz w:val="21"/>
          <w:szCs w:val="21"/>
          <w:highlight w:val="none"/>
          <w:shd w:val="clear" w:color="auto" w:fill="FFFFFF"/>
          <w14:textFill>
            <w14:solidFill>
              <w14:schemeClr w14:val="tx1"/>
            </w14:solidFill>
          </w14:textFill>
        </w:rPr>
        <w:t>）接受联合体</w:t>
      </w:r>
      <w:r>
        <w:rPr>
          <w:rFonts w:hint="eastAsia" w:ascii="宋体" w:hAnsi="宋体" w:cs="宋体"/>
          <w:color w:val="000000" w:themeColor="text1"/>
          <w:sz w:val="21"/>
          <w:szCs w:val="21"/>
          <w:highlight w:val="none"/>
          <w14:textFill>
            <w14:solidFill>
              <w14:schemeClr w14:val="tx1"/>
            </w14:solidFill>
          </w14:textFill>
        </w:rPr>
        <w:t>参与招标：否</w:t>
      </w:r>
    </w:p>
    <w:p w14:paraId="45A44680">
      <w:pPr>
        <w:pStyle w:val="209"/>
        <w:spacing w:beforeAutospacing="0" w:afterAutospacing="0" w:line="360" w:lineRule="auto"/>
        <w:ind w:firstLine="422"/>
        <w:jc w:val="both"/>
        <w:rPr>
          <w:rFonts w:hint="eastAsia" w:ascii="宋体" w:hAnsi="宋体" w:cs="宋体"/>
          <w:color w:val="000000" w:themeColor="text1"/>
          <w:sz w:val="21"/>
          <w:szCs w:val="21"/>
          <w:highlight w:val="none"/>
          <w14:textFill>
            <w14:solidFill>
              <w14:schemeClr w14:val="tx1"/>
            </w14:solidFill>
          </w14:textFill>
        </w:rPr>
      </w:pPr>
      <w:bookmarkStart w:id="16" w:name="_Toc35393791"/>
      <w:bookmarkStart w:id="17" w:name="_Toc35393622"/>
      <w:bookmarkStart w:id="18" w:name="_Toc38985264"/>
      <w:bookmarkStart w:id="19" w:name="_Toc28359003"/>
      <w:bookmarkStart w:id="20" w:name="_Toc28359080"/>
      <w:r>
        <w:rPr>
          <w:rFonts w:hint="eastAsia" w:ascii="宋体" w:hAnsi="宋体" w:cs="宋体"/>
          <w:b/>
          <w:color w:val="000000" w:themeColor="text1"/>
          <w:sz w:val="21"/>
          <w:szCs w:val="21"/>
          <w:highlight w:val="none"/>
          <w14:textFill>
            <w14:solidFill>
              <w14:schemeClr w14:val="tx1"/>
            </w14:solidFill>
          </w14:textFill>
        </w:rPr>
        <w:t>二、申请人的资格要求：</w:t>
      </w:r>
      <w:bookmarkEnd w:id="16"/>
      <w:bookmarkEnd w:id="17"/>
      <w:bookmarkEnd w:id="18"/>
      <w:bookmarkEnd w:id="19"/>
      <w:bookmarkEnd w:id="20"/>
    </w:p>
    <w:p w14:paraId="09E85D1F">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1.满足《中华人民共和国政府采购法》第二十二条规定，并提供下列材料：</w:t>
      </w:r>
    </w:p>
    <w:p w14:paraId="6E2B7867">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1.1法人或者其他组织的营业执照等证明文件，自然人的身份证明；</w:t>
      </w:r>
    </w:p>
    <w:p w14:paraId="6462BB08">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上一年度的财务状况报</w:t>
      </w:r>
      <w:r>
        <w:rPr>
          <w:rFonts w:hint="eastAsia" w:ascii="宋体" w:hAnsi="宋体" w:eastAsia="宋体" w:cs="宋体"/>
          <w:color w:val="000000" w:themeColor="text1"/>
          <w:sz w:val="21"/>
          <w:szCs w:val="21"/>
          <w:highlight w:val="none"/>
          <w:lang w:eastAsia="zh-CN"/>
          <w14:textFill>
            <w14:solidFill>
              <w14:schemeClr w14:val="tx1"/>
            </w14:solidFill>
          </w14:textFill>
        </w:rPr>
        <w:t>表</w:t>
      </w:r>
      <w:r>
        <w:rPr>
          <w:rFonts w:hint="eastAsia" w:ascii="宋体" w:hAnsi="宋体" w:eastAsia="宋体" w:cs="宋体"/>
          <w:color w:val="000000" w:themeColor="text1"/>
          <w:sz w:val="21"/>
          <w:szCs w:val="21"/>
          <w:highlight w:val="none"/>
          <w14:textFill>
            <w14:solidFill>
              <w14:schemeClr w14:val="tx1"/>
            </w14:solidFill>
          </w14:textFill>
        </w:rPr>
        <w:t>（成立不满一年无需提供）；</w:t>
      </w:r>
    </w:p>
    <w:p w14:paraId="4E9F82D5">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1.3具备履行合同所必需的设备和专业技术能力的书面声明；</w:t>
      </w:r>
    </w:p>
    <w:p w14:paraId="6E4EE95A">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1.4</w:t>
      </w:r>
      <w:bookmarkStart w:id="21" w:name="OLE_LINK16"/>
      <w:r>
        <w:rPr>
          <w:rFonts w:hint="eastAsia" w:ascii="宋体" w:hAnsi="宋体" w:cs="宋体"/>
          <w:color w:val="000000" w:themeColor="text1"/>
          <w:sz w:val="21"/>
          <w:szCs w:val="21"/>
          <w:highlight w:val="none"/>
          <w14:textFill>
            <w14:solidFill>
              <w14:schemeClr w14:val="tx1"/>
            </w14:solidFill>
          </w14:textFill>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rPr>
          <w:rFonts w:hint="eastAsia" w:ascii="宋体" w:hAnsi="宋体" w:cs="宋体"/>
          <w:color w:val="000000" w:themeColor="text1"/>
          <w:sz w:val="21"/>
          <w:szCs w:val="21"/>
          <w:highlight w:val="none"/>
          <w14:textFill>
            <w14:solidFill>
              <w14:schemeClr w14:val="tx1"/>
            </w14:solidFill>
          </w14:textFill>
        </w:rPr>
        <w:t>；</w:t>
      </w:r>
    </w:p>
    <w:p w14:paraId="76C7EC42">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1.5参加政府采购活动前3年内在经营活动中没有重大违法记录的书面声明。</w:t>
      </w:r>
    </w:p>
    <w:p w14:paraId="2B97C013">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1.6法律、行政法规规定的其他条件。</w:t>
      </w:r>
    </w:p>
    <w:p w14:paraId="23585906">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2FE04FF">
      <w:pPr>
        <w:pStyle w:val="209"/>
        <w:spacing w:beforeAutospacing="0" w:afterAutospacing="0" w:line="360" w:lineRule="auto"/>
        <w:ind w:firstLine="42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1.8</w:t>
      </w:r>
      <w:bookmarkStart w:id="22" w:name="OLE_LINK17"/>
      <w:r>
        <w:rPr>
          <w:rFonts w:hint="eastAsia" w:ascii="宋体" w:hAnsi="宋体" w:cs="宋体"/>
          <w:color w:val="000000" w:themeColor="text1"/>
          <w:sz w:val="21"/>
          <w:szCs w:val="21"/>
          <w:highlight w:val="none"/>
          <w14:textFill>
            <w14:solidFill>
              <w14:schemeClr w14:val="tx1"/>
            </w14:solidFill>
          </w14:textFill>
        </w:rPr>
        <w:t>单位负责人为同一人或者存在直接控股、管理关系的不同供应商，不得参加同一合同项下的政府采购活动。</w:t>
      </w:r>
      <w:r>
        <w:rPr>
          <w:rFonts w:hint="eastAsia" w:ascii="宋体" w:hAnsi="宋体" w:cs="宋体"/>
          <w:color w:val="000000" w:themeColor="text1"/>
          <w:sz w:val="21"/>
          <w:szCs w:val="21"/>
          <w:highlight w:val="none"/>
          <w:lang w:eastAsia="zh-CN"/>
          <w14:textFill>
            <w14:solidFill>
              <w14:schemeClr w14:val="tx1"/>
            </w14:solidFill>
          </w14:textFill>
        </w:rPr>
        <w:t>（自行提供，格式自拟）</w:t>
      </w:r>
    </w:p>
    <w:bookmarkEnd w:id="22"/>
    <w:p w14:paraId="35C93C38">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2.落实政府采购政策需满足的资格要求：无</w:t>
      </w:r>
      <w:r>
        <w:rPr>
          <w:rFonts w:hint="eastAsia" w:ascii="宋体" w:hAnsi="宋体" w:cs="宋体"/>
          <w:b/>
          <w:bCs/>
          <w:color w:val="000000" w:themeColor="text1"/>
          <w:sz w:val="21"/>
          <w:szCs w:val="21"/>
          <w:highlight w:val="none"/>
          <w14:textFill>
            <w14:solidFill>
              <w14:schemeClr w14:val="tx1"/>
            </w14:solidFill>
          </w14:textFill>
        </w:rPr>
        <w:t>。</w:t>
      </w:r>
    </w:p>
    <w:p w14:paraId="1309FA45">
      <w:pPr>
        <w:pStyle w:val="209"/>
        <w:spacing w:beforeAutospacing="0" w:afterAutospacing="0" w:line="360" w:lineRule="auto"/>
        <w:ind w:firstLine="42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3.本项目的特定资格要求：</w:t>
      </w:r>
      <w:r>
        <w:rPr>
          <w:rFonts w:hint="eastAsia" w:ascii="宋体" w:hAnsi="宋体" w:cs="宋体"/>
          <w:color w:val="000000" w:themeColor="text1"/>
          <w:sz w:val="21"/>
          <w:szCs w:val="21"/>
          <w:highlight w:val="none"/>
          <w:lang w:val="en-US" w:eastAsia="zh-CN"/>
          <w14:textFill>
            <w14:solidFill>
              <w14:schemeClr w14:val="tx1"/>
            </w14:solidFill>
          </w14:textFill>
        </w:rPr>
        <w:t>无</w:t>
      </w:r>
    </w:p>
    <w:p w14:paraId="17DE4CE1">
      <w:pPr>
        <w:pStyle w:val="209"/>
        <w:spacing w:beforeAutospacing="0" w:afterAutospacing="0" w:line="360" w:lineRule="auto"/>
        <w:ind w:firstLine="422"/>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三、获取招标文件</w:t>
      </w:r>
    </w:p>
    <w:p w14:paraId="71E70C8D">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23" w:name="_Toc28359082"/>
      <w:bookmarkStart w:id="24" w:name="_Toc35393624"/>
      <w:bookmarkStart w:id="25" w:name="_Toc38985266"/>
      <w:bookmarkStart w:id="26" w:name="_Toc28359005"/>
      <w:bookmarkStart w:id="27" w:name="_Toc35393793"/>
      <w:r>
        <w:rPr>
          <w:rFonts w:hint="eastAsia" w:ascii="宋体" w:hAnsi="宋体" w:cs="宋体"/>
          <w:color w:val="000000" w:themeColor="text1"/>
          <w:sz w:val="21"/>
          <w:szCs w:val="21"/>
          <w:highlight w:val="none"/>
          <w14:textFill>
            <w14:solidFill>
              <w14:schemeClr w14:val="tx1"/>
            </w14:solidFill>
          </w14:textFill>
        </w:rPr>
        <w:t>1.时间：</w:t>
      </w:r>
      <w:bookmarkEnd w:id="23"/>
      <w:bookmarkEnd w:id="24"/>
      <w:bookmarkEnd w:id="25"/>
      <w:bookmarkEnd w:id="26"/>
      <w:bookmarkEnd w:id="27"/>
      <w:r>
        <w:rPr>
          <w:rFonts w:hint="eastAsia" w:ascii="宋体" w:hAnsi="宋体" w:cs="宋体"/>
          <w:color w:val="000000" w:themeColor="text1"/>
          <w:sz w:val="21"/>
          <w:szCs w:val="21"/>
          <w:highlight w:val="none"/>
          <w14:textFill>
            <w14:solidFill>
              <w14:schemeClr w14:val="tx1"/>
            </w14:solidFill>
          </w14:textFill>
        </w:rPr>
        <w:t>自招标文件公告发布之日起5个工作日。</w:t>
      </w:r>
    </w:p>
    <w:p w14:paraId="0EC7CD12">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2.地点：“苏采云”系统内免费下载（投标人必须在苏采云系统中获取采购文件，方能参与政府采购项目）；</w:t>
      </w:r>
    </w:p>
    <w:p w14:paraId="216F99E8">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3.方式：本项目采用网上注册登记方式。</w:t>
      </w:r>
    </w:p>
    <w:p w14:paraId="0F7F84F0">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4.售价：0元</w:t>
      </w:r>
    </w:p>
    <w:p w14:paraId="4DF8CEF7">
      <w:pPr>
        <w:pStyle w:val="209"/>
        <w:spacing w:beforeAutospacing="0" w:afterAutospacing="0" w:line="360" w:lineRule="auto"/>
        <w:ind w:firstLine="422"/>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四、提交投标文件截止时间、开标时间和地点</w:t>
      </w:r>
    </w:p>
    <w:p w14:paraId="514D56C5">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1.时间：</w:t>
      </w:r>
      <w:r>
        <w:rPr>
          <w:rFonts w:hint="eastAsia" w:ascii="宋体" w:hAnsi="宋体" w:cs="宋体"/>
          <w:color w:val="000000" w:themeColor="text1"/>
          <w:sz w:val="21"/>
          <w:szCs w:val="21"/>
          <w:highlight w:val="none"/>
          <w:u w:val="singl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14:textFill>
            <w14:solidFill>
              <w14:schemeClr w14:val="tx1"/>
            </w14:solidFill>
          </w14:textFill>
        </w:rPr>
        <w:t>6</w:t>
      </w:r>
      <w:r>
        <w:rPr>
          <w:rFonts w:hint="eastAsia" w:ascii="宋体" w:hAnsi="宋体" w:cs="宋体"/>
          <w:color w:val="000000" w:themeColor="text1"/>
          <w:sz w:val="21"/>
          <w:szCs w:val="21"/>
          <w:highlight w:val="none"/>
          <w:u w:val="single"/>
          <w14:textFill>
            <w14:solidFill>
              <w14:schemeClr w14:val="tx1"/>
            </w14:solidFill>
          </w14:textFill>
        </w:rPr>
        <w:t>年</w:t>
      </w:r>
      <w:r>
        <w:rPr>
          <w:rFonts w:hint="eastAsia" w:ascii="宋体" w:hAnsi="宋体" w:cs="宋体"/>
          <w:color w:val="000000" w:themeColor="text1"/>
          <w:sz w:val="21"/>
          <w:szCs w:val="21"/>
          <w:highlight w:val="none"/>
          <w:u w:val="single"/>
          <w:lang w:val="en-US" w:eastAsia="zh-CN"/>
          <w14:textFill>
            <w14:solidFill>
              <w14:schemeClr w14:val="tx1"/>
            </w14:solidFill>
          </w14:textFill>
        </w:rPr>
        <w:t>10</w:t>
      </w:r>
      <w:r>
        <w:rPr>
          <w:rFonts w:hint="eastAsia" w:ascii="宋体" w:hAnsi="宋体" w:cs="宋体"/>
          <w:color w:val="000000" w:themeColor="text1"/>
          <w:sz w:val="21"/>
          <w:szCs w:val="21"/>
          <w:highlight w:val="none"/>
          <w:u w:val="single"/>
          <w14:textFill>
            <w14:solidFill>
              <w14:schemeClr w14:val="tx1"/>
            </w14:solidFill>
          </w14:textFill>
        </w:rPr>
        <w:t>月</w:t>
      </w:r>
      <w:r>
        <w:rPr>
          <w:rFonts w:hint="eastAsia" w:ascii="宋体" w:hAnsi="宋体" w:cs="宋体"/>
          <w:color w:val="000000" w:themeColor="text1"/>
          <w:sz w:val="21"/>
          <w:szCs w:val="21"/>
          <w:highlight w:val="none"/>
          <w:u w:val="single"/>
          <w:lang w:val="en-US" w:eastAsia="zh-CN"/>
          <w14:textFill>
            <w14:solidFill>
              <w14:schemeClr w14:val="tx1"/>
            </w14:solidFill>
          </w14:textFill>
        </w:rPr>
        <w:t>13</w:t>
      </w:r>
      <w:r>
        <w:rPr>
          <w:rFonts w:hint="eastAsia" w:ascii="宋体" w:hAnsi="宋体" w:cs="宋体"/>
          <w:color w:val="000000" w:themeColor="text1"/>
          <w:sz w:val="21"/>
          <w:szCs w:val="21"/>
          <w:highlight w:val="none"/>
          <w:u w:val="single"/>
          <w14:textFill>
            <w14:solidFill>
              <w14:schemeClr w14:val="tx1"/>
            </w14:solidFill>
          </w14:textFill>
        </w:rPr>
        <w:t>日</w:t>
      </w:r>
      <w:r>
        <w:rPr>
          <w:rFonts w:hint="eastAsia" w:ascii="宋体" w:hAnsi="宋体" w:cs="宋体"/>
          <w:color w:val="000000" w:themeColor="text1"/>
          <w:sz w:val="21"/>
          <w:szCs w:val="21"/>
          <w:highlight w:val="none"/>
          <w:u w:val="single"/>
          <w:lang w:val="en-US" w:eastAsia="zh-CN"/>
          <w14:textFill>
            <w14:solidFill>
              <w14:schemeClr w14:val="tx1"/>
            </w14:solidFill>
          </w14:textFill>
        </w:rPr>
        <w:t>09</w:t>
      </w:r>
      <w:r>
        <w:rPr>
          <w:rFonts w:ascii="宋体" w:hAnsi="宋体" w:eastAsia="宋体" w:cs="宋体"/>
          <w:color w:val="000000" w:themeColor="text1"/>
          <w:sz w:val="21"/>
          <w:highlight w:val="none"/>
          <w:u w:val="single"/>
          <w14:textFill>
            <w14:solidFill>
              <w14:schemeClr w14:val="tx1"/>
            </w14:solidFill>
          </w14:textFill>
        </w:rPr>
        <w:t>点</w:t>
      </w:r>
      <w:r>
        <w:rPr>
          <w:rFonts w:hint="eastAsia" w:ascii="宋体" w:hAnsi="宋体" w:cs="宋体"/>
          <w:color w:val="000000" w:themeColor="text1"/>
          <w:sz w:val="21"/>
          <w:highlight w:val="none"/>
          <w:u w:val="single"/>
          <w:lang w:val="en-US" w:eastAsia="zh-CN"/>
          <w14:textFill>
            <w14:solidFill>
              <w14:schemeClr w14:val="tx1"/>
            </w14:solidFill>
          </w14:textFill>
        </w:rPr>
        <w:t>3</w:t>
      </w:r>
      <w:r>
        <w:rPr>
          <w:rFonts w:ascii="宋体" w:hAnsi="宋体" w:eastAsia="宋体" w:cs="宋体"/>
          <w:color w:val="000000" w:themeColor="text1"/>
          <w:sz w:val="21"/>
          <w:highlight w:val="none"/>
          <w:u w:val="single"/>
          <w14:textFill>
            <w14:solidFill>
              <w14:schemeClr w14:val="tx1"/>
            </w14:solidFill>
          </w14:textFill>
        </w:rPr>
        <w:t>0分</w:t>
      </w:r>
      <w:r>
        <w:rPr>
          <w:rFonts w:ascii="宋体" w:hAnsi="宋体" w:eastAsia="宋体" w:cs="宋体"/>
          <w:color w:val="000000" w:themeColor="text1"/>
          <w:sz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（北京时间）</w:t>
      </w:r>
    </w:p>
    <w:p w14:paraId="77E89535">
      <w:pPr>
        <w:pStyle w:val="209"/>
        <w:spacing w:beforeAutospacing="0" w:afterAutospacing="0" w:line="360"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2.地点：苏采云“不见面”开标大厅。</w:t>
      </w:r>
    </w:p>
    <w:p w14:paraId="213C5A1C">
      <w:pPr>
        <w:pStyle w:val="209"/>
        <w:spacing w:beforeAutospacing="0" w:afterAutospacing="0" w:line="360" w:lineRule="auto"/>
        <w:ind w:firstLine="422"/>
        <w:jc w:val="both"/>
        <w:rPr>
          <w:rFonts w:hint="eastAsia" w:ascii="宋体" w:hAnsi="宋体" w:cs="宋体"/>
          <w:color w:val="000000" w:themeColor="text1"/>
          <w:sz w:val="21"/>
          <w:szCs w:val="21"/>
          <w:highlight w:val="none"/>
          <w14:textFill>
            <w14:solidFill>
              <w14:schemeClr w14:val="tx1"/>
            </w14:solidFill>
          </w14:textFill>
        </w:rPr>
      </w:pPr>
      <w:bookmarkStart w:id="28" w:name="_Toc35393625"/>
      <w:bookmarkStart w:id="29" w:name="_Toc28359007"/>
      <w:bookmarkStart w:id="30" w:name="_Toc38985267"/>
      <w:bookmarkStart w:id="31" w:name="_Toc28359084"/>
      <w:bookmarkStart w:id="32" w:name="_Toc35393794"/>
      <w:r>
        <w:rPr>
          <w:rFonts w:hint="eastAsia" w:ascii="宋体" w:hAnsi="宋体" w:cs="宋体"/>
          <w:b/>
          <w:color w:val="000000" w:themeColor="text1"/>
          <w:sz w:val="21"/>
          <w:szCs w:val="21"/>
          <w:highlight w:val="none"/>
          <w14:textFill>
            <w14:solidFill>
              <w14:schemeClr w14:val="tx1"/>
            </w14:solidFill>
          </w14:textFill>
        </w:rPr>
        <w:t>五、公告期限</w:t>
      </w:r>
      <w:bookmarkEnd w:id="28"/>
      <w:bookmarkEnd w:id="29"/>
      <w:bookmarkEnd w:id="30"/>
      <w:bookmarkEnd w:id="31"/>
      <w:bookmarkEnd w:id="32"/>
    </w:p>
    <w:p w14:paraId="1586E944">
      <w:pPr>
        <w:pStyle w:val="209"/>
        <w:spacing w:beforeAutospacing="0" w:afterAutospacing="0" w:line="360" w:lineRule="auto"/>
        <w:ind w:firstLine="420"/>
        <w:jc w:val="both"/>
        <w:rPr>
          <w:rFonts w:hint="eastAsia" w:ascii="宋体" w:hAnsi="宋体" w:cs="宋体"/>
          <w:color w:val="000000" w:themeColor="text1"/>
          <w:sz w:val="21"/>
          <w:szCs w:val="21"/>
          <w:highlight w:val="none"/>
          <w:shd w:val="clear" w:color="auto" w:fill="FFFFFF"/>
          <w14:textFill>
            <w14:solidFill>
              <w14:schemeClr w14:val="tx1"/>
            </w14:solidFill>
          </w14:textFill>
        </w:rPr>
      </w:pPr>
      <w:bookmarkStart w:id="33" w:name="_Toc38985268"/>
      <w:bookmarkStart w:id="34" w:name="_Toc35393626"/>
      <w:bookmarkStart w:id="35" w:name="_Toc35393795"/>
      <w:r>
        <w:rPr>
          <w:rFonts w:hint="eastAsia" w:ascii="宋体" w:hAnsi="宋体" w:cs="宋体"/>
          <w:color w:val="000000" w:themeColor="text1"/>
          <w:sz w:val="21"/>
          <w:szCs w:val="21"/>
          <w:highlight w:val="none"/>
          <w:shd w:val="clear" w:color="auto" w:fill="FFFFFF"/>
          <w14:textFill>
            <w14:solidFill>
              <w14:schemeClr w14:val="tx1"/>
            </w14:solidFill>
          </w14:textFill>
        </w:rPr>
        <w:t>自本公告发布之日起5个工作日。</w:t>
      </w:r>
      <w:bookmarkEnd w:id="33"/>
      <w:bookmarkEnd w:id="34"/>
      <w:bookmarkEnd w:id="35"/>
    </w:p>
    <w:p w14:paraId="34EA290B">
      <w:pPr>
        <w:pStyle w:val="209"/>
        <w:spacing w:beforeAutospacing="0" w:afterAutospacing="0" w:line="360" w:lineRule="auto"/>
        <w:ind w:firstLine="422"/>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六、其他补充事宜</w:t>
      </w:r>
    </w:p>
    <w:p w14:paraId="390B78EE">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bookmarkStart w:id="36" w:name="_Toc28359018"/>
      <w:r>
        <w:rPr>
          <w:rFonts w:hint="eastAsia" w:ascii="宋体" w:hAnsi="宋体" w:eastAsia="宋体" w:cs="宋体"/>
          <w:color w:val="000000" w:themeColor="text1"/>
          <w:sz w:val="21"/>
          <w:szCs w:val="21"/>
          <w:highlight w:val="none"/>
          <w14:textFill>
            <w14:solidFill>
              <w14:schemeClr w14:val="tx1"/>
            </w14:solidFill>
          </w14:textFill>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357FE468">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领取CA和办理电子签章</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请至盐城市府西路1号盐城市公共资源交易中心四楼大厅10号，11号窗口办理，</w:t>
      </w:r>
      <w:r>
        <w:rPr>
          <w:rFonts w:hint="eastAsia" w:ascii="宋体" w:hAnsi="宋体" w:eastAsia="宋体" w:cs="宋体"/>
          <w:color w:val="000000" w:themeColor="text1"/>
          <w:sz w:val="21"/>
          <w:szCs w:val="21"/>
          <w:highlight w:val="none"/>
          <w14:textFill>
            <w14:solidFill>
              <w14:schemeClr w14:val="tx1"/>
            </w14:solidFill>
          </w14:textFill>
        </w:rPr>
        <w:t>联系电话：15051556883，办理邮箱：yancheng@ideabank.net.cn，</w:t>
      </w:r>
      <w:r>
        <w:rPr>
          <w:rFonts w:hint="eastAsia" w:ascii="宋体" w:hAnsi="宋体" w:eastAsia="宋体" w:cs="宋体"/>
          <w:color w:val="000000" w:themeColor="text1"/>
          <w:sz w:val="21"/>
          <w:szCs w:val="21"/>
          <w:highlight w:val="none"/>
          <w:lang w:val="en-US" w:eastAsia="zh-CN"/>
          <w14:textFill>
            <w14:solidFill>
              <w14:schemeClr w14:val="tx1"/>
            </w14:solidFill>
          </w14:textFill>
        </w:rPr>
        <w:t>具体系统操作见《苏采云系统供应商操作手册》（以下简称《操作手册》））、进行注册并按《操作手册》要求制作、上传电子投标文件,《苏采云系统供应商操作手册》，手册下载地址：苏采云系统-右侧消息通知栏。</w:t>
      </w:r>
    </w:p>
    <w:p w14:paraId="3D190617">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2.潜在供应商访问电子招标响应交易平台的网络地址和方法：</w:t>
      </w:r>
    </w:p>
    <w:p w14:paraId="1BFB1D5C">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32535E8E">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2.2潜在投标人访问“苏采云”系统方法：江苏省政府采购网首页-“苏采云”链接。</w:t>
      </w:r>
    </w:p>
    <w:p w14:paraId="54CAB69C">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2.3采购文件（后缀名为“.kedt”）、供应商操作手册及政府采购客户端工具可通过“苏采云”系统相应链接进行下载。</w:t>
      </w:r>
    </w:p>
    <w:p w14:paraId="2ECE3847">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2.4采购代理机构将数据电文形式的采购文件加载至“苏采云”系统，供潜在供应商下载或者查阅。</w:t>
      </w:r>
    </w:p>
    <w:p w14:paraId="3423F22B">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i w:val="0"/>
          <w:iCs w:val="0"/>
          <w:caps w:val="0"/>
          <w:color w:val="000000" w:themeColor="text1"/>
          <w:spacing w:val="0"/>
          <w:sz w:val="27"/>
          <w:szCs w:val="27"/>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2.5请潜在投标单位提前安装相应的控件（详见《“苏采云”系统供应商操作手册》）并使用谷歌浏览器登录“苏采云”系统参与不见面开评标。</w:t>
      </w:r>
    </w:p>
    <w:p w14:paraId="49184E86">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如潜在投标人未按上述要求操作，将自行承担所产生的风险。</w:t>
      </w:r>
    </w:p>
    <w:p w14:paraId="67F56060">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3.有关本次招标的事项若存在变动或修改，敬请及时关注在“中国政府采购网”、“江苏政府采购网”、“盐城市政府采购网”发布的更正公告。</w:t>
      </w:r>
    </w:p>
    <w:p w14:paraId="7668F598">
      <w:pPr>
        <w:pStyle w:val="209"/>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4.本次招标不收取投标保证金，不收取质量保证金。</w:t>
      </w:r>
    </w:p>
    <w:p w14:paraId="40C7C5B2">
      <w:pPr>
        <w:pStyle w:val="209"/>
        <w:spacing w:beforeAutospacing="0" w:afterAutospacing="0" w:line="360" w:lineRule="auto"/>
        <w:ind w:firstLine="422"/>
        <w:jc w:val="both"/>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七、对本次招标提出询问，请按以下方式联系。</w:t>
      </w:r>
      <w:bookmarkEnd w:id="36"/>
    </w:p>
    <w:p w14:paraId="120AF86D">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1.采购人信息</w:t>
      </w:r>
    </w:p>
    <w:p w14:paraId="7907A327">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名 称：盐城市公安局</w:t>
      </w:r>
    </w:p>
    <w:p w14:paraId="5C4E0B9F">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地 址：</w:t>
      </w:r>
      <w:r>
        <w:rPr>
          <w:rFonts w:hint="eastAsia" w:ascii="宋体" w:hAnsi="宋体" w:cs="宋体"/>
          <w:color w:val="000000" w:themeColor="text1"/>
          <w:sz w:val="21"/>
          <w:szCs w:val="21"/>
          <w:highlight w:val="none"/>
          <w:shd w:val="clear" w:color="auto" w:fill="FFFFFF"/>
          <w:lang w:val="zh-TW"/>
          <w14:textFill>
            <w14:solidFill>
              <w14:schemeClr w14:val="tx1"/>
            </w14:solidFill>
          </w14:textFill>
        </w:rPr>
        <w:t>盐城市平安路</w:t>
      </w:r>
      <w:r>
        <w:rPr>
          <w:rFonts w:hint="eastAsia" w:ascii="宋体" w:hAnsi="宋体" w:cs="宋体"/>
          <w:color w:val="000000" w:themeColor="text1"/>
          <w:sz w:val="21"/>
          <w:szCs w:val="21"/>
          <w:highlight w:val="none"/>
          <w:shd w:val="clear" w:color="auto" w:fill="FFFFFF"/>
          <w14:textFill>
            <w14:solidFill>
              <w14:schemeClr w14:val="tx1"/>
            </w14:solidFill>
          </w14:textFill>
        </w:rPr>
        <w:t>9</w:t>
      </w:r>
      <w:r>
        <w:rPr>
          <w:rFonts w:hint="eastAsia" w:ascii="宋体" w:hAnsi="宋体" w:cs="宋体"/>
          <w:color w:val="000000" w:themeColor="text1"/>
          <w:sz w:val="21"/>
          <w:szCs w:val="21"/>
          <w:highlight w:val="none"/>
          <w:shd w:val="clear" w:color="auto" w:fill="FFFFFF"/>
          <w:lang w:val="zh-TW"/>
          <w14:textFill>
            <w14:solidFill>
              <w14:schemeClr w14:val="tx1"/>
            </w14:solidFill>
          </w14:textFill>
        </w:rPr>
        <w:t>号（邮编</w:t>
      </w:r>
      <w:r>
        <w:rPr>
          <w:rFonts w:hint="eastAsia" w:ascii="宋体" w:hAnsi="宋体" w:cs="宋体"/>
          <w:color w:val="000000" w:themeColor="text1"/>
          <w:sz w:val="21"/>
          <w:szCs w:val="21"/>
          <w:highlight w:val="none"/>
          <w:shd w:val="clear" w:color="auto" w:fill="FFFFFF"/>
          <w14:textFill>
            <w14:solidFill>
              <w14:schemeClr w14:val="tx1"/>
            </w14:solidFill>
          </w14:textFill>
        </w:rPr>
        <w:t>224000</w:t>
      </w:r>
      <w:r>
        <w:rPr>
          <w:rFonts w:hint="eastAsia" w:ascii="宋体" w:hAnsi="宋体" w:cs="宋体"/>
          <w:color w:val="000000" w:themeColor="text1"/>
          <w:sz w:val="21"/>
          <w:szCs w:val="21"/>
          <w:highlight w:val="none"/>
          <w:shd w:val="clear" w:color="auto" w:fill="FFFFFF"/>
          <w:lang w:val="zh-TW"/>
          <w14:textFill>
            <w14:solidFill>
              <w14:schemeClr w14:val="tx1"/>
            </w14:solidFill>
          </w14:textFill>
        </w:rPr>
        <w:t>）</w:t>
      </w:r>
    </w:p>
    <w:p w14:paraId="461CB5C7">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lang w:val="zh-TW"/>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联系</w:t>
      </w:r>
      <w:r>
        <w:rPr>
          <w:rFonts w:hint="eastAsia" w:ascii="宋体" w:hAnsi="宋体" w:cs="宋体"/>
          <w:color w:val="000000" w:themeColor="text1"/>
          <w:sz w:val="21"/>
          <w:szCs w:val="21"/>
          <w:highlight w:val="none"/>
          <w:shd w:val="clear" w:color="auto" w:fill="FFFFFF"/>
          <w:lang w:val="zh-TW"/>
          <w14:textFill>
            <w14:solidFill>
              <w14:schemeClr w14:val="tx1"/>
            </w14:solidFill>
          </w14:textFill>
        </w:rPr>
        <w:t>人：</w:t>
      </w:r>
      <w:bookmarkStart w:id="37" w:name="OLE_LINK12"/>
      <w:r>
        <w:rPr>
          <w:rFonts w:hint="eastAsia" w:ascii="宋体" w:hAnsi="宋体" w:cs="宋体"/>
          <w:color w:val="000000" w:themeColor="text1"/>
          <w:sz w:val="21"/>
          <w:szCs w:val="21"/>
          <w:highlight w:val="none"/>
          <w:shd w:val="clear" w:color="auto" w:fill="FFFFFF"/>
          <w:lang w:val="zh-TW"/>
          <w14:textFill>
            <w14:solidFill>
              <w14:schemeClr w14:val="tx1"/>
            </w14:solidFill>
          </w14:textFill>
        </w:rPr>
        <w:t>江警官</w:t>
      </w:r>
      <w:bookmarkEnd w:id="37"/>
      <w:r>
        <w:rPr>
          <w:rFonts w:hint="eastAsia" w:ascii="宋体" w:hAnsi="宋体" w:cs="宋体"/>
          <w:color w:val="000000" w:themeColor="text1"/>
          <w:sz w:val="21"/>
          <w:szCs w:val="21"/>
          <w:highlight w:val="none"/>
          <w:shd w:val="clear" w:color="auto" w:fill="FFFFFF"/>
          <w:lang w:val="zh-TW"/>
          <w14:textFill>
            <w14:solidFill>
              <w14:schemeClr w14:val="tx1"/>
            </w14:solidFill>
          </w14:textFill>
        </w:rPr>
        <w:t xml:space="preserve">        </w:t>
      </w:r>
    </w:p>
    <w:p w14:paraId="753C0BE1">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lang w:val="zh-TW"/>
          <w14:textFill>
            <w14:solidFill>
              <w14:schemeClr w14:val="tx1"/>
            </w14:solidFill>
          </w14:textFill>
        </w:rPr>
        <w:t>联系方式：</w:t>
      </w:r>
      <w:bookmarkStart w:id="38" w:name="OLE_LINK13"/>
      <w:r>
        <w:rPr>
          <w:rFonts w:hint="eastAsia" w:ascii="宋体" w:hAnsi="宋体" w:cs="宋体"/>
          <w:color w:val="000000" w:themeColor="text1"/>
          <w:sz w:val="21"/>
          <w:szCs w:val="21"/>
          <w:highlight w:val="none"/>
          <w:shd w:val="clear" w:color="auto" w:fill="FFFFFF"/>
          <w:lang w:val="zh-TW"/>
          <w14:textFill>
            <w14:solidFill>
              <w14:schemeClr w14:val="tx1"/>
            </w14:solidFill>
          </w14:textFill>
        </w:rPr>
        <w:t>0515-83220095</w:t>
      </w:r>
      <w:bookmarkEnd w:id="38"/>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       </w:t>
      </w:r>
    </w:p>
    <w:p w14:paraId="18BEF15E">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2.采购代理机构信息</w:t>
      </w:r>
    </w:p>
    <w:p w14:paraId="090F7597">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名 称：盐城市智禾项目管理有限公司</w:t>
      </w:r>
    </w:p>
    <w:p w14:paraId="757567EB">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地 址：</w:t>
      </w:r>
      <w:bookmarkStart w:id="39" w:name="OLE_LINK15"/>
      <w:r>
        <w:rPr>
          <w:rFonts w:hint="eastAsia" w:ascii="宋体" w:hAnsi="宋体" w:cs="宋体"/>
          <w:color w:val="000000" w:themeColor="text1"/>
          <w:sz w:val="21"/>
          <w:szCs w:val="21"/>
          <w:highlight w:val="none"/>
          <w:shd w:val="clear" w:color="auto" w:fill="FFFFFF"/>
          <w14:textFill>
            <w14:solidFill>
              <w14:schemeClr w14:val="tx1"/>
            </w14:solidFill>
          </w14:textFill>
        </w:rPr>
        <w:t>盐城市盐都区宏都路华邦国际西厦 603室</w:t>
      </w:r>
      <w:bookmarkEnd w:id="39"/>
    </w:p>
    <w:p w14:paraId="26426129">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联系人：</w:t>
      </w:r>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杨</w:t>
      </w:r>
      <w:r>
        <w:rPr>
          <w:rFonts w:hint="eastAsia" w:ascii="宋体" w:hAnsi="宋体" w:cs="宋体"/>
          <w:color w:val="000000" w:themeColor="text1"/>
          <w:sz w:val="21"/>
          <w:szCs w:val="21"/>
          <w:highlight w:val="none"/>
          <w:shd w:val="clear" w:color="auto" w:fill="FFFFFF"/>
          <w14:textFill>
            <w14:solidFill>
              <w14:schemeClr w14:val="tx1"/>
            </w14:solidFill>
          </w14:textFill>
        </w:rPr>
        <w:t>女士</w:t>
      </w:r>
    </w:p>
    <w:p w14:paraId="1452B621">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联系电话：</w:t>
      </w:r>
      <w:bookmarkStart w:id="40" w:name="OLE_LINK14"/>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13092197196</w:t>
      </w:r>
      <w:bookmarkEnd w:id="40"/>
    </w:p>
    <w:p w14:paraId="20422AF1">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3.项目联系方式</w:t>
      </w:r>
    </w:p>
    <w:p w14:paraId="081EB7A9">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项目联系人：</w:t>
      </w:r>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杨</w:t>
      </w:r>
      <w:r>
        <w:rPr>
          <w:rFonts w:hint="eastAsia" w:ascii="宋体" w:hAnsi="宋体" w:cs="宋体"/>
          <w:color w:val="000000" w:themeColor="text1"/>
          <w:sz w:val="21"/>
          <w:szCs w:val="21"/>
          <w:highlight w:val="none"/>
          <w:shd w:val="clear" w:color="auto" w:fill="FFFFFF"/>
          <w14:textFill>
            <w14:solidFill>
              <w14:schemeClr w14:val="tx1"/>
            </w14:solidFill>
          </w14:textFill>
        </w:rPr>
        <w:t>女士</w:t>
      </w:r>
    </w:p>
    <w:p w14:paraId="4A30A294">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电　　 话：</w:t>
      </w:r>
      <w:bookmarkStart w:id="41" w:name="OLE_LINK34"/>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13092197196</w:t>
      </w:r>
      <w:bookmarkEnd w:id="41"/>
    </w:p>
    <w:p w14:paraId="7768F47E">
      <w:pPr>
        <w:pStyle w:val="209"/>
        <w:widowControl/>
        <w:shd w:val="clear" w:color="auto" w:fill="FFFFFF"/>
        <w:spacing w:beforeAutospacing="0" w:afterAutospacing="0" w:line="360" w:lineRule="auto"/>
        <w:ind w:firstLine="560"/>
        <w:jc w:val="both"/>
        <w:rPr>
          <w:rFonts w:hint="eastAsia" w:ascii="宋体" w:hAnsi="宋体" w:cs="宋体"/>
          <w:color w:val="000000" w:themeColor="text1"/>
          <w:sz w:val="21"/>
          <w:szCs w:val="21"/>
          <w:highlight w:val="none"/>
          <w:shd w:val="clear" w:color="auto" w:fill="FFFFFF"/>
          <w14:textFill>
            <w14:solidFill>
              <w14:schemeClr w14:val="tx1"/>
            </w14:solidFill>
          </w14:textFill>
        </w:rPr>
      </w:pPr>
      <w:bookmarkStart w:id="42" w:name="_Toc120614211"/>
    </w:p>
    <w:p w14:paraId="455EDAF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p>
    <w:p w14:paraId="6291F28B">
      <w:pPr>
        <w:pStyle w:val="209"/>
        <w:keepNext/>
        <w:keepLines/>
        <w:spacing w:before="260" w:beforeAutospacing="0" w:after="260" w:afterAutospacing="0" w:line="415" w:lineRule="auto"/>
        <w:ind w:firstLine="2429"/>
        <w:jc w:val="both"/>
        <w:rPr>
          <w:rFonts w:hint="eastAsia" w:ascii="黑体" w:hAnsi="宋体" w:eastAsia="黑体" w:cs="黑体"/>
          <w:b/>
          <w:color w:val="000000" w:themeColor="text1"/>
          <w:sz w:val="44"/>
          <w:szCs w:val="44"/>
          <w:highlight w:val="none"/>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42"/>
      <w:bookmarkStart w:id="43" w:name="_Toc513029202"/>
      <w:bookmarkStart w:id="44" w:name="_Toc16938518"/>
      <w:bookmarkStart w:id="45" w:name="_Toc20823274"/>
      <w:bookmarkStart w:id="46" w:name="_Toc120614213"/>
      <w:r>
        <w:rPr>
          <w:rFonts w:hint="eastAsia" w:ascii="黑体" w:hAnsi="宋体" w:eastAsia="黑体" w:cs="黑体"/>
          <w:b/>
          <w:color w:val="000000" w:themeColor="text1"/>
          <w:sz w:val="44"/>
          <w:szCs w:val="44"/>
          <w:highlight w:val="none"/>
          <w14:textFill>
            <w14:solidFill>
              <w14:schemeClr w14:val="tx1"/>
            </w14:solidFill>
          </w14:textFill>
        </w:rPr>
        <w:t>投标人须知</w:t>
      </w:r>
      <w:bookmarkEnd w:id="43"/>
      <w:bookmarkEnd w:id="44"/>
      <w:bookmarkEnd w:id="45"/>
      <w:bookmarkEnd w:id="46"/>
      <w:bookmarkStart w:id="47" w:name="_Toc513029203"/>
      <w:bookmarkStart w:id="48" w:name="_Toc20823275"/>
      <w:bookmarkStart w:id="49" w:name="_Toc16938519"/>
      <w:bookmarkStart w:id="50" w:name="_Toc120614214"/>
    </w:p>
    <w:p w14:paraId="00E1ECC4">
      <w:pPr>
        <w:pStyle w:val="209"/>
        <w:numPr>
          <w:ilvl w:val="0"/>
          <w:numId w:val="1"/>
        </w:numPr>
        <w:spacing w:beforeAutospacing="0" w:afterAutospacing="0" w:line="348" w:lineRule="auto"/>
        <w:ind w:firstLine="420"/>
        <w:jc w:val="both"/>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总则</w:t>
      </w:r>
      <w:bookmarkEnd w:id="47"/>
      <w:bookmarkEnd w:id="48"/>
      <w:bookmarkEnd w:id="49"/>
      <w:bookmarkEnd w:id="50"/>
      <w:bookmarkStart w:id="51" w:name="_Toc20823276"/>
      <w:bookmarkStart w:id="52" w:name="_Toc513029204"/>
      <w:bookmarkStart w:id="53" w:name="_Toc458694821"/>
      <w:bookmarkStart w:id="54" w:name="_Toc16938520"/>
      <w:bookmarkStart w:id="55" w:name="_Hlt16619475"/>
    </w:p>
    <w:p w14:paraId="1455762E">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w:t>
      </w:r>
      <w:bookmarkEnd w:id="51"/>
      <w:r>
        <w:rPr>
          <w:rFonts w:hint="eastAsia" w:ascii="宋体" w:hAnsi="宋体" w:cs="宋体"/>
          <w:color w:val="000000" w:themeColor="text1"/>
          <w:sz w:val="21"/>
          <w:szCs w:val="21"/>
          <w:highlight w:val="none"/>
          <w14:textFill>
            <w14:solidFill>
              <w14:schemeClr w14:val="tx1"/>
            </w14:solidFill>
          </w14:textFill>
        </w:rPr>
        <w:t>、招标方式</w:t>
      </w:r>
      <w:bookmarkEnd w:id="52"/>
      <w:bookmarkEnd w:id="53"/>
      <w:bookmarkEnd w:id="54"/>
    </w:p>
    <w:p w14:paraId="0381C61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1.1本次招标采取公开招标方式，本招标文件仅适用于招标公告中所述项目。</w:t>
      </w:r>
    </w:p>
    <w:p w14:paraId="7850CAA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56" w:name="_Toc16938521"/>
      <w:bookmarkStart w:id="57" w:name="_Toc20823277"/>
      <w:bookmarkStart w:id="58" w:name="_Toc513029205"/>
      <w:r>
        <w:rPr>
          <w:rFonts w:hint="eastAsia" w:ascii="宋体" w:hAnsi="宋体" w:cs="宋体"/>
          <w:color w:val="000000" w:themeColor="text1"/>
          <w:sz w:val="21"/>
          <w:szCs w:val="21"/>
          <w:highlight w:val="none"/>
          <w14:textFill>
            <w14:solidFill>
              <w14:schemeClr w14:val="tx1"/>
            </w14:solidFill>
          </w14:textFill>
        </w:rPr>
        <w:t>2、合格的投标人</w:t>
      </w:r>
      <w:bookmarkEnd w:id="56"/>
      <w:bookmarkEnd w:id="57"/>
      <w:bookmarkEnd w:id="58"/>
    </w:p>
    <w:p w14:paraId="39FC103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2.1满足招标公告中供应商的资格要求的规定。</w:t>
      </w:r>
    </w:p>
    <w:p w14:paraId="186DF93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2.2满足本文件实质性要求和条件的规定。</w:t>
      </w:r>
    </w:p>
    <w:p w14:paraId="33A32FE2">
      <w:pPr>
        <w:pStyle w:val="209"/>
        <w:spacing w:beforeAutospacing="0" w:afterAutospacing="0" w:line="348"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bookmarkStart w:id="59" w:name="_Toc513029206"/>
      <w:bookmarkStart w:id="60" w:name="_Toc20823278"/>
      <w:bookmarkStart w:id="61" w:name="_Toc16938522"/>
      <w:r>
        <w:rPr>
          <w:rFonts w:hint="eastAsia" w:ascii="宋体" w:hAnsi="宋体" w:eastAsia="宋体" w:cs="宋体"/>
          <w:color w:val="000000" w:themeColor="text1"/>
          <w:sz w:val="21"/>
          <w:szCs w:val="21"/>
          <w:highlight w:val="none"/>
          <w14:textFill>
            <w14:solidFill>
              <w14:schemeClr w14:val="tx1"/>
            </w14:solidFill>
          </w14:textFill>
        </w:rPr>
        <w:t>3、</w:t>
      </w:r>
      <w:bookmarkEnd w:id="59"/>
      <w:bookmarkEnd w:id="60"/>
      <w:bookmarkEnd w:id="61"/>
      <w:r>
        <w:rPr>
          <w:rFonts w:hint="eastAsia" w:ascii="宋体" w:hAnsi="宋体" w:eastAsia="宋体" w:cs="宋体"/>
          <w:color w:val="000000" w:themeColor="text1"/>
          <w:sz w:val="21"/>
          <w:szCs w:val="21"/>
          <w:highlight w:val="none"/>
          <w14:textFill>
            <w14:solidFill>
              <w14:schemeClr w14:val="tx1"/>
            </w14:solidFill>
          </w14:textFill>
        </w:rPr>
        <w:t>适用法律和标准</w:t>
      </w:r>
    </w:p>
    <w:p w14:paraId="09FCEE23">
      <w:pPr>
        <w:pStyle w:val="209"/>
        <w:spacing w:beforeAutospacing="0" w:afterAutospacing="0" w:line="348"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3.1本次招标及由此产生的合同受中华人民共和国有关的法律法规制约和保护。</w:t>
      </w:r>
    </w:p>
    <w:p w14:paraId="773C0D70">
      <w:pPr>
        <w:pStyle w:val="209"/>
        <w:spacing w:beforeAutospacing="0" w:afterAutospacing="0" w:line="348"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3.2在本项目政府采购活动过程中，如果所执行的标准有更新的，按照最新标准执行。</w:t>
      </w:r>
    </w:p>
    <w:p w14:paraId="5CE587F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62" w:name="_Toc20823279"/>
      <w:bookmarkStart w:id="63" w:name="_Toc16938523"/>
      <w:bookmarkStart w:id="64" w:name="_Toc513029207"/>
      <w:bookmarkStart w:id="65" w:name="_Toc462564067"/>
      <w:r>
        <w:rPr>
          <w:rFonts w:hint="eastAsia" w:ascii="宋体" w:hAnsi="宋体" w:cs="宋体"/>
          <w:color w:val="000000" w:themeColor="text1"/>
          <w:sz w:val="21"/>
          <w:szCs w:val="21"/>
          <w:highlight w:val="none"/>
          <w14:textFill>
            <w14:solidFill>
              <w14:schemeClr w14:val="tx1"/>
            </w14:solidFill>
          </w14:textFill>
        </w:rPr>
        <w:t>4、投标费用</w:t>
      </w:r>
      <w:bookmarkEnd w:id="62"/>
      <w:bookmarkEnd w:id="63"/>
      <w:bookmarkEnd w:id="64"/>
      <w:bookmarkEnd w:id="65"/>
    </w:p>
    <w:p w14:paraId="38FBC23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4.1投标人应自行承担所有与参加投标有关的费用，无论投标过程中的做法和结果如何，采购人和采购代理机构在任何情况下均无义务和责任承担这些费用。</w:t>
      </w:r>
    </w:p>
    <w:p w14:paraId="3FF7A8FE">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4.2本次招标采购人和采购代理机构不收取标书工本费。</w:t>
      </w:r>
    </w:p>
    <w:p w14:paraId="5B0E49A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4.3本项目代理服务费由项目中标单位支付，代理服务费收费标准按照《江苏省政府采购代理服务收费指导意见》的通知（苏政采协【2024】20号）收费标准的43.5%计取，由中标人领取中标通知书前，向代理公司支付，请投标人考虑在投标报价中。</w:t>
      </w:r>
    </w:p>
    <w:p w14:paraId="0529966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招标文件的约束力</w:t>
      </w:r>
    </w:p>
    <w:p w14:paraId="6436E7F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5.1投标人一旦参加本项目采购活动，即被认为接受了本招标文件的规定和约束。</w:t>
      </w:r>
    </w:p>
    <w:p w14:paraId="0C1A65EE">
      <w:pPr>
        <w:pStyle w:val="209"/>
        <w:keepNext/>
        <w:keepLines/>
        <w:spacing w:before="145" w:beforeAutospacing="0" w:after="145" w:afterAutospacing="0" w:line="348" w:lineRule="auto"/>
        <w:ind w:firstLine="321"/>
        <w:jc w:val="both"/>
        <w:rPr>
          <w:rFonts w:hint="eastAsia" w:ascii="宋体" w:hAnsi="宋体" w:cs="宋体"/>
          <w:color w:val="000000" w:themeColor="text1"/>
          <w:sz w:val="21"/>
          <w:szCs w:val="21"/>
          <w:highlight w:val="none"/>
          <w14:textFill>
            <w14:solidFill>
              <w14:schemeClr w14:val="tx1"/>
            </w14:solidFill>
          </w14:textFill>
        </w:rPr>
      </w:pPr>
      <w:bookmarkStart w:id="66" w:name="_Toc513029209"/>
      <w:bookmarkStart w:id="67" w:name="_Toc120614215"/>
      <w:bookmarkStart w:id="68" w:name="_Toc20823281"/>
      <w:bookmarkStart w:id="69" w:name="_Toc16938525"/>
      <w:r>
        <w:rPr>
          <w:rFonts w:hint="eastAsia" w:ascii="宋体" w:hAnsi="宋体" w:cs="宋体"/>
          <w:b/>
          <w:color w:val="000000" w:themeColor="text1"/>
          <w:sz w:val="21"/>
          <w:szCs w:val="21"/>
          <w:highlight w:val="none"/>
          <w14:textFill>
            <w14:solidFill>
              <w14:schemeClr w14:val="tx1"/>
            </w14:solidFill>
          </w14:textFill>
        </w:rPr>
        <w:t>二、招标文件</w:t>
      </w:r>
      <w:bookmarkEnd w:id="66"/>
      <w:bookmarkEnd w:id="67"/>
      <w:bookmarkEnd w:id="68"/>
      <w:bookmarkEnd w:id="69"/>
    </w:p>
    <w:p w14:paraId="25C2198E">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70" w:name="_Toc20823282"/>
      <w:bookmarkStart w:id="71" w:name="_Toc16938526"/>
      <w:bookmarkStart w:id="72" w:name="_Toc513029210"/>
      <w:r>
        <w:rPr>
          <w:rFonts w:hint="eastAsia" w:ascii="宋体" w:hAnsi="宋体" w:cs="宋体"/>
          <w:color w:val="000000" w:themeColor="text1"/>
          <w:sz w:val="21"/>
          <w:szCs w:val="21"/>
          <w:highlight w:val="none"/>
          <w14:textFill>
            <w14:solidFill>
              <w14:schemeClr w14:val="tx1"/>
            </w14:solidFill>
          </w14:textFill>
        </w:rPr>
        <w:t>6、招标文件构成</w:t>
      </w:r>
      <w:bookmarkEnd w:id="70"/>
      <w:bookmarkEnd w:id="71"/>
      <w:bookmarkEnd w:id="72"/>
    </w:p>
    <w:p w14:paraId="539AD7D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6.1招标文件由以下部分组成：</w:t>
      </w:r>
    </w:p>
    <w:p w14:paraId="15C5A5A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（1）招标公告</w:t>
      </w:r>
    </w:p>
    <w:p w14:paraId="5500DC0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（2）投标人须知</w:t>
      </w:r>
    </w:p>
    <w:p w14:paraId="1CCFBBD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（3）合同文本</w:t>
      </w:r>
    </w:p>
    <w:p w14:paraId="2330785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（4）采购需求</w:t>
      </w:r>
    </w:p>
    <w:p w14:paraId="7585C8F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（5）评标方法与评标标准</w:t>
      </w:r>
    </w:p>
    <w:p w14:paraId="2721485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（6）投标文件格式</w:t>
      </w:r>
    </w:p>
    <w:p w14:paraId="3B9A93B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请仔细检查招标文件是否齐全，如有缺漏请立即与采购代理机构联系解决。</w:t>
      </w:r>
    </w:p>
    <w:p w14:paraId="639B62D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6E0B5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73" w:name="_Toc513029211"/>
      <w:bookmarkStart w:id="74" w:name="_Toc20823283"/>
      <w:bookmarkStart w:id="75" w:name="_Toc462564070"/>
      <w:bookmarkStart w:id="76" w:name="_Toc16938527"/>
      <w:r>
        <w:rPr>
          <w:rFonts w:hint="eastAsia" w:ascii="宋体" w:hAnsi="宋体" w:cs="宋体"/>
          <w:color w:val="000000" w:themeColor="text1"/>
          <w:sz w:val="21"/>
          <w:szCs w:val="21"/>
          <w:highlight w:val="none"/>
          <w14:textFill>
            <w14:solidFill>
              <w14:schemeClr w14:val="tx1"/>
            </w14:solidFill>
          </w14:textFill>
        </w:rPr>
        <w:t>7、招标文件的澄清</w:t>
      </w:r>
      <w:bookmarkEnd w:id="73"/>
      <w:bookmarkEnd w:id="74"/>
      <w:bookmarkEnd w:id="75"/>
      <w:bookmarkEnd w:id="76"/>
    </w:p>
    <w:p w14:paraId="2DF725A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7.1任何要求对招标文件进行澄清的投标人，应在投标截止期</w:t>
      </w:r>
      <w:r>
        <w:rPr>
          <w:rFonts w:hint="eastAsia" w:ascii="宋体" w:hAnsi="宋体" w:cs="宋体"/>
          <w:b/>
          <w:color w:val="000000" w:themeColor="text1"/>
          <w:sz w:val="21"/>
          <w:szCs w:val="21"/>
          <w:highlight w:val="none"/>
          <w14:textFill>
            <w14:solidFill>
              <w14:schemeClr w14:val="tx1"/>
            </w14:solidFill>
          </w14:textFill>
        </w:rPr>
        <w:t>十日</w:t>
      </w:r>
      <w:r>
        <w:rPr>
          <w:rFonts w:hint="eastAsia" w:ascii="宋体" w:hAnsi="宋体" w:cs="宋体"/>
          <w:color w:val="000000" w:themeColor="text1"/>
          <w:sz w:val="21"/>
          <w:szCs w:val="21"/>
          <w:highlight w:val="none"/>
          <w14:textFill>
            <w14:solidFill>
              <w14:schemeClr w14:val="tx1"/>
            </w14:solidFill>
          </w14:textFill>
        </w:rPr>
        <w:t>前按招标公告中的通讯地址，以书面形式通知采购代理机构。</w:t>
      </w:r>
    </w:p>
    <w:p w14:paraId="1811851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77" w:name="_Toc16938528"/>
      <w:bookmarkStart w:id="78" w:name="_Toc20823284"/>
      <w:bookmarkStart w:id="79" w:name="_Toc462564071"/>
      <w:bookmarkStart w:id="80" w:name="_Toc513029212"/>
      <w:r>
        <w:rPr>
          <w:rFonts w:hint="eastAsia" w:ascii="宋体" w:hAnsi="宋体" w:cs="宋体"/>
          <w:color w:val="000000" w:themeColor="text1"/>
          <w:sz w:val="21"/>
          <w:szCs w:val="21"/>
          <w:highlight w:val="none"/>
          <w14:textFill>
            <w14:solidFill>
              <w14:schemeClr w14:val="tx1"/>
            </w14:solidFill>
          </w14:textFill>
        </w:rPr>
        <w:t>8、招标文件的修改</w:t>
      </w:r>
      <w:bookmarkEnd w:id="77"/>
      <w:bookmarkEnd w:id="78"/>
      <w:bookmarkEnd w:id="79"/>
      <w:bookmarkEnd w:id="80"/>
    </w:p>
    <w:p w14:paraId="5913375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8.1在投标截止时间前，采购代理机构可以对招标文件进行修改。</w:t>
      </w:r>
    </w:p>
    <w:p w14:paraId="7FAC4E7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8.2采购代理机构有权按照法定的要求推迟投标截止日期和开标日期。</w:t>
      </w:r>
    </w:p>
    <w:p w14:paraId="3A2C84B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8.3招标文件的修改将在中国政府采购网</w:t>
      </w:r>
      <w:r>
        <w:rPr>
          <w:rFonts w:hint="eastAsia" w:ascii="宋体" w:hAnsi="宋体" w:cs="宋体"/>
          <w:color w:val="000000" w:themeColor="text1"/>
          <w:sz w:val="21"/>
          <w:szCs w:val="21"/>
          <w:highlight w:val="none"/>
          <w:shd w:val="clear" w:color="auto" w:fill="FFFFFF"/>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江苏政府采购网、盐城市政府采购网公布，补充文件将作为招标文件的组成部分，并对投标人具有约束力。</w:t>
      </w:r>
    </w:p>
    <w:p w14:paraId="0C874BB1">
      <w:pPr>
        <w:pStyle w:val="209"/>
        <w:spacing w:beforeAutospacing="0" w:afterAutospacing="0" w:line="348" w:lineRule="auto"/>
        <w:ind w:firstLine="422"/>
        <w:jc w:val="both"/>
        <w:rPr>
          <w:rFonts w:hint="eastAsia" w:ascii="宋体" w:hAnsi="宋体" w:cs="宋体"/>
          <w:color w:val="000000" w:themeColor="text1"/>
          <w:sz w:val="21"/>
          <w:szCs w:val="21"/>
          <w:highlight w:val="none"/>
          <w14:textFill>
            <w14:solidFill>
              <w14:schemeClr w14:val="tx1"/>
            </w14:solidFill>
          </w14:textFill>
        </w:rPr>
      </w:pPr>
      <w:bookmarkStart w:id="81" w:name="_Toc462564072"/>
      <w:bookmarkStart w:id="82" w:name="_Toc16938529"/>
      <w:bookmarkStart w:id="83" w:name="_Toc120614216"/>
      <w:bookmarkStart w:id="84" w:name="_Toc20823285"/>
      <w:bookmarkStart w:id="85" w:name="_Toc513029213"/>
      <w:r>
        <w:rPr>
          <w:rFonts w:hint="eastAsia" w:ascii="宋体" w:hAnsi="宋体" w:cs="宋体"/>
          <w:b/>
          <w:color w:val="000000" w:themeColor="text1"/>
          <w:sz w:val="21"/>
          <w:szCs w:val="21"/>
          <w:highlight w:val="none"/>
          <w14:textFill>
            <w14:solidFill>
              <w14:schemeClr w14:val="tx1"/>
            </w14:solidFill>
          </w14:textFill>
        </w:rPr>
        <w:t>三、投标文件的编制</w:t>
      </w:r>
      <w:bookmarkEnd w:id="81"/>
      <w:bookmarkEnd w:id="82"/>
      <w:bookmarkEnd w:id="83"/>
      <w:bookmarkEnd w:id="84"/>
      <w:bookmarkEnd w:id="85"/>
    </w:p>
    <w:p w14:paraId="76BF6D3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86" w:name="_Toc16938530"/>
      <w:bookmarkStart w:id="87" w:name="_Toc513029214"/>
      <w:bookmarkStart w:id="88" w:name="_Toc462564073"/>
      <w:bookmarkStart w:id="89" w:name="_Toc20823286"/>
      <w:r>
        <w:rPr>
          <w:rFonts w:hint="eastAsia" w:ascii="宋体" w:hAnsi="宋体" w:cs="宋体"/>
          <w:color w:val="000000" w:themeColor="text1"/>
          <w:sz w:val="21"/>
          <w:szCs w:val="21"/>
          <w:highlight w:val="none"/>
          <w14:textFill>
            <w14:solidFill>
              <w14:schemeClr w14:val="tx1"/>
            </w14:solidFill>
          </w14:textFill>
        </w:rPr>
        <w:t>9、投标文件的语言及度量衡单位</w:t>
      </w:r>
      <w:bookmarkEnd w:id="86"/>
      <w:bookmarkEnd w:id="87"/>
      <w:bookmarkEnd w:id="88"/>
      <w:bookmarkEnd w:id="89"/>
    </w:p>
    <w:p w14:paraId="0AABF8F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9.1投标人提交的投标文件以及投标人与采购代理机构就有关投标的所有来往通知、函件和文件均应使用</w:t>
      </w:r>
      <w:r>
        <w:rPr>
          <w:rFonts w:hint="eastAsia" w:ascii="宋体" w:hAnsi="宋体" w:cs="宋体"/>
          <w:b/>
          <w:color w:val="000000" w:themeColor="text1"/>
          <w:sz w:val="21"/>
          <w:szCs w:val="21"/>
          <w:highlight w:val="none"/>
          <w14:textFill>
            <w14:solidFill>
              <w14:schemeClr w14:val="tx1"/>
            </w14:solidFill>
          </w14:textFill>
        </w:rPr>
        <w:t>简体中文</w:t>
      </w:r>
      <w:r>
        <w:rPr>
          <w:rFonts w:hint="eastAsia" w:ascii="宋体" w:hAnsi="宋体" w:cs="宋体"/>
          <w:color w:val="000000" w:themeColor="text1"/>
          <w:sz w:val="21"/>
          <w:szCs w:val="21"/>
          <w:highlight w:val="none"/>
          <w14:textFill>
            <w14:solidFill>
              <w14:schemeClr w14:val="tx1"/>
            </w14:solidFill>
          </w14:textFill>
        </w:rPr>
        <w:t>。</w:t>
      </w:r>
    </w:p>
    <w:p w14:paraId="222CF8AB">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9.2除技术性能另有规定外，投标文件所使用的度量衡单位，均须采用国家法定计量单位。</w:t>
      </w:r>
    </w:p>
    <w:p w14:paraId="1987818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90" w:name="_Toc16938531"/>
      <w:bookmarkStart w:id="91" w:name="_Toc513029215"/>
      <w:bookmarkStart w:id="92" w:name="_Toc20823287"/>
      <w:bookmarkStart w:id="93" w:name="_Toc462564074"/>
      <w:r>
        <w:rPr>
          <w:rFonts w:hint="eastAsia" w:ascii="宋体" w:hAnsi="宋体" w:cs="宋体"/>
          <w:color w:val="000000" w:themeColor="text1"/>
          <w:sz w:val="21"/>
          <w:szCs w:val="21"/>
          <w:highlight w:val="none"/>
          <w14:textFill>
            <w14:solidFill>
              <w14:schemeClr w14:val="tx1"/>
            </w14:solidFill>
          </w14:textFill>
        </w:rPr>
        <w:t>10、投标文件构成</w:t>
      </w:r>
      <w:bookmarkEnd w:id="90"/>
      <w:bookmarkEnd w:id="91"/>
      <w:bookmarkEnd w:id="92"/>
      <w:bookmarkEnd w:id="93"/>
    </w:p>
    <w:p w14:paraId="28F4F68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10.1投标人编写的投标文件应包括资格证明文件、符合性证明文件、投标分项报价表、技术要求响应及偏离表、商务要求响应及偏离表、其他证明文件、投标函、开标一览表等部分。</w:t>
      </w:r>
    </w:p>
    <w:p w14:paraId="1958017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10.2如标书制作工具中格式和内容与</w:t>
      </w:r>
      <w:r>
        <w:rPr>
          <w:rFonts w:hint="eastAsia" w:ascii="宋体" w:hAnsi="宋体" w:cs="宋体"/>
          <w:color w:val="000000" w:themeColor="text1"/>
          <w:sz w:val="21"/>
          <w:szCs w:val="21"/>
          <w:highlight w:val="none"/>
          <w:shd w:val="clear" w:color="auto" w:fill="FFFFFF"/>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中国政府采购网”“江苏政府采购网”“盐城市政府采购网</w:t>
      </w:r>
      <w:r>
        <w:rPr>
          <w:rFonts w:hint="eastAsia" w:ascii="宋体" w:hAnsi="宋体" w:cs="宋体"/>
          <w:color w:val="000000" w:themeColor="text1"/>
          <w:sz w:val="21"/>
          <w:szCs w:val="21"/>
          <w:highlight w:val="none"/>
          <w:shd w:val="clear" w:color="auto" w:fill="FFFFFF"/>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发布的招标文件不一致，请以中国政府采购网”“江苏政府采购网”“盐城市政府采购网</w:t>
      </w:r>
      <w:r>
        <w:rPr>
          <w:rFonts w:hint="eastAsia" w:ascii="宋体" w:hAnsi="宋体" w:cs="宋体"/>
          <w:color w:val="000000" w:themeColor="text1"/>
          <w:sz w:val="21"/>
          <w:szCs w:val="21"/>
          <w:highlight w:val="none"/>
          <w:shd w:val="clear" w:color="auto" w:fill="FFFFFF"/>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发布的招标文件为准。</w:t>
      </w:r>
    </w:p>
    <w:p w14:paraId="5C1B5C3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94" w:name="_Toc49090508"/>
      <w:bookmarkStart w:id="95" w:name="_Toc49090509"/>
      <w:bookmarkStart w:id="96" w:name="_Toc513029216"/>
      <w:bookmarkStart w:id="97" w:name="_Toc513029219"/>
      <w:bookmarkStart w:id="98" w:name="_Toc14577354"/>
      <w:bookmarkStart w:id="99" w:name="_Toc49090507"/>
      <w:bookmarkStart w:id="100" w:name="_Toc14577355"/>
      <w:bookmarkStart w:id="101" w:name="_Toc14577357"/>
      <w:bookmarkStart w:id="102" w:name="_Hlt26954838"/>
      <w:bookmarkStart w:id="103" w:name="_Hlt26670360"/>
      <w:bookmarkStart w:id="104" w:name="_Hlt26668975"/>
      <w:r>
        <w:rPr>
          <w:rFonts w:hint="eastAsia" w:ascii="宋体" w:hAnsi="宋体" w:cs="宋体"/>
          <w:color w:val="000000" w:themeColor="text1"/>
          <w:sz w:val="21"/>
          <w:szCs w:val="21"/>
          <w:highlight w:val="none"/>
          <w14:textFill>
            <w14:solidFill>
              <w14:schemeClr w14:val="tx1"/>
            </w14:solidFill>
          </w14:textFill>
        </w:rPr>
        <w:t>11、证明投标人及投标标的符合招标文件规定的文件</w:t>
      </w:r>
      <w:bookmarkEnd w:id="94"/>
      <w:bookmarkEnd w:id="95"/>
      <w:bookmarkEnd w:id="96"/>
      <w:bookmarkEnd w:id="97"/>
      <w:bookmarkEnd w:id="98"/>
      <w:bookmarkEnd w:id="99"/>
      <w:bookmarkEnd w:id="100"/>
      <w:bookmarkEnd w:id="101"/>
    </w:p>
    <w:p w14:paraId="32E66CEC">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11.1投标人应按照招标文件要求提交证明文件，证明其及投标标的符合招标文件规定。</w:t>
      </w:r>
    </w:p>
    <w:p w14:paraId="28D20A1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11.2招标文件对证明文件无明确形式要求的，证明文件可以以文字资料、图纸和数据等形式提交。</w:t>
      </w:r>
    </w:p>
    <w:p w14:paraId="2EE609A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12、投标分项报价表</w:t>
      </w:r>
    </w:p>
    <w:p w14:paraId="034D78D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12.1投标人应按照招标文件规定格式填报投标分项报价表。</w:t>
      </w:r>
    </w:p>
    <w:p w14:paraId="2E3A9CE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12.2投标货币。投标文件中的单价和总价无特殊规定的采用人民币报价，以元为单位标注。招标文件中另有规定的按规定执行。</w:t>
      </w:r>
    </w:p>
    <w:p w14:paraId="6DEB1D7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05" w:name="_Hlt26954846"/>
      <w:bookmarkStart w:id="106" w:name="_Hlt26670486"/>
      <w:bookmarkStart w:id="107" w:name="_Hlt26954731"/>
      <w:bookmarkStart w:id="108" w:name="_Hlt26954848"/>
      <w:bookmarkStart w:id="109" w:name="_Hlt26670482"/>
      <w:r>
        <w:rPr>
          <w:rFonts w:hint="eastAsia" w:ascii="宋体" w:hAnsi="宋体" w:cs="宋体"/>
          <w:color w:val="000000" w:themeColor="text1"/>
          <w:sz w:val="21"/>
          <w:szCs w:val="21"/>
          <w:highlight w:val="none"/>
          <w14:textFill>
            <w14:solidFill>
              <w14:schemeClr w14:val="tx1"/>
            </w14:solidFill>
          </w14:textFill>
        </w:rPr>
        <w:t>13、技术要求响应及偏离表、商务要求响应及偏离表</w:t>
      </w:r>
    </w:p>
    <w:p w14:paraId="4B0CDE5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13.1投标人需对招标文件中的技术要求与商务要求逐项作出响应或偏离，并说明原因。</w:t>
      </w:r>
    </w:p>
    <w:p w14:paraId="4745D5BB">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13.2投标人可在投标文件中提供认为需要的其他技术文件或说明。</w:t>
      </w:r>
    </w:p>
    <w:p w14:paraId="5436909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14、服务承诺、培训计划、人员安排及其他</w:t>
      </w:r>
    </w:p>
    <w:p w14:paraId="2B430A7B">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14.1投标人需根据招标文件要求提供有关售后服务的管理制度，售后服务机构的分布情况，售后服务人员的数量、素质、技术水平及售后服务的反应能力等。</w:t>
      </w:r>
    </w:p>
    <w:p w14:paraId="6632F9F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14.2投标人需根据招标文件要求提供培训计划。</w:t>
      </w:r>
    </w:p>
    <w:p w14:paraId="30CB943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14.3投标人需根据招标文件要求提供所投标的的主要组成部分、功能设计、实现思路及关键技术等。</w:t>
      </w:r>
    </w:p>
    <w:p w14:paraId="6598B37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10" w:name="_Toc14577359"/>
      <w:bookmarkStart w:id="111" w:name="_Toc49090510"/>
      <w:r>
        <w:rPr>
          <w:rFonts w:hint="eastAsia" w:ascii="宋体" w:hAnsi="宋体" w:cs="宋体"/>
          <w:color w:val="000000" w:themeColor="text1"/>
          <w:sz w:val="21"/>
          <w:szCs w:val="21"/>
          <w:highlight w:val="none"/>
          <w14:textFill>
            <w14:solidFill>
              <w14:schemeClr w14:val="tx1"/>
            </w14:solidFill>
          </w14:textFill>
        </w:rPr>
        <w:t>15、投标函和开标一览表</w:t>
      </w:r>
      <w:bookmarkEnd w:id="110"/>
      <w:bookmarkEnd w:id="111"/>
    </w:p>
    <w:p w14:paraId="30AD304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15.1投标人应按照招标文件中提供的格式完整、正确填写投标函、开标一览表。</w:t>
      </w:r>
    </w:p>
    <w:p w14:paraId="124C937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15.2对于采用货币报价的项目，开标一览表中的投标总报价应与投标分项报价表中的投标总报价一致，如不一致，不作为无效投标处理，但评标时按开标一览表中价格为准。</w:t>
      </w:r>
    </w:p>
    <w:p w14:paraId="7A7C4A7C">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12" w:name="_Toc14577360"/>
      <w:bookmarkStart w:id="113" w:name="_Toc49090511"/>
      <w:r>
        <w:rPr>
          <w:rFonts w:hint="eastAsia" w:ascii="宋体" w:hAnsi="宋体" w:cs="宋体"/>
          <w:color w:val="000000" w:themeColor="text1"/>
          <w:sz w:val="21"/>
          <w:szCs w:val="21"/>
          <w:highlight w:val="none"/>
          <w14:textFill>
            <w14:solidFill>
              <w14:schemeClr w14:val="tx1"/>
            </w14:solidFill>
          </w14:textFill>
        </w:rPr>
        <w:t>16、投标有效期</w:t>
      </w:r>
      <w:bookmarkEnd w:id="112"/>
      <w:bookmarkEnd w:id="113"/>
    </w:p>
    <w:p w14:paraId="161B4DB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16.1投标有效期为采购代理机构规定的开标之日后</w:t>
      </w:r>
      <w:r>
        <w:rPr>
          <w:rFonts w:hint="eastAsia" w:ascii="宋体" w:hAnsi="宋体" w:cs="宋体"/>
          <w:b/>
          <w:color w:val="000000" w:themeColor="text1"/>
          <w:sz w:val="21"/>
          <w:szCs w:val="21"/>
          <w:highlight w:val="none"/>
          <w:u w:val="single"/>
          <w14:textFill>
            <w14:solidFill>
              <w14:schemeClr w14:val="tx1"/>
            </w14:solidFill>
          </w14:textFill>
        </w:rPr>
        <w:t>九十（90）天</w:t>
      </w:r>
      <w:r>
        <w:rPr>
          <w:rFonts w:hint="eastAsia" w:ascii="宋体" w:hAnsi="宋体" w:cs="宋体"/>
          <w:color w:val="000000" w:themeColor="text1"/>
          <w:sz w:val="21"/>
          <w:szCs w:val="21"/>
          <w:highlight w:val="none"/>
          <w14:textFill>
            <w14:solidFill>
              <w14:schemeClr w14:val="tx1"/>
            </w14:solidFill>
          </w14:textFill>
        </w:rPr>
        <w:t>。投标有效期比规定短的将被视为未实质性响应招标文件而予以拒绝。</w:t>
      </w:r>
    </w:p>
    <w:p w14:paraId="11E1980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17、投标有效期的延长</w:t>
      </w:r>
    </w:p>
    <w:p w14:paraId="0B59E4D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F36DC48">
      <w:pPr>
        <w:pStyle w:val="209"/>
        <w:keepNext/>
        <w:keepLines/>
        <w:spacing w:before="145" w:beforeAutospacing="0" w:after="145" w:afterAutospacing="0" w:line="348" w:lineRule="auto"/>
        <w:ind w:firstLine="422"/>
        <w:jc w:val="both"/>
        <w:rPr>
          <w:rFonts w:hint="eastAsia" w:ascii="宋体" w:hAnsi="宋体" w:cs="宋体"/>
          <w:color w:val="000000" w:themeColor="text1"/>
          <w:sz w:val="21"/>
          <w:szCs w:val="21"/>
          <w:highlight w:val="none"/>
          <w14:textFill>
            <w14:solidFill>
              <w14:schemeClr w14:val="tx1"/>
            </w14:solidFill>
          </w14:textFill>
        </w:rPr>
      </w:pPr>
      <w:bookmarkStart w:id="114" w:name="_Toc16938540"/>
      <w:bookmarkStart w:id="115" w:name="_Toc120614217"/>
      <w:bookmarkStart w:id="116" w:name="_Toc513029224"/>
      <w:bookmarkStart w:id="117" w:name="_Toc20823296"/>
      <w:bookmarkStart w:id="118" w:name="_Hlt26954739"/>
      <w:bookmarkStart w:id="119" w:name="_Hlt26954852"/>
      <w:r>
        <w:rPr>
          <w:rFonts w:hint="eastAsia" w:ascii="宋体" w:hAnsi="宋体" w:cs="宋体"/>
          <w:b/>
          <w:color w:val="000000" w:themeColor="text1"/>
          <w:sz w:val="21"/>
          <w:szCs w:val="21"/>
          <w:highlight w:val="none"/>
          <w14:textFill>
            <w14:solidFill>
              <w14:schemeClr w14:val="tx1"/>
            </w14:solidFill>
          </w14:textFill>
        </w:rPr>
        <w:t>四、投标文件的递交</w:t>
      </w:r>
      <w:bookmarkEnd w:id="114"/>
      <w:bookmarkEnd w:id="115"/>
      <w:bookmarkEnd w:id="116"/>
      <w:bookmarkEnd w:id="117"/>
    </w:p>
    <w:p w14:paraId="11D892A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20" w:name="_Toc20823297"/>
      <w:bookmarkStart w:id="121" w:name="_Toc16938541"/>
      <w:bookmarkStart w:id="122" w:name="_Toc513029225"/>
      <w:bookmarkStart w:id="123" w:name="_Toc462564084"/>
      <w:r>
        <w:rPr>
          <w:rFonts w:hint="eastAsia" w:ascii="宋体" w:hAnsi="宋体" w:cs="宋体"/>
          <w:color w:val="000000" w:themeColor="text1"/>
          <w:sz w:val="21"/>
          <w:szCs w:val="21"/>
          <w:highlight w:val="none"/>
          <w14:textFill>
            <w14:solidFill>
              <w14:schemeClr w14:val="tx1"/>
            </w14:solidFill>
          </w14:textFill>
        </w:rPr>
        <w:t>18、电子投标文件</w:t>
      </w:r>
      <w:bookmarkEnd w:id="120"/>
      <w:bookmarkEnd w:id="121"/>
      <w:bookmarkEnd w:id="122"/>
      <w:bookmarkEnd w:id="123"/>
      <w:r>
        <w:rPr>
          <w:rFonts w:hint="eastAsia" w:ascii="宋体" w:hAnsi="宋体" w:cs="宋体"/>
          <w:color w:val="000000" w:themeColor="text1"/>
          <w:sz w:val="21"/>
          <w:szCs w:val="21"/>
          <w:highlight w:val="none"/>
          <w14:textFill>
            <w14:solidFill>
              <w14:schemeClr w14:val="tx1"/>
            </w14:solidFill>
          </w14:textFill>
        </w:rPr>
        <w:t>的递交</w:t>
      </w:r>
    </w:p>
    <w:p w14:paraId="1578CAB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18.1投标人应当按照《操作手册》规定，在投标截止时间前制作并上传电子投标</w:t>
      </w:r>
    </w:p>
    <w:p w14:paraId="06150D28">
      <w:pPr>
        <w:pStyle w:val="209"/>
        <w:spacing w:beforeAutospacing="0" w:afterAutospacing="0" w:line="348"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文件。</w:t>
      </w:r>
      <w:bookmarkStart w:id="124" w:name="_Toc20823298"/>
      <w:bookmarkEnd w:id="124"/>
      <w:bookmarkStart w:id="125" w:name="_Toc16938542"/>
      <w:bookmarkEnd w:id="125"/>
      <w:bookmarkStart w:id="126" w:name="_Toc513029226"/>
    </w:p>
    <w:p w14:paraId="5B0B4FC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19、投标截止日期</w:t>
      </w:r>
    </w:p>
    <w:p w14:paraId="2805054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i/>
          <w:color w:val="000000" w:themeColor="text1"/>
          <w:sz w:val="21"/>
          <w:szCs w:val="21"/>
          <w:highlight w:val="none"/>
          <w:u w:val="single"/>
          <w14:textFill>
            <w14:solidFill>
              <w14:schemeClr w14:val="tx1"/>
            </w14:solidFill>
          </w14:textFill>
        </w:rPr>
        <w:t>19.1投标人上传电子投标文件的时间不得迟于招标公告中规定的投标截止时间。</w:t>
      </w:r>
    </w:p>
    <w:p w14:paraId="46B22620">
      <w:pPr>
        <w:pStyle w:val="209"/>
        <w:spacing w:beforeAutospacing="0" w:afterAutospacing="0" w:line="348" w:lineRule="auto"/>
        <w:ind w:firstLine="48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34F6BD4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19.2采购代理机构可以按照规定，通过修改招标文件酌情延长投标截止日期，在此情况下，投标人的所有权利和义务以及投标人受制的截止日期均应以延长后新的截止日期为准。</w:t>
      </w:r>
    </w:p>
    <w:p w14:paraId="4121C018">
      <w:pPr>
        <w:pStyle w:val="209"/>
        <w:keepNext/>
        <w:keepLines/>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27" w:name="_Toc16938543"/>
      <w:bookmarkStart w:id="128" w:name="_Toc20823299"/>
      <w:bookmarkStart w:id="129" w:name="_Toc513029227"/>
      <w:r>
        <w:rPr>
          <w:rFonts w:hint="eastAsia" w:ascii="宋体" w:hAnsi="宋体" w:cs="宋体"/>
          <w:color w:val="000000" w:themeColor="text1"/>
          <w:sz w:val="21"/>
          <w:szCs w:val="21"/>
          <w:highlight w:val="none"/>
          <w14:textFill>
            <w14:solidFill>
              <w14:schemeClr w14:val="tx1"/>
            </w14:solidFill>
          </w14:textFill>
        </w:rPr>
        <w:t>20、投标文件</w:t>
      </w:r>
      <w:bookmarkEnd w:id="127"/>
      <w:bookmarkEnd w:id="128"/>
      <w:bookmarkEnd w:id="129"/>
      <w:r>
        <w:rPr>
          <w:rFonts w:hint="eastAsia" w:ascii="宋体" w:hAnsi="宋体" w:cs="宋体"/>
          <w:color w:val="000000" w:themeColor="text1"/>
          <w:sz w:val="21"/>
          <w:szCs w:val="21"/>
          <w:highlight w:val="none"/>
          <w14:textFill>
            <w14:solidFill>
              <w14:schemeClr w14:val="tx1"/>
            </w14:solidFill>
          </w14:textFill>
        </w:rPr>
        <w:t>的拒收</w:t>
      </w:r>
    </w:p>
    <w:p w14:paraId="112E906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20.1采购代理机构拒绝接收在其规定的投标截止时间后上传的任何投标文件。</w:t>
      </w:r>
    </w:p>
    <w:p w14:paraId="3490685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30" w:name="_Toc513029228"/>
      <w:bookmarkStart w:id="131" w:name="_Toc20823300"/>
      <w:bookmarkStart w:id="132" w:name="_Toc16938544"/>
      <w:r>
        <w:rPr>
          <w:rFonts w:hint="eastAsia" w:ascii="宋体" w:hAnsi="宋体" w:cs="宋体"/>
          <w:color w:val="000000" w:themeColor="text1"/>
          <w:sz w:val="21"/>
          <w:szCs w:val="21"/>
          <w:highlight w:val="none"/>
          <w14:textFill>
            <w14:solidFill>
              <w14:schemeClr w14:val="tx1"/>
            </w14:solidFill>
          </w14:textFill>
        </w:rPr>
        <w:t>21、投标文件的撤回和修改</w:t>
      </w:r>
      <w:bookmarkEnd w:id="130"/>
      <w:bookmarkEnd w:id="131"/>
      <w:bookmarkEnd w:id="132"/>
    </w:p>
    <w:p w14:paraId="0C681C6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21.1投标文件的撤回</w:t>
      </w:r>
    </w:p>
    <w:p w14:paraId="5D23451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21.1.1电子投标文件的撤回</w:t>
      </w:r>
    </w:p>
    <w:p w14:paraId="5BCD46A9">
      <w:pPr>
        <w:pStyle w:val="209"/>
        <w:spacing w:beforeAutospacing="0" w:afterAutospacing="0" w:line="348" w:lineRule="auto"/>
        <w:ind w:firstLine="48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投标人可在投标截止时间前，撤回其电子投标文件，具体操作方法见《操作手册》。</w:t>
      </w:r>
    </w:p>
    <w:p w14:paraId="2EC5BD0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21.1.2投标人撤回电子投标文件，则认为其不再参与本项目投标活动。</w:t>
      </w:r>
    </w:p>
    <w:p w14:paraId="392BBFA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21.2投标文件的修改</w:t>
      </w:r>
    </w:p>
    <w:p w14:paraId="0410D29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21.2.1投标人可在投标截止时间前，对其电子投标文件进行修改，具体操作方法见《操作手册》。</w:t>
      </w:r>
    </w:p>
    <w:p w14:paraId="2A772AD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21.2.2在投标截止时间之后，投标人不得对其电子投标文件作任何修改。</w:t>
      </w:r>
    </w:p>
    <w:p w14:paraId="6BE95D3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21.3在投标截止时间至招标文件中规定的投标有效期满之间的这段时间内，投标人不得撤回其投标。</w:t>
      </w:r>
    </w:p>
    <w:p w14:paraId="10A88B86">
      <w:pPr>
        <w:pStyle w:val="209"/>
        <w:spacing w:beforeAutospacing="0" w:afterAutospacing="0" w:line="348" w:lineRule="auto"/>
        <w:ind w:firstLine="422"/>
        <w:jc w:val="both"/>
        <w:rPr>
          <w:rFonts w:hint="eastAsia" w:ascii="宋体" w:hAnsi="宋体" w:cs="宋体"/>
          <w:color w:val="000000" w:themeColor="text1"/>
          <w:sz w:val="21"/>
          <w:szCs w:val="21"/>
          <w:highlight w:val="none"/>
          <w14:textFill>
            <w14:solidFill>
              <w14:schemeClr w14:val="tx1"/>
            </w14:solidFill>
          </w14:textFill>
        </w:rPr>
      </w:pPr>
      <w:bookmarkStart w:id="133" w:name="_Toc20823301"/>
      <w:bookmarkStart w:id="134" w:name="_Toc120614218"/>
      <w:bookmarkStart w:id="135" w:name="_Toc16938545"/>
      <w:bookmarkStart w:id="136" w:name="_Toc513029229"/>
      <w:r>
        <w:rPr>
          <w:rFonts w:hint="eastAsia" w:ascii="宋体" w:hAnsi="宋体" w:cs="宋体"/>
          <w:b/>
          <w:color w:val="000000" w:themeColor="text1"/>
          <w:sz w:val="21"/>
          <w:szCs w:val="21"/>
          <w:highlight w:val="none"/>
          <w14:textFill>
            <w14:solidFill>
              <w14:schemeClr w14:val="tx1"/>
            </w14:solidFill>
          </w14:textFill>
        </w:rPr>
        <w:t>五、开标与评标</w:t>
      </w:r>
      <w:bookmarkEnd w:id="133"/>
      <w:bookmarkEnd w:id="134"/>
      <w:bookmarkEnd w:id="135"/>
      <w:bookmarkEnd w:id="136"/>
    </w:p>
    <w:p w14:paraId="5D8E0A1C">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37" w:name="_Toc513029230"/>
      <w:bookmarkStart w:id="138" w:name="_Toc20823302"/>
      <w:bookmarkStart w:id="139" w:name="_Toc16938546"/>
      <w:r>
        <w:rPr>
          <w:rFonts w:hint="eastAsia" w:ascii="宋体" w:hAnsi="宋体" w:cs="宋体"/>
          <w:color w:val="000000" w:themeColor="text1"/>
          <w:sz w:val="21"/>
          <w:szCs w:val="21"/>
          <w:highlight w:val="none"/>
          <w14:textFill>
            <w14:solidFill>
              <w14:schemeClr w14:val="tx1"/>
            </w14:solidFill>
          </w14:textFill>
        </w:rPr>
        <w:t>22、开标</w:t>
      </w:r>
      <w:bookmarkEnd w:id="137"/>
      <w:bookmarkEnd w:id="138"/>
      <w:bookmarkEnd w:id="139"/>
    </w:p>
    <w:p w14:paraId="578D065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22.1采购代理机构将在招标公告中规定的时间和地点组织公开开标。投标人应当按照《操作手册》规定，参加开标活动和在苏采云系统规定的时间内对投标文件进行解密。</w:t>
      </w:r>
    </w:p>
    <w:p w14:paraId="40A1CC0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22.2开标仪式由采购代理机构组织。苏采云系统将自动对项目进行开标，并宣布各投标人名称和投标价格。</w:t>
      </w:r>
    </w:p>
    <w:p w14:paraId="36B81BC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22.3投标人在开标过程中涉及到的投标文件解密、开标结果确认等工作，应按照《操作手册》规定执行。</w:t>
      </w:r>
    </w:p>
    <w:p w14:paraId="566743F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22.4投标人如果对开标过程和开标记录有疑义，应当根据《操作手册》规定提出，如 苏采云系统中《开标记录表》宣布后5分钟内未提出的，视同认可开标结果。</w:t>
      </w:r>
    </w:p>
    <w:p w14:paraId="2FB0BF2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40" w:name="_Toc16938547"/>
      <w:bookmarkStart w:id="141" w:name="_Toc20823303"/>
      <w:bookmarkStart w:id="142" w:name="_Toc513029231"/>
      <w:r>
        <w:rPr>
          <w:rFonts w:hint="eastAsia" w:ascii="宋体" w:hAnsi="宋体" w:cs="宋体"/>
          <w:color w:val="000000" w:themeColor="text1"/>
          <w:sz w:val="21"/>
          <w:szCs w:val="21"/>
          <w:highlight w:val="none"/>
          <w14:textFill>
            <w14:solidFill>
              <w14:schemeClr w14:val="tx1"/>
            </w14:solidFill>
          </w14:textFill>
        </w:rPr>
        <w:t>23、评标委员会</w:t>
      </w:r>
      <w:bookmarkEnd w:id="140"/>
      <w:bookmarkEnd w:id="141"/>
      <w:bookmarkEnd w:id="142"/>
    </w:p>
    <w:p w14:paraId="126B2A5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23.1开标后，采购代理机构将立即组织评标委员会（以下简称评委会）进行评标。</w:t>
      </w:r>
    </w:p>
    <w:p w14:paraId="289F725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23.2评委会由采购人代表和有关技术、经济等方面的专家组成，且人员构成符合政府采购有关规定。</w:t>
      </w:r>
    </w:p>
    <w:p w14:paraId="0699B26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23.3评委会独立工作，负责评审所有投标文件并确定中标候选人。</w:t>
      </w:r>
    </w:p>
    <w:p w14:paraId="2003EBF7">
      <w:pPr>
        <w:pStyle w:val="209"/>
        <w:keepNext/>
        <w:keepLines/>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24．评标过程的保密与公正</w:t>
      </w:r>
    </w:p>
    <w:p w14:paraId="1CE6356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24.1凡是与审查、澄清、评价和比较投标的有关资料以及授标建议等，采购人、评委、采购代理机构均不得向投标人或与评标无关的其他人员透露。</w:t>
      </w:r>
    </w:p>
    <w:p w14:paraId="70C3F81E">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24.2在评标过程中，投标人不得以任何行为影响评标过程，否则其投标文件将被作为无效投标文件。</w:t>
      </w:r>
    </w:p>
    <w:p w14:paraId="3D278E5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24.3采购代理机构和评标委员会不向未中标的投标人解释未中标原因，也不公布评标过程中的相关细节。</w:t>
      </w:r>
    </w:p>
    <w:p w14:paraId="488C367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24.4采用综合评分法的项目，未中标的投标人可于中标结果公告期限届满之日起通过苏采云系统查看自己的评审得分及排序情况。</w:t>
      </w:r>
    </w:p>
    <w:p w14:paraId="0D588BFE">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43" w:name="_Toc16938548"/>
      <w:bookmarkStart w:id="144" w:name="_Toc20823304"/>
      <w:bookmarkStart w:id="145" w:name="_Toc513029232"/>
      <w:r>
        <w:rPr>
          <w:rFonts w:hint="eastAsia" w:ascii="宋体" w:hAnsi="宋体" w:cs="宋体"/>
          <w:color w:val="000000" w:themeColor="text1"/>
          <w:sz w:val="21"/>
          <w:szCs w:val="21"/>
          <w:highlight w:val="none"/>
          <w14:textFill>
            <w14:solidFill>
              <w14:schemeClr w14:val="tx1"/>
            </w14:solidFill>
          </w14:textFill>
        </w:rPr>
        <w:t>25．投标文件的澄清</w:t>
      </w:r>
      <w:bookmarkEnd w:id="143"/>
      <w:bookmarkEnd w:id="144"/>
      <w:bookmarkEnd w:id="145"/>
    </w:p>
    <w:p w14:paraId="49C647C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46" w:name="_Toc16938549"/>
      <w:bookmarkStart w:id="147" w:name="_Toc20823305"/>
      <w:bookmarkStart w:id="148" w:name="_Toc513029233"/>
      <w:r>
        <w:rPr>
          <w:rFonts w:hint="eastAsia" w:ascii="宋体" w:hAnsi="宋体" w:cs="宋体"/>
          <w:color w:val="000000" w:themeColor="text1"/>
          <w:sz w:val="21"/>
          <w:szCs w:val="21"/>
          <w:highlight w:val="none"/>
          <w14:textFill>
            <w14:solidFill>
              <w14:schemeClr w14:val="tx1"/>
            </w14:solidFill>
          </w14:textFill>
        </w:rPr>
        <w:t>25.1评标期间，评委会对投标文件中含义不明确、同类问题表述不一致或者有明显文字和计算错误的内容，有权要求投标人作出必要的澄清、说明或者补正。</w:t>
      </w:r>
      <w:bookmarkEnd w:id="146"/>
      <w:bookmarkEnd w:id="147"/>
      <w:bookmarkEnd w:id="148"/>
    </w:p>
    <w:p w14:paraId="063C458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投标人的澄清、说明或者补正不得超出投标文件的范围或者改变投标文件的实质性内容。</w:t>
      </w:r>
    </w:p>
    <w:p w14:paraId="73A700A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评标委员会并非对每个投标人都做澄清要求。</w:t>
      </w:r>
    </w:p>
    <w:p w14:paraId="7D0FB3C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01519D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25.3接到评委会澄清、说明和补正要求的投标人如未按规定作出澄清、说明和补正，其风险由投标人自行承担。</w:t>
      </w:r>
    </w:p>
    <w:p w14:paraId="52E3CE5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26、对投标文件的初审</w:t>
      </w:r>
    </w:p>
    <w:p w14:paraId="27BC93A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26.1投标文件初审分为资格审查和符合性审查。</w:t>
      </w:r>
    </w:p>
    <w:p w14:paraId="303A9B3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26.1.1资格审查：依据法律法规和招标文件的规定，由采购人对投标文件中的资格证明文件进行审查。资格审查的结论，采购人以书面形式向评委会进行反馈。</w:t>
      </w:r>
    </w:p>
    <w:p w14:paraId="2722E1EA">
      <w:pPr>
        <w:pStyle w:val="209"/>
        <w:spacing w:beforeAutospacing="0" w:afterAutospacing="0" w:line="348" w:lineRule="auto"/>
        <w:ind w:firstLine="48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5C71B01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32AA979E">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26.1.2符合性审查：依据招标文件的规定，由评委会从投标文件的有效性、完整性和对招标文件的响应程度进行审查，以确定是否对招标文件的实质性要求作出响应。</w:t>
      </w:r>
    </w:p>
    <w:p w14:paraId="7431C01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26.1.3未通过资格审查或符合性审查的投标人，采购代理机构将在苏采云系统中告知未通过资格审查或符合性审查的原因，评审结束后，采购代理机构将不再告知未通过资格审查或符合性审查的原因。</w:t>
      </w:r>
    </w:p>
    <w:p w14:paraId="52B8079F">
      <w:pPr>
        <w:pStyle w:val="209"/>
        <w:spacing w:beforeAutospacing="0" w:afterAutospacing="0" w:line="348" w:lineRule="auto"/>
        <w:ind w:firstLine="48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26.2在详细评标之前，评委会将首先审查每份投标文件是否实质性响应了招标文件的要求。实质性响应的投标应该是与招标文件要求的全部条款、条件和规格相符，没有重大偏离或保留的投标。</w:t>
      </w:r>
    </w:p>
    <w:p w14:paraId="3D46285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856266B">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26.3如果投标文件实质上没有响应招标文件的要求，评委会将予以拒绝，投标人不得通过修改或撤销不符合要求的偏离或保留而使其投标成为实质性响应的投标。</w:t>
      </w:r>
    </w:p>
    <w:p w14:paraId="1DFAFED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26.4评委会将对确定为实质性响应的投标进行进一步审核，看其是否有计算上或累加上的算术错误，修正错误的原则如下：</w:t>
      </w:r>
    </w:p>
    <w:p w14:paraId="1D1345D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（1）投标文件中开标一览表内容与投标文件中相应内容不一致的，以开标一览表为准。</w:t>
      </w:r>
    </w:p>
    <w:p w14:paraId="1188C17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（2）大写金额和小写金额不一致的，以大写金额为准。</w:t>
      </w:r>
    </w:p>
    <w:p w14:paraId="594554C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（3）单价金额小数点或者百分比有明显错位的，以开标一览表的总价为准，并修改单价。</w:t>
      </w:r>
    </w:p>
    <w:p w14:paraId="4841C42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（4）总价金额与按单价汇总金额不一致的，以单价金额计算结果为准。</w:t>
      </w:r>
    </w:p>
    <w:p w14:paraId="795CC04B">
      <w:pPr>
        <w:pStyle w:val="209"/>
        <w:spacing w:beforeAutospacing="0" w:afterAutospacing="0" w:line="348" w:lineRule="auto"/>
        <w:ind w:firstLine="48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同时出现两种以上错误的，按照前款规定的顺序修正。</w:t>
      </w:r>
    </w:p>
    <w:p w14:paraId="28F4D18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26.5评委会将按上述修正错误的方法调整投标文件中的投标报价，并通过苏采云系统告知投标人，调整后的价格应对投标人具有约束力。如果投标人不接受修正后的价格，则其投标将被拒绝。</w:t>
      </w:r>
    </w:p>
    <w:p w14:paraId="67C1D80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49" w:name="_Toc20823306"/>
      <w:bookmarkStart w:id="150" w:name="_Toc513029234"/>
      <w:bookmarkStart w:id="151" w:name="_Toc16938550"/>
      <w:r>
        <w:rPr>
          <w:rFonts w:hint="eastAsia" w:ascii="宋体" w:hAnsi="宋体" w:cs="宋体"/>
          <w:color w:val="000000" w:themeColor="text1"/>
          <w:sz w:val="21"/>
          <w:szCs w:val="21"/>
          <w:highlight w:val="none"/>
          <w14:textFill>
            <w14:solidFill>
              <w14:schemeClr w14:val="tx1"/>
            </w14:solidFill>
          </w14:textFill>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9"/>
      <w:bookmarkEnd w:id="150"/>
      <w:bookmarkEnd w:id="151"/>
    </w:p>
    <w:p w14:paraId="2CD971F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B4EA47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非单一产品采购项目，招标文件中将载明其中的核心产品。多家投标人提供的核心产品品牌相同的，按前两款规定处理。</w:t>
      </w:r>
    </w:p>
    <w:p w14:paraId="5621810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26.7投标人在开、评标全过程中应保持通信畅通，及时登录苏采云系统查阅、答复相关信息，并安排专人与采购代理机构及评标委员会联系。</w:t>
      </w:r>
    </w:p>
    <w:p w14:paraId="6AADF89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27、无效投标条款和废标条款</w:t>
      </w:r>
    </w:p>
    <w:p w14:paraId="4E7DD85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52" w:name="_Toc16938551"/>
      <w:bookmarkStart w:id="153" w:name="_Toc20823307"/>
      <w:bookmarkStart w:id="154" w:name="_Toc513029235"/>
      <w:r>
        <w:rPr>
          <w:rFonts w:hint="eastAsia" w:ascii="宋体" w:hAnsi="宋体" w:cs="宋体"/>
          <w:color w:val="000000" w:themeColor="text1"/>
          <w:sz w:val="21"/>
          <w:szCs w:val="21"/>
          <w:highlight w:val="none"/>
          <w14:textFill>
            <w14:solidFill>
              <w14:schemeClr w14:val="tx1"/>
            </w14:solidFill>
          </w14:textFill>
        </w:rPr>
        <w:t>27.1无效投标条款</w:t>
      </w:r>
      <w:bookmarkEnd w:id="152"/>
      <w:bookmarkEnd w:id="153"/>
      <w:bookmarkEnd w:id="154"/>
    </w:p>
    <w:p w14:paraId="1D3CF59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27.1.1投标人在苏采云系统规定的时间内未成功解密电子投标文件的。</w:t>
      </w:r>
    </w:p>
    <w:p w14:paraId="66A17B7C">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27.1.2投标人未按照招标文件要求上传电子投标文件的。</w:t>
      </w:r>
    </w:p>
    <w:p w14:paraId="1CD5C2B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27.1.3同一投标人提交两个（含两个）以上不同的投标报价的。</w:t>
      </w:r>
    </w:p>
    <w:p w14:paraId="6EF7137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27.1.4投标人不具备招标文件中规定资格要求的。</w:t>
      </w:r>
    </w:p>
    <w:p w14:paraId="0AB5A71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27.1.5投标人的报价超过了采购预算或最高限价的。</w:t>
      </w:r>
    </w:p>
    <w:p w14:paraId="0D4EA48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27.1.6未通过符合性审查的。</w:t>
      </w:r>
    </w:p>
    <w:p w14:paraId="562CD95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27.1.7不符合招标文件中规定的实质性要求和条件的（</w:t>
      </w:r>
      <w:r>
        <w:rPr>
          <w:rFonts w:hint="eastAsia" w:ascii="宋体" w:hAnsi="宋体" w:cs="宋体"/>
          <w:i/>
          <w:color w:val="000000" w:themeColor="text1"/>
          <w:sz w:val="21"/>
          <w:szCs w:val="21"/>
          <w:highlight w:val="none"/>
          <w:u w:val="single"/>
          <w14:textFill>
            <w14:solidFill>
              <w14:schemeClr w14:val="tx1"/>
            </w14:solidFill>
          </w14:textFill>
        </w:rPr>
        <w:t>本招标文件中斜体且有下划线部分为实质性要求和条件）。</w:t>
      </w:r>
    </w:p>
    <w:p w14:paraId="18A052E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849119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27.1.9投标文件含有采购人不能接受的附加条件的。</w:t>
      </w:r>
    </w:p>
    <w:p w14:paraId="107DC62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27.1.10投标人不能证明其报价合理性的，评标委员会应当将其作为无效投标处理。</w:t>
      </w:r>
    </w:p>
    <w:p w14:paraId="5992525B">
      <w:pPr>
        <w:pStyle w:val="209"/>
        <w:spacing w:beforeAutospacing="0" w:afterAutospacing="0" w:line="348" w:lineRule="auto"/>
        <w:ind w:firstLine="420"/>
        <w:jc w:val="both"/>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（一）评审过程中出现下列情形之一的，评标委员会应当启动异常低价投标审查程序：</w:t>
      </w:r>
    </w:p>
    <w:p w14:paraId="3E8D7626">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5C2B5C0D">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36FE8D75">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3.投标（响应）报价低于采购项目最高限价45%的，即投标（响应）报价&lt;采购项目最高限价×45%；</w:t>
      </w:r>
    </w:p>
    <w:p w14:paraId="35AB26F1">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4.评审委员会基于专业判断，认为供应商报价过低，有可能影响产品质量或者不能诚信履约的其他情形。</w:t>
      </w:r>
    </w:p>
    <w:p w14:paraId="357F7008">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u w:val="single"/>
          <w:lang w:val="en-US" w:eastAsia="zh-CN"/>
          <w14:textFill>
            <w14:solidFill>
              <w14:schemeClr w14:val="tx1"/>
            </w14:solidFill>
          </w14:textFill>
        </w:rPr>
        <w:t>提醒：采购人可以结合具体项目实际情况，提高上述第1项至第3项中启动异常低价投标（响应）审查的数值标准，但是最高不得超过65%。</w:t>
      </w:r>
    </w:p>
    <w:p w14:paraId="67F87A60">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相关法律法规对供应商报价有规定的，从其规定。</w:t>
      </w:r>
    </w:p>
    <w:p w14:paraId="297337B8">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28E482">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446268">
      <w:pPr>
        <w:pStyle w:val="209"/>
        <w:spacing w:beforeAutospacing="0" w:afterAutospacing="0" w:line="348" w:lineRule="auto"/>
        <w:ind w:firstLine="420"/>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1D00F8">
      <w:pPr>
        <w:pStyle w:val="209"/>
        <w:spacing w:beforeAutospacing="0" w:afterAutospacing="0" w:line="348" w:lineRule="auto"/>
        <w:ind w:firstLine="420"/>
        <w:jc w:val="both"/>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4D6D1FB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66FEDB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27.1.12投标文件未按照招标文件要求加盖CA电子公章的。</w:t>
      </w:r>
    </w:p>
    <w:p w14:paraId="1908660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27.1.13其他法律、法规及本招标文件规定的属无效投标的情形。</w:t>
      </w:r>
    </w:p>
    <w:p w14:paraId="77B19AE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27.2废标条款</w:t>
      </w:r>
    </w:p>
    <w:p w14:paraId="1A03535A">
      <w:pPr>
        <w:pStyle w:val="209"/>
        <w:spacing w:beforeAutospacing="0" w:afterAutospacing="0" w:line="348" w:lineRule="auto"/>
        <w:ind w:left="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27.2.1符合专业条件的供应商或者对招标文件作实质响应的供应商不足三家的。27.2.2出现影响采购公正的违法、违规行为的。</w:t>
      </w:r>
    </w:p>
    <w:p w14:paraId="3D4627C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27.2.3因重大变故，采购任务取消的。</w:t>
      </w:r>
    </w:p>
    <w:p w14:paraId="3E26EEF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27.2.4评标委员会认定招标文件存在歧义、重大缺陷导致评审工作无法进行。</w:t>
      </w:r>
    </w:p>
    <w:p w14:paraId="1187FDD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27.2.5因苏采云系统故障原因造成开标不成功的。</w:t>
      </w:r>
    </w:p>
    <w:p w14:paraId="583A13D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27.3投标截止时间结束后参加投标的供应商不足三家的处理：</w:t>
      </w:r>
    </w:p>
    <w:p w14:paraId="5B1F7F4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27.3.1如出现投标截止时间结束后参加投标的供应商或者在评标期间对招标文件做出实质响应的供应商不足三家情况，按政府采购相关规定执行。</w:t>
      </w:r>
    </w:p>
    <w:p w14:paraId="5D8E6834">
      <w:pPr>
        <w:pStyle w:val="209"/>
        <w:spacing w:beforeAutospacing="0" w:afterAutospacing="0" w:line="348" w:lineRule="auto"/>
        <w:ind w:firstLine="422"/>
        <w:jc w:val="both"/>
        <w:rPr>
          <w:rFonts w:hint="eastAsia" w:ascii="宋体" w:hAnsi="宋体" w:cs="宋体"/>
          <w:color w:val="000000" w:themeColor="text1"/>
          <w:sz w:val="21"/>
          <w:szCs w:val="21"/>
          <w:highlight w:val="none"/>
          <w14:textFill>
            <w14:solidFill>
              <w14:schemeClr w14:val="tx1"/>
            </w14:solidFill>
          </w14:textFill>
        </w:rPr>
      </w:pPr>
      <w:bookmarkStart w:id="155" w:name="_Toc120614219"/>
      <w:r>
        <w:rPr>
          <w:rFonts w:hint="eastAsia" w:ascii="宋体" w:hAnsi="宋体" w:cs="宋体"/>
          <w:b/>
          <w:color w:val="000000" w:themeColor="text1"/>
          <w:sz w:val="21"/>
          <w:szCs w:val="21"/>
          <w:highlight w:val="none"/>
          <w14:textFill>
            <w14:solidFill>
              <w14:schemeClr w14:val="tx1"/>
            </w14:solidFill>
          </w14:textFill>
        </w:rPr>
        <w:t>六、定标</w:t>
      </w:r>
      <w:bookmarkEnd w:id="155"/>
    </w:p>
    <w:p w14:paraId="57226B5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56" w:name="_Toc20823310"/>
      <w:bookmarkStart w:id="157" w:name="_Toc513029238"/>
      <w:bookmarkStart w:id="158" w:name="_Toc16938554"/>
      <w:r>
        <w:rPr>
          <w:rFonts w:hint="eastAsia" w:ascii="宋体" w:hAnsi="宋体" w:cs="宋体"/>
          <w:color w:val="000000" w:themeColor="text1"/>
          <w:sz w:val="21"/>
          <w:szCs w:val="21"/>
          <w:highlight w:val="none"/>
          <w14:textFill>
            <w14:solidFill>
              <w14:schemeClr w14:val="tx1"/>
            </w14:solidFill>
          </w14:textFill>
        </w:rPr>
        <w:t>28、</w:t>
      </w:r>
      <w:bookmarkEnd w:id="156"/>
      <w:r>
        <w:rPr>
          <w:rFonts w:hint="eastAsia" w:ascii="宋体" w:hAnsi="宋体" w:cs="宋体"/>
          <w:color w:val="000000" w:themeColor="text1"/>
          <w:sz w:val="21"/>
          <w:szCs w:val="21"/>
          <w:highlight w:val="none"/>
          <w14:textFill>
            <w14:solidFill>
              <w14:schemeClr w14:val="tx1"/>
            </w14:solidFill>
          </w14:textFill>
        </w:rPr>
        <w:t>确定</w:t>
      </w:r>
      <w:bookmarkEnd w:id="157"/>
      <w:bookmarkEnd w:id="158"/>
      <w:r>
        <w:rPr>
          <w:rFonts w:hint="eastAsia" w:ascii="宋体" w:hAnsi="宋体" w:cs="宋体"/>
          <w:color w:val="000000" w:themeColor="text1"/>
          <w:sz w:val="21"/>
          <w:szCs w:val="21"/>
          <w:highlight w:val="none"/>
          <w14:textFill>
            <w14:solidFill>
              <w14:schemeClr w14:val="tx1"/>
            </w14:solidFill>
          </w14:textFill>
        </w:rPr>
        <w:t>中标单位</w:t>
      </w:r>
    </w:p>
    <w:p w14:paraId="266D712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28.1中标候选人的选取原则和数量见招标文件第五章规定。 </w:t>
      </w:r>
    </w:p>
    <w:p w14:paraId="6DDA160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28.2采购人应根据评委会推荐的中标候选人确定中标人。</w:t>
      </w:r>
    </w:p>
    <w:p w14:paraId="6C6B330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28.3采购代理机构将在中国政府采购网”“江苏政府采购网”“盐城市政府采购网</w:t>
      </w:r>
      <w:r>
        <w:rPr>
          <w:rFonts w:hint="eastAsia" w:ascii="宋体" w:hAnsi="宋体" w:cs="宋体"/>
          <w:color w:val="000000" w:themeColor="text1"/>
          <w:sz w:val="21"/>
          <w:szCs w:val="21"/>
          <w:highlight w:val="none"/>
          <w:shd w:val="clear" w:color="auto" w:fill="FFFFFF"/>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发布中标公告，公告期限为1个工作日。</w:t>
      </w:r>
    </w:p>
    <w:p w14:paraId="3EFF787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28.4若有充分证据证明，中标人出现下列情况之一的，一经查实，将被取消中标资格：</w:t>
      </w:r>
    </w:p>
    <w:p w14:paraId="745F5C9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28.4.1提供虚假材料谋取中标的。</w:t>
      </w:r>
    </w:p>
    <w:p w14:paraId="4D2C3D2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28.4.2向采购人、采购代理机构行贿或者提供其他不正当利益的。</w:t>
      </w:r>
    </w:p>
    <w:p w14:paraId="450F5E7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28.4.3属于本文件规定的无效条件，但在评标过程中又未被评委会发现的。</w:t>
      </w:r>
    </w:p>
    <w:p w14:paraId="4D4ACB7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28.4.4与采购人或者其他供应商恶意串通的。</w:t>
      </w:r>
    </w:p>
    <w:p w14:paraId="171F62D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28.4.5采取不正当手段诋毁、排挤其他供应商的。</w:t>
      </w:r>
    </w:p>
    <w:p w14:paraId="07B36EA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59" w:name="_Toc200451960"/>
      <w:r>
        <w:rPr>
          <w:rFonts w:hint="eastAsia" w:ascii="宋体" w:hAnsi="宋体" w:cs="宋体"/>
          <w:color w:val="000000" w:themeColor="text1"/>
          <w:sz w:val="21"/>
          <w:szCs w:val="21"/>
          <w:highlight w:val="none"/>
          <w14:textFill>
            <w14:solidFill>
              <w14:schemeClr w14:val="tx1"/>
            </w14:solidFill>
          </w14:textFill>
        </w:rPr>
        <w:t>28.5有下列情形之一的，视为投标人串通投标，投标无效：</w:t>
      </w:r>
      <w:bookmarkEnd w:id="159"/>
    </w:p>
    <w:p w14:paraId="3F69848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28.5.1不同投标人的投标文件由同一单位或者个人编制；</w:t>
      </w:r>
    </w:p>
    <w:p w14:paraId="15F7352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28.5.2不同投标人委托同一单位或者个人办理投标事宜；</w:t>
      </w:r>
    </w:p>
    <w:p w14:paraId="5630D82B">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28.5.3不同投标人的投标文件载明的项目管理成员或者联系人员为同一人；</w:t>
      </w:r>
    </w:p>
    <w:p w14:paraId="503F22F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28.5.4不同投标人的投标文件异常一致或者投标报价呈规律性差异；</w:t>
      </w:r>
    </w:p>
    <w:p w14:paraId="06B4D23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29、质疑处理</w:t>
      </w:r>
    </w:p>
    <w:p w14:paraId="5B731D3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29.1提出质疑的供应商应当是参与所质疑项目采购活动的供应商。潜在供应商依法获取其可质疑的采购文件的，可以对采购文件提出质疑。</w:t>
      </w:r>
    </w:p>
    <w:p w14:paraId="2DDA037B">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7A288A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29.2.1对可以质疑的采购文件提出质疑的，为收到采购文件之日或者采购文件公告期限届满之日；</w:t>
      </w:r>
    </w:p>
    <w:p w14:paraId="7431489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29.2.2对采购过程提出质疑的，为各采购程序环节结束之日；</w:t>
      </w:r>
    </w:p>
    <w:p w14:paraId="5E3C6AB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29.2.3对中标或者成交结果提出质疑的，为中标或者成交结果公告期限届满之日。</w:t>
      </w:r>
    </w:p>
    <w:p w14:paraId="44A965EC">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供应商应当在法定质疑期内一次性提出针对同一采购程序环节的质疑。供应商如在法定期限内对同一采购程序环节提出多次质疑的，采购代理机构、采购人将只对供应商第一次质疑作出答复。</w:t>
      </w:r>
    </w:p>
    <w:p w14:paraId="660E7A3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29.3质疑函必须按照本招标文件中《质疑函范本》要求的格式和内容进行填写。供应商如组成联合体参加投标，则《质疑函范本》中要求签字、盖章、加盖公章之处，联合体各方均须按要求签字、盖章、加盖公章。</w:t>
      </w:r>
    </w:p>
    <w:p w14:paraId="2742555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305E3E7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采购人及代理机构只接收以纸质原件形式送达的质疑,采购人和代理机构不接受未填写快递运单的快件。</w:t>
      </w:r>
    </w:p>
    <w:p w14:paraId="61E8A8F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29.5以下情形的质疑不予受理</w:t>
      </w:r>
    </w:p>
    <w:p w14:paraId="56D11C0C">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29.5.1内容不符合《政府采购质疑和投诉办法》第十二条规定的质疑。</w:t>
      </w:r>
    </w:p>
    <w:p w14:paraId="2254D20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29.5.2超出政府采购法定期限的质疑。</w:t>
      </w:r>
    </w:p>
    <w:p w14:paraId="79F2989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29.5.3以传真、电子邮件等方式递交的非原件形式的质疑。</w:t>
      </w:r>
    </w:p>
    <w:p w14:paraId="7DE7CF8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29.5.4未参加投标活动的供应商或在投标活动中自身权益未受到损害的供应商所提出的质疑。</w:t>
      </w:r>
    </w:p>
    <w:p w14:paraId="737E0DF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29.5.5供应商组成联合体参加投标，联合体中任何一方或多方未按要求签字、盖章、加盖公章的质疑。</w:t>
      </w:r>
    </w:p>
    <w:p w14:paraId="2AA1DA5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645291E">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30、中标通知书</w:t>
      </w:r>
    </w:p>
    <w:p w14:paraId="5FAEF78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1BD5B0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30.2中标通知书将是合同的一个组成部分。对采购人和中标供应商均具有法律效力。中标通知书发出后，采购人改变中标结果的，或者中标供应商放弃中标项目的，应当依法承担法律责任。</w:t>
      </w:r>
    </w:p>
    <w:p w14:paraId="0B4E2C3B">
      <w:pPr>
        <w:pStyle w:val="209"/>
        <w:spacing w:beforeAutospacing="0" w:afterAutospacing="0" w:line="348" w:lineRule="auto"/>
        <w:ind w:firstLine="422"/>
        <w:jc w:val="both"/>
        <w:rPr>
          <w:rFonts w:hint="eastAsia" w:ascii="宋体" w:hAnsi="宋体" w:cs="宋体"/>
          <w:color w:val="000000" w:themeColor="text1"/>
          <w:sz w:val="21"/>
          <w:szCs w:val="21"/>
          <w:highlight w:val="none"/>
          <w14:textFill>
            <w14:solidFill>
              <w14:schemeClr w14:val="tx1"/>
            </w14:solidFill>
          </w14:textFill>
        </w:rPr>
      </w:pPr>
      <w:bookmarkStart w:id="160" w:name="_Toc513029236"/>
      <w:bookmarkStart w:id="161" w:name="_Toc20823308"/>
      <w:bookmarkStart w:id="162" w:name="_Toc120614220"/>
      <w:bookmarkStart w:id="163" w:name="_Toc16938552"/>
      <w:r>
        <w:rPr>
          <w:rFonts w:hint="eastAsia" w:ascii="宋体" w:hAnsi="宋体" w:cs="宋体"/>
          <w:b/>
          <w:color w:val="000000" w:themeColor="text1"/>
          <w:sz w:val="21"/>
          <w:szCs w:val="21"/>
          <w:highlight w:val="none"/>
          <w14:textFill>
            <w14:solidFill>
              <w14:schemeClr w14:val="tx1"/>
            </w14:solidFill>
          </w14:textFill>
        </w:rPr>
        <w:t>七、授予合同</w:t>
      </w:r>
      <w:bookmarkEnd w:id="160"/>
      <w:bookmarkEnd w:id="161"/>
      <w:bookmarkEnd w:id="162"/>
      <w:bookmarkEnd w:id="163"/>
    </w:p>
    <w:p w14:paraId="071FDA7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bookmarkStart w:id="164" w:name="_Toc16938553"/>
      <w:bookmarkStart w:id="165" w:name="_Toc513029237"/>
      <w:bookmarkStart w:id="166" w:name="_Toc20823309"/>
      <w:r>
        <w:rPr>
          <w:rFonts w:hint="eastAsia" w:ascii="宋体" w:hAnsi="宋体" w:cs="宋体"/>
          <w:color w:val="000000" w:themeColor="text1"/>
          <w:sz w:val="21"/>
          <w:szCs w:val="21"/>
          <w:highlight w:val="none"/>
          <w14:textFill>
            <w14:solidFill>
              <w14:schemeClr w14:val="tx1"/>
            </w14:solidFill>
          </w14:textFill>
        </w:rPr>
        <w:t>31.签订合同</w:t>
      </w:r>
      <w:bookmarkEnd w:id="164"/>
      <w:bookmarkEnd w:id="165"/>
      <w:bookmarkEnd w:id="166"/>
    </w:p>
    <w:p w14:paraId="1BC54F7C">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31.l中标人应当在中标通知书发出之日起三十日内，按照招标文件确定的事项与采购人签订政府采购合同。</w:t>
      </w:r>
    </w:p>
    <w:p w14:paraId="14E8A36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31.2招标文件、中标人的投标文件及招标过程中有关澄清、承诺文件均应作为合同附件。</w:t>
      </w:r>
    </w:p>
    <w:p w14:paraId="361478E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31.3签订合同后，</w:t>
      </w:r>
      <w:r>
        <w:rPr>
          <w:rFonts w:hint="eastAsia" w:ascii="宋体" w:hAnsi="宋体" w:cs="宋体"/>
          <w:i/>
          <w:color w:val="000000" w:themeColor="text1"/>
          <w:sz w:val="21"/>
          <w:szCs w:val="21"/>
          <w:highlight w:val="none"/>
          <w:u w:val="single"/>
          <w14:textFill>
            <w14:solidFill>
              <w14:schemeClr w14:val="tx1"/>
            </w14:solidFill>
          </w14:textFill>
        </w:rPr>
        <w:t>中标人不得将合同标的进行转包</w:t>
      </w:r>
      <w:r>
        <w:rPr>
          <w:rFonts w:hint="eastAsia" w:ascii="宋体" w:hAnsi="宋体" w:cs="宋体"/>
          <w:color w:val="000000" w:themeColor="text1"/>
          <w:sz w:val="21"/>
          <w:szCs w:val="21"/>
          <w:highlight w:val="none"/>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783C1E2B">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32、货物（包含与货物相关的服务）的追加</w:t>
      </w:r>
    </w:p>
    <w:p w14:paraId="143470AF">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4089392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33.政府采购政策功能落实</w:t>
      </w:r>
    </w:p>
    <w:p w14:paraId="4F8B6A2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33.1政府采购线上合同信用融资政策</w:t>
      </w:r>
    </w:p>
    <w:p w14:paraId="70B9AE61">
      <w:pPr>
        <w:pStyle w:val="209"/>
        <w:spacing w:beforeAutospacing="0" w:afterAutospacing="0" w:line="348" w:lineRule="auto"/>
        <w:ind w:firstLine="48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BB7585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33.2进口产品</w:t>
      </w:r>
    </w:p>
    <w:p w14:paraId="45D6064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BAF535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33.3中小企业、监狱企业及残疾人福利性单位</w:t>
      </w:r>
    </w:p>
    <w:p w14:paraId="53A5E63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33.3.1中小企业定义：</w:t>
      </w:r>
    </w:p>
    <w:p w14:paraId="4FEE765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0F56A917">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33.3.2供应商提供的货物、工程或者服务符合下列情形的，享受中小企业扶持政策：</w:t>
      </w:r>
    </w:p>
    <w:p w14:paraId="137640A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33.3.2.1在货物采购项目中，货物由中小企业制造，即货物由中小企业生产且使用该中小企业商号或者注册商标；</w:t>
      </w:r>
    </w:p>
    <w:p w14:paraId="72C2165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33.3.2.2在工程采购项目中，工程由中小企业承建，即工程施工单位为中小企业；</w:t>
      </w:r>
    </w:p>
    <w:p w14:paraId="7E35B52E">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33.3.2.3在服务采购项目中，服务由中小企业承接，即提供服务的人员为中小企业依照《中华人民共和国劳动合同法》订立劳动合同的从业人员。</w:t>
      </w:r>
    </w:p>
    <w:p w14:paraId="4236A3C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33.3.3在货物采购项目中，供应商提供的货物既有中小企业制造货物，也有大型企业制造货物的，不享受中小企业扶持政策。</w:t>
      </w:r>
    </w:p>
    <w:p w14:paraId="7050FA7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33.3.4以联合体形式参加政府采购活动，联合体各方均为中小企业的，联合体视同中小企业。其中，联合体各方均为小微企业的，联合体视同小微企业。</w:t>
      </w:r>
    </w:p>
    <w:p w14:paraId="3962C75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E9DCD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33.3.6残疾人福利单位定义：享受政府采购支持政策的残疾人福利性单位应当同时满足以下条件：</w:t>
      </w:r>
    </w:p>
    <w:p w14:paraId="5CC72CB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33.3.6.1安置的残疾人占本单位在职职工人数的比例不低于25%（含25%），并且安置的残疾人人数不少于10人（含10人）；</w:t>
      </w:r>
    </w:p>
    <w:p w14:paraId="64830D4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33.3.6.2依法与安置的每位残疾人签订了一年以上（含一年）的劳动合同或服务协议；</w:t>
      </w:r>
    </w:p>
    <w:p w14:paraId="5D310955">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33.3.6.3为安置的每位残疾人按月足额缴纳了基本养老保险、基本医疗保险、失业保险、工伤保险和生育保险等社会保险费；</w:t>
      </w:r>
    </w:p>
    <w:p w14:paraId="0D6F4356">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33.3.6.4通过银行等金融机构向安置的每位残疾人，按月支付了不低于单位所在区县适用的经省级人民政府批准的月最低工资标准的工资；</w:t>
      </w:r>
    </w:p>
    <w:p w14:paraId="09E8C1D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33.3.6.5提供本单位制造的货物、承担的工程或者服务（以下简称产品），或者提供其他残疾人福利性单位制造的货物（不包括使用非残疾人福利性单位注册商标的货物）；</w:t>
      </w:r>
    </w:p>
    <w:p w14:paraId="7DD36B5B">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1CE952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33.3.7本项目是否专门面向中小企业预留采购份额见第一章《招标公告》。</w:t>
      </w:r>
    </w:p>
    <w:p w14:paraId="3196D24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33.3.8采购标的对应的中小企业划分标准所属行业见第四章《采购需求》。</w:t>
      </w:r>
    </w:p>
    <w:p w14:paraId="2FCEDCE4">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33.3.9小微企业价格评审优惠的政策：见第五章《评标方法和评标标准》。</w:t>
      </w:r>
    </w:p>
    <w:p w14:paraId="2A1DAD7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33.4政府采购节能产品、环境标志产品</w:t>
      </w:r>
    </w:p>
    <w:p w14:paraId="461B5BF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1"/>
          <w:szCs w:val="21"/>
          <w:highlight w:val="none"/>
          <w14:textFill>
            <w14:solidFill>
              <w14:schemeClr w14:val="tx1"/>
            </w14:solidFill>
          </w14:textFill>
        </w:rPr>
        <w:t>如属政府强制采购产品未提供认证证书的或认证证书提供不全的将视为未实质性响应采购要求</w:t>
      </w:r>
      <w:r>
        <w:rPr>
          <w:rFonts w:hint="eastAsia" w:ascii="宋体" w:hAnsi="宋体" w:cs="宋体"/>
          <w:i/>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其他条件相同情况下，应当优先采购节能产品、环境标志产品。</w:t>
      </w:r>
    </w:p>
    <w:p w14:paraId="230A74D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83121F8">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33.5绿色包装</w:t>
      </w:r>
    </w:p>
    <w:p w14:paraId="7C880790">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DFF491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33.6政府采购创新产品</w:t>
      </w:r>
    </w:p>
    <w:p w14:paraId="4B0859FA">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采购人优先采购各级政府部门公开发布的有效期内的创新产品、创新服务、首台套、首购首用等《目录》的创新产品。</w:t>
      </w:r>
    </w:p>
    <w:p w14:paraId="5C1FC632">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33.7绿色数据中心政策</w:t>
      </w:r>
    </w:p>
    <w:p w14:paraId="2453052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457CED8">
      <w:pPr>
        <w:pStyle w:val="209"/>
        <w:spacing w:beforeAutospacing="0" w:afterAutospacing="0" w:line="348" w:lineRule="auto"/>
        <w:ind w:firstLine="420"/>
        <w:jc w:val="both"/>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bookmarkStart w:id="167" w:name="OLE_LINK27"/>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33.8实施本国产品标准及相关政策</w:t>
      </w:r>
    </w:p>
    <w:p w14:paraId="65533A4B">
      <w:pPr>
        <w:pStyle w:val="209"/>
        <w:spacing w:beforeAutospacing="0" w:afterAutospacing="0" w:line="348" w:lineRule="auto"/>
        <w:ind w:firstLine="420"/>
        <w:jc w:val="both"/>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1.本项目对采购本国产品给予政策支持，具体内容见招标文件“第五章 评标方法与评标标准”。</w:t>
      </w:r>
    </w:p>
    <w:p w14:paraId="3B049735">
      <w:pPr>
        <w:pStyle w:val="209"/>
        <w:spacing w:beforeAutospacing="0" w:afterAutospacing="0" w:line="348" w:lineRule="auto"/>
        <w:ind w:firstLine="420"/>
        <w:jc w:val="both"/>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B7FF7AA">
      <w:pPr>
        <w:pStyle w:val="209"/>
        <w:spacing w:beforeAutospacing="0" w:afterAutospacing="0" w:line="348" w:lineRule="auto"/>
        <w:ind w:firstLine="420"/>
        <w:jc w:val="both"/>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EBEF33D">
      <w:pPr>
        <w:pStyle w:val="209"/>
        <w:spacing w:beforeAutospacing="0" w:afterAutospacing="0" w:line="348" w:lineRule="auto"/>
        <w:ind w:firstLine="42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kern w:val="0"/>
          <w:sz w:val="21"/>
          <w:szCs w:val="21"/>
          <w:highlight w:val="none"/>
          <w:u w:val="single"/>
          <w:lang w:val="en-US" w:eastAsia="zh-CN" w:bidi="ar-SA"/>
          <w14:textFill>
            <w14:solidFill>
              <w14:schemeClr w14:val="tx1"/>
            </w14:solidFill>
          </w14:textFill>
        </w:rPr>
        <w:t>故，如供应商所提供产品为本国产品的，应当对其提供的产品出具《关于符合本国产品标准的声明函》（以下简称《声明函》），不出具《声明函》的，不享受政府采购对本国产品的支持政策。</w:t>
      </w:r>
    </w:p>
    <w:bookmarkEnd w:id="167"/>
    <w:p w14:paraId="4A81C22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33.</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cs="宋体"/>
          <w:color w:val="000000" w:themeColor="text1"/>
          <w:sz w:val="21"/>
          <w:szCs w:val="21"/>
          <w:highlight w:val="none"/>
          <w14:textFill>
            <w14:solidFill>
              <w14:schemeClr w14:val="tx1"/>
            </w14:solidFill>
          </w14:textFill>
        </w:rPr>
        <w:t>履约保证金政策</w:t>
      </w:r>
    </w:p>
    <w:p w14:paraId="16A9F38D">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确需收取履约保证金的，履约保证金的缴纳形式：</w:t>
      </w:r>
    </w:p>
    <w:p w14:paraId="4A859D29">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AE4F821">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如以履约保函（保险）形式缴纳履约保证金，供应商可通过政府采购电子履约保函（保险）平台（www.jsdzbh.com）在线申请履约保函（保险）。</w:t>
      </w:r>
    </w:p>
    <w:p w14:paraId="78D495C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履约保证金金额合同金额的</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%，采购人对第三方信用服务机构依据标准规范评定为 AA 级及以上的政府采购供应商（需在签订采购合同前提供信用管理 部门备案的第三方信用报告，且信用报告通过“信用盐城网”可查实），免收履约保证金。</w:t>
      </w:r>
    </w:p>
    <w:p w14:paraId="640A2783">
      <w:pPr>
        <w:pStyle w:val="209"/>
        <w:spacing w:beforeAutospacing="0" w:afterAutospacing="0" w:line="348" w:lineRule="auto"/>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34.预付款制度</w:t>
      </w:r>
    </w:p>
    <w:p w14:paraId="3B38ED89">
      <w:pPr>
        <w:spacing w:line="348"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本项目落实预付款制度，预付款比例为</w:t>
      </w:r>
      <w:r>
        <w:rPr>
          <w:rFonts w:hint="eastAsia" w:ascii="宋体" w:hAnsi="宋体" w:cs="宋体"/>
          <w:color w:val="000000" w:themeColor="text1"/>
          <w:szCs w:val="21"/>
          <w:highlight w:val="none"/>
          <w:u w:val="single"/>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%（原则上不低于合同金额的30%）。在签订合同时，中标、成交供应商明确书面表示无需预付款或者主动要求降低预付款比例的，采购人可就预付款比例作相应调整。</w:t>
      </w:r>
      <w:bookmarkStart w:id="168" w:name="_Toc16938590"/>
      <w:bookmarkStart w:id="169" w:name="_Toc20823346"/>
      <w:bookmarkStart w:id="170" w:name="_Toc120614244"/>
      <w:bookmarkStart w:id="171" w:name="_Toc479757211"/>
      <w:bookmarkStart w:id="172" w:name="_Hlt16619350"/>
      <w:bookmarkStart w:id="173" w:name="_Toc462564139"/>
      <w:bookmarkStart w:id="174" w:name="_Hlt16619369"/>
    </w:p>
    <w:p w14:paraId="569D396A">
      <w:pPr>
        <w:pStyle w:val="31"/>
        <w:keepNext w:val="0"/>
        <w:keepLines w:val="0"/>
        <w:pageBreakBefore w:val="0"/>
        <w:widowControl w:val="0"/>
        <w:kinsoku/>
        <w:wordWrap/>
        <w:overflowPunct/>
        <w:topLinePunct w:val="0"/>
        <w:autoSpaceDE/>
        <w:autoSpaceDN/>
        <w:bidi w:val="0"/>
        <w:adjustRightInd/>
        <w:snapToGrid/>
        <w:spacing w:beforeAutospacing="0" w:afterAutospacing="0" w:line="336" w:lineRule="auto"/>
        <w:ind w:firstLine="422" w:firstLineChars="200"/>
        <w:jc w:val="both"/>
        <w:textAlignment w:val="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35.</w:t>
      </w:r>
      <w:r>
        <w:rPr>
          <w:rFonts w:hint="eastAsia" w:ascii="宋体" w:hAnsi="宋体" w:eastAsia="宋体" w:cs="宋体"/>
          <w:b/>
          <w:bCs/>
          <w:color w:val="000000" w:themeColor="text1"/>
          <w:sz w:val="21"/>
          <w:szCs w:val="21"/>
          <w:highlight w:val="none"/>
          <w14:textFill>
            <w14:solidFill>
              <w14:schemeClr w14:val="tx1"/>
            </w14:solidFill>
          </w14:textFill>
        </w:rPr>
        <w:t>因项目中</w:t>
      </w:r>
      <w:r>
        <w:rPr>
          <w:rFonts w:hint="eastAsia" w:ascii="宋体" w:hAnsi="宋体" w:eastAsia="宋体" w:cs="宋体"/>
          <w:b/>
          <w:bCs/>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bCs/>
          <w:color w:val="000000" w:themeColor="text1"/>
          <w:sz w:val="21"/>
          <w:szCs w:val="21"/>
          <w:highlight w:val="none"/>
          <w14:textFill>
            <w14:solidFill>
              <w14:schemeClr w14:val="tx1"/>
            </w14:solidFill>
          </w14:textFill>
        </w:rPr>
        <w:t>需提供多份检测机构出具的检测报告，为方便</w:t>
      </w:r>
      <w:r>
        <w:rPr>
          <w:rFonts w:hint="eastAsia" w:ascii="宋体" w:hAnsi="宋体" w:eastAsia="宋体" w:cs="宋体"/>
          <w:b/>
          <w:bCs/>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bCs/>
          <w:color w:val="000000" w:themeColor="text1"/>
          <w:sz w:val="21"/>
          <w:szCs w:val="21"/>
          <w:highlight w:val="none"/>
          <w14:textFill>
            <w14:solidFill>
              <w14:schemeClr w14:val="tx1"/>
            </w14:solidFill>
          </w14:textFill>
        </w:rPr>
        <w:t>制作投标文件，故本项目特地在原待标期</w:t>
      </w:r>
      <w:r>
        <w:rPr>
          <w:rFonts w:hint="eastAsia" w:ascii="宋体" w:hAnsi="宋体" w:cs="宋体"/>
          <w:b/>
          <w:bCs/>
          <w:color w:val="000000" w:themeColor="text1"/>
          <w:sz w:val="21"/>
          <w:szCs w:val="21"/>
          <w:highlight w:val="none"/>
          <w:lang w:val="en-US" w:eastAsia="zh-CN"/>
          <w14:textFill>
            <w14:solidFill>
              <w14:schemeClr w14:val="tx1"/>
            </w14:solidFill>
          </w14:textFill>
        </w:rPr>
        <w:t>不少于</w:t>
      </w:r>
      <w:r>
        <w:rPr>
          <w:rFonts w:hint="eastAsia" w:ascii="宋体" w:hAnsi="宋体" w:eastAsia="宋体" w:cs="宋体"/>
          <w:b/>
          <w:bCs/>
          <w:color w:val="000000" w:themeColor="text1"/>
          <w:sz w:val="21"/>
          <w:szCs w:val="21"/>
          <w:highlight w:val="none"/>
          <w14:textFill>
            <w14:solidFill>
              <w14:schemeClr w14:val="tx1"/>
            </w14:solidFill>
          </w14:textFill>
        </w:rPr>
        <w:t>20天</w:t>
      </w:r>
      <w:r>
        <w:rPr>
          <w:rFonts w:hint="eastAsia" w:ascii="宋体" w:hAnsi="宋体" w:cs="宋体"/>
          <w:b/>
          <w:bCs/>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b/>
          <w:bCs/>
          <w:color w:val="000000" w:themeColor="text1"/>
          <w:sz w:val="21"/>
          <w:szCs w:val="21"/>
          <w:highlight w:val="none"/>
          <w14:textFill>
            <w14:solidFill>
              <w14:schemeClr w14:val="tx1"/>
            </w14:solidFill>
          </w14:textFill>
        </w:rPr>
        <w:t>基础之上增加20天，以用于</w:t>
      </w:r>
      <w:r>
        <w:rPr>
          <w:rFonts w:hint="eastAsia" w:ascii="宋体" w:hAnsi="宋体" w:eastAsia="宋体" w:cs="宋体"/>
          <w:b/>
          <w:bCs/>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bCs/>
          <w:color w:val="000000" w:themeColor="text1"/>
          <w:sz w:val="21"/>
          <w:szCs w:val="21"/>
          <w:highlight w:val="none"/>
          <w14:textFill>
            <w14:solidFill>
              <w14:schemeClr w14:val="tx1"/>
            </w14:solidFill>
          </w14:textFill>
        </w:rPr>
        <w:t>准备检测报告等相关准备工作，特此说明。</w:t>
      </w:r>
    </w:p>
    <w:p w14:paraId="703EF09C">
      <w:pPr>
        <w:spacing w:line="348" w:lineRule="auto"/>
        <w:ind w:firstLine="420"/>
        <w:rPr>
          <w:rFonts w:hint="eastAsia" w:ascii="宋体" w:hAnsi="宋体" w:cs="宋体"/>
          <w:color w:val="000000" w:themeColor="text1"/>
          <w:szCs w:val="21"/>
          <w:highlight w:val="none"/>
          <w14:textFill>
            <w14:solidFill>
              <w14:schemeClr w14:val="tx1"/>
            </w14:solidFill>
          </w14:textFill>
        </w:rPr>
      </w:pPr>
    </w:p>
    <w:p w14:paraId="51C19EC2">
      <w:pPr>
        <w:spacing w:line="348" w:lineRule="auto"/>
        <w:ind w:firstLine="420"/>
        <w:rPr>
          <w:rFonts w:hint="eastAsia" w:ascii="宋体" w:hAnsi="宋体" w:cs="宋体"/>
          <w:color w:val="000000" w:themeColor="text1"/>
          <w:szCs w:val="21"/>
          <w:highlight w:val="none"/>
          <w14:textFill>
            <w14:solidFill>
              <w14:schemeClr w14:val="tx1"/>
            </w14:solidFill>
          </w14:textFill>
        </w:rPr>
      </w:pPr>
    </w:p>
    <w:p w14:paraId="57E6612D">
      <w:pPr>
        <w:rPr>
          <w:rFonts w:hint="eastAsia" w:ascii="宋体" w:hAnsi="宋体" w:cs="宋体"/>
          <w:b/>
          <w:color w:val="000000" w:themeColor="text1"/>
          <w:sz w:val="48"/>
          <w:szCs w:val="44"/>
          <w:highlight w:val="none"/>
          <w14:textFill>
            <w14:solidFill>
              <w14:schemeClr w14:val="tx1"/>
            </w14:solidFill>
          </w14:textFill>
        </w:rPr>
      </w:pPr>
    </w:p>
    <w:p w14:paraId="1912233E">
      <w:pPr>
        <w:widowControl/>
        <w:spacing w:line="360" w:lineRule="auto"/>
        <w:jc w:val="center"/>
        <w:rPr>
          <w:rFonts w:hint="eastAsia" w:ascii="宋体" w:hAnsi="宋体" w:cs="宋体"/>
          <w:b/>
          <w:color w:val="000000" w:themeColor="text1"/>
          <w:sz w:val="48"/>
          <w:szCs w:val="44"/>
          <w:highlight w:val="none"/>
          <w14:textFill>
            <w14:solidFill>
              <w14:schemeClr w14:val="tx1"/>
            </w14:solidFill>
          </w14:textFill>
        </w:rPr>
      </w:pPr>
      <w:r>
        <w:rPr>
          <w:rFonts w:hint="eastAsia" w:ascii="宋体" w:hAnsi="宋体" w:cs="宋体"/>
          <w:b/>
          <w:color w:val="000000" w:themeColor="text1"/>
          <w:sz w:val="48"/>
          <w:szCs w:val="44"/>
          <w:highlight w:val="none"/>
          <w14:textFill>
            <w14:solidFill>
              <w14:schemeClr w14:val="tx1"/>
            </w14:solidFill>
          </w14:textFill>
        </w:rPr>
        <w:t>第三章  合同条款</w:t>
      </w:r>
    </w:p>
    <w:p w14:paraId="1DED622A">
      <w:pPr>
        <w:rPr>
          <w:rFonts w:hint="eastAsia" w:ascii="宋体" w:hAnsi="宋体" w:cs="宋体"/>
          <w:color w:val="000000" w:themeColor="text1"/>
          <w:highlight w:val="none"/>
          <w14:textFill>
            <w14:solidFill>
              <w14:schemeClr w14:val="tx1"/>
            </w14:solidFill>
          </w14:textFill>
        </w:rPr>
      </w:pPr>
      <w:bookmarkStart w:id="175" w:name="EB6d2006462e294de090c16e672cecc3bd"/>
    </w:p>
    <w:bookmarkEnd w:id="175"/>
    <w:p w14:paraId="5D01CC17">
      <w:pPr>
        <w:jc w:val="center"/>
        <w:rPr>
          <w:rFonts w:hint="eastAsia" w:ascii="宋体" w:hAnsi="宋体" w:cs="宋体"/>
          <w:b/>
          <w:bCs/>
          <w:color w:val="000000" w:themeColor="text1"/>
          <w:spacing w:val="-20"/>
          <w:sz w:val="48"/>
          <w:szCs w:val="48"/>
          <w:highlight w:val="none"/>
          <w14:textFill>
            <w14:solidFill>
              <w14:schemeClr w14:val="tx1"/>
            </w14:solidFill>
          </w14:textFill>
        </w:rPr>
      </w:pPr>
      <w:bookmarkStart w:id="176" w:name="_Toc3995"/>
    </w:p>
    <w:p w14:paraId="59FDD72D">
      <w:pPr>
        <w:jc w:val="center"/>
        <w:rPr>
          <w:rFonts w:hint="eastAsia" w:ascii="宋体" w:hAnsi="宋体" w:cs="宋体"/>
          <w:b/>
          <w:bCs/>
          <w:color w:val="000000" w:themeColor="text1"/>
          <w:spacing w:val="-20"/>
          <w:sz w:val="48"/>
          <w:szCs w:val="48"/>
          <w:highlight w:val="none"/>
          <w14:textFill>
            <w14:solidFill>
              <w14:schemeClr w14:val="tx1"/>
            </w14:solidFill>
          </w14:textFill>
        </w:rPr>
      </w:pPr>
    </w:p>
    <w:p w14:paraId="725F0537">
      <w:pPr>
        <w:jc w:val="center"/>
        <w:rPr>
          <w:rFonts w:hint="eastAsia" w:ascii="宋体" w:hAnsi="宋体" w:cs="宋体"/>
          <w:b/>
          <w:bCs/>
          <w:color w:val="000000" w:themeColor="text1"/>
          <w:spacing w:val="-20"/>
          <w:sz w:val="48"/>
          <w:szCs w:val="48"/>
          <w:highlight w:val="none"/>
          <w14:textFill>
            <w14:solidFill>
              <w14:schemeClr w14:val="tx1"/>
            </w14:solidFill>
          </w14:textFill>
        </w:rPr>
      </w:pPr>
    </w:p>
    <w:p w14:paraId="311A496F">
      <w:pPr>
        <w:jc w:val="center"/>
        <w:rPr>
          <w:rFonts w:hint="eastAsia" w:ascii="宋体" w:hAnsi="宋体" w:cs="宋体"/>
          <w:b/>
          <w:bCs/>
          <w:color w:val="000000" w:themeColor="text1"/>
          <w:spacing w:val="-20"/>
          <w:sz w:val="48"/>
          <w:szCs w:val="48"/>
          <w:highlight w:val="none"/>
          <w14:textFill>
            <w14:solidFill>
              <w14:schemeClr w14:val="tx1"/>
            </w14:solidFill>
          </w14:textFill>
        </w:rPr>
      </w:pPr>
    </w:p>
    <w:p w14:paraId="0A6B46F2">
      <w:pPr>
        <w:jc w:val="center"/>
        <w:rPr>
          <w:rFonts w:hint="eastAsia" w:ascii="宋体" w:hAnsi="宋体" w:cs="宋体"/>
          <w:color w:val="000000" w:themeColor="text1"/>
          <w:sz w:val="30"/>
          <w:highlight w:val="none"/>
          <w14:textFill>
            <w14:solidFill>
              <w14:schemeClr w14:val="tx1"/>
            </w14:solidFill>
          </w14:textFill>
        </w:rPr>
      </w:pPr>
    </w:p>
    <w:p w14:paraId="13F7587A">
      <w:pPr>
        <w:jc w:val="center"/>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政府采购货物买卖合同</w:t>
      </w:r>
    </w:p>
    <w:p w14:paraId="43ADC1E6">
      <w:pPr>
        <w:jc w:val="center"/>
        <w:rPr>
          <w:rFonts w:hint="eastAsia" w:ascii="宋体" w:hAnsi="宋体" w:cs="宋体"/>
          <w:color w:val="000000" w:themeColor="text1"/>
          <w:sz w:val="30"/>
          <w:highlight w:val="none"/>
          <w14:textFill>
            <w14:solidFill>
              <w14:schemeClr w14:val="tx1"/>
            </w14:solidFill>
          </w14:textFill>
        </w:rPr>
      </w:pPr>
    </w:p>
    <w:p w14:paraId="3F24CB98">
      <w:pPr>
        <w:rPr>
          <w:rFonts w:hint="eastAsia" w:ascii="宋体" w:hAnsi="宋体" w:cs="宋体"/>
          <w:color w:val="000000" w:themeColor="text1"/>
          <w:sz w:val="30"/>
          <w:highlight w:val="none"/>
          <w14:textFill>
            <w14:solidFill>
              <w14:schemeClr w14:val="tx1"/>
            </w14:solidFill>
          </w14:textFill>
        </w:rPr>
      </w:pPr>
    </w:p>
    <w:p w14:paraId="1EB2A7D0">
      <w:pPr>
        <w:rPr>
          <w:rFonts w:hint="eastAsia" w:ascii="宋体" w:hAnsi="宋体" w:cs="宋体"/>
          <w:color w:val="000000" w:themeColor="text1"/>
          <w:sz w:val="30"/>
          <w:highlight w:val="none"/>
          <w14:textFill>
            <w14:solidFill>
              <w14:schemeClr w14:val="tx1"/>
            </w14:solidFill>
          </w14:textFill>
        </w:rPr>
      </w:pPr>
    </w:p>
    <w:p w14:paraId="63884F66">
      <w:pPr>
        <w:rPr>
          <w:rFonts w:hint="eastAsia" w:ascii="宋体" w:hAnsi="宋体" w:cs="宋体"/>
          <w:color w:val="000000" w:themeColor="text1"/>
          <w:sz w:val="30"/>
          <w:highlight w:val="none"/>
          <w14:textFill>
            <w14:solidFill>
              <w14:schemeClr w14:val="tx1"/>
            </w14:solidFill>
          </w14:textFill>
        </w:rPr>
      </w:pPr>
    </w:p>
    <w:p w14:paraId="43D42D74">
      <w:pPr>
        <w:spacing w:line="360" w:lineRule="auto"/>
        <w:rPr>
          <w:rFonts w:hint="eastAsia" w:ascii="宋体" w:hAnsi="宋体" w:eastAsia="宋体" w:cs="宋体"/>
          <w:color w:val="000000" w:themeColor="text1"/>
          <w:sz w:val="30"/>
          <w:highlight w:val="none"/>
          <w:lang w:eastAsia="zh-CN"/>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项目名称：</w:t>
      </w:r>
      <w:r>
        <w:rPr>
          <w:rFonts w:hint="eastAsia" w:ascii="宋体" w:hAnsi="宋体" w:cs="宋体"/>
          <w:color w:val="000000" w:themeColor="text1"/>
          <w:sz w:val="30"/>
          <w:highlight w:val="none"/>
          <w:lang w:eastAsia="zh-CN"/>
          <w14:textFill>
            <w14:solidFill>
              <w14:schemeClr w14:val="tx1"/>
            </w14:solidFill>
          </w14:textFill>
        </w:rPr>
        <w:t>盐城市公安局巡特警支队无人机侦测与反制设备采购项目</w:t>
      </w:r>
    </w:p>
    <w:p w14:paraId="22097136">
      <w:pPr>
        <w:spacing w:line="360" w:lineRule="auto"/>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甲    方：盐城市公安局</w:t>
      </w:r>
    </w:p>
    <w:p w14:paraId="69DB1157">
      <w:pPr>
        <w:spacing w:line="360" w:lineRule="auto"/>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乙    方：</w:t>
      </w:r>
    </w:p>
    <w:p w14:paraId="5C0856BB">
      <w:pPr>
        <w:spacing w:line="360" w:lineRule="auto"/>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签订时间：</w:t>
      </w:r>
    </w:p>
    <w:p w14:paraId="1476C4E1">
      <w:pPr>
        <w:rPr>
          <w:color w:val="000000" w:themeColor="text1"/>
          <w:highlight w:val="none"/>
          <w14:textFill>
            <w14:solidFill>
              <w14:schemeClr w14:val="tx1"/>
            </w14:solidFill>
          </w14:textFill>
        </w:rPr>
      </w:pPr>
    </w:p>
    <w:bookmarkEnd w:id="176"/>
    <w:p w14:paraId="4CF3496F">
      <w:pPr>
        <w:rPr>
          <w:rFonts w:hint="eastAsia" w:ascii="黑体" w:hAnsi="宋体" w:eastAsia="黑体" w:cs="黑体"/>
          <w:color w:val="000000" w:themeColor="text1"/>
          <w:sz w:val="44"/>
          <w:szCs w:val="44"/>
          <w:highlight w:val="none"/>
          <w14:textFill>
            <w14:solidFill>
              <w14:schemeClr w14:val="tx1"/>
            </w14:solidFill>
          </w14:textFill>
        </w:rPr>
      </w:pPr>
    </w:p>
    <w:p w14:paraId="4824977B">
      <w:pPr>
        <w:rPr>
          <w:rFonts w:hint="eastAsia" w:ascii="黑体" w:hAnsi="宋体" w:eastAsia="黑体" w:cs="黑体"/>
          <w:color w:val="000000" w:themeColor="text1"/>
          <w:sz w:val="44"/>
          <w:szCs w:val="44"/>
          <w:highlight w:val="none"/>
          <w14:textFill>
            <w14:solidFill>
              <w14:schemeClr w14:val="tx1"/>
            </w14:solidFill>
          </w14:textFill>
        </w:rPr>
      </w:pPr>
    </w:p>
    <w:p w14:paraId="7FDCDDCE">
      <w:pPr>
        <w:rPr>
          <w:rFonts w:hint="eastAsia" w:ascii="黑体" w:hAnsi="宋体" w:eastAsia="黑体" w:cs="黑体"/>
          <w:color w:val="000000" w:themeColor="text1"/>
          <w:sz w:val="44"/>
          <w:szCs w:val="44"/>
          <w:highlight w:val="none"/>
          <w14:textFill>
            <w14:solidFill>
              <w14:schemeClr w14:val="tx1"/>
            </w14:solidFill>
          </w14:textFill>
        </w:rPr>
      </w:pPr>
    </w:p>
    <w:p w14:paraId="752148AD">
      <w:pPr>
        <w:rPr>
          <w:rFonts w:hint="eastAsia" w:ascii="黑体" w:hAnsi="宋体" w:eastAsia="黑体" w:cs="黑体"/>
          <w:color w:val="000000" w:themeColor="text1"/>
          <w:sz w:val="44"/>
          <w:szCs w:val="44"/>
          <w:highlight w:val="none"/>
          <w14:textFill>
            <w14:solidFill>
              <w14:schemeClr w14:val="tx1"/>
            </w14:solidFill>
          </w14:textFill>
        </w:rPr>
      </w:pPr>
    </w:p>
    <w:p w14:paraId="17EB7395">
      <w:pPr>
        <w:pStyle w:val="40"/>
        <w:rPr>
          <w:rFonts w:hint="eastAsia" w:ascii="黑体" w:hAnsi="宋体" w:eastAsia="黑体" w:cs="黑体"/>
          <w:color w:val="000000" w:themeColor="text1"/>
          <w:sz w:val="44"/>
          <w:szCs w:val="44"/>
          <w:highlight w:val="none"/>
          <w14:textFill>
            <w14:solidFill>
              <w14:schemeClr w14:val="tx1"/>
            </w14:solidFill>
          </w14:textFill>
        </w:rPr>
      </w:pPr>
    </w:p>
    <w:p w14:paraId="25590E61">
      <w:pPr>
        <w:rPr>
          <w:rFonts w:hint="eastAsia" w:ascii="黑体" w:hAnsi="宋体" w:eastAsia="黑体" w:cs="黑体"/>
          <w:color w:val="000000" w:themeColor="text1"/>
          <w:sz w:val="44"/>
          <w:szCs w:val="44"/>
          <w:highlight w:val="none"/>
          <w14:textFill>
            <w14:solidFill>
              <w14:schemeClr w14:val="tx1"/>
            </w14:solidFill>
          </w14:textFill>
        </w:rPr>
      </w:pPr>
    </w:p>
    <w:p w14:paraId="039F5125">
      <w:pPr>
        <w:pStyle w:val="40"/>
        <w:rPr>
          <w:rFonts w:hint="eastAsia"/>
          <w:color w:val="000000" w:themeColor="text1"/>
          <w:highlight w:val="none"/>
          <w14:textFill>
            <w14:solidFill>
              <w14:schemeClr w14:val="tx1"/>
            </w14:solidFill>
          </w14:textFill>
        </w:rPr>
      </w:pPr>
    </w:p>
    <w:p w14:paraId="14E7E41C">
      <w:pPr>
        <w:rPr>
          <w:rFonts w:hint="eastAsia" w:ascii="黑体" w:hAnsi="宋体" w:eastAsia="黑体" w:cs="黑体"/>
          <w:color w:val="000000" w:themeColor="text1"/>
          <w:sz w:val="44"/>
          <w:szCs w:val="44"/>
          <w:highlight w:val="none"/>
          <w14:textFill>
            <w14:solidFill>
              <w14:schemeClr w14:val="tx1"/>
            </w14:solidFill>
          </w14:textFill>
        </w:rPr>
      </w:pPr>
    </w:p>
    <w:p w14:paraId="16687EC5">
      <w:pPr>
        <w:autoSpaceDE w:val="0"/>
        <w:autoSpaceDN w:val="0"/>
        <w:adjustRightInd w:val="0"/>
        <w:spacing w:line="440" w:lineRule="exact"/>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合同书</w:t>
      </w:r>
    </w:p>
    <w:p w14:paraId="515922CD">
      <w:pPr>
        <w:pStyle w:val="31"/>
        <w:widowControl/>
        <w:spacing w:beforeAutospacing="0" w:afterAutospacing="0"/>
        <w:ind w:firstLine="480" w:firstLineChars="20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kern w:val="2"/>
          <w:sz w:val="21"/>
          <w:szCs w:val="21"/>
          <w:highlight w:val="none"/>
          <w:u w:val="single"/>
          <w:lang w:val="zh-CN"/>
          <w14:textFill>
            <w14:solidFill>
              <w14:schemeClr w14:val="tx1"/>
            </w14:solidFill>
          </w14:textFill>
        </w:rPr>
        <w:t>盐城市公安局巡特警支队无人机侦测与反制设备采购项目</w:t>
      </w:r>
    </w:p>
    <w:p w14:paraId="6C5B5F06">
      <w:pPr>
        <w:autoSpaceDE w:val="0"/>
        <w:autoSpaceDN w:val="0"/>
        <w:adjustRightInd w:val="0"/>
        <w:spacing w:line="440" w:lineRule="exact"/>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甲方：（买方）</w:t>
      </w:r>
      <w:r>
        <w:rPr>
          <w:rFonts w:hint="eastAsia" w:ascii="宋体" w:hAnsi="宋体" w:cs="宋体"/>
          <w:color w:val="000000" w:themeColor="text1"/>
          <w:szCs w:val="21"/>
          <w:highlight w:val="none"/>
          <w:u w:val="single"/>
          <w:lang w:val="zh-CN"/>
          <w14:textFill>
            <w14:solidFill>
              <w14:schemeClr w14:val="tx1"/>
            </w14:solidFill>
          </w14:textFill>
        </w:rPr>
        <w:t>盐城市公安局</w:t>
      </w:r>
    </w:p>
    <w:p w14:paraId="535957D0">
      <w:pPr>
        <w:autoSpaceDE w:val="0"/>
        <w:autoSpaceDN w:val="0"/>
        <w:adjustRightInd w:val="0"/>
        <w:spacing w:line="440" w:lineRule="exact"/>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乙方：（卖方）_________</w:t>
      </w:r>
    </w:p>
    <w:p w14:paraId="3AB9A3AF">
      <w:pPr>
        <w:autoSpaceDE w:val="0"/>
        <w:autoSpaceDN w:val="0"/>
        <w:adjustRightInd w:val="0"/>
        <w:spacing w:line="440" w:lineRule="exact"/>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甲、乙双方根据</w:t>
      </w:r>
      <w:r>
        <w:rPr>
          <w:rFonts w:hint="eastAsia" w:ascii="宋体" w:hAnsi="宋体" w:cs="宋体"/>
          <w:color w:val="000000" w:themeColor="text1"/>
          <w:szCs w:val="21"/>
          <w:highlight w:val="none"/>
          <w:u w:val="single"/>
          <w:lang w:val="zh-CN"/>
          <w14:textFill>
            <w14:solidFill>
              <w14:schemeClr w14:val="tx1"/>
            </w14:solidFill>
          </w14:textFill>
        </w:rPr>
        <w:t>盐城市公安局巡特警支队无人机侦测与反制设备采购项目</w:t>
      </w:r>
      <w:r>
        <w:rPr>
          <w:rFonts w:hint="eastAsia" w:ascii="宋体" w:hAnsi="宋体" w:cs="宋体"/>
          <w:color w:val="000000" w:themeColor="text1"/>
          <w:szCs w:val="21"/>
          <w:highlight w:val="none"/>
          <w:lang w:val="zh-CN"/>
          <w14:textFill>
            <w14:solidFill>
              <w14:schemeClr w14:val="tx1"/>
            </w14:solidFill>
          </w14:textFill>
        </w:rPr>
        <w:t>公开招标的结果，签署本合同。</w:t>
      </w:r>
    </w:p>
    <w:p w14:paraId="79A8B60B">
      <w:pPr>
        <w:autoSpaceDE w:val="0"/>
        <w:autoSpaceDN w:val="0"/>
        <w:adjustRightInd w:val="0"/>
        <w:spacing w:line="440" w:lineRule="exact"/>
        <w:ind w:firstLine="413" w:firstLineChars="196"/>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一、货物内容</w:t>
      </w:r>
    </w:p>
    <w:p w14:paraId="20AD8C81">
      <w:pPr>
        <w:autoSpaceDE w:val="0"/>
        <w:autoSpaceDN w:val="0"/>
        <w:adjustRightInd w:val="0"/>
        <w:spacing w:line="440" w:lineRule="exact"/>
        <w:ind w:firstLine="380" w:firstLineChars="181"/>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详见附件《分项报价表》</w:t>
      </w:r>
    </w:p>
    <w:p w14:paraId="548157DB">
      <w:pPr>
        <w:autoSpaceDE w:val="0"/>
        <w:autoSpaceDN w:val="0"/>
        <w:adjustRightInd w:val="0"/>
        <w:spacing w:line="440" w:lineRule="exact"/>
        <w:ind w:firstLine="382" w:firstLineChars="181"/>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二、合同金额</w:t>
      </w:r>
    </w:p>
    <w:p w14:paraId="62441BF6">
      <w:pPr>
        <w:autoSpaceDE w:val="0"/>
        <w:autoSpaceDN w:val="0"/>
        <w:adjustRightInd w:val="0"/>
        <w:spacing w:line="440" w:lineRule="exact"/>
        <w:ind w:left="41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本合同金额为（大写）：元整（____________元）人民币。</w:t>
      </w:r>
    </w:p>
    <w:p w14:paraId="301DB807">
      <w:pPr>
        <w:autoSpaceDE w:val="0"/>
        <w:autoSpaceDN w:val="0"/>
        <w:adjustRightInd w:val="0"/>
        <w:spacing w:line="440" w:lineRule="exact"/>
        <w:ind w:left="41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三、技术资料</w:t>
      </w:r>
    </w:p>
    <w:p w14:paraId="1E973A6A">
      <w:pPr>
        <w:autoSpaceDE w:val="0"/>
        <w:autoSpaceDN w:val="0"/>
        <w:adjustRightInd w:val="0"/>
        <w:spacing w:line="440" w:lineRule="exact"/>
        <w:ind w:left="41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w:t>
      </w:r>
      <w:r>
        <w:rPr>
          <w:rFonts w:hint="eastAsia" w:ascii="宋体" w:hAnsi="宋体" w:cs="宋体"/>
          <w:color w:val="000000" w:themeColor="text1"/>
          <w:szCs w:val="21"/>
          <w:highlight w:val="none"/>
          <w:lang w:val="zh-CN"/>
          <w14:textFill>
            <w14:solidFill>
              <w14:schemeClr w14:val="tx1"/>
            </w14:solidFill>
          </w14:textFill>
        </w:rPr>
        <w:t>乙方应按招标文件规定的时间向甲方提供使用货物的有关技术资料。</w:t>
      </w:r>
    </w:p>
    <w:p w14:paraId="1D7CFD07">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w:t>
      </w:r>
      <w:r>
        <w:rPr>
          <w:rFonts w:hint="eastAsia" w:ascii="宋体" w:hAnsi="宋体" w:cs="宋体"/>
          <w:color w:val="000000" w:themeColor="text1"/>
          <w:szCs w:val="21"/>
          <w:highlight w:val="none"/>
          <w:lang w:val="zh-CN"/>
          <w14:textFill>
            <w14:solidFill>
              <w14:schemeClr w14:val="tx1"/>
            </w14:solidFill>
          </w14:textFill>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AFE16F9">
      <w:pPr>
        <w:autoSpaceDE w:val="0"/>
        <w:autoSpaceDN w:val="0"/>
        <w:adjustRightInd w:val="0"/>
        <w:spacing w:line="440" w:lineRule="exact"/>
        <w:ind w:firstLine="413" w:firstLineChars="196"/>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四、知识产权</w:t>
      </w:r>
    </w:p>
    <w:p w14:paraId="4E431390">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乙方应保证甲方在使用、接受本合同货物和服务或其任何一部分时不受第三方提出侵犯其专利权、版权、商标权和工业设计权等知识产权的起诉。一旦出现侵权，由乙方负全部责任。</w:t>
      </w:r>
    </w:p>
    <w:p w14:paraId="1D2AF35B">
      <w:pPr>
        <w:autoSpaceDE w:val="0"/>
        <w:autoSpaceDN w:val="0"/>
        <w:adjustRightInd w:val="0"/>
        <w:spacing w:line="440" w:lineRule="exact"/>
        <w:ind w:firstLine="379" w:firstLineChars="180"/>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五、产权担保</w:t>
      </w:r>
    </w:p>
    <w:p w14:paraId="33EEF1CC">
      <w:pPr>
        <w:autoSpaceDE w:val="0"/>
        <w:autoSpaceDN w:val="0"/>
        <w:adjustRightInd w:val="0"/>
        <w:spacing w:line="440" w:lineRule="exact"/>
        <w:ind w:firstLine="420" w:firstLineChars="200"/>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乙方保证所交付的货物的所有权完全属于乙方且无任何抵押、查封等产权瑕疵。</w:t>
      </w:r>
    </w:p>
    <w:p w14:paraId="3E12610D">
      <w:pPr>
        <w:autoSpaceDE w:val="0"/>
        <w:autoSpaceDN w:val="0"/>
        <w:adjustRightInd w:val="0"/>
        <w:spacing w:line="440" w:lineRule="exact"/>
        <w:ind w:firstLine="413" w:firstLineChars="196"/>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六、履约保证金</w:t>
      </w:r>
    </w:p>
    <w:p w14:paraId="5C5F7E3E">
      <w:pPr>
        <w:autoSpaceDE w:val="0"/>
        <w:autoSpaceDN w:val="0"/>
        <w:adjustRightInd w:val="0"/>
        <w:spacing w:line="440" w:lineRule="exact"/>
        <w:ind w:firstLine="420" w:firstLineChars="20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6.1乙方交纳人民币_________元作为本合同的履约保证金。</w:t>
      </w:r>
    </w:p>
    <w:p w14:paraId="70440197">
      <w:pPr>
        <w:autoSpaceDE w:val="0"/>
        <w:autoSpaceDN w:val="0"/>
        <w:adjustRightInd w:val="0"/>
        <w:spacing w:line="440" w:lineRule="exact"/>
        <w:ind w:firstLine="420" w:firstLineChars="20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备注：履约保证金金额为合同金额的5%，乙方提供AA评级及以上政府采购信用管理部门备案的第三方信用报告，免收履约保证金。</w:t>
      </w:r>
    </w:p>
    <w:p w14:paraId="528D422A">
      <w:pPr>
        <w:autoSpaceDE w:val="0"/>
        <w:autoSpaceDN w:val="0"/>
        <w:adjustRightInd w:val="0"/>
        <w:spacing w:line="440" w:lineRule="exact"/>
        <w:ind w:firstLine="420" w:firstLineChars="20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6.2确需收取履约保证金的，履约保证金的缴纳形式：</w:t>
      </w:r>
    </w:p>
    <w:p w14:paraId="2EB63422">
      <w:pPr>
        <w:autoSpaceDE w:val="0"/>
        <w:autoSpaceDN w:val="0"/>
        <w:adjustRightInd w:val="0"/>
        <w:spacing w:line="440" w:lineRule="exact"/>
        <w:ind w:firstLine="420" w:firstLineChars="20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C3DBDE2">
      <w:pPr>
        <w:autoSpaceDE w:val="0"/>
        <w:autoSpaceDN w:val="0"/>
        <w:adjustRightInd w:val="0"/>
        <w:spacing w:line="440" w:lineRule="exact"/>
        <w:ind w:firstLine="420" w:firstLineChars="20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6.2.2 如以履约保函（保险）形式缴纳履约保证金，供应商可通过政府采购电子履约保函（保险）平台（www.jsdzbh.com）在线申请履约保函（保险）。</w:t>
      </w:r>
    </w:p>
    <w:p w14:paraId="35A648E7">
      <w:pPr>
        <w:autoSpaceDE w:val="0"/>
        <w:autoSpaceDN w:val="0"/>
        <w:adjustRightInd w:val="0"/>
        <w:spacing w:line="440" w:lineRule="exact"/>
        <w:ind w:firstLine="420" w:firstLineChars="200"/>
        <w:rPr>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6.3合同履行结束后，甲方应及时退还交纳的履约保证金。</w:t>
      </w:r>
    </w:p>
    <w:p w14:paraId="47D802F5">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6.4履约保证金的退还：</w:t>
      </w:r>
    </w:p>
    <w:p w14:paraId="48F8CB33">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6.4.1方式：退还至投标人缴纳履约保证金的账户。如为保函，在到期时自行失效。</w:t>
      </w:r>
    </w:p>
    <w:p w14:paraId="6616D734">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6.4.2时间：验收合格且采购人收到发票后30日内。</w:t>
      </w:r>
    </w:p>
    <w:p w14:paraId="5E5D59B2">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6.4.3条件：按合同要求全部履约完成并经采购人验收合格，且采购人收到中标人出具的发票。</w:t>
      </w:r>
    </w:p>
    <w:p w14:paraId="453B3A9D">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6.4.4不予退还情形：</w:t>
      </w:r>
    </w:p>
    <w:p w14:paraId="700B9644">
      <w:pPr>
        <w:spacing w:line="360" w:lineRule="auto"/>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除不可抗力情况外，投标人出现下列情形之一的，其履约保证金，招标人将视情节决定不予退还或部分不予退还。</w:t>
      </w:r>
    </w:p>
    <w:p w14:paraId="13D336A0">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（1）中标人无正当理由拒绝签订合同的，或者在签订合同时向采购人提出附加条件或者更改合同实质性内容要求的；</w:t>
      </w:r>
    </w:p>
    <w:p w14:paraId="1B2C089A">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（2）中标人不履行与采购人订立的合同的；</w:t>
      </w:r>
    </w:p>
    <w:p w14:paraId="5BF0CD25">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（3）中标人所供货物或服务不符合</w:t>
      </w:r>
      <w:r>
        <w:rPr>
          <w:rFonts w:hint="eastAsia" w:ascii="仿宋" w:hAnsi="仿宋" w:eastAsia="仿宋" w:cs="仿宋"/>
          <w:color w:val="000000" w:themeColor="text1"/>
          <w:szCs w:val="21"/>
          <w:highlight w:val="none"/>
          <w14:textFill>
            <w14:solidFill>
              <w14:schemeClr w14:val="tx1"/>
            </w14:solidFill>
          </w14:textFill>
        </w:rPr>
        <w:t>磋商</w:t>
      </w:r>
      <w:r>
        <w:rPr>
          <w:rFonts w:hint="eastAsia" w:ascii="宋体" w:hAnsi="宋体" w:eastAsia="宋体" w:cs="宋体"/>
          <w:color w:val="000000" w:themeColor="text1"/>
          <w:kern w:val="0"/>
          <w:szCs w:val="21"/>
          <w:highlight w:val="none"/>
          <w14:textFill>
            <w14:solidFill>
              <w14:schemeClr w14:val="tx1"/>
            </w14:solidFill>
          </w14:textFill>
        </w:rPr>
        <w:t>文件规定要求的；</w:t>
      </w:r>
    </w:p>
    <w:p w14:paraId="740E1A7E">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（4）中标人采取欺骗、弄虚作假方式投标的或与其他投标人串通投标的；</w:t>
      </w:r>
    </w:p>
    <w:p w14:paraId="66AA05B8">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（5）中标人将合同内容转包、违法分包的；</w:t>
      </w:r>
    </w:p>
    <w:p w14:paraId="5B40BE13">
      <w:pPr>
        <w:autoSpaceDE w:val="0"/>
        <w:autoSpaceDN w:val="0"/>
        <w:adjustRightInd w:val="0"/>
        <w:spacing w:line="440" w:lineRule="exact"/>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（6）中标人故意捏造事实或伪造证明材料，进行虚假恶意投诉或反映的。</w:t>
      </w:r>
    </w:p>
    <w:p w14:paraId="268F8C6D">
      <w:pPr>
        <w:autoSpaceDE w:val="0"/>
        <w:autoSpaceDN w:val="0"/>
        <w:adjustRightInd w:val="0"/>
        <w:spacing w:line="440" w:lineRule="exact"/>
        <w:ind w:firstLine="420" w:firstLineChars="20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6.4.5逾期退还的违约责任：采购人逾期无故未退还履约保证金的，按中国人民银行同期贷款基准利率上浮20%后的利率支付超期资金占用费，但因供应商自身原因导致无法及时退还的除外。</w:t>
      </w:r>
    </w:p>
    <w:p w14:paraId="431B0A6D">
      <w:pPr>
        <w:autoSpaceDE w:val="0"/>
        <w:autoSpaceDN w:val="0"/>
        <w:adjustRightInd w:val="0"/>
        <w:spacing w:line="440" w:lineRule="exact"/>
        <w:ind w:firstLine="422" w:firstLineChars="20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七、转包或分包</w:t>
      </w:r>
    </w:p>
    <w:p w14:paraId="132E02FC">
      <w:pPr>
        <w:autoSpaceDE w:val="0"/>
        <w:autoSpaceDN w:val="0"/>
        <w:adjustRightInd w:val="0"/>
        <w:spacing w:line="440" w:lineRule="exact"/>
        <w:ind w:firstLine="382" w:firstLineChars="182"/>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7.1本合同范围的货物，应由乙方直接供应，不得转让他人供应；</w:t>
      </w:r>
    </w:p>
    <w:p w14:paraId="2ECA0456">
      <w:pPr>
        <w:autoSpaceDE w:val="0"/>
        <w:autoSpaceDN w:val="0"/>
        <w:adjustRightInd w:val="0"/>
        <w:spacing w:line="440" w:lineRule="exact"/>
        <w:ind w:firstLine="382" w:firstLineChars="182"/>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7.2 除非得到甲方的书面同意，乙方不得部分分包给他人供应。</w:t>
      </w:r>
    </w:p>
    <w:p w14:paraId="5BE17BD0">
      <w:pPr>
        <w:autoSpaceDE w:val="0"/>
        <w:autoSpaceDN w:val="0"/>
        <w:adjustRightInd w:val="0"/>
        <w:spacing w:line="440" w:lineRule="exact"/>
        <w:ind w:firstLine="382" w:firstLineChars="182"/>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7.3如有转让和未经甲方同意的分包行为，甲方有权给予终止合同。</w:t>
      </w:r>
    </w:p>
    <w:p w14:paraId="51DDE4A8">
      <w:pPr>
        <w:autoSpaceDE w:val="0"/>
        <w:autoSpaceDN w:val="0"/>
        <w:adjustRightInd w:val="0"/>
        <w:spacing w:line="440" w:lineRule="exact"/>
        <w:ind w:firstLine="413"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八、质保期</w:t>
      </w:r>
    </w:p>
    <w:p w14:paraId="521ADAEE">
      <w:pPr>
        <w:autoSpaceDE w:val="0"/>
        <w:autoSpaceDN w:val="0"/>
        <w:adjustRightInd w:val="0"/>
        <w:spacing w:line="440" w:lineRule="exact"/>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质保期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年。（自交货验收合格之日起计）</w:t>
      </w:r>
    </w:p>
    <w:p w14:paraId="50844D9C">
      <w:pPr>
        <w:autoSpaceDE w:val="0"/>
        <w:autoSpaceDN w:val="0"/>
        <w:adjustRightInd w:val="0"/>
        <w:spacing w:line="440" w:lineRule="exact"/>
        <w:ind w:firstLine="413" w:firstLineChars="196"/>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九、交货期、交货方式及交货地点</w:t>
      </w:r>
    </w:p>
    <w:p w14:paraId="69FF4930">
      <w:pPr>
        <w:tabs>
          <w:tab w:val="left" w:pos="90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9.1交货期：</w:t>
      </w:r>
      <w:r>
        <w:rPr>
          <w:rFonts w:hint="eastAsia" w:ascii="宋体" w:hAnsi="宋体" w:cs="宋体"/>
          <w:color w:val="000000" w:themeColor="text1"/>
          <w:szCs w:val="21"/>
          <w:highlight w:val="none"/>
          <w14:textFill>
            <w14:solidFill>
              <w14:schemeClr w14:val="tx1"/>
            </w14:solidFill>
          </w14:textFill>
        </w:rPr>
        <w:t>中标通知书签发后</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日历天内完成所有货物的采购、制作、供货、安装并验收合格交付采购人使用。</w:t>
      </w:r>
    </w:p>
    <w:p w14:paraId="6DB5B55F">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9.2交货方式：甲方要求为准。</w:t>
      </w:r>
    </w:p>
    <w:p w14:paraId="4ED0EE80">
      <w:pPr>
        <w:autoSpaceDE w:val="0"/>
        <w:autoSpaceDN w:val="0"/>
        <w:adjustRightInd w:val="0"/>
        <w:spacing w:line="440" w:lineRule="exact"/>
        <w:ind w:firstLine="382" w:firstLineChars="182"/>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9.3交货地点：甲方指定地点。</w:t>
      </w:r>
    </w:p>
    <w:p w14:paraId="5A66D555">
      <w:pPr>
        <w:autoSpaceDE w:val="0"/>
        <w:autoSpaceDN w:val="0"/>
        <w:adjustRightInd w:val="0"/>
        <w:spacing w:line="440" w:lineRule="exact"/>
        <w:ind w:firstLine="382" w:firstLineChars="181"/>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十、货款支付</w:t>
      </w:r>
    </w:p>
    <w:p w14:paraId="4EB1B0A3">
      <w:pPr>
        <w:pStyle w:val="31"/>
        <w:spacing w:beforeAutospacing="0" w:afterAutospacing="0" w:line="480" w:lineRule="exact"/>
        <w:ind w:right="210"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10.1预付款支付时间：</w:t>
      </w:r>
      <w:r>
        <w:rPr>
          <w:rFonts w:hint="eastAsia" w:ascii="宋体" w:hAnsi="宋体" w:cs="宋体"/>
          <w:color w:val="000000" w:themeColor="text1"/>
          <w:kern w:val="2"/>
          <w:sz w:val="21"/>
          <w:szCs w:val="21"/>
          <w:highlight w:val="none"/>
          <w14:textFill>
            <w14:solidFill>
              <w14:schemeClr w14:val="tx1"/>
            </w14:solidFill>
          </w14:textFill>
        </w:rPr>
        <w:t>合同签订后，甲方收到预付款发票后10个工作日内支付合同总价30%的预付款；</w:t>
      </w:r>
    </w:p>
    <w:p w14:paraId="282CD600">
      <w:pPr>
        <w:pStyle w:val="31"/>
        <w:spacing w:beforeAutospacing="0" w:afterAutospacing="0" w:line="480" w:lineRule="exact"/>
        <w:ind w:right="210" w:firstLine="420"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10.1尾款支付时间：</w:t>
      </w:r>
      <w:r>
        <w:rPr>
          <w:rFonts w:hint="eastAsia" w:ascii="宋体" w:hAnsi="宋体" w:cs="宋体"/>
          <w:color w:val="000000" w:themeColor="text1"/>
          <w:kern w:val="2"/>
          <w:sz w:val="21"/>
          <w:szCs w:val="21"/>
          <w:highlight w:val="none"/>
          <w14:textFill>
            <w14:solidFill>
              <w14:schemeClr w14:val="tx1"/>
            </w14:solidFill>
          </w14:textFill>
        </w:rPr>
        <w:t>项目完成、发票齐全、项目验收合格后支付至合同价的70%；审计结束后付至审定价的95%；尾款于项目质保期满后一次性付清（无息）。</w:t>
      </w:r>
    </w:p>
    <w:p w14:paraId="2D162F9D">
      <w:pPr>
        <w:autoSpaceDE w:val="0"/>
        <w:autoSpaceDN w:val="0"/>
        <w:adjustRightInd w:val="0"/>
        <w:spacing w:line="440" w:lineRule="exact"/>
        <w:ind w:firstLine="413" w:firstLineChars="196"/>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十一、税费</w:t>
      </w:r>
    </w:p>
    <w:p w14:paraId="22183DEF">
      <w:pPr>
        <w:autoSpaceDE w:val="0"/>
        <w:autoSpaceDN w:val="0"/>
        <w:adjustRightInd w:val="0"/>
        <w:spacing w:line="440" w:lineRule="exact"/>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11.1本合同执行中相关的一切税费均由乙方负担。</w:t>
      </w:r>
    </w:p>
    <w:p w14:paraId="5E0E81F2">
      <w:pPr>
        <w:widowControl/>
        <w:spacing w:line="520" w:lineRule="exact"/>
        <w:ind w:firstLine="422" w:firstLineChars="200"/>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十</w:t>
      </w:r>
      <w:r>
        <w:rPr>
          <w:rFonts w:hint="eastAsia" w:ascii="宋体" w:hAnsi="宋体" w:eastAsia="宋体" w:cs="宋体"/>
          <w:b/>
          <w:bCs/>
          <w:color w:val="000000" w:themeColor="text1"/>
          <w:szCs w:val="21"/>
          <w:highlight w:val="none"/>
          <w14:textFill>
            <w14:solidFill>
              <w14:schemeClr w14:val="tx1"/>
            </w14:solidFill>
          </w14:textFill>
        </w:rPr>
        <w:t>二</w:t>
      </w:r>
      <w:r>
        <w:rPr>
          <w:rFonts w:hint="eastAsia" w:ascii="宋体" w:hAnsi="宋体" w:eastAsia="宋体" w:cs="宋体"/>
          <w:b/>
          <w:bCs/>
          <w:color w:val="000000" w:themeColor="text1"/>
          <w:szCs w:val="21"/>
          <w:highlight w:val="none"/>
          <w:lang w:val="zh-CN"/>
          <w14:textFill>
            <w14:solidFill>
              <w14:schemeClr w14:val="tx1"/>
            </w14:solidFill>
          </w14:textFill>
        </w:rPr>
        <w:t>、</w:t>
      </w:r>
      <w:r>
        <w:rPr>
          <w:rFonts w:hint="eastAsia" w:ascii="宋体" w:hAnsi="宋体" w:eastAsia="宋体" w:cs="宋体"/>
          <w:b/>
          <w:bCs/>
          <w:color w:val="000000" w:themeColor="text1"/>
          <w:szCs w:val="21"/>
          <w:highlight w:val="none"/>
          <w14:textFill>
            <w14:solidFill>
              <w14:schemeClr w14:val="tx1"/>
            </w14:solidFill>
          </w14:textFill>
        </w:rPr>
        <w:t>安全要求</w:t>
      </w:r>
    </w:p>
    <w:p w14:paraId="22FFA162">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12.1保密安全要求</w:t>
      </w:r>
    </w:p>
    <w:p w14:paraId="3E690CC8">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乙方在信息化建设过程中，应配合甲方，落实如下安全保密要求。</w:t>
      </w:r>
    </w:p>
    <w:p w14:paraId="124E362E">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（1）明确合作事项的安全保密责任人；</w:t>
      </w:r>
    </w:p>
    <w:p w14:paraId="34931CC9">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（2）对参与人员提出与合作事项有关的安全保密要求；</w:t>
      </w:r>
    </w:p>
    <w:p w14:paraId="624748D5">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（3）及时清除离职、离岗或者不再参与公安信息化建设的员工持有的甲方文档资料、数据等内容；</w:t>
      </w:r>
    </w:p>
    <w:p w14:paraId="469D71B1">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（4）对本单位参与公安信息化建设安全保密责任落实情况进行年度评估，并向甲方提交评估报告；</w:t>
      </w:r>
    </w:p>
    <w:p w14:paraId="0517AD6C">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（5）在得知提供的产品、服务存在安全漏洞或者危害信息系统安全的潜在风险时，须第一时间报告甲方，并及时启动应急预案，提出解决方案；</w:t>
      </w:r>
    </w:p>
    <w:p w14:paraId="0D7B0D7B">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（6）乙方及其工作人员严禁未经批准翻阅、复印、拍摄甲方内部文件，或者将甲方内部文件带离指定办公场所或者区域；</w:t>
      </w:r>
    </w:p>
    <w:p w14:paraId="164F8494">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（7）其他应当遵守的安全保密要求。</w:t>
      </w:r>
    </w:p>
    <w:p w14:paraId="291A1EDD">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12.2数据安全要求</w:t>
      </w:r>
    </w:p>
    <w:p w14:paraId="7FCAA319">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乙方及其工作人员在信息化建设过程中不得从事下列危害甲方数据安全的行为。</w:t>
      </w:r>
    </w:p>
    <w:p w14:paraId="456B2584">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（1）违规下载、留存、使用公安内部数据；</w:t>
      </w:r>
    </w:p>
    <w:p w14:paraId="53A1E407">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（2）算改、毁损、泄露、出售公安内部数据；</w:t>
      </w:r>
    </w:p>
    <w:p w14:paraId="29762F2F">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（3）向境外机构和人员提供公安重要数据；</w:t>
      </w:r>
    </w:p>
    <w:p w14:paraId="6D200FCC">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（4）在互联网上存储、处理、传输公安内部数据和应用系统源代码；</w:t>
      </w:r>
    </w:p>
    <w:p w14:paraId="78D800A8">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（5）使用未经过脱敏的公安敏感数据在互联网上进行开发；</w:t>
      </w:r>
    </w:p>
    <w:p w14:paraId="49BD78CC">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（6）将公安数据用于商业用途；</w:t>
      </w:r>
    </w:p>
    <w:p w14:paraId="371E8B32">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（7）其他危害数据安全的行为。</w:t>
      </w:r>
    </w:p>
    <w:p w14:paraId="6BE2F594">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12.3网络应用安全要求</w:t>
      </w:r>
    </w:p>
    <w:p w14:paraId="668988C5">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乙方及其工作人员不得从事下列危害甲方网络和应用安全的行为。</w:t>
      </w:r>
    </w:p>
    <w:p w14:paraId="5CBC1690">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（1）违规将公安网络与任何外部网络连接；</w:t>
      </w:r>
    </w:p>
    <w:p w14:paraId="021D059B">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（2）擅自扫描、探测、入侵公安网络及应用系统；</w:t>
      </w:r>
    </w:p>
    <w:p w14:paraId="7D060105">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（3）设置应用系统后门、木马、病毒等恶意程序；</w:t>
      </w:r>
    </w:p>
    <w:p w14:paraId="5FE79775">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（4）擅自将参与单位及参与人员的终端、移动存储介质、无线设备等与公安网络连接；</w:t>
      </w:r>
    </w:p>
    <w:p w14:paraId="3963D21F">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（5）擅自建立跨网、跨域数据传输或者运维通道；</w:t>
      </w:r>
    </w:p>
    <w:p w14:paraId="676A746B">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（6）拆除、破坏公安监管设施或者卸载监管程序；</w:t>
      </w:r>
    </w:p>
    <w:p w14:paraId="2E6BAD87">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（7）擅自对公安应用源文件、应用源代码进行反编译、加密、解密；</w:t>
      </w:r>
    </w:p>
    <w:p w14:paraId="668911F0">
      <w:pPr>
        <w:widowControl/>
        <w:spacing w:line="520" w:lineRule="exact"/>
        <w:ind w:firstLine="48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（8）擅自公开与合作事项相关的技术实现方法或者业务模型等重要信息；</w:t>
      </w:r>
    </w:p>
    <w:p w14:paraId="03DAF038">
      <w:pPr>
        <w:autoSpaceDE w:val="0"/>
        <w:autoSpaceDN w:val="0"/>
        <w:adjustRightInd w:val="0"/>
        <w:spacing w:line="440" w:lineRule="exact"/>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（9）其他危害公安网络和应用安全的行为。</w:t>
      </w:r>
    </w:p>
    <w:p w14:paraId="4BBFBBCE">
      <w:pPr>
        <w:autoSpaceDE w:val="0"/>
        <w:autoSpaceDN w:val="0"/>
        <w:adjustRightInd w:val="0"/>
        <w:spacing w:line="440" w:lineRule="exact"/>
        <w:ind w:firstLine="413"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w:t>
      </w:r>
      <w:r>
        <w:rPr>
          <w:rFonts w:hint="eastAsia" w:ascii="宋体" w:hAnsi="宋体" w:cs="宋体"/>
          <w:b/>
          <w:bCs/>
          <w:color w:val="000000" w:themeColor="text1"/>
          <w:szCs w:val="21"/>
          <w:highlight w:val="none"/>
          <w14:textFill>
            <w14:solidFill>
              <w14:schemeClr w14:val="tx1"/>
            </w14:solidFill>
          </w14:textFill>
        </w:rPr>
        <w:t>三</w:t>
      </w:r>
      <w:r>
        <w:rPr>
          <w:rFonts w:hint="eastAsia" w:ascii="宋体" w:hAnsi="宋体" w:cs="宋体"/>
          <w:b/>
          <w:bCs/>
          <w:color w:val="000000" w:themeColor="text1"/>
          <w:szCs w:val="21"/>
          <w:highlight w:val="none"/>
          <w:lang w:val="zh-CN"/>
          <w14:textFill>
            <w14:solidFill>
              <w14:schemeClr w14:val="tx1"/>
            </w14:solidFill>
          </w14:textFill>
        </w:rPr>
        <w:t>、质量保证及售后服务</w:t>
      </w:r>
    </w:p>
    <w:p w14:paraId="75909FA2">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w:t>
      </w:r>
      <w:r>
        <w:rPr>
          <w:rFonts w:hint="eastAsia" w:ascii="宋体" w:hAnsi="宋体" w:cs="宋体"/>
          <w:color w:val="000000" w:themeColor="text1"/>
          <w:szCs w:val="21"/>
          <w:highlight w:val="none"/>
          <w:lang w:val="zh-CN"/>
          <w14:textFill>
            <w14:solidFill>
              <w14:schemeClr w14:val="tx1"/>
            </w14:solidFill>
          </w14:textFill>
        </w:rPr>
        <w:t>乙方应按招标文件规定的货物性能、技术要求、质量标准向甲方提供未经使用的全新产品。</w:t>
      </w:r>
    </w:p>
    <w:p w14:paraId="2F4EA1C1">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13.2</w:t>
      </w:r>
      <w:r>
        <w:rPr>
          <w:rFonts w:hint="eastAsia" w:ascii="宋体" w:hAnsi="宋体" w:cs="宋体"/>
          <w:color w:val="000000" w:themeColor="text1"/>
          <w:szCs w:val="21"/>
          <w:highlight w:val="none"/>
          <w:lang w:val="zh-CN"/>
          <w14:textFill>
            <w14:solidFill>
              <w14:schemeClr w14:val="tx1"/>
            </w14:solidFill>
          </w14:textFill>
        </w:rPr>
        <w:t>乙方提供的货物在质量期内因货物本身的质量问题发生故障，乙方应负责免费更换。对达不到技术要求者，根据实际情况，经双方协商，可按以下办法处理：</w:t>
      </w:r>
    </w:p>
    <w:p w14:paraId="4D2E16D1">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⑴更换：由乙方承担所发生的全部费用。</w:t>
      </w:r>
    </w:p>
    <w:p w14:paraId="5C69C91A">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⑵贬值处理：由甲乙双方合议定价。</w:t>
      </w:r>
    </w:p>
    <w:p w14:paraId="36BD7DD9">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⑶退货处理：乙方应退还甲方支付的合同款，同时应承担该货物的直接费用（运输、保险、检验、货款利息及银行手续费等）。</w:t>
      </w:r>
    </w:p>
    <w:p w14:paraId="091243D6">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13.3</w:t>
      </w:r>
      <w:r>
        <w:rPr>
          <w:rFonts w:hint="eastAsia" w:ascii="宋体" w:hAnsi="宋体" w:cs="宋体"/>
          <w:color w:val="000000" w:themeColor="text1"/>
          <w:szCs w:val="21"/>
          <w:highlight w:val="none"/>
          <w:lang w:val="zh-CN"/>
          <w14:textFill>
            <w14:solidFill>
              <w14:schemeClr w14:val="tx1"/>
            </w14:solidFill>
          </w14:textFill>
        </w:rPr>
        <w:t>如在使用过程中发生质量问题，乙方在接到甲方通知后在</w:t>
      </w:r>
      <w:r>
        <w:rPr>
          <w:rFonts w:hint="eastAsia" w:ascii="宋体" w:hAnsi="宋体" w:cs="宋体"/>
          <w:color w:val="000000" w:themeColor="text1"/>
          <w:szCs w:val="21"/>
          <w:highlight w:val="none"/>
          <w14:textFill>
            <w14:solidFill>
              <w14:schemeClr w14:val="tx1"/>
            </w14:solidFill>
          </w14:textFill>
        </w:rPr>
        <w:t>__</w:t>
      </w:r>
      <w:r>
        <w:rPr>
          <w:rFonts w:hint="eastAsia" w:ascii="宋体" w:hAnsi="宋体" w:cs="宋体"/>
          <w:color w:val="000000" w:themeColor="text1"/>
          <w:szCs w:val="21"/>
          <w:highlight w:val="none"/>
          <w:lang w:val="zh-CN"/>
          <w14:textFill>
            <w14:solidFill>
              <w14:schemeClr w14:val="tx1"/>
            </w14:solidFill>
          </w14:textFill>
        </w:rPr>
        <w:t>小时内到达甲方现场。</w:t>
      </w:r>
    </w:p>
    <w:p w14:paraId="67E44B41">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13.4</w:t>
      </w:r>
      <w:r>
        <w:rPr>
          <w:rFonts w:hint="eastAsia" w:ascii="宋体" w:hAnsi="宋体" w:cs="宋体"/>
          <w:color w:val="000000" w:themeColor="text1"/>
          <w:szCs w:val="21"/>
          <w:highlight w:val="none"/>
          <w:lang w:val="zh-CN"/>
          <w14:textFill>
            <w14:solidFill>
              <w14:schemeClr w14:val="tx1"/>
            </w14:solidFill>
          </w14:textFill>
        </w:rPr>
        <w:t>在质保期内，乙方应对货物出现的质量及安全问题负责处理解决并承担一切费用。</w:t>
      </w:r>
    </w:p>
    <w:p w14:paraId="71FE36FB">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13.5</w:t>
      </w:r>
      <w:r>
        <w:rPr>
          <w:rFonts w:hint="eastAsia" w:ascii="宋体" w:hAnsi="宋体" w:cs="宋体"/>
          <w:color w:val="000000" w:themeColor="text1"/>
          <w:szCs w:val="21"/>
          <w:highlight w:val="none"/>
          <w:lang w:val="zh-CN"/>
          <w14:textFill>
            <w14:solidFill>
              <w14:schemeClr w14:val="tx1"/>
            </w14:solidFill>
          </w14:textFill>
        </w:rPr>
        <w:t>上述的货物免费保修期为年，因人为因素出现的故障不在免费保修范围内。超过保修期的机器设备，终生维修，维修时只收部件成本费。</w:t>
      </w:r>
    </w:p>
    <w:p w14:paraId="5B8E88D9">
      <w:pPr>
        <w:autoSpaceDE w:val="0"/>
        <w:autoSpaceDN w:val="0"/>
        <w:adjustRightInd w:val="0"/>
        <w:spacing w:line="440" w:lineRule="exact"/>
        <w:ind w:firstLine="413" w:firstLineChars="196"/>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w:t>
      </w:r>
      <w:r>
        <w:rPr>
          <w:rFonts w:hint="eastAsia" w:ascii="宋体" w:hAnsi="宋体" w:cs="宋体"/>
          <w:b/>
          <w:bCs/>
          <w:color w:val="000000" w:themeColor="text1"/>
          <w:szCs w:val="21"/>
          <w:highlight w:val="none"/>
          <w14:textFill>
            <w14:solidFill>
              <w14:schemeClr w14:val="tx1"/>
            </w14:solidFill>
          </w14:textFill>
        </w:rPr>
        <w:t>四</w:t>
      </w:r>
      <w:r>
        <w:rPr>
          <w:rFonts w:hint="eastAsia" w:ascii="宋体" w:hAnsi="宋体" w:cs="宋体"/>
          <w:b/>
          <w:bCs/>
          <w:color w:val="000000" w:themeColor="text1"/>
          <w:szCs w:val="21"/>
          <w:highlight w:val="none"/>
          <w:lang w:val="zh-CN"/>
          <w14:textFill>
            <w14:solidFill>
              <w14:schemeClr w14:val="tx1"/>
            </w14:solidFill>
          </w14:textFill>
        </w:rPr>
        <w:t>、调试和验收</w:t>
      </w:r>
    </w:p>
    <w:p w14:paraId="41AD654C">
      <w:pPr>
        <w:autoSpaceDE w:val="0"/>
        <w:autoSpaceDN w:val="0"/>
        <w:adjustRightInd w:val="0"/>
        <w:spacing w:line="440" w:lineRule="exact"/>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w:t>
      </w:r>
      <w:r>
        <w:rPr>
          <w:rFonts w:hint="eastAsia" w:ascii="宋体" w:hAnsi="宋体" w:cs="宋体"/>
          <w:color w:val="000000" w:themeColor="text1"/>
          <w:szCs w:val="21"/>
          <w:highlight w:val="none"/>
          <w:lang w:val="zh-CN"/>
          <w14:textFill>
            <w14:solidFill>
              <w14:schemeClr w14:val="tx1"/>
            </w14:solidFill>
          </w14:textFill>
        </w:rPr>
        <w:t>甲方对乙方提交的货物依据招标文件上的技术规格要求和国家有关质量标准进行现场初步验收，外观、说明书符合招标文件技术要求的，给予签收，初步验收不合格的不予签收。</w:t>
      </w:r>
    </w:p>
    <w:p w14:paraId="2C789918">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w:t>
      </w:r>
      <w:r>
        <w:rPr>
          <w:rFonts w:hint="eastAsia" w:ascii="宋体" w:hAnsi="宋体" w:cs="宋体"/>
          <w:color w:val="000000" w:themeColor="text1"/>
          <w:szCs w:val="21"/>
          <w:highlight w:val="none"/>
          <w:lang w:val="zh-CN"/>
          <w14:textFill>
            <w14:solidFill>
              <w14:schemeClr w14:val="tx1"/>
            </w14:solidFill>
          </w14:textFill>
        </w:rPr>
        <w:t>乙方交货前应对产品作出全面检查和对验收文件进行整理，并列出清单，作为甲方收货验收和使用的技术条件依据，检验的结果应随货物交甲方。</w:t>
      </w:r>
    </w:p>
    <w:p w14:paraId="2D8EB67F">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14.3</w:t>
      </w:r>
      <w:r>
        <w:rPr>
          <w:rFonts w:hint="eastAsia" w:ascii="宋体" w:hAnsi="宋体" w:cs="宋体"/>
          <w:color w:val="000000" w:themeColor="text1"/>
          <w:szCs w:val="21"/>
          <w:highlight w:val="none"/>
          <w:lang w:val="zh-CN"/>
          <w14:textFill>
            <w14:solidFill>
              <w14:schemeClr w14:val="tx1"/>
            </w14:solidFill>
          </w14:textFill>
        </w:rPr>
        <w:t>甲方对乙方提供的货物在使用前进行调试时，乙方需负责安装并培训甲方的使用操作人员，并协助甲方一起调试，直到符合技术要求，甲方才做最终验收。</w:t>
      </w:r>
    </w:p>
    <w:p w14:paraId="3C6613CD">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14.4</w:t>
      </w:r>
      <w:r>
        <w:rPr>
          <w:rFonts w:hint="eastAsia" w:ascii="宋体" w:hAnsi="宋体" w:cs="宋体"/>
          <w:color w:val="000000" w:themeColor="text1"/>
          <w:szCs w:val="21"/>
          <w:highlight w:val="none"/>
          <w:lang w:val="zh-CN"/>
          <w14:textFill>
            <w14:solidFill>
              <w14:schemeClr w14:val="tx1"/>
            </w14:solidFill>
          </w14:textFill>
        </w:rPr>
        <w:t>对技术复杂的货物，甲方可请国家认可的专业检测机构参与初步验收及最终验收，并由其出具质量检测报告。</w:t>
      </w:r>
    </w:p>
    <w:p w14:paraId="1B42E44F">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14.5</w:t>
      </w:r>
      <w:r>
        <w:rPr>
          <w:rFonts w:hint="eastAsia" w:ascii="宋体" w:hAnsi="宋体" w:cs="宋体"/>
          <w:color w:val="000000" w:themeColor="text1"/>
          <w:szCs w:val="21"/>
          <w:highlight w:val="none"/>
          <w:lang w:val="zh-CN"/>
          <w14:textFill>
            <w14:solidFill>
              <w14:schemeClr w14:val="tx1"/>
            </w14:solidFill>
          </w14:textFill>
        </w:rPr>
        <w:t>验收时乙方必须在现场，验收完毕后作出验收结果报告。</w:t>
      </w:r>
    </w:p>
    <w:p w14:paraId="64404B5D">
      <w:pPr>
        <w:autoSpaceDE w:val="0"/>
        <w:autoSpaceDN w:val="0"/>
        <w:adjustRightInd w:val="0"/>
        <w:spacing w:line="440" w:lineRule="exact"/>
        <w:ind w:firstLine="413" w:firstLineChars="196"/>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w:t>
      </w:r>
      <w:r>
        <w:rPr>
          <w:rFonts w:hint="eastAsia" w:ascii="宋体" w:hAnsi="宋体" w:cs="宋体"/>
          <w:b/>
          <w:bCs/>
          <w:color w:val="000000" w:themeColor="text1"/>
          <w:szCs w:val="21"/>
          <w:highlight w:val="none"/>
          <w14:textFill>
            <w14:solidFill>
              <w14:schemeClr w14:val="tx1"/>
            </w14:solidFill>
          </w14:textFill>
        </w:rPr>
        <w:t>五</w:t>
      </w:r>
      <w:r>
        <w:rPr>
          <w:rFonts w:hint="eastAsia" w:ascii="宋体" w:hAnsi="宋体" w:cs="宋体"/>
          <w:b/>
          <w:bCs/>
          <w:color w:val="000000" w:themeColor="text1"/>
          <w:szCs w:val="21"/>
          <w:highlight w:val="none"/>
          <w:lang w:val="zh-CN"/>
          <w14:textFill>
            <w14:solidFill>
              <w14:schemeClr w14:val="tx1"/>
            </w14:solidFill>
          </w14:textFill>
        </w:rPr>
        <w:t>、货物包装、发运及运输</w:t>
      </w:r>
    </w:p>
    <w:p w14:paraId="02817E56">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w:t>
      </w:r>
      <w:r>
        <w:rPr>
          <w:rFonts w:hint="eastAsia" w:ascii="宋体" w:hAnsi="宋体" w:cs="宋体"/>
          <w:color w:val="000000" w:themeColor="text1"/>
          <w:szCs w:val="21"/>
          <w:highlight w:val="none"/>
          <w:lang w:val="zh-CN"/>
          <w14:textFill>
            <w14:solidFill>
              <w14:schemeClr w14:val="tx1"/>
            </w14:solidFill>
          </w14:textFill>
        </w:rPr>
        <w:t>乙方应在货物发运前对其进行满足运输距离、防潮、防震、防锈和防破损装卸等要求包装，以保证货物安全运达甲方指定地点。</w:t>
      </w:r>
    </w:p>
    <w:p w14:paraId="21B0D385">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15.2</w:t>
      </w:r>
      <w:r>
        <w:rPr>
          <w:rFonts w:hint="eastAsia" w:ascii="宋体" w:hAnsi="宋体" w:cs="宋体"/>
          <w:color w:val="000000" w:themeColor="text1"/>
          <w:szCs w:val="21"/>
          <w:highlight w:val="none"/>
          <w:lang w:val="zh-CN"/>
          <w14:textFill>
            <w14:solidFill>
              <w14:schemeClr w14:val="tx1"/>
            </w14:solidFill>
          </w14:textFill>
        </w:rPr>
        <w:t>使用说明书、质量检验证明书、随配附件和工具以及清单一并附于货物内。</w:t>
      </w:r>
    </w:p>
    <w:p w14:paraId="3CCE097D">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w:t>
      </w:r>
      <w:r>
        <w:rPr>
          <w:rFonts w:hint="eastAsia" w:ascii="宋体" w:hAnsi="宋体" w:cs="宋体"/>
          <w:color w:val="000000" w:themeColor="text1"/>
          <w:szCs w:val="21"/>
          <w:highlight w:val="none"/>
          <w:lang w:val="zh-CN"/>
          <w14:textFill>
            <w14:solidFill>
              <w14:schemeClr w14:val="tx1"/>
            </w14:solidFill>
          </w14:textFill>
        </w:rPr>
        <w:t>乙方在货物发运手续办理完毕后</w:t>
      </w:r>
      <w:r>
        <w:rPr>
          <w:rFonts w:hint="eastAsia" w:ascii="宋体" w:hAnsi="宋体" w:cs="宋体"/>
          <w:color w:val="000000" w:themeColor="text1"/>
          <w:szCs w:val="21"/>
          <w:highlight w:val="none"/>
          <w14:textFill>
            <w14:solidFill>
              <w14:schemeClr w14:val="tx1"/>
            </w14:solidFill>
          </w14:textFill>
        </w:rPr>
        <w:t>24</w:t>
      </w:r>
      <w:r>
        <w:rPr>
          <w:rFonts w:hint="eastAsia" w:ascii="宋体" w:hAnsi="宋体" w:cs="宋体"/>
          <w:color w:val="000000" w:themeColor="text1"/>
          <w:szCs w:val="21"/>
          <w:highlight w:val="none"/>
          <w:lang w:val="zh-CN"/>
          <w14:textFill>
            <w14:solidFill>
              <w14:schemeClr w14:val="tx1"/>
            </w14:solidFill>
          </w14:textFill>
        </w:rPr>
        <w:t>小时内或货到甲方</w:t>
      </w:r>
      <w:r>
        <w:rPr>
          <w:rFonts w:hint="eastAsia" w:ascii="宋体" w:hAnsi="宋体" w:cs="宋体"/>
          <w:color w:val="000000" w:themeColor="text1"/>
          <w:szCs w:val="21"/>
          <w:highlight w:val="none"/>
          <w14:textFill>
            <w14:solidFill>
              <w14:schemeClr w14:val="tx1"/>
            </w14:solidFill>
          </w14:textFill>
        </w:rPr>
        <w:t>48</w:t>
      </w:r>
      <w:r>
        <w:rPr>
          <w:rFonts w:hint="eastAsia" w:ascii="宋体" w:hAnsi="宋体" w:cs="宋体"/>
          <w:color w:val="000000" w:themeColor="text1"/>
          <w:szCs w:val="21"/>
          <w:highlight w:val="none"/>
          <w:lang w:val="zh-CN"/>
          <w14:textFill>
            <w14:solidFill>
              <w14:schemeClr w14:val="tx1"/>
            </w14:solidFill>
          </w14:textFill>
        </w:rPr>
        <w:t>小时前通知甲方，以准备接货。</w:t>
      </w:r>
    </w:p>
    <w:p w14:paraId="3D66E645">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15.4</w:t>
      </w:r>
      <w:r>
        <w:rPr>
          <w:rFonts w:hint="eastAsia" w:ascii="宋体" w:hAnsi="宋体" w:cs="宋体"/>
          <w:color w:val="000000" w:themeColor="text1"/>
          <w:szCs w:val="21"/>
          <w:highlight w:val="none"/>
          <w:lang w:val="zh-CN"/>
          <w14:textFill>
            <w14:solidFill>
              <w14:schemeClr w14:val="tx1"/>
            </w14:solidFill>
          </w14:textFill>
        </w:rPr>
        <w:t>货物在交付甲方前发生的风险均由乙方负责。</w:t>
      </w:r>
    </w:p>
    <w:p w14:paraId="6A4B9E45">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15.5</w:t>
      </w:r>
      <w:r>
        <w:rPr>
          <w:rFonts w:hint="eastAsia" w:ascii="宋体" w:hAnsi="宋体" w:cs="宋体"/>
          <w:color w:val="000000" w:themeColor="text1"/>
          <w:szCs w:val="21"/>
          <w:highlight w:val="none"/>
          <w:lang w:val="zh-CN"/>
          <w14:textFill>
            <w14:solidFill>
              <w14:schemeClr w14:val="tx1"/>
            </w14:solidFill>
          </w14:textFill>
        </w:rPr>
        <w:t>货物在规定的交付期限内由乙方送达甲方指定的地点视为交付，乙方同时需通知甲方货物已送达。</w:t>
      </w:r>
    </w:p>
    <w:p w14:paraId="7BEA23CB">
      <w:pPr>
        <w:autoSpaceDE w:val="0"/>
        <w:autoSpaceDN w:val="0"/>
        <w:adjustRightInd w:val="0"/>
        <w:spacing w:line="440" w:lineRule="exact"/>
        <w:ind w:firstLine="413" w:firstLineChars="196"/>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w:t>
      </w:r>
      <w:r>
        <w:rPr>
          <w:rFonts w:hint="eastAsia" w:ascii="宋体" w:hAnsi="宋体" w:cs="宋体"/>
          <w:b/>
          <w:bCs/>
          <w:color w:val="000000" w:themeColor="text1"/>
          <w:szCs w:val="21"/>
          <w:highlight w:val="none"/>
          <w14:textFill>
            <w14:solidFill>
              <w14:schemeClr w14:val="tx1"/>
            </w14:solidFill>
          </w14:textFill>
        </w:rPr>
        <w:t>六</w:t>
      </w:r>
      <w:r>
        <w:rPr>
          <w:rFonts w:hint="eastAsia" w:ascii="宋体" w:hAnsi="宋体" w:cs="宋体"/>
          <w:b/>
          <w:bCs/>
          <w:color w:val="000000" w:themeColor="text1"/>
          <w:szCs w:val="21"/>
          <w:highlight w:val="none"/>
          <w:lang w:val="zh-CN"/>
          <w14:textFill>
            <w14:solidFill>
              <w14:schemeClr w14:val="tx1"/>
            </w14:solidFill>
          </w14:textFill>
        </w:rPr>
        <w:t>、违约责任</w:t>
      </w:r>
    </w:p>
    <w:p w14:paraId="3294DC57">
      <w:pPr>
        <w:autoSpaceDE w:val="0"/>
        <w:autoSpaceDN w:val="0"/>
        <w:adjustRightInd w:val="0"/>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16.1</w:t>
      </w:r>
      <w:r>
        <w:rPr>
          <w:rFonts w:hint="eastAsia" w:ascii="宋体" w:hAnsi="宋体" w:cs="宋体"/>
          <w:color w:val="000000" w:themeColor="text1"/>
          <w:szCs w:val="21"/>
          <w:highlight w:val="none"/>
          <w:lang w:val="zh-CN"/>
          <w14:textFill>
            <w14:solidFill>
              <w14:schemeClr w14:val="tx1"/>
            </w14:solidFill>
          </w14:textFill>
        </w:rPr>
        <w:t>甲方无正当理由拒收货物的，甲方向乙方偿付拒收货款总值的百分之五违约金。</w:t>
      </w:r>
    </w:p>
    <w:p w14:paraId="28CAD31E">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w:t>
      </w:r>
      <w:r>
        <w:rPr>
          <w:rFonts w:hint="eastAsia" w:ascii="宋体" w:hAnsi="宋体" w:cs="宋体"/>
          <w:color w:val="000000" w:themeColor="text1"/>
          <w:szCs w:val="21"/>
          <w:highlight w:val="none"/>
          <w:lang w:val="zh-CN"/>
          <w14:textFill>
            <w14:solidFill>
              <w14:schemeClr w14:val="tx1"/>
            </w14:solidFill>
          </w14:textFill>
        </w:rPr>
        <w:t>甲方无故逾期验收和办理货款支付手续的</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甲方应按逾期付款总额每日万分之五向乙方支付违约金。</w:t>
      </w:r>
    </w:p>
    <w:p w14:paraId="4E5892BD">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16.3</w:t>
      </w:r>
      <w:r>
        <w:rPr>
          <w:rFonts w:hint="eastAsia" w:ascii="宋体" w:hAnsi="宋体" w:cs="宋体"/>
          <w:color w:val="000000" w:themeColor="text1"/>
          <w:szCs w:val="21"/>
          <w:highlight w:val="none"/>
          <w:lang w:val="zh-CN"/>
          <w14:textFill>
            <w14:solidFill>
              <w14:schemeClr w14:val="tx1"/>
            </w14:solidFill>
          </w14:textFill>
        </w:rPr>
        <w:t>乙方逾期交付货物的，乙方应按逾期交货总额每日千分之六向甲方支付违约金，由甲方从待付货款中扣除。逾期超过约定日期</w:t>
      </w:r>
      <w:r>
        <w:rPr>
          <w:rFonts w:hint="eastAsia" w:ascii="宋体" w:hAnsi="宋体" w:cs="宋体"/>
          <w:color w:val="000000" w:themeColor="text1"/>
          <w:szCs w:val="21"/>
          <w:highlight w:val="none"/>
          <w14:textFill>
            <w14:solidFill>
              <w14:schemeClr w14:val="tx1"/>
            </w14:solidFill>
          </w14:textFill>
        </w:rPr>
        <w:t>10</w:t>
      </w:r>
      <w:r>
        <w:rPr>
          <w:rFonts w:hint="eastAsia" w:ascii="宋体" w:hAnsi="宋体" w:cs="宋体"/>
          <w:color w:val="000000" w:themeColor="text1"/>
          <w:szCs w:val="21"/>
          <w:highlight w:val="none"/>
          <w:lang w:val="zh-CN"/>
          <w14:textFill>
            <w14:solidFill>
              <w14:schemeClr w14:val="tx1"/>
            </w14:solidFill>
          </w14:textFill>
        </w:rPr>
        <w:t>个工作日不能交货的，甲方可解除本合同。乙方因逾期交货或因其他违约行为导致甲方解除合同的，乙方应向甲方支付合同总值</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的违约金，如造成甲方损失超过违约金的，超出部分由乙方继续承担赔偿责任。</w:t>
      </w:r>
    </w:p>
    <w:p w14:paraId="63F7A3C2">
      <w:pPr>
        <w:autoSpaceDE w:val="0"/>
        <w:autoSpaceDN w:val="0"/>
        <w:adjustRightInd w:val="0"/>
        <w:spacing w:line="440" w:lineRule="exact"/>
        <w:ind w:firstLine="382" w:firstLineChars="182"/>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16.4</w:t>
      </w:r>
      <w:r>
        <w:rPr>
          <w:rFonts w:hint="eastAsia" w:ascii="宋体" w:hAnsi="宋体" w:cs="宋体"/>
          <w:color w:val="000000" w:themeColor="text1"/>
          <w:szCs w:val="21"/>
          <w:highlight w:val="none"/>
          <w:lang w:val="zh-CN"/>
          <w14:textFill>
            <w14:solidFill>
              <w14:schemeClr w14:val="tx1"/>
            </w14:solidFill>
          </w14:textFill>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D4A4B8F">
      <w:pPr>
        <w:pStyle w:val="31"/>
        <w:spacing w:beforeAutospacing="0" w:afterAutospacing="0" w:line="480" w:lineRule="exact"/>
        <w:ind w:right="210"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p>
    <w:p w14:paraId="67A188B9">
      <w:pPr>
        <w:autoSpaceDE w:val="0"/>
        <w:autoSpaceDN w:val="0"/>
        <w:adjustRightInd w:val="0"/>
        <w:spacing w:line="440" w:lineRule="exact"/>
        <w:ind w:firstLine="382" w:firstLineChars="182"/>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p>
    <w:p w14:paraId="2C0AA6A4">
      <w:pPr>
        <w:autoSpaceDE w:val="0"/>
        <w:autoSpaceDN w:val="0"/>
        <w:adjustRightInd w:val="0"/>
        <w:spacing w:line="440" w:lineRule="exact"/>
        <w:ind w:firstLine="382" w:firstLineChars="181"/>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w:t>
      </w:r>
      <w:r>
        <w:rPr>
          <w:rFonts w:hint="eastAsia" w:ascii="宋体" w:hAnsi="宋体" w:cs="宋体"/>
          <w:b/>
          <w:bCs/>
          <w:color w:val="000000" w:themeColor="text1"/>
          <w:szCs w:val="21"/>
          <w:highlight w:val="none"/>
          <w14:textFill>
            <w14:solidFill>
              <w14:schemeClr w14:val="tx1"/>
            </w14:solidFill>
          </w14:textFill>
        </w:rPr>
        <w:t>七</w:t>
      </w:r>
      <w:r>
        <w:rPr>
          <w:rFonts w:hint="eastAsia" w:ascii="宋体" w:hAnsi="宋体" w:cs="宋体"/>
          <w:b/>
          <w:bCs/>
          <w:color w:val="000000" w:themeColor="text1"/>
          <w:szCs w:val="21"/>
          <w:highlight w:val="none"/>
          <w:lang w:val="zh-CN"/>
          <w14:textFill>
            <w14:solidFill>
              <w14:schemeClr w14:val="tx1"/>
            </w14:solidFill>
          </w14:textFill>
        </w:rPr>
        <w:t>、不可抗力事件处理</w:t>
      </w:r>
    </w:p>
    <w:p w14:paraId="1547E517">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w:t>
      </w:r>
      <w:r>
        <w:rPr>
          <w:rFonts w:hint="eastAsia" w:ascii="宋体" w:hAnsi="宋体" w:cs="宋体"/>
          <w:color w:val="000000" w:themeColor="text1"/>
          <w:szCs w:val="21"/>
          <w:highlight w:val="none"/>
          <w:lang w:val="zh-CN"/>
          <w14:textFill>
            <w14:solidFill>
              <w14:schemeClr w14:val="tx1"/>
            </w14:solidFill>
          </w14:textFill>
        </w:rPr>
        <w:t>在合同有效期内，任何一方因不可抗力事件导致不能履行合同，则合同履行期可延长，其延长期与不可抗力影响期相同。</w:t>
      </w:r>
    </w:p>
    <w:p w14:paraId="080A55CD">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w:t>
      </w:r>
      <w:r>
        <w:rPr>
          <w:rFonts w:hint="eastAsia" w:ascii="宋体" w:hAnsi="宋体" w:cs="宋体"/>
          <w:color w:val="000000" w:themeColor="text1"/>
          <w:szCs w:val="21"/>
          <w:highlight w:val="none"/>
          <w:lang w:val="zh-CN"/>
          <w14:textFill>
            <w14:solidFill>
              <w14:schemeClr w14:val="tx1"/>
            </w14:solidFill>
          </w14:textFill>
        </w:rPr>
        <w:t>不可抗力事件发生后，应立即通知对方，并寄送有关权威机构出具的证明。</w:t>
      </w:r>
    </w:p>
    <w:p w14:paraId="331969B0">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17.3</w:t>
      </w:r>
      <w:r>
        <w:rPr>
          <w:rFonts w:hint="eastAsia" w:ascii="宋体" w:hAnsi="宋体" w:cs="宋体"/>
          <w:color w:val="000000" w:themeColor="text1"/>
          <w:szCs w:val="21"/>
          <w:highlight w:val="none"/>
          <w:lang w:val="zh-CN"/>
          <w14:textFill>
            <w14:solidFill>
              <w14:schemeClr w14:val="tx1"/>
            </w14:solidFill>
          </w14:textFill>
        </w:rPr>
        <w:t>不可抗力事件延续</w:t>
      </w:r>
      <w:r>
        <w:rPr>
          <w:rFonts w:hint="eastAsia" w:ascii="宋体" w:hAnsi="宋体" w:cs="宋体"/>
          <w:color w:val="000000" w:themeColor="text1"/>
          <w:szCs w:val="21"/>
          <w:highlight w:val="none"/>
          <w14:textFill>
            <w14:solidFill>
              <w14:schemeClr w14:val="tx1"/>
            </w14:solidFill>
          </w14:textFill>
        </w:rPr>
        <w:t>120</w:t>
      </w:r>
      <w:r>
        <w:rPr>
          <w:rFonts w:hint="eastAsia" w:ascii="宋体" w:hAnsi="宋体" w:cs="宋体"/>
          <w:color w:val="000000" w:themeColor="text1"/>
          <w:szCs w:val="21"/>
          <w:highlight w:val="none"/>
          <w:lang w:val="zh-CN"/>
          <w14:textFill>
            <w14:solidFill>
              <w14:schemeClr w14:val="tx1"/>
            </w14:solidFill>
          </w14:textFill>
        </w:rPr>
        <w:t>天以上，双方应通过友好协商，确定是否继续履行合同。</w:t>
      </w:r>
    </w:p>
    <w:p w14:paraId="36C1154E">
      <w:pPr>
        <w:autoSpaceDE w:val="0"/>
        <w:autoSpaceDN w:val="0"/>
        <w:adjustRightInd w:val="0"/>
        <w:spacing w:line="440" w:lineRule="exact"/>
        <w:ind w:firstLine="382" w:firstLineChars="181"/>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w:t>
      </w:r>
      <w:r>
        <w:rPr>
          <w:rFonts w:hint="eastAsia" w:ascii="宋体" w:hAnsi="宋体" w:cs="宋体"/>
          <w:b/>
          <w:bCs/>
          <w:color w:val="000000" w:themeColor="text1"/>
          <w:szCs w:val="21"/>
          <w:highlight w:val="none"/>
          <w14:textFill>
            <w14:solidFill>
              <w14:schemeClr w14:val="tx1"/>
            </w14:solidFill>
          </w14:textFill>
        </w:rPr>
        <w:t>八</w:t>
      </w:r>
      <w:r>
        <w:rPr>
          <w:rFonts w:hint="eastAsia" w:ascii="宋体" w:hAnsi="宋体" w:cs="宋体"/>
          <w:b/>
          <w:bCs/>
          <w:color w:val="000000" w:themeColor="text1"/>
          <w:szCs w:val="21"/>
          <w:highlight w:val="none"/>
          <w:lang w:val="zh-CN"/>
          <w14:textFill>
            <w14:solidFill>
              <w14:schemeClr w14:val="tx1"/>
            </w14:solidFill>
          </w14:textFill>
        </w:rPr>
        <w:t>、诉讼</w:t>
      </w:r>
    </w:p>
    <w:p w14:paraId="538E4F30">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双方在执行合同中所发生的一切争议，应通过协商解决。如协商不成，可向合同签订地法院起诉，合同签订地在此约定为盐城市。</w:t>
      </w:r>
    </w:p>
    <w:p w14:paraId="3CE33C21">
      <w:pPr>
        <w:autoSpaceDE w:val="0"/>
        <w:autoSpaceDN w:val="0"/>
        <w:adjustRightInd w:val="0"/>
        <w:spacing w:line="440" w:lineRule="exact"/>
        <w:ind w:firstLine="382" w:firstLineChars="181"/>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十</w:t>
      </w:r>
      <w:r>
        <w:rPr>
          <w:rFonts w:hint="eastAsia" w:ascii="宋体" w:hAnsi="宋体" w:cs="宋体"/>
          <w:b/>
          <w:bCs/>
          <w:color w:val="000000" w:themeColor="text1"/>
          <w:szCs w:val="21"/>
          <w:highlight w:val="none"/>
          <w14:textFill>
            <w14:solidFill>
              <w14:schemeClr w14:val="tx1"/>
            </w14:solidFill>
          </w14:textFill>
        </w:rPr>
        <w:t>九</w:t>
      </w:r>
      <w:r>
        <w:rPr>
          <w:rFonts w:hint="eastAsia" w:ascii="宋体" w:hAnsi="宋体" w:cs="宋体"/>
          <w:b/>
          <w:bCs/>
          <w:color w:val="000000" w:themeColor="text1"/>
          <w:szCs w:val="21"/>
          <w:highlight w:val="none"/>
          <w:lang w:val="zh-CN"/>
          <w14:textFill>
            <w14:solidFill>
              <w14:schemeClr w14:val="tx1"/>
            </w14:solidFill>
          </w14:textFill>
        </w:rPr>
        <w:t>、合同生效及其它</w:t>
      </w:r>
    </w:p>
    <w:p w14:paraId="5F1B2F6D">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19.1</w:t>
      </w:r>
      <w:r>
        <w:rPr>
          <w:rFonts w:hint="eastAsia" w:ascii="宋体" w:hAnsi="宋体" w:cs="宋体"/>
          <w:color w:val="000000" w:themeColor="text1"/>
          <w:szCs w:val="21"/>
          <w:highlight w:val="none"/>
          <w:lang w:val="zh-CN"/>
          <w14:textFill>
            <w14:solidFill>
              <w14:schemeClr w14:val="tx1"/>
            </w14:solidFill>
          </w14:textFill>
        </w:rPr>
        <w:t>合同经双方法定代表人或授权委托代表人签字并加盖单位公章后生效。</w:t>
      </w:r>
    </w:p>
    <w:p w14:paraId="6A8B7A14">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19.2</w:t>
      </w:r>
      <w:r>
        <w:rPr>
          <w:rFonts w:hint="eastAsia" w:ascii="宋体" w:hAnsi="宋体" w:cs="宋体"/>
          <w:color w:val="000000" w:themeColor="text1"/>
          <w:szCs w:val="21"/>
          <w:highlight w:val="none"/>
          <w:lang w:val="zh-CN"/>
          <w14:textFill>
            <w14:solidFill>
              <w14:schemeClr w14:val="tx1"/>
            </w14:solidFill>
          </w14:textFill>
        </w:rPr>
        <w:t>本合同未尽事宜，遵照《</w:t>
      </w:r>
      <w:r>
        <w:rPr>
          <w:rFonts w:hint="eastAsia" w:ascii="宋体" w:hAnsi="宋体" w:cs="宋体"/>
          <w:color w:val="000000" w:themeColor="text1"/>
          <w:szCs w:val="21"/>
          <w:highlight w:val="none"/>
          <w14:textFill>
            <w14:solidFill>
              <w14:schemeClr w14:val="tx1"/>
            </w14:solidFill>
          </w14:textFill>
        </w:rPr>
        <w:t>中华人民共和国</w:t>
      </w:r>
      <w:r>
        <w:rPr>
          <w:rFonts w:hint="eastAsia" w:ascii="宋体" w:hAnsi="宋体" w:cs="宋体"/>
          <w:color w:val="000000" w:themeColor="text1"/>
          <w:szCs w:val="21"/>
          <w:highlight w:val="none"/>
          <w:lang w:val="zh-CN"/>
          <w14:textFill>
            <w14:solidFill>
              <w14:schemeClr w14:val="tx1"/>
            </w14:solidFill>
          </w14:textFill>
        </w:rPr>
        <w:t>民法典》有关条文执行。</w:t>
      </w:r>
    </w:p>
    <w:p w14:paraId="7FC126CA">
      <w:pPr>
        <w:autoSpaceDE w:val="0"/>
        <w:autoSpaceDN w:val="0"/>
        <w:adjustRightInd w:val="0"/>
        <w:spacing w:line="440" w:lineRule="exact"/>
        <w:ind w:firstLine="382" w:firstLineChars="18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19.3</w:t>
      </w:r>
      <w:r>
        <w:rPr>
          <w:rFonts w:hint="eastAsia" w:ascii="宋体" w:hAnsi="宋体" w:cs="宋体"/>
          <w:color w:val="000000" w:themeColor="text1"/>
          <w:szCs w:val="21"/>
          <w:highlight w:val="none"/>
          <w:lang w:val="zh-CN"/>
          <w14:textFill>
            <w14:solidFill>
              <w14:schemeClr w14:val="tx1"/>
            </w14:solidFill>
          </w14:textFill>
        </w:rPr>
        <w:t>本合同正本一式陆份，具有同等法律效力，甲方、乙方各执叁份。</w:t>
      </w:r>
    </w:p>
    <w:p w14:paraId="1D1BE06A">
      <w:pPr>
        <w:pStyle w:val="17"/>
        <w:snapToGrid w:val="0"/>
        <w:spacing w:before="120" w:after="120" w:line="360" w:lineRule="atLeast"/>
        <w:ind w:left="420" w:leftChars="200" w:firstLine="210" w:firstLineChars="10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甲方：                                   乙方： </w:t>
      </w:r>
    </w:p>
    <w:p w14:paraId="11825D4F">
      <w:pPr>
        <w:pStyle w:val="17"/>
        <w:snapToGrid w:val="0"/>
        <w:spacing w:before="120" w:after="120" w:line="360" w:lineRule="atLeast"/>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      地址：                                   地址： </w:t>
      </w:r>
    </w:p>
    <w:p w14:paraId="64453B30">
      <w:pPr>
        <w:pStyle w:val="17"/>
        <w:snapToGrid w:val="0"/>
        <w:spacing w:before="120" w:after="120" w:line="360" w:lineRule="atLeast"/>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      法定代表人或授权代表：                   法定代表人或授权代表：</w:t>
      </w:r>
    </w:p>
    <w:p w14:paraId="43DEE78D">
      <w:pPr>
        <w:pStyle w:val="17"/>
        <w:snapToGrid w:val="0"/>
        <w:spacing w:before="120" w:after="120" w:line="360" w:lineRule="atLeast"/>
        <w:rPr>
          <w:rFonts w:hAnsi="宋体" w:cs="宋体"/>
          <w:color w:val="000000" w:themeColor="text1"/>
          <w:highlight w:val="none"/>
          <w:lang w:val="zh-CN"/>
          <w14:textFill>
            <w14:solidFill>
              <w14:schemeClr w14:val="tx1"/>
            </w14:solidFill>
          </w14:textFill>
        </w:rPr>
      </w:pPr>
      <w:r>
        <w:rPr>
          <w:rFonts w:hAnsi="宋体"/>
          <w:color w:val="000000" w:themeColor="text1"/>
          <w:highlight w:val="none"/>
          <w14:textFill>
            <w14:solidFill>
              <w14:schemeClr w14:val="tx1"/>
            </w14:solidFill>
          </w14:textFill>
        </w:rPr>
        <w:t xml:space="preserve">      联系电话：                               联系电话:</w:t>
      </w:r>
    </w:p>
    <w:p w14:paraId="04E1EC2E">
      <w:pPr>
        <w:autoSpaceDE w:val="0"/>
        <w:autoSpaceDN w:val="0"/>
        <w:adjustRightInd w:val="0"/>
        <w:spacing w:line="44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w:t>
      </w:r>
    </w:p>
    <w:p w14:paraId="2243C671">
      <w:pPr>
        <w:autoSpaceDE w:val="0"/>
        <w:autoSpaceDN w:val="0"/>
        <w:adjustRightInd w:val="0"/>
        <w:spacing w:line="440" w:lineRule="exact"/>
        <w:jc w:val="righ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签订日期：      年  月  日</w:t>
      </w:r>
    </w:p>
    <w:p w14:paraId="66B877DC">
      <w:pPr>
        <w:spacing w:line="540" w:lineRule="exact"/>
        <w:rPr>
          <w:rFonts w:ascii="宋体" w:hAnsi="宋体" w:cs="宋体"/>
          <w:color w:val="000000" w:themeColor="text1"/>
          <w:sz w:val="24"/>
          <w:highlight w:val="none"/>
          <w14:textFill>
            <w14:solidFill>
              <w14:schemeClr w14:val="tx1"/>
            </w14:solidFill>
          </w14:textFill>
        </w:rPr>
      </w:pPr>
    </w:p>
    <w:p w14:paraId="1C996004">
      <w:pPr>
        <w:spacing w:line="540" w:lineRule="exact"/>
        <w:rPr>
          <w:rFonts w:ascii="宋体" w:hAnsi="宋体" w:cs="宋体"/>
          <w:color w:val="000000" w:themeColor="text1"/>
          <w:sz w:val="24"/>
          <w:highlight w:val="none"/>
          <w14:textFill>
            <w14:solidFill>
              <w14:schemeClr w14:val="tx1"/>
            </w14:solidFill>
          </w14:textFill>
        </w:rPr>
      </w:pPr>
    </w:p>
    <w:p w14:paraId="15F498B8">
      <w:pPr>
        <w:spacing w:line="440" w:lineRule="exact"/>
        <w:rPr>
          <w:rFonts w:hint="eastAsia" w:ascii="宋体" w:hAnsi="宋体" w:cs="宋体"/>
          <w:color w:val="000000" w:themeColor="text1"/>
          <w:szCs w:val="21"/>
          <w:highlight w:val="none"/>
          <w:lang w:val="zh-CN"/>
          <w14:textFill>
            <w14:solidFill>
              <w14:schemeClr w14:val="tx1"/>
            </w14:solidFill>
          </w14:textFill>
        </w:rPr>
      </w:pPr>
    </w:p>
    <w:p w14:paraId="05F67E21">
      <w:pPr>
        <w:pStyle w:val="216"/>
        <w:rPr>
          <w:rFonts w:hint="eastAsia" w:ascii="宋体" w:hAnsi="宋体" w:cs="宋体"/>
          <w:color w:val="000000" w:themeColor="text1"/>
          <w:szCs w:val="21"/>
          <w:highlight w:val="none"/>
          <w:lang w:val="zh-CN"/>
          <w14:textFill>
            <w14:solidFill>
              <w14:schemeClr w14:val="tx1"/>
            </w14:solidFill>
          </w14:textFill>
        </w:rPr>
      </w:pPr>
    </w:p>
    <w:p w14:paraId="21CAEDBF">
      <w:pPr>
        <w:pStyle w:val="213"/>
        <w:rPr>
          <w:rFonts w:hint="eastAsia" w:ascii="宋体" w:hAnsi="宋体" w:cs="宋体"/>
          <w:color w:val="000000" w:themeColor="text1"/>
          <w:szCs w:val="21"/>
          <w:highlight w:val="none"/>
          <w:lang w:val="zh-CN"/>
          <w14:textFill>
            <w14:solidFill>
              <w14:schemeClr w14:val="tx1"/>
            </w14:solidFill>
          </w14:textFill>
        </w:rPr>
      </w:pPr>
    </w:p>
    <w:p w14:paraId="2AB1DBCD">
      <w:pPr>
        <w:rPr>
          <w:rFonts w:hint="eastAsia" w:ascii="宋体" w:hAnsi="宋体" w:eastAsia="宋体" w:cs="宋体"/>
          <w:color w:val="000000" w:themeColor="text1"/>
          <w:sz w:val="24"/>
          <w:highlight w:val="none"/>
          <w14:textFill>
            <w14:solidFill>
              <w14:schemeClr w14:val="tx1"/>
            </w14:solidFill>
          </w14:textFill>
        </w:rPr>
      </w:pPr>
    </w:p>
    <w:p w14:paraId="1CE0C72C">
      <w:pPr>
        <w:rPr>
          <w:rFonts w:hint="eastAsia" w:ascii="宋体" w:hAnsi="宋体" w:eastAsia="宋体" w:cs="宋体"/>
          <w:color w:val="000000" w:themeColor="text1"/>
          <w:sz w:val="24"/>
          <w:highlight w:val="none"/>
          <w14:textFill>
            <w14:solidFill>
              <w14:schemeClr w14:val="tx1"/>
            </w14:solidFill>
          </w14:textFill>
        </w:rPr>
      </w:pPr>
    </w:p>
    <w:p w14:paraId="379355E2">
      <w:pPr>
        <w:rPr>
          <w:rFonts w:hint="eastAsia" w:ascii="宋体" w:hAnsi="宋体" w:eastAsia="宋体" w:cs="宋体"/>
          <w:color w:val="000000" w:themeColor="text1"/>
          <w:sz w:val="24"/>
          <w:highlight w:val="none"/>
          <w14:textFill>
            <w14:solidFill>
              <w14:schemeClr w14:val="tx1"/>
            </w14:solidFill>
          </w14:textFill>
        </w:rPr>
      </w:pPr>
    </w:p>
    <w:p w14:paraId="5A90C6AA">
      <w:pPr>
        <w:rPr>
          <w:rFonts w:hint="eastAsia" w:ascii="宋体" w:hAnsi="宋体" w:eastAsia="宋体" w:cs="宋体"/>
          <w:color w:val="000000" w:themeColor="text1"/>
          <w:sz w:val="24"/>
          <w:highlight w:val="none"/>
          <w14:textFill>
            <w14:solidFill>
              <w14:schemeClr w14:val="tx1"/>
            </w14:solidFill>
          </w14:textFill>
        </w:rPr>
      </w:pPr>
    </w:p>
    <w:p w14:paraId="3B31352C">
      <w:pPr>
        <w:rPr>
          <w:rFonts w:hint="eastAsia" w:ascii="宋体" w:hAnsi="宋体" w:eastAsia="宋体" w:cs="宋体"/>
          <w:color w:val="000000" w:themeColor="text1"/>
          <w:sz w:val="24"/>
          <w:highlight w:val="none"/>
          <w14:textFill>
            <w14:solidFill>
              <w14:schemeClr w14:val="tx1"/>
            </w14:solidFill>
          </w14:textFill>
        </w:rPr>
      </w:pPr>
    </w:p>
    <w:p w14:paraId="5B3ED998">
      <w:pPr>
        <w:rPr>
          <w:rFonts w:hint="eastAsia" w:ascii="宋体" w:hAnsi="宋体" w:eastAsia="宋体" w:cs="宋体"/>
          <w:color w:val="000000" w:themeColor="text1"/>
          <w:sz w:val="24"/>
          <w:highlight w:val="none"/>
          <w14:textFill>
            <w14:solidFill>
              <w14:schemeClr w14:val="tx1"/>
            </w14:solidFill>
          </w14:textFill>
        </w:rPr>
      </w:pPr>
    </w:p>
    <w:p w14:paraId="05344F84">
      <w:pPr>
        <w:rPr>
          <w:rFonts w:hint="eastAsia" w:ascii="宋体" w:hAnsi="宋体" w:eastAsia="宋体" w:cs="宋体"/>
          <w:color w:val="000000" w:themeColor="text1"/>
          <w:sz w:val="24"/>
          <w:highlight w:val="none"/>
          <w14:textFill>
            <w14:solidFill>
              <w14:schemeClr w14:val="tx1"/>
            </w14:solidFill>
          </w14:textFill>
        </w:rPr>
      </w:pPr>
    </w:p>
    <w:p w14:paraId="79BF46E8">
      <w:pPr>
        <w:pStyle w:val="27"/>
        <w:rPr>
          <w:rFonts w:hint="eastAsia" w:ascii="宋体" w:hAnsi="宋体" w:eastAsia="宋体" w:cs="宋体"/>
          <w:color w:val="000000" w:themeColor="text1"/>
          <w:sz w:val="24"/>
          <w:highlight w:val="none"/>
          <w14:textFill>
            <w14:solidFill>
              <w14:schemeClr w14:val="tx1"/>
            </w14:solidFill>
          </w14:textFill>
        </w:rPr>
      </w:pPr>
    </w:p>
    <w:p w14:paraId="2631A587">
      <w:pPr>
        <w:rPr>
          <w:rFonts w:hint="eastAsia" w:ascii="宋体" w:hAnsi="宋体" w:eastAsia="宋体" w:cs="宋体"/>
          <w:color w:val="000000" w:themeColor="text1"/>
          <w:sz w:val="24"/>
          <w:highlight w:val="none"/>
          <w14:textFill>
            <w14:solidFill>
              <w14:schemeClr w14:val="tx1"/>
            </w14:solidFill>
          </w14:textFill>
        </w:rPr>
      </w:pPr>
    </w:p>
    <w:p w14:paraId="3AC11F96">
      <w:pPr>
        <w:pStyle w:val="27"/>
        <w:rPr>
          <w:rFonts w:hint="eastAsia" w:ascii="宋体" w:hAnsi="宋体" w:eastAsia="宋体" w:cs="宋体"/>
          <w:color w:val="000000" w:themeColor="text1"/>
          <w:sz w:val="24"/>
          <w:highlight w:val="none"/>
          <w14:textFill>
            <w14:solidFill>
              <w14:schemeClr w14:val="tx1"/>
            </w14:solidFill>
          </w14:textFill>
        </w:rPr>
      </w:pPr>
    </w:p>
    <w:p w14:paraId="3588BE7F">
      <w:pPr>
        <w:rPr>
          <w:rFonts w:hint="eastAsia"/>
          <w:color w:val="000000" w:themeColor="text1"/>
          <w:highlight w:val="none"/>
          <w14:textFill>
            <w14:solidFill>
              <w14:schemeClr w14:val="tx1"/>
            </w14:solidFill>
          </w14:textFill>
        </w:rPr>
      </w:pPr>
    </w:p>
    <w:p w14:paraId="1B98945A">
      <w:pPr>
        <w:rPr>
          <w:rFonts w:hint="eastAsia"/>
          <w:color w:val="000000" w:themeColor="text1"/>
          <w:highlight w:val="none"/>
          <w14:textFill>
            <w14:solidFill>
              <w14:schemeClr w14:val="tx1"/>
            </w14:solidFill>
          </w14:textFill>
        </w:rPr>
      </w:pPr>
    </w:p>
    <w:p w14:paraId="062B744B">
      <w:pPr>
        <w:rPr>
          <w:rFonts w:hint="eastAsia"/>
          <w:color w:val="000000" w:themeColor="text1"/>
          <w:highlight w:val="none"/>
          <w14:textFill>
            <w14:solidFill>
              <w14:schemeClr w14:val="tx1"/>
            </w14:solidFill>
          </w14:textFill>
        </w:rPr>
      </w:pPr>
    </w:p>
    <w:p w14:paraId="453160E8">
      <w:pPr>
        <w:rPr>
          <w:rFonts w:hint="eastAsia"/>
          <w:color w:val="000000" w:themeColor="text1"/>
          <w:highlight w:val="none"/>
          <w14:textFill>
            <w14:solidFill>
              <w14:schemeClr w14:val="tx1"/>
            </w14:solidFill>
          </w14:textFill>
        </w:rPr>
      </w:pPr>
    </w:p>
    <w:p w14:paraId="489A7944">
      <w:pP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附件：</w:t>
      </w:r>
    </w:p>
    <w:p w14:paraId="2608A1B3">
      <w:pPr>
        <w:spacing w:line="540" w:lineRule="exact"/>
        <w:jc w:val="center"/>
        <w:rPr>
          <w:rFonts w:hint="eastAsia" w:ascii="宋体" w:hAnsi="宋体" w:eastAsia="宋体" w:cs="宋体"/>
          <w:b/>
          <w:color w:val="000000" w:themeColor="text1"/>
          <w:sz w:val="32"/>
          <w:szCs w:val="32"/>
          <w:highlight w:val="none"/>
          <w14:textFill>
            <w14:solidFill>
              <w14:schemeClr w14:val="tx1"/>
            </w14:solidFill>
          </w14:textFill>
        </w:rPr>
      </w:pPr>
    </w:p>
    <w:p w14:paraId="18AE69A0">
      <w:pPr>
        <w:spacing w:line="540" w:lineRule="exact"/>
        <w:jc w:val="cente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项目建设供应商承诺函</w:t>
      </w:r>
    </w:p>
    <w:p w14:paraId="2D889AAA">
      <w:pPr>
        <w:spacing w:line="540" w:lineRule="exact"/>
        <w:rPr>
          <w:rFonts w:ascii="宋体" w:hAnsi="宋体" w:eastAsia="宋体" w:cs="宋体"/>
          <w:b/>
          <w:bCs/>
          <w:color w:val="000000" w:themeColor="text1"/>
          <w:sz w:val="28"/>
          <w:szCs w:val="28"/>
          <w:highlight w:val="none"/>
          <w14:textFill>
            <w14:solidFill>
              <w14:schemeClr w14:val="tx1"/>
            </w14:solidFill>
          </w14:textFill>
        </w:rPr>
      </w:pPr>
    </w:p>
    <w:p w14:paraId="7B6C7754">
      <w:pPr>
        <w:spacing w:line="480" w:lineRule="auto"/>
        <w:ind w:firstLine="42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7164AB2D">
      <w:pPr>
        <w:spacing w:line="480" w:lineRule="auto"/>
        <w:ind w:firstLine="42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13FAF30B">
      <w:pPr>
        <w:spacing w:line="480" w:lineRule="auto"/>
        <w:ind w:firstLine="42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对未列出的其他事项，严格按照法律法规等具体规定执行。</w:t>
      </w:r>
    </w:p>
    <w:p w14:paraId="2CCF44A4">
      <w:pPr>
        <w:spacing w:line="480" w:lineRule="auto"/>
        <w:ind w:firstLine="42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现承诺，我单位在履行</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的项目建设中，将严格按照提示函的内容和要求执行，如若违反愿意承担相应的责任。</w:t>
      </w:r>
    </w:p>
    <w:p w14:paraId="488EDE25">
      <w:pPr>
        <w:spacing w:line="480" w:lineRule="auto"/>
        <w:rPr>
          <w:rFonts w:ascii="宋体" w:hAnsi="宋体" w:eastAsia="宋体" w:cs="宋体"/>
          <w:color w:val="000000" w:themeColor="text1"/>
          <w:szCs w:val="21"/>
          <w:highlight w:val="none"/>
          <w14:textFill>
            <w14:solidFill>
              <w14:schemeClr w14:val="tx1"/>
            </w14:solidFill>
          </w14:textFill>
        </w:rPr>
      </w:pPr>
    </w:p>
    <w:p w14:paraId="402EA999">
      <w:pPr>
        <w:spacing w:line="480" w:lineRule="auto"/>
        <w:ind w:firstLine="84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供应商项目负责人（签字）：                   联系方式：</w:t>
      </w:r>
    </w:p>
    <w:p w14:paraId="19440BD8">
      <w:pPr>
        <w:pStyle w:val="27"/>
        <w:rPr>
          <w:rFonts w:hint="eastAsia" w:ascii="宋体" w:hAnsi="宋体" w:eastAsia="宋体" w:cs="宋体"/>
          <w:color w:val="000000" w:themeColor="text1"/>
          <w:szCs w:val="21"/>
          <w:highlight w:val="none"/>
          <w14:textFill>
            <w14:solidFill>
              <w14:schemeClr w14:val="tx1"/>
            </w14:solidFill>
          </w14:textFill>
        </w:rPr>
      </w:pPr>
    </w:p>
    <w:p w14:paraId="67959288">
      <w:pPr>
        <w:rPr>
          <w:rFonts w:hint="eastAsia" w:ascii="宋体" w:hAnsi="宋体" w:eastAsia="宋体" w:cs="宋体"/>
          <w:color w:val="000000" w:themeColor="text1"/>
          <w:szCs w:val="21"/>
          <w:highlight w:val="none"/>
          <w14:textFill>
            <w14:solidFill>
              <w14:schemeClr w14:val="tx1"/>
            </w14:solidFill>
          </w14:textFill>
        </w:rPr>
      </w:pPr>
    </w:p>
    <w:p w14:paraId="3F7CB880">
      <w:pPr>
        <w:spacing w:line="480" w:lineRule="auto"/>
        <w:ind w:firstLine="42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（供应商单位公章）</w:t>
      </w:r>
    </w:p>
    <w:p w14:paraId="76C4D174">
      <w:pPr>
        <w:pStyle w:val="27"/>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                   日   期：</w:t>
      </w:r>
    </w:p>
    <w:p w14:paraId="4BB51842">
      <w:pPr>
        <w:pStyle w:val="213"/>
        <w:rPr>
          <w:rFonts w:hint="eastAsia" w:ascii="宋体" w:hAnsi="宋体" w:cs="宋体"/>
          <w:color w:val="000000" w:themeColor="text1"/>
          <w:szCs w:val="21"/>
          <w:highlight w:val="none"/>
          <w:lang w:val="zh-CN"/>
          <w14:textFill>
            <w14:solidFill>
              <w14:schemeClr w14:val="tx1"/>
            </w14:solidFill>
          </w14:textFill>
        </w:rPr>
      </w:pPr>
    </w:p>
    <w:p w14:paraId="577E2D5F">
      <w:pPr>
        <w:pStyle w:val="213"/>
        <w:rPr>
          <w:rFonts w:hint="eastAsia" w:ascii="宋体" w:hAnsi="宋体" w:cs="宋体"/>
          <w:color w:val="000000" w:themeColor="text1"/>
          <w:szCs w:val="21"/>
          <w:highlight w:val="none"/>
          <w:lang w:val="zh-CN"/>
          <w14:textFill>
            <w14:solidFill>
              <w14:schemeClr w14:val="tx1"/>
            </w14:solidFill>
          </w14:textFill>
        </w:rPr>
      </w:pPr>
    </w:p>
    <w:p w14:paraId="6ACA555D">
      <w:pPr>
        <w:pStyle w:val="213"/>
        <w:rPr>
          <w:rFonts w:hint="eastAsia" w:ascii="宋体" w:hAnsi="宋体" w:cs="宋体"/>
          <w:color w:val="000000" w:themeColor="text1"/>
          <w:szCs w:val="21"/>
          <w:highlight w:val="none"/>
          <w:lang w:val="zh-CN"/>
          <w14:textFill>
            <w14:solidFill>
              <w14:schemeClr w14:val="tx1"/>
            </w14:solidFill>
          </w14:textFill>
        </w:rPr>
      </w:pPr>
    </w:p>
    <w:p w14:paraId="1109945E">
      <w:pPr>
        <w:pStyle w:val="213"/>
        <w:rPr>
          <w:rFonts w:hint="eastAsia" w:ascii="宋体" w:hAnsi="宋体" w:cs="宋体"/>
          <w:color w:val="000000" w:themeColor="text1"/>
          <w:szCs w:val="21"/>
          <w:highlight w:val="none"/>
          <w:lang w:val="zh-CN"/>
          <w14:textFill>
            <w14:solidFill>
              <w14:schemeClr w14:val="tx1"/>
            </w14:solidFill>
          </w14:textFill>
        </w:rPr>
      </w:pPr>
    </w:p>
    <w:bookmarkEnd w:id="168"/>
    <w:bookmarkEnd w:id="169"/>
    <w:bookmarkEnd w:id="170"/>
    <w:bookmarkEnd w:id="171"/>
    <w:bookmarkEnd w:id="172"/>
    <w:bookmarkEnd w:id="173"/>
    <w:p w14:paraId="753112C0">
      <w:pPr>
        <w:rPr>
          <w:rFonts w:hint="eastAsia" w:ascii="黑体" w:hAnsi="宋体" w:eastAsia="黑体" w:cs="黑体"/>
          <w:color w:val="000000" w:themeColor="text1"/>
          <w:sz w:val="44"/>
          <w:szCs w:val="44"/>
          <w:highlight w:val="none"/>
          <w14:textFill>
            <w14:solidFill>
              <w14:schemeClr w14:val="tx1"/>
            </w14:solidFill>
          </w14:textFill>
        </w:rPr>
      </w:pPr>
      <w:bookmarkStart w:id="177" w:name="_Toc120614281"/>
    </w:p>
    <w:p w14:paraId="59683C24">
      <w:pPr>
        <w:rPr>
          <w:rFonts w:hint="eastAsia" w:ascii="黑体" w:hAnsi="宋体" w:eastAsia="黑体" w:cs="黑体"/>
          <w:color w:val="000000" w:themeColor="text1"/>
          <w:sz w:val="44"/>
          <w:szCs w:val="44"/>
          <w:highlight w:val="none"/>
          <w14:textFill>
            <w14:solidFill>
              <w14:schemeClr w14:val="tx1"/>
            </w14:solidFill>
          </w14:textFill>
        </w:rPr>
      </w:pPr>
    </w:p>
    <w:p w14:paraId="06140160">
      <w:pPr>
        <w:rPr>
          <w:rFonts w:hint="eastAsia" w:ascii="黑体" w:hAnsi="宋体" w:eastAsia="黑体" w:cs="黑体"/>
          <w:color w:val="000000" w:themeColor="text1"/>
          <w:sz w:val="44"/>
          <w:szCs w:val="44"/>
          <w:highlight w:val="none"/>
          <w14:textFill>
            <w14:solidFill>
              <w14:schemeClr w14:val="tx1"/>
            </w14:solidFill>
          </w14:textFill>
        </w:rPr>
      </w:pPr>
    </w:p>
    <w:p w14:paraId="3E0AE507">
      <w:pPr>
        <w:rPr>
          <w:rFonts w:hint="eastAsia" w:ascii="黑体" w:hAnsi="宋体" w:eastAsia="黑体" w:cs="黑体"/>
          <w:color w:val="000000" w:themeColor="text1"/>
          <w:sz w:val="44"/>
          <w:szCs w:val="44"/>
          <w:highlight w:val="none"/>
          <w14:textFill>
            <w14:solidFill>
              <w14:schemeClr w14:val="tx1"/>
            </w14:solidFill>
          </w14:textFill>
        </w:rPr>
      </w:pPr>
    </w:p>
    <w:p w14:paraId="0948216E">
      <w:pPr>
        <w:rPr>
          <w:rFonts w:hint="eastAsia" w:ascii="黑体" w:hAnsi="宋体" w:eastAsia="黑体" w:cs="黑体"/>
          <w:color w:val="000000" w:themeColor="text1"/>
          <w:sz w:val="44"/>
          <w:szCs w:val="44"/>
          <w:highlight w:val="none"/>
          <w14:textFill>
            <w14:solidFill>
              <w14:schemeClr w14:val="tx1"/>
            </w14:solidFill>
          </w14:textFill>
        </w:rPr>
      </w:pPr>
    </w:p>
    <w:p w14:paraId="39202B18">
      <w:pPr>
        <w:jc w:val="cente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第四章 采购需求</w:t>
      </w:r>
    </w:p>
    <w:p w14:paraId="217C733A">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项目属性:货物类项目。</w:t>
      </w:r>
    </w:p>
    <w:p w14:paraId="67146A1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default"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本项目核心产品为：</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移动式定向反制设备</w:t>
      </w:r>
    </w:p>
    <w:p w14:paraId="1E16E6F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both"/>
        <w:textAlignment w:val="auto"/>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一</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、建设内容</w:t>
      </w:r>
    </w:p>
    <w:p w14:paraId="2E2E0159">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本项目</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主要包括：移动式定向反制设备8套</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，移动式侦测设备2套，</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手持式查打一体设备5套，</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FPV网捕穿越机5套，同时，对无人机反制车设备以及4套手持式反制设备进行升级改造，对现有手持手持反制设备、侦测与反制车配备无人机查打一体侦测系统进行升级完善，同时开展车辆内部、顶部固件的定制，满足新形势下的警务需求。</w:t>
      </w:r>
    </w:p>
    <w:p w14:paraId="7CFE72D8">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both"/>
        <w:textAlignment w:val="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二、设备明细</w:t>
      </w: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清单</w:t>
      </w:r>
    </w:p>
    <w:tbl>
      <w:tblPr>
        <w:tblStyle w:val="34"/>
        <w:tblW w:w="9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825"/>
        <w:gridCol w:w="810"/>
        <w:gridCol w:w="5085"/>
        <w:gridCol w:w="855"/>
        <w:gridCol w:w="1342"/>
      </w:tblGrid>
      <w:tr w14:paraId="17EF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796" w:type="dxa"/>
            <w:vAlign w:val="center"/>
          </w:tcPr>
          <w:p w14:paraId="42EC482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序号</w:t>
            </w:r>
          </w:p>
        </w:tc>
        <w:tc>
          <w:tcPr>
            <w:tcW w:w="1635" w:type="dxa"/>
            <w:gridSpan w:val="2"/>
            <w:vAlign w:val="center"/>
          </w:tcPr>
          <w:p w14:paraId="57CCEF5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center"/>
              <w:textAlignment w:val="auto"/>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名称</w:t>
            </w:r>
          </w:p>
        </w:tc>
        <w:tc>
          <w:tcPr>
            <w:tcW w:w="5085" w:type="dxa"/>
            <w:vAlign w:val="center"/>
          </w:tcPr>
          <w:p w14:paraId="2523CC65">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center"/>
              <w:textAlignment w:val="auto"/>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技术参数</w:t>
            </w:r>
          </w:p>
        </w:tc>
        <w:tc>
          <w:tcPr>
            <w:tcW w:w="855" w:type="dxa"/>
            <w:vAlign w:val="center"/>
          </w:tcPr>
          <w:p w14:paraId="2CEDEE18">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数量</w:t>
            </w:r>
          </w:p>
        </w:tc>
        <w:tc>
          <w:tcPr>
            <w:tcW w:w="1342" w:type="dxa"/>
          </w:tcPr>
          <w:p w14:paraId="24B2CDE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对应中小企业划分标准所属行业</w:t>
            </w:r>
          </w:p>
        </w:tc>
      </w:tr>
      <w:tr w14:paraId="3E72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35E18AC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w:t>
            </w:r>
          </w:p>
        </w:tc>
        <w:tc>
          <w:tcPr>
            <w:tcW w:w="825" w:type="dxa"/>
            <w:vAlign w:val="center"/>
          </w:tcPr>
          <w:p w14:paraId="695528EE">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移动式定向反制设备</w:t>
            </w:r>
          </w:p>
        </w:tc>
        <w:tc>
          <w:tcPr>
            <w:tcW w:w="810" w:type="dxa"/>
            <w:vAlign w:val="center"/>
          </w:tcPr>
          <w:p w14:paraId="0C5929D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移动式定向反制设备1</w:t>
            </w:r>
          </w:p>
        </w:tc>
        <w:tc>
          <w:tcPr>
            <w:tcW w:w="5085" w:type="dxa"/>
          </w:tcPr>
          <w:p w14:paraId="774F0C33">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主机尺寸≤750*400*550mm。单机重量≤35kg。持续工作时长：在220V供电下应能持续发射7*24小时。设备自带显示终端（对角线尺寸不小于14寸，分辨率不低于1080P，可通过网络远程独立使用，每台反制设备各配备1个显示终端）承诺系统支持无人机通讯协议库、软件自动远程更新功能并承担质保期内的网络传输费用；</w:t>
            </w:r>
          </w:p>
          <w:p w14:paraId="78CC7779">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2.有线手柄尺寸≤250*100*30mm，重量≤1Kg；</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3.支持手柄一键启动全部发射模块，也可通过手柄按键选择任意一个或多个频段，控制开启或关闭；支持设置发射频段，选择波形（多种调制）和干扰(点频、窄带、宽带）模式；</w:t>
            </w:r>
          </w:p>
          <w:p w14:paraId="3FDFC9C9">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4.支持手柄设置自动干扰时长设置范围1分钟-15分钟区间；</w:t>
            </w:r>
          </w:p>
          <w:p w14:paraId="04D316C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5.多目标干扰：能够同时有效干扰水平辐射角度120°（±5°），垂直辐射角度90°（±5°）°立体区域内的不同高度与水平距离无人机数量≥200架；</w:t>
            </w:r>
          </w:p>
          <w:p w14:paraId="30A6DC8F">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6.多台可组合成发射角度120°、180°、240°、360°等多种角度干扰形式；</w:t>
            </w:r>
          </w:p>
          <w:p w14:paraId="4FFB85DF">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7.设备防护等级不低于IP65。具备485、网口、光纤口、4G、CAN口，可适配接入相关侦测预警系统，实现控制、联动与组网；</w:t>
            </w:r>
          </w:p>
          <w:p w14:paraId="61DFC37F">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8.支持通过外置通讯接口设置发射频段，选择波形（多种调制）和干扰(点频、窄带、宽带）模式，外置实时位置和方向传感器，可提供准确的位置、方向和航向数据，提供静态和移动站点的一致和清晰的GNSS数据。与各种全球导航卫星系统的兼容性确保系统不间断的统一授时时钟运行；</w:t>
            </w:r>
          </w:p>
          <w:p w14:paraId="45792275">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9.可适配接入相关侦测预警系统，实现控制、联动与组网。设备具备状态监测功能：通过显示终端能在电子地图上实时显示管控设备的位置和状态信息，其中状态信息包括设备名称、工作状态（空闲、离线、异常、工作）、卫星锁定状态等。系统支持自有网、互联网、专网多种部署方式。支持多台反制设备和其他侦测设备组网；</w:t>
            </w:r>
          </w:p>
          <w:p w14:paraId="41BEF1C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10.系统支持按照国家行政区域、圆形、多边形以及不规则模式设置一个或多个干扰区域；</w:t>
            </w:r>
          </w:p>
          <w:p w14:paraId="78E9E25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11.支持可调节干扰范围，支持三维地图、在线或离线高德、腾讯等电子地图。系统具备用户访问管理功能，能按不同访问权限对</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系统进行操作；</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12.▲干扰频段：</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第1信道：(840±5)MHz～(930±5)MHz;</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第2信道：(1160±5)MHz～(1310±5)MHz;</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第3信道：(1550±5)MHz～(1620±5)MHz;</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第4信道：(2385±5)MHz～(2490±5)MHz;</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第5信道：(5135±5)MHz～(5340±5)MHz;</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第6信道：(5720±5)MHz～(5850±5)MHz。</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【提供第三方检测机构出具的检测报告扫描件并加盖投标人公章】</w:t>
            </w:r>
          </w:p>
          <w:p w14:paraId="53C954C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13.▲干扰机型：应能干扰大疆、道通、Wi-Fi无人机、DIY无人机(覆盖ELRS、TBSCrossfire协议)等品牌的无人机。【提供第三方检测机构出具的检测报告扫描件并加盖投标人公章】</w:t>
            </w:r>
          </w:p>
          <w:p w14:paraId="77585AD0">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14.干扰距离：在无明显遮挡、无明显电磁干扰的条件下，样品的有效干扰距离应≥2km；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15.干扰响应时间：宽频干扰模式下，从启动干扰至无人机遥控器显示信号丢失所需的时间应≤2.5s。</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16.▲同时干扰数量：能同时干扰的无人机数量应≥52架，品牌种类应≥13种，机型种类应≥40种。【提供第三方检测机构出具的检测报告扫描件并加盖投标人公章】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17.干扰成功率：在无明显遮挡、无明显电磁干扰的条件下，干扰成功率应≥99%。</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18.▲杂散信号：开启2.4GHz、5.2GHz、5.8GHz频段干扰时，应不产生频率为1090MHz、1.2GHz、1.5GHz的杂散信号。【提供第三方检测机构出具的检测报告扫描件并加盖投标人公章】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19.工作温度：(-50±2)℃~(60±2)℃。</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20.★中标后验收时需提供中华人民共和国工业和信息化部制作的无线电发射设备型号核准证原件，且型号需和核准证型号一致，未提供按不能履约处理【投标时提供承诺函，格式自拟】。</w:t>
            </w:r>
          </w:p>
        </w:tc>
        <w:tc>
          <w:tcPr>
            <w:tcW w:w="855" w:type="dxa"/>
            <w:vAlign w:val="center"/>
          </w:tcPr>
          <w:p w14:paraId="2E60710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6</w:t>
            </w:r>
          </w:p>
        </w:tc>
        <w:tc>
          <w:tcPr>
            <w:tcW w:w="1342" w:type="dxa"/>
            <w:vAlign w:val="center"/>
          </w:tcPr>
          <w:p w14:paraId="047448C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工业</w:t>
            </w:r>
          </w:p>
        </w:tc>
      </w:tr>
      <w:tr w14:paraId="3EFC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tcPr>
          <w:p w14:paraId="3C013D53">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p>
        </w:tc>
        <w:tc>
          <w:tcPr>
            <w:tcW w:w="825" w:type="dxa"/>
          </w:tcPr>
          <w:p w14:paraId="0EF108D2">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p>
        </w:tc>
        <w:tc>
          <w:tcPr>
            <w:tcW w:w="810" w:type="dxa"/>
            <w:vAlign w:val="center"/>
          </w:tcPr>
          <w:p w14:paraId="5447206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移动式定向反制设备2</w:t>
            </w:r>
          </w:p>
        </w:tc>
        <w:tc>
          <w:tcPr>
            <w:tcW w:w="5085" w:type="dxa"/>
          </w:tcPr>
          <w:p w14:paraId="70784E5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1.外观结构：反制功能模块集成在主机内部，无外接功能模块。</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2.频率窗口设置：应能在封控频率范围内应能实时、任意设置频率窗口。</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3.通信方式：应能通过有线或无线的方式接入并通过B/S架构使用web方式登录管控平台，管控平台支持TCP/UDP/HTTPS/HTTP等通信协议。应能通过外接光纤转换器接入管控平台。</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4.干扰功能：具有无人机干扰功能，应能通过信号干扰方式干扰无人机的图传链路、飞控链路及导航信号，驱离无人机或使无人机迫降(需无人机支持迫降或返航功能)。</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5.▲干扰模式：具有宽频干扰和精准干扰模式，应能对多架无人机进行宽频干扰或对单架无人机进行精准干扰(需配合无线电探测设备)【提供第三方检测机构出具的检测报告扫描件并加盖投标人公章】</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6.干扰距离：在无明显遮挡、无明显电磁干扰的条件下，有效干扰距离应≥2km</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7.干通比：在最大干扰距离处，样品能有效对无人机进行干扰时的干通比(无人机与样品的距离和无人机与遥控器之间的距离比)应≥20:1。</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8.干扰成功率：在无明显遮挡、无明显电磁干扰的条件下，干扰成功率≥99%。</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9.▲精准干扰功能：与无线电探测设备组网后，应能够在多架(不少于2架)同一品牌型号、同一定频工作频段、同一方位的无人机目标(距离设备200m,相互间隔2m)中，对指定无人机进行干扰，且应不影响其他无人机的遥控及图传信号；能够在多架(不少于2架)同一品牌型号、同一方位的自动跳频无人机目标(距离样品200m,相互间隔2m)中，对指定无人机进行干扰，且应不影响其他无人机的遥控及图传信号；与无线电探测设备组网后，在无人值守模式下，应能开启白名单保护功能和精准干扰功能。【提供第三方检测机构出具的检测报告扫描件并加盖投标人公章】</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10.▲精准干扰机型：与无线电探测设备组网后，能够对大疆、道通等品牌的无人机进行精准干扰。【提供第三方检测机构出具的检测报告扫描件并加盖投标人公章】</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11.干扰角度：水平方向：0°~360°;俯仰方向：-90°~+90°。</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12.干扰响应时间：宽频干扰模式下，从启动干扰至无人机遥控器显示信号丢失所需的时间应≤2.5s。</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13.干扰时长：与无线电探测设备组网后，应能设置单次发射时长为20s～40min。</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14.▲杂散信号检查：开启第2.4GHz、5.2GHz、5.8GHz信道组合发射时，应不产生频率为1090MHz、1.2GHz、1.5GHz的杂散信号。【提供第三方检测机构出具的检测报告扫描件并加盖投标人公章】</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15.状态监测：应能通过管控平台查看设备在线/离线状态、设备故障状态、设备工作温度、功放工作温度、干扰频段发射状态、软件版本号等信息</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16.防护等级：应≥IP66</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17.</w:t>
            </w:r>
            <w:r>
              <w:rPr>
                <w:rFonts w:hint="eastAsia" w:ascii="宋体" w:hAnsi="宋体" w:eastAsia="宋体" w:cs="宋体"/>
                <w:i w:val="0"/>
                <w:iCs w:val="0"/>
                <w:color w:val="000000" w:themeColor="text1"/>
                <w:spacing w:val="8"/>
                <w:sz w:val="21"/>
                <w:szCs w:val="21"/>
                <w:highlight w:val="none"/>
                <w:u w:val="none"/>
                <w:lang w:val="en-US" w:eastAsia="zh-CN"/>
                <w14:textFill>
                  <w14:solidFill>
                    <w14:schemeClr w14:val="tx1"/>
                  </w14:solidFill>
                </w14:textFill>
              </w:rPr>
              <w:t>★中标后验收时需提供中华人民共和国工业和信息化部制作的无线电发射设备型号核准证原件，且型号需和核准证型号一致，未提供按不能履约处理【投标时提供承诺函，格式自拟】。</w:t>
            </w:r>
          </w:p>
        </w:tc>
        <w:tc>
          <w:tcPr>
            <w:tcW w:w="855" w:type="dxa"/>
            <w:vAlign w:val="center"/>
          </w:tcPr>
          <w:p w14:paraId="15F857B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1342" w:type="dxa"/>
            <w:vAlign w:val="center"/>
          </w:tcPr>
          <w:p w14:paraId="4F0FA8C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工业</w:t>
            </w:r>
          </w:p>
        </w:tc>
      </w:tr>
      <w:tr w14:paraId="5FF38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359AEFA0">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w:t>
            </w:r>
          </w:p>
        </w:tc>
        <w:tc>
          <w:tcPr>
            <w:tcW w:w="1635" w:type="dxa"/>
            <w:gridSpan w:val="2"/>
            <w:vAlign w:val="center"/>
          </w:tcPr>
          <w:p w14:paraId="6C5E764E">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移动式侦测设备</w:t>
            </w:r>
          </w:p>
        </w:tc>
        <w:tc>
          <w:tcPr>
            <w:tcW w:w="5085" w:type="dxa"/>
            <w:shd w:val="clear" w:color="auto" w:fill="auto"/>
            <w:vAlign w:val="center"/>
          </w:tcPr>
          <w:p w14:paraId="15C21A57">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both"/>
              <w:textAlignment w:val="auto"/>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侦测定位结果显示：应能通过协议解析方式对无人机进行定位，定位到无人机后能在侦测列表实时显示无人机品牌型号、SN码、工作频率、信号强度、经纬度坐标（示值精确到小数点后6位）、方位、距离、飞行高度、飞行速度以及遥控器（飞手）经纬度坐标等信息；定位到无人机后，应能在电子地图上显示无人机位置图标和飞行轨迹、遥控器（飞手）位置图标、起航点以及无人机处于不同颜色区域范围时的危险等级。</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重点侦测频段：330MHz、433MHz、800MHz、840MHz～900MHz、915MHz、933MHz、1.1GHz～1.3GHz、1.4GHz、1.5GHz、1.8GHz、2.4GHz～2.5GHz、3.3GHz、3.5GHz、4.9GHz、5.1GHz～5.9GHz。(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3.频谱测向：具有频谱测向功能，单站测向模式下侦测到无人机时应能在侦测列表显示大疆、道通及DIY无人机方位信息，并支持在电子地图上通过扇形显示无人机大致方位。</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4.测向距离：在无明显雨、雪、雾天气的环境（无明显遮挡、无明显电磁干扰）条件下，通过频谱侦测方式对无人机进行测向的距离应≥5km。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5.侦测定位距离：在无明显雨、雪、雾天气的环境（无明显遮挡、无明显电磁干扰）条件下，通过协议解析方式对无人机的定位距离应≥5km。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6.测向精度：在无明显雨、雪、雾天气的环境（无明显遮挡、无明显电磁干扰）条件下，通过协议解析方式对可定位无人机的测向误差应≤1°。</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7.DIY无人机侦测结果显示功能：能侦测工作频段为433MHz、868MHz、915MHz、1.3GHz、5.8GHz的DIY无人机；能通过侦测列表实时显示目标DIY无人机的工作频率、发现时间、图传画面截图等信息。</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8.可定位机型品牌：应能通过协议解析方式对无人机进行单站定位，可定位品牌类型应覆盖大疆（含FPV）、道通、DIY无人机等。</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9.精准识别：能侦测、识别并区分多架同品牌、同型号、同频段的无人机，能分别显示各无人机的SN码。</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10.侦测角度：水平方向：0°~360°;竖直方向：-90°~+90°。</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11.侦测高度：在通视条件下，能侦测到飞行高度为0m-1500m的无人机。</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12.侦测响应时间：无人机与遥控器处于连接状态时，从开启侦测功能至指控软件报警所需时间应≤0.5s。</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13.侦测成功率：在无明显遮挡、无明显电磁干扰条件下，侦测成功率应≥99%，识别成功率应≥99%。</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14.虚警率：在无明显遮挡、无明显电磁干扰条件下，持续侦测24小时，虚警应≤1架次。</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15.同时侦测数量：能同时侦测并识别无人机的数量应≥40架，其中非大疆品牌无人机数量应≥10架，品牌数量≥10种；能同时侦测并识别非大疆品牌遥控器的数量应≥15个，型号应≥10种。</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16.多目标轨迹跟踪定位：具备多目标轨迹同时定位、跟踪和显示能力，同时侦测定位到多个目标时应能通过不同颜色区分不同架次无人机的飞行轨迹，并显示遥控器（飞手）位置图标；应能显示无人机飞行轨迹，数量应≥30条；能显示遥控器（飞手）与对应无人机的连线，数量应≥30条。</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17.同一无人机入侵识别：应能识别同一架无人机的多波次入侵并整合该无人机的入侵信息。</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18.黑白名单功能：具有黑白名单功能，能通过管理平台将侦测到的无人机加入白名单，侦测到白名单内的无人机（包括多次开关机/起降）时应不触发报警提示。</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19.状态监测功能：应能通过管理平台查看设备型号、工作状态、CPU/GPU使用率、CPU/GPU温度、各频段收发包状态、卫星搜星状态、软件版本号、授权时限等运行状态信息。</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20.定位功能：内置定位模块，能通过管理平台显示经纬度坐标，并能在电子地图上显示位置图标。</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21.电子地图：具有电子地图功能，支持在线或离线电子地图；支持加载高德卫星地图、高德街道（路网）地图、谷歌卫星地图、谷歌矢量地图，并能切换显示标准平面地图、卫星地图等不同图层。</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22.自动指北：应具有自动指北功能，能自动以正北方向显示当前朝向角度，指北误差应≤1°。</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23. ▲无人机识别库机型数量：无人机识别库内的无人机型号应≥700种，其中品牌数量≥180个。【提供第三方检测机构出具的检测报告扫描件并加盖投标人公章】</w:t>
            </w:r>
          </w:p>
        </w:tc>
        <w:tc>
          <w:tcPr>
            <w:tcW w:w="855" w:type="dxa"/>
            <w:vAlign w:val="center"/>
          </w:tcPr>
          <w:p w14:paraId="3E828F3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1342" w:type="dxa"/>
            <w:vAlign w:val="center"/>
          </w:tcPr>
          <w:p w14:paraId="618EEDAA">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工业</w:t>
            </w:r>
          </w:p>
        </w:tc>
      </w:tr>
      <w:tr w14:paraId="503C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754D24A5">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3</w:t>
            </w:r>
          </w:p>
        </w:tc>
        <w:tc>
          <w:tcPr>
            <w:tcW w:w="1635" w:type="dxa"/>
            <w:gridSpan w:val="2"/>
            <w:vAlign w:val="center"/>
          </w:tcPr>
          <w:p w14:paraId="5B8CA458">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手持式查打一体设备</w:t>
            </w:r>
          </w:p>
        </w:tc>
        <w:tc>
          <w:tcPr>
            <w:tcW w:w="5085" w:type="dxa"/>
            <w:shd w:val="clear" w:color="auto" w:fill="auto"/>
            <w:vAlign w:val="center"/>
          </w:tcPr>
          <w:p w14:paraId="342638B0">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1.电子罗盘：具有电子罗盘，可通过校准功能进入内置电子罗盘校准引导流程。</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2.▲电池热插拔功能：支持不连接外接电源时，应能在正常工作状态（探测/干扰）下进行单块电池更换操作，更换过程中应能正常工作。【提供第三方检测机构出具的检测报告扫描件并加盖投标人公章】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2.无源探测功能：应为无源探测，在探测状态下,应不主动发射无线信号。</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3.▲重点频段探测功能：能探测识别工作频段400MHz、433MHz、500MHz、760MHz、800MHz、840MHz～933MHz、1.1GHz～1.8GHz、2.1GHz～2.5GHz、3.2GHz～3.8GHz、4.2GHz～4.9GHz、5.1GHz～5.9GHz的无人机信号。【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4.▲DIY无人机探测结果显示功能：能探测到工作频段为433MHz、868MHz、915MHz、1.1GHz、1.3GHz、3.1GHz、5.8GHz的DIY无人机（数传/图传模块），并能通过管控平台实时显示目标DIY无人机（数传/图传模块）的品牌、工作频率、发现时间、图传画面截图等信息；应能将探测到的图传画面截图并存储到事件列表中，支持对截图画面进行查看。【提供第三方检测机构出具的检测报告扫描件并加盖投标人公章】</w:t>
            </w:r>
          </w:p>
          <w:p w14:paraId="1C63157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5.▲单站可定位品牌类型：应能对以下品牌机型的无人机进行单站定位，大疆（御Mavic 2、Mavic 3、Mavic 3 Classic、Mavic 3 Pro、Mavic 4 Pro、御Mavic Pro、御Mavic Air 2、FPV、Avata 2、Neo 2、Air 3、Air 3S、Mini 3、Mini 3 Pro、Mini 4 Pro、Mini 5 Pro、Mini 4K、经纬M300 RTK、Phantom 3 SE、Phantom 4 Pro V2.0、Matrice 350 RTK、Matrice 400、经纬 M200 V2、经纬M30、Matrice 4T等机型）、道通（EVO Lite、EVO II、EVO MAX 4T等机型）等；对以下类型的无人机及模拟图传/数传模块进行单站定位，WIFI无人机（大疆Phantom 3 SE）、DIY无人机及模拟图传模块/数传模块（接收机品牌含黑羊、ELRS、FRSKY、Flysky等）。【提供第三方检测机构出具的检测报告扫描件并加盖投标人公章】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6.▲探测灵敏度：应能探测到信号强度≤-112dBm的无人机信号（f=2444.5MHz）。【提供第三方检测机构出具的检测报告扫描件并加盖投标人公章】</w:t>
            </w:r>
          </w:p>
          <w:p w14:paraId="18E3E19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both"/>
              <w:textAlignment w:val="auto"/>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7.探测高度：在通视条件下，能探测到飞行高度为0m的无人机；在无明显遮挡、无明显电磁干扰的条件下，能探测到无人机的高度应≥1300m。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8.探测定位距离：在无明显雨、雪、雾天气的环境（无明显遮挡、无明显电磁干扰）条件下，通过协议解析方式对无人机的探测定位距离应≥4km。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9.位置获取准确度：在无明显雨、雪、雾天气的环境（无明显遮挡、无明显电磁干扰）条件下，通过协议解析方式获取的无人机经纬度坐标与无人机实际经纬度坐标的位置误差应≤5m，控器（飞手）经纬度坐标与遥控器（飞手）实际经纬度坐标的位置误差应≤3m；无人机飞行高度与无人机实际飞行高度的平均误差应≤1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10.探测定位跟踪速度：应能通过协议解析方式持续探测并定位到移动速度≥26m/s的无人机，并能在电子地图上显示无人机飞行轨迹。</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11.探测识别成功率：在无明显遮挡、无明显电磁干扰的条件下，对10台靶机进行探测，的探测成功率应≥99%，识别成功率应≥99%。（探测成功率=探测成功次数/总探测次数×100% 识别成功率=识别成功次数/探测成功次数×100%）</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12.同时探测数量：能同时探测并识别无人机的数量应≥35架，机型应≥35种；能同时探测并识别非大疆品牌无人机数量应≥20架，品牌数量≥10个；能同时探测并识别非大疆品牌遥控器的数量应≥15个。</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13.干扰功能：驱离和迫降干扰功能，应能通过信号干扰方式干扰无人机的图传链路、飞控链路及导航信号，驱离无人机或使无人机迫降（需无人机支持迫降或返航功能）</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14.▲干扰模式：支持手动选择模式和自动选择模式，自动选择模式（AUTO模式）下，探测到目标时按下扳机应能根据探测到的目标工作频段自动选取干扰频段并发射。【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15.发射频段数量：≥7，至少包含以下频段：433MGz、915MHz、2.4GHz、5.2GHz、5.8GHz。</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16.干扰距离：在无明显雨、雪、雾天气的环境（无明显遮挡、无明显电磁干扰）条件下，有效干扰距离应≥2km。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17.干通比：对无人机进行有效驱离时，无人机与设备之间的距离和无人机与遥控器之间的距离最大比应≥20：1。</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18.同时干扰数量：应能同时干扰无人机的数量应≥50架；能同时干扰跳频无人机的数量应≥50架。</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19.干扰成功率：在无明显遮挡、无明显电磁干扰的条件下，干扰成功率≥99%。（干扰成功率=干扰成功次数/总干扰次数×100%）</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20.诱骗发射频段：GPS：1575.42MHz±1.023MHz；GLONASS：1602.0MHz+N×0.5625MHz±0.511MHz，N取-7～6之间的整数；</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21.37.诱骗角度：角度固定的条件下，诱骗角度应满足：水平方向：±50°；俯仰方向：±30°。</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22.操作系统：应能在Android、Mac OS、Windows、Ubuntu操作系统以及银河麒麟、统信UOS等国产品牌操作系统中通过Web浏览器访问管控平台。</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23.▲无人机识别库机型数量：应能查看可支持机型列表，无人机识别库内的无人机型号应≥1000种，其中品牌数量≥250个。【提供第三方检测机构出具的检测报告扫描件并加盖投标人公章】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24.瞄准功能：具有瞄准功能，能对无人机目标进行超视距（之间的距离＞500m）瞄准；在获取无人机的经纬度和高度信息后，应能在屏幕界面显示无人机相对设备的方位角与俯仰角。</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25.目标导航功能：支持遥控器（飞手）位置一键导航，应能对探测列表中实时显示的遥控器（飞手）位置生成二维码，扫描二维码后应能联动打开地图页面并显示定位点，可通过地图页面导航至定位点。</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26.外壳防护等级：IP65。</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27.★中标后验收时需提供中华人民共和国工业和信息化部制作的无线电发射设备型号核准证原件，且型号需和核准证型号一致，未提供按不能履约处理【投标时提供承诺函，格式自拟】</w:t>
            </w:r>
          </w:p>
        </w:tc>
        <w:tc>
          <w:tcPr>
            <w:tcW w:w="855" w:type="dxa"/>
            <w:vAlign w:val="center"/>
          </w:tcPr>
          <w:p w14:paraId="5CB07C6A">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5</w:t>
            </w:r>
          </w:p>
        </w:tc>
        <w:tc>
          <w:tcPr>
            <w:tcW w:w="1342" w:type="dxa"/>
            <w:vAlign w:val="center"/>
          </w:tcPr>
          <w:p w14:paraId="5A41DB4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工业</w:t>
            </w:r>
          </w:p>
        </w:tc>
      </w:tr>
      <w:tr w14:paraId="2A3F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202B9E52">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4</w:t>
            </w:r>
          </w:p>
        </w:tc>
        <w:tc>
          <w:tcPr>
            <w:tcW w:w="1635" w:type="dxa"/>
            <w:gridSpan w:val="2"/>
            <w:vAlign w:val="center"/>
          </w:tcPr>
          <w:p w14:paraId="7561B15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手持式侦测设备</w:t>
            </w:r>
          </w:p>
        </w:tc>
        <w:tc>
          <w:tcPr>
            <w:tcW w:w="5085" w:type="dxa"/>
          </w:tcPr>
          <w:p w14:paraId="12FAF5E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1.</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显示屏：具有电容触摸屏，应支持多点触摸</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2.显示屏尺寸：≥6英寸</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3.探测距离：在无明显雨/雪/雾天气、无明显遮挡、无明显电磁干扰的环境条件下，对无人机的定位距离应≥1km</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4.探测成功率：在无明显雨/雪/雾天气、无明显遮挡、无明显电磁干扰的环境条件下，探测成功率≥99%。5.频谱探测范围50MHz～6000MHz</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定位精度：在无明显雨/雪/雾天气、无明显遮挡、无明显电磁干扰的环境条件下，探测到的经纬度坐标与无人机实际经纬度坐标的平均定位误差应≤2.5m，探测到的飞行高度与无人机实际飞行高度的平均高度误差应≤1m，探测到的经纬度坐标与遥控器（飞手）实际经纬度坐标的平均定位误差应应≤1m。【提供第三方检测机构出具的检测报告扫描件并加盖投标人公章】</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7.测向精度：在无明显雨/雪/雾天气、无明显遮挡、无明显电磁干扰的环境条件下，对无人机的测向误差应≤1°（RMS）。</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8.同一无人机入侵识别功能: 同一架无人机多次入侵时，应能整合该无人机的多条入侵信息并融合为一条信息，且整合的多条入侵信息中无人机的 SN 码应相同。</w:t>
            </w:r>
          </w:p>
          <w:p w14:paraId="4726B3D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9.目标追踪导航功能：支持无人机、遥控器（飞手）位置一键导航，应能对探测列表中实时显示的无人机、遥控器（飞手）位置生成二维码，扫描二维码后应能联动打开地图 APP并自动导航至定位点。</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10.多目标识别、定位功能：能同时探测并识别无人机的数量应≥</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10 架，具有多目标定位功能，应能同时探测并定位不少于 11架的无人机目标。</w:t>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shd w:val="clear" w:color="auto" w:fill="auto"/>
                <w:lang w:val="en-US" w:eastAsia="zh-CN" w:bidi="ar"/>
                <w14:textFill>
                  <w14:solidFill>
                    <w14:schemeClr w14:val="tx1"/>
                  </w14:solidFill>
                </w14:textFill>
              </w:rPr>
              <w:t>11.轨迹跟踪功能：能同时显示的无人机轨迹数量≥10条。</w:t>
            </w:r>
          </w:p>
        </w:tc>
        <w:tc>
          <w:tcPr>
            <w:tcW w:w="855" w:type="dxa"/>
            <w:vAlign w:val="center"/>
          </w:tcPr>
          <w:p w14:paraId="306BD093">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3</w:t>
            </w:r>
          </w:p>
        </w:tc>
        <w:tc>
          <w:tcPr>
            <w:tcW w:w="1342" w:type="dxa"/>
            <w:vAlign w:val="center"/>
          </w:tcPr>
          <w:p w14:paraId="4CADF67F">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工业</w:t>
            </w:r>
          </w:p>
        </w:tc>
      </w:tr>
      <w:tr w14:paraId="73168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646F9D4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5</w:t>
            </w:r>
          </w:p>
        </w:tc>
        <w:tc>
          <w:tcPr>
            <w:tcW w:w="1635" w:type="dxa"/>
            <w:gridSpan w:val="2"/>
            <w:vAlign w:val="center"/>
          </w:tcPr>
          <w:p w14:paraId="0D8FCB9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FPV网捕穿越机</w:t>
            </w:r>
          </w:p>
        </w:tc>
        <w:tc>
          <w:tcPr>
            <w:tcW w:w="5085" w:type="dxa"/>
          </w:tcPr>
          <w:p w14:paraId="6AE96E1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穿越机：</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1、X型轴距：≤300 mm；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2、重量：≤2 kg ；</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3、尺寸：≤300x 300 mm；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4、图传：≥ 5km (在无干扰室外空旷环境下）</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5、电机：1300KV 电池：≥ 2600 mAh；</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6、续航时间：5-10 mins；</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7、飞行速度：≥100 km/h；</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8、载重：0.8KG-1KG；</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9、遥控器功率：1000MW 遥控器距离：≥10km（在无干扰室外空旷环境下）遥控器通道数量为12；</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10、眼镜尺寸：≤210x130x110 mm 眼镜重量：≤500g 屏幕分辨率：1440 X 810；</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11、通信频率：5.725-5.850 GHz ；</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网枪：</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12、尺寸：≤80*250mm；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13、重量：≤1000g(含小气瓶）</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14、动力：气动，12g/16g小气瓶 ；</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15、最佳有效距离：8-10M；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16、训练网：3M辐射状网绳，抓捕网：≥3M*3M的15目编织网；</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 xml:space="preserve">17、重锤：≥8颗；  </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18、标准配备：训练头（不带网）×1，抓捕头（带网）×1，主体×1，动力组×2（含两气瓶和两铜片），挂钩×1，挂钩头×1，收网器×1 ；</w:t>
            </w:r>
          </w:p>
        </w:tc>
        <w:tc>
          <w:tcPr>
            <w:tcW w:w="855" w:type="dxa"/>
            <w:vAlign w:val="center"/>
          </w:tcPr>
          <w:p w14:paraId="05BA90F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5</w:t>
            </w:r>
          </w:p>
        </w:tc>
        <w:tc>
          <w:tcPr>
            <w:tcW w:w="1342" w:type="dxa"/>
            <w:vAlign w:val="center"/>
          </w:tcPr>
          <w:p w14:paraId="0CDE67E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工业</w:t>
            </w:r>
          </w:p>
        </w:tc>
      </w:tr>
      <w:tr w14:paraId="613EB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4286A74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cs="Calibri"/>
                <w:i w:val="0"/>
                <w:iCs w:val="0"/>
                <w:color w:val="000000" w:themeColor="text1"/>
                <w:kern w:val="0"/>
                <w:sz w:val="21"/>
                <w:szCs w:val="21"/>
                <w:highlight w:val="none"/>
                <w:u w:val="none"/>
                <w:lang w:val="en-US" w:eastAsia="zh-CN" w:bidi="ar"/>
                <w14:textFill>
                  <w14:solidFill>
                    <w14:schemeClr w14:val="tx1"/>
                  </w14:solidFill>
                </w14:textFill>
              </w:rPr>
              <w:t>6</w:t>
            </w:r>
          </w:p>
        </w:tc>
        <w:tc>
          <w:tcPr>
            <w:tcW w:w="1635" w:type="dxa"/>
            <w:gridSpan w:val="2"/>
            <w:vAlign w:val="center"/>
          </w:tcPr>
          <w:p w14:paraId="48920B0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手持式反制设备升级</w:t>
            </w:r>
          </w:p>
        </w:tc>
        <w:tc>
          <w:tcPr>
            <w:tcW w:w="5085" w:type="dxa"/>
          </w:tcPr>
          <w:p w14:paraId="3947D02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原有基础上升级或更换不低于以下标准的：</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1、干扰频段:</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信号源频率范围：频段1：840-845MHz、频段2：902-928MHz、频段3：1180-1280MHz、频段4：1550-1620MHz、频段5 2400-2483MHz、频段6 5720-5850MHz；</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2、覆盖角度:≥40°，管控距离覆盖:300-2000m；</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3、主机≤2.5KG，尺寸≤660*300*90；</w:t>
            </w:r>
          </w:p>
        </w:tc>
        <w:tc>
          <w:tcPr>
            <w:tcW w:w="855" w:type="dxa"/>
            <w:vAlign w:val="center"/>
          </w:tcPr>
          <w:p w14:paraId="11138559">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4</w:t>
            </w:r>
          </w:p>
        </w:tc>
        <w:tc>
          <w:tcPr>
            <w:tcW w:w="1342" w:type="dxa"/>
            <w:vAlign w:val="center"/>
          </w:tcPr>
          <w:p w14:paraId="128C7D1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工业</w:t>
            </w:r>
          </w:p>
        </w:tc>
      </w:tr>
      <w:tr w14:paraId="2E64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Merge w:val="restart"/>
            <w:vAlign w:val="center"/>
          </w:tcPr>
          <w:p w14:paraId="444B23C3">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cs="Calibri"/>
                <w:i w:val="0"/>
                <w:iCs w:val="0"/>
                <w:color w:val="000000" w:themeColor="text1"/>
                <w:kern w:val="0"/>
                <w:sz w:val="21"/>
                <w:szCs w:val="21"/>
                <w:highlight w:val="none"/>
                <w:u w:val="none"/>
                <w:lang w:val="en-US" w:eastAsia="zh-CN" w:bidi="ar"/>
                <w14:textFill>
                  <w14:solidFill>
                    <w14:schemeClr w14:val="tx1"/>
                  </w14:solidFill>
                </w14:textFill>
              </w:rPr>
            </w:pPr>
            <w:r>
              <w:rPr>
                <w:rFonts w:hint="eastAsia" w:cs="Calibri"/>
                <w:i w:val="0"/>
                <w:iCs w:val="0"/>
                <w:color w:val="000000" w:themeColor="text1"/>
                <w:kern w:val="0"/>
                <w:sz w:val="21"/>
                <w:szCs w:val="21"/>
                <w:highlight w:val="none"/>
                <w:u w:val="none"/>
                <w:lang w:val="en-US" w:eastAsia="zh-CN" w:bidi="ar"/>
                <w14:textFill>
                  <w14:solidFill>
                    <w14:schemeClr w14:val="tx1"/>
                  </w14:solidFill>
                </w14:textFill>
              </w:rPr>
              <w:t>7</w:t>
            </w:r>
          </w:p>
        </w:tc>
        <w:tc>
          <w:tcPr>
            <w:tcW w:w="825" w:type="dxa"/>
            <w:vMerge w:val="restart"/>
            <w:vAlign w:val="center"/>
          </w:tcPr>
          <w:p w14:paraId="0C1284C7">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侦测与反制车升级</w:t>
            </w:r>
          </w:p>
        </w:tc>
        <w:tc>
          <w:tcPr>
            <w:tcW w:w="810" w:type="dxa"/>
            <w:vAlign w:val="center"/>
          </w:tcPr>
          <w:p w14:paraId="6F7E3A7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车内部、顶部固件定制</w:t>
            </w:r>
          </w:p>
        </w:tc>
        <w:tc>
          <w:tcPr>
            <w:tcW w:w="5085" w:type="dxa"/>
          </w:tcPr>
          <w:p w14:paraId="5BFF170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1、对车内进行预埋以及加强处理，增加顶部防辐射层和固定部件，骨架优化。</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2、配电系统：直流、交流、网络分开走线，配置防雷防电涌保护器、漏电保护器、直流保险、控制面板等。</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3.电源时序器：大功电源时序器，带滤波工程版。</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4.外接电源：车载专用户外防水插头及插座，含5米转接线缆。</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5.控制系统显示器：≥19寸，显示比例16：9，车载安装设计，带HDMI高清接口，分辨率1920×1080。</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6.警示系统：全车红蓝小长条警灯4套，警报器控制。</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7.改装线束：国标汽车专用线束，采用隐藏式布线方式布置，穿线孔出进行防割处理，如果涉及车顶穿线孔需进行防水处理。</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8.★增加自发电供电系统，无需接市电，持续供电保障，车辆可长时间野外作业，系统可独立使用，工作状态下表面温度≤60℃，1米处噪声≤60分贝，单组重量≤1.5kg，系统存储电量≥600wh，电极比能量大于2.8kwh/kg；【提供第三方检测机构出具的检测报告扫描件并加盖投标人公章】</w:t>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br w:type="textWrapping"/>
            </w: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9.★增加防闯系统，对因各种原因闯入警戒区域内的人或机动车辆进行警示，预警系统可视距离≥500米，当外来车辆撞击预警系统时，预警器应在 20ms 内发出无线报警信号，报警器接收到报警信号后，人员身上的肩灯双列红色指示灯应闪烁，并发出声音报警及振动报警，肩灯警示音响≥70分贝，可自行选择按下停止报警【提供第三方检测机构出具的检测报告扫描件并加盖投标人公章】</w:t>
            </w:r>
          </w:p>
        </w:tc>
        <w:tc>
          <w:tcPr>
            <w:tcW w:w="855" w:type="dxa"/>
            <w:vAlign w:val="center"/>
          </w:tcPr>
          <w:p w14:paraId="106CCB5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w:t>
            </w:r>
          </w:p>
        </w:tc>
        <w:tc>
          <w:tcPr>
            <w:tcW w:w="1342" w:type="dxa"/>
            <w:vAlign w:val="center"/>
          </w:tcPr>
          <w:p w14:paraId="44BA8E2E">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工业</w:t>
            </w:r>
          </w:p>
          <w:p w14:paraId="364C0EA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p>
        </w:tc>
      </w:tr>
      <w:tr w14:paraId="03302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Merge w:val="continue"/>
          </w:tcPr>
          <w:p w14:paraId="3BB4814F">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cs="Calibri"/>
                <w:i w:val="0"/>
                <w:iCs w:val="0"/>
                <w:color w:val="000000" w:themeColor="text1"/>
                <w:kern w:val="0"/>
                <w:sz w:val="21"/>
                <w:szCs w:val="21"/>
                <w:highlight w:val="none"/>
                <w:u w:val="none"/>
                <w:lang w:val="en-US" w:eastAsia="zh-CN" w:bidi="ar"/>
                <w14:textFill>
                  <w14:solidFill>
                    <w14:schemeClr w14:val="tx1"/>
                  </w14:solidFill>
                </w14:textFill>
              </w:rPr>
            </w:pPr>
          </w:p>
        </w:tc>
        <w:tc>
          <w:tcPr>
            <w:tcW w:w="825" w:type="dxa"/>
            <w:vMerge w:val="continue"/>
          </w:tcPr>
          <w:p w14:paraId="45F3926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810" w:type="dxa"/>
            <w:vAlign w:val="center"/>
          </w:tcPr>
          <w:p w14:paraId="1EBB553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车载式无人机防御系统</w:t>
            </w:r>
          </w:p>
        </w:tc>
        <w:tc>
          <w:tcPr>
            <w:tcW w:w="5085" w:type="dxa"/>
          </w:tcPr>
          <w:p w14:paraId="202612D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1.无源探测：设备应为无源探测，在探测状态下，不主动发射无线信号。</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2.探测范围：频率范围为30MHz-6000MHz。</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3.▲重点频段：330MHz、433MHz、840MHz-900MHz、915MHz、933MHz、1.2GHz、1.1GHz-1.3GHz、1.4GHz、2.4GHz、4.9GHz、5.1GHz-5.9GHz无人机信号。【提供第三方检测机构出具的检测报告扫描件并加盖投标人公章】</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4.探测定位：设备应能通过协议解析方式对无人机进行定位，并在探测列表实施显示探测到的无人机品牌型号、SN码、工作频率、经纬度坐标、方位、距离、飞行高度、飞行速度、起航点等信息，并能在电子地图上显示无人机位置坐标、入侵角度和飞行轨迹。探测设备定位到无人机后，应能在探测列表实时显示遥控器（飞手）经纬度坐标，并能在电子地图上显示遥控器（飞手）位置坐标。应能在软件界面显示瀑布图。</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5.定位机型：设备应能识别各无人机的电子指纹ID并进行单站定位，可定位品牌类型应覆盖大疆、Wi-Fi无人机、DIY无人机。</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6.精准识别：应能探测、识别并区分多架同品牌、同型号、同频段的无人机。</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7.探测距离：设备应能探测定位无人机的距离为≥3km。</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8.探测角度：水平方向：0°-360°，垂直方向：0°-+90°。</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9.探测高度：0-1200m。</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10.定位精度：设备探测到的经纬度坐标与无人机实际经纬度坐标的定位误差应≤6m；设备探测到的经纬度坐标与遥控器（飞手）实际经纬度坐标的定位误差应≤5m；设备探测到的飞行高度与无人机实际飞行高度的误差应≤4m。响应时间：设备开启探测功能至指控软件报警所需时间应≤2s。</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11.成功率：设备探测成功率应≥98%，识别成功率应≥99%。</w:t>
            </w:r>
            <w:bookmarkStart w:id="210" w:name="_GoBack"/>
            <w:bookmarkEnd w:id="210"/>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12.探测数量：设备应能同时探测并识别无人机的数量≥23架，品牌数量≥7种；能同时探测并识别非大疆品牌遥控器数量应≥8个，型号应≥6种。</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13.跳频跟踪：设备应具备多目标跳频信号跟踪功能，目标无人机改变工作频段后，系统应能自动跟踪、并识别为同一架次无人机，并在电子地图上显示为同一条轨迹。</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14.同一无人机入侵识别：设备应能识别同一架无人机的多波次入侵并整合该无人机的入侵信息。</w:t>
            </w:r>
          </w:p>
          <w:p w14:paraId="673473D5">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15.</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组网定位：设备应能通过2台设备组网探测对无人机进行AOA交叉定位，并能在电子地图上显示无人机位置图标，应能通过与其他探测设备（≥2台）组网对无人机进行TDOA定位，并能</w:t>
            </w:r>
            <w:r>
              <w:rPr>
                <w:rFonts w:hint="eastAsia" w:ascii="宋体" w:hAnsi="宋体" w:cs="宋体"/>
                <w:color w:val="000000" w:themeColor="text1"/>
                <w:kern w:val="0"/>
                <w:szCs w:val="21"/>
                <w:highlight w:val="none"/>
                <w:lang w:val="en-US" w:eastAsia="zh-CN"/>
                <w14:textFill>
                  <w14:solidFill>
                    <w14:schemeClr w14:val="tx1"/>
                  </w14:solidFill>
                </w14:textFill>
              </w:rPr>
              <w:t>在电子地图上显示无人机位置图标（需在其他探测设备支持TDOA定位功能）。</w:t>
            </w:r>
            <w:r>
              <w:rPr>
                <w:rFonts w:hint="eastAsia" w:ascii="宋体" w:hAnsi="宋体" w:cs="宋体"/>
                <w:color w:val="000000" w:themeColor="text1"/>
                <w:kern w:val="0"/>
                <w:szCs w:val="21"/>
                <w:highlight w:val="none"/>
                <w:lang w:val="en-US" w:eastAsia="zh-CN"/>
                <w14:textFill>
                  <w14:solidFill>
                    <w14:schemeClr w14:val="tx1"/>
                  </w14:solidFill>
                </w14:textFill>
              </w:rPr>
              <w:br w:type="textWrapping"/>
            </w:r>
            <w:r>
              <w:rPr>
                <w:rFonts w:hint="eastAsia" w:ascii="宋体" w:hAnsi="宋体" w:cs="宋体"/>
                <w:color w:val="000000" w:themeColor="text1"/>
                <w:kern w:val="0"/>
                <w:szCs w:val="21"/>
                <w:highlight w:val="none"/>
                <w:lang w:val="en-US" w:eastAsia="zh-CN"/>
                <w14:textFill>
                  <w14:solidFill>
                    <w14:schemeClr w14:val="tx1"/>
                  </w14:solidFill>
                </w14:textFill>
              </w:rPr>
              <w:t>16.干扰功能：设备应具备无人机干扰功能，应能通过信号干扰方式干扰无人机的图传链路、飞控链路及导航信号，区里无人机或使无人机迫降。设备应具备单模块独立发射或多模块组合同时发射。</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17.▲精准打击：设备应能在多架同一型号、同一频段、同一方位的无人机目标中，精准打击指定无人机，而不影响其他非指定无人机的正常控制飞行。【提供第三方检测机构出具的检测报告扫描件并加盖投标人公章】</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18.模拟图传：设备应能通过管理平台实时显示探测到的穿越机图传画面。</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19.无人值守：设备应具有无人值守功能，无人值守模式下，设备侦测、识别到无人机后应能发出报警并自动按预设指令发射干扰/诱骗信号，无人值守模式下，设备应能设置宽频干扰、精准打击、GNSS诱骗、白名单保护等干扰方式。</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20.黑白名单：设备具有黑白名单功能，无需使用无线电信标、识别卡等第三方固件，探测到白名单内的无人机时应不触发报警，无人机多次入侵预警圈内后，应能自动标记该无人机黑名单标识，设备能通过识别码和机型手动添加黑、白名单内的无人机。</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21.ADS-B功能：系统应具有ADS-B接收功能，应能接收ADS-B信号并在电子地图上显示周边民航飞机的飞行状态。</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22.外壳防护等级：IP66</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23.★中标后验收时需提供中华人民共和国工业和信息化部制作的无线电发射设备型号核准证原件，且型号需和核准证型号一致，未提供按不能履约处理【投标时提供承诺函，格式自拟】。</w:t>
            </w:r>
          </w:p>
        </w:tc>
        <w:tc>
          <w:tcPr>
            <w:tcW w:w="855" w:type="dxa"/>
            <w:vAlign w:val="center"/>
          </w:tcPr>
          <w:p w14:paraId="10F5CAA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1</w:t>
            </w:r>
          </w:p>
        </w:tc>
        <w:tc>
          <w:tcPr>
            <w:tcW w:w="1342" w:type="dxa"/>
            <w:vAlign w:val="center"/>
          </w:tcPr>
          <w:p w14:paraId="663C5B8E">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default" w:ascii="宋体" w:hAnsi="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color w:val="000000" w:themeColor="text1"/>
                <w:sz w:val="21"/>
                <w:szCs w:val="21"/>
                <w:highlight w:val="none"/>
                <w:shd w:val="clear" w:color="auto" w:fill="auto"/>
                <w:lang w:val="en-US" w:eastAsia="zh-CN"/>
                <w14:textFill>
                  <w14:solidFill>
                    <w14:schemeClr w14:val="tx1"/>
                  </w14:solidFill>
                </w14:textFill>
              </w:rPr>
              <w:t>工业</w:t>
            </w:r>
          </w:p>
        </w:tc>
      </w:tr>
    </w:tbl>
    <w:p w14:paraId="5C201173">
      <w:pPr>
        <w:numPr>
          <w:ilvl w:val="0"/>
          <w:numId w:val="0"/>
        </w:numPr>
        <w:spacing w:line="360" w:lineRule="auto"/>
        <w:ind w:firstLine="422" w:firstLineChars="200"/>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pPr>
    </w:p>
    <w:p w14:paraId="3E0CD1BB">
      <w:pPr>
        <w:numPr>
          <w:ilvl w:val="0"/>
          <w:numId w:val="0"/>
        </w:numPr>
        <w:spacing w:line="360" w:lineRule="auto"/>
        <w:ind w:firstLine="422" w:firstLineChars="200"/>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pPr>
    </w:p>
    <w:p w14:paraId="08BEEDE2">
      <w:pPr>
        <w:keepNext w:val="0"/>
        <w:keepLines w:val="0"/>
        <w:pageBreakBefore w:val="0"/>
        <w:numPr>
          <w:ilvl w:val="0"/>
          <w:numId w:val="0"/>
        </w:numPr>
        <w:tabs>
          <w:tab w:val="left" w:pos="0"/>
        </w:tabs>
        <w:kinsoku/>
        <w:wordWrap/>
        <w:overflowPunct/>
        <w:topLinePunct w:val="0"/>
        <w:autoSpaceDE/>
        <w:autoSpaceDN/>
        <w:bidi w:val="0"/>
        <w:spacing w:line="360" w:lineRule="auto"/>
        <w:textAlignment w:val="auto"/>
        <w:rPr>
          <w:rFonts w:hint="eastAsia" w:ascii="宋体" w:hAnsi="宋体" w:eastAsia="宋体" w:cs="宋体"/>
          <w:i/>
          <w:iCs/>
          <w:color w:val="000000" w:themeColor="text1"/>
          <w:szCs w:val="21"/>
          <w:highlight w:val="none"/>
          <w:u w:val="single"/>
          <w:lang w:val="zh-CN"/>
          <w14:textFill>
            <w14:solidFill>
              <w14:schemeClr w14:val="tx1"/>
            </w14:solidFill>
          </w14:textFill>
        </w:rPr>
      </w:pPr>
      <w:bookmarkStart w:id="178" w:name="OLE_LINK7"/>
      <w:bookmarkStart w:id="179" w:name="OLE_LINK8"/>
      <w:r>
        <w:rPr>
          <w:rFonts w:hint="eastAsia" w:ascii="宋体" w:hAnsi="宋体" w:eastAsia="宋体" w:cs="宋体"/>
          <w:i/>
          <w:iCs/>
          <w:color w:val="000000" w:themeColor="text1"/>
          <w:szCs w:val="21"/>
          <w:highlight w:val="none"/>
          <w:u w:val="single"/>
          <w14:textFill>
            <w14:solidFill>
              <w14:schemeClr w14:val="tx1"/>
            </w14:solidFill>
          </w14:textFill>
        </w:rPr>
        <w:t>本招标文件</w:t>
      </w:r>
      <w:r>
        <w:rPr>
          <w:rFonts w:hint="eastAsia" w:ascii="宋体" w:hAnsi="宋体" w:cs="宋体"/>
          <w:i/>
          <w:iCs/>
          <w:color w:val="000000" w:themeColor="text1"/>
          <w:szCs w:val="21"/>
          <w:highlight w:val="none"/>
          <w:u w:val="single"/>
          <w:lang w:eastAsia="zh-CN"/>
          <w14:textFill>
            <w14:solidFill>
              <w14:schemeClr w14:val="tx1"/>
            </w14:solidFill>
          </w14:textFill>
        </w:rPr>
        <w:t>中“</w:t>
      </w:r>
      <w:r>
        <w:rPr>
          <w:rFonts w:hint="eastAsia" w:ascii="宋体" w:hAnsi="宋体" w:cs="宋体"/>
          <w:i/>
          <w:iCs/>
          <w:color w:val="000000" w:themeColor="text1"/>
          <w:szCs w:val="21"/>
          <w:highlight w:val="none"/>
          <w:u w:val="single"/>
          <w:lang w:val="en-US" w:eastAsia="zh-CN"/>
          <w14:textFill>
            <w14:solidFill>
              <w14:schemeClr w14:val="tx1"/>
            </w14:solidFill>
          </w14:textFill>
        </w:rPr>
        <w:t>▲</w:t>
      </w:r>
      <w:r>
        <w:rPr>
          <w:rFonts w:hint="eastAsia" w:ascii="宋体" w:hAnsi="宋体" w:cs="宋体"/>
          <w:i/>
          <w:iCs/>
          <w:color w:val="000000" w:themeColor="text1"/>
          <w:szCs w:val="21"/>
          <w:highlight w:val="none"/>
          <w:u w:val="single"/>
          <w:lang w:eastAsia="zh-CN"/>
          <w14:textFill>
            <w14:solidFill>
              <w14:schemeClr w14:val="tx1"/>
            </w14:solidFill>
          </w14:textFill>
        </w:rPr>
        <w:t>”以外参数为</w:t>
      </w:r>
      <w:r>
        <w:rPr>
          <w:rFonts w:hint="eastAsia" w:ascii="宋体" w:hAnsi="宋体" w:eastAsia="宋体" w:cs="宋体"/>
          <w:i/>
          <w:iCs/>
          <w:color w:val="000000" w:themeColor="text1"/>
          <w:szCs w:val="21"/>
          <w:highlight w:val="none"/>
          <w:u w:val="single"/>
          <w14:textFill>
            <w14:solidFill>
              <w14:schemeClr w14:val="tx1"/>
            </w14:solidFill>
          </w14:textFill>
        </w:rPr>
        <w:t>实质性要求和条件</w:t>
      </w:r>
      <w:bookmarkEnd w:id="178"/>
      <w:bookmarkEnd w:id="179"/>
      <w:r>
        <w:rPr>
          <w:rFonts w:hint="eastAsia" w:ascii="宋体" w:hAnsi="宋体" w:eastAsia="宋体" w:cs="宋体"/>
          <w:i/>
          <w:iCs/>
          <w:color w:val="000000" w:themeColor="text1"/>
          <w:szCs w:val="21"/>
          <w:highlight w:val="none"/>
          <w:u w:val="single"/>
          <w14:textFill>
            <w14:solidFill>
              <w14:schemeClr w14:val="tx1"/>
            </w14:solidFill>
          </w14:textFill>
        </w:rPr>
        <w:t>，不允许负偏离，否则作为不实质响应招标文件处理。</w:t>
      </w:r>
      <w:r>
        <w:rPr>
          <w:rFonts w:hint="eastAsia" w:ascii="宋体" w:hAnsi="宋体" w:eastAsia="宋体" w:cs="宋体"/>
          <w:i/>
          <w:iCs/>
          <w:color w:val="000000" w:themeColor="text1"/>
          <w:szCs w:val="21"/>
          <w:highlight w:val="none"/>
          <w:u w:val="single"/>
          <w:lang w:val="zh-CN"/>
          <w14:textFill>
            <w14:solidFill>
              <w14:schemeClr w14:val="tx1"/>
            </w14:solidFill>
          </w14:textFill>
        </w:rPr>
        <w:t>以投标人提供的《技术要求响应及偏离表》</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或</w:t>
      </w:r>
      <w:r>
        <w:rPr>
          <w:rFonts w:hint="eastAsia" w:ascii="宋体" w:hAnsi="宋体" w:cs="宋体"/>
          <w:i/>
          <w:iCs/>
          <w:color w:val="000000" w:themeColor="text1"/>
          <w:szCs w:val="21"/>
          <w:highlight w:val="none"/>
          <w:u w:val="single"/>
          <w:lang w:val="en-US" w:eastAsia="zh-CN"/>
          <w14:textFill>
            <w14:solidFill>
              <w14:schemeClr w14:val="tx1"/>
            </w14:solidFill>
          </w14:textFill>
        </w:rPr>
        <w:t>要求提供的证明材料</w:t>
      </w:r>
      <w:r>
        <w:rPr>
          <w:rFonts w:hint="eastAsia" w:ascii="宋体" w:hAnsi="宋体" w:eastAsia="宋体" w:cs="宋体"/>
          <w:i/>
          <w:iCs/>
          <w:color w:val="000000" w:themeColor="text1"/>
          <w:szCs w:val="21"/>
          <w:highlight w:val="none"/>
          <w:u w:val="single"/>
          <w:lang w:val="zh-CN"/>
          <w14:textFill>
            <w14:solidFill>
              <w14:schemeClr w14:val="tx1"/>
            </w14:solidFill>
          </w14:textFill>
        </w:rPr>
        <w:t>加盖</w:t>
      </w:r>
      <w:r>
        <w:rPr>
          <w:rFonts w:hint="eastAsia" w:ascii="宋体" w:hAnsi="宋体" w:cs="宋体"/>
          <w:i/>
          <w:iCs/>
          <w:color w:val="000000" w:themeColor="text1"/>
          <w:szCs w:val="21"/>
          <w:highlight w:val="none"/>
          <w:u w:val="single"/>
          <w:lang w:val="en-US" w:eastAsia="zh-CN"/>
          <w14:textFill>
            <w14:solidFill>
              <w14:schemeClr w14:val="tx1"/>
            </w14:solidFill>
          </w14:textFill>
        </w:rPr>
        <w:t>投标人</w:t>
      </w:r>
      <w:r>
        <w:rPr>
          <w:rFonts w:hint="eastAsia" w:ascii="宋体" w:hAnsi="宋体" w:eastAsia="宋体" w:cs="宋体"/>
          <w:i/>
          <w:iCs/>
          <w:color w:val="000000" w:themeColor="text1"/>
          <w:szCs w:val="21"/>
          <w:highlight w:val="none"/>
          <w:u w:val="single"/>
          <w:lang w:val="zh-CN"/>
          <w14:textFill>
            <w14:solidFill>
              <w14:schemeClr w14:val="tx1"/>
            </w14:solidFill>
          </w14:textFill>
        </w:rPr>
        <w:t>公章为准。</w:t>
      </w:r>
    </w:p>
    <w:p w14:paraId="5FEC17FF">
      <w:pPr>
        <w:keepNext w:val="0"/>
        <w:keepLines w:val="0"/>
        <w:pageBreakBefore w:val="0"/>
        <w:numPr>
          <w:ilvl w:val="0"/>
          <w:numId w:val="0"/>
        </w:numPr>
        <w:kinsoku/>
        <w:wordWrap/>
        <w:overflowPunct/>
        <w:topLinePunct w:val="0"/>
        <w:autoSpaceDE/>
        <w:autoSpaceDN/>
        <w:bidi w:val="0"/>
        <w:spacing w:line="360" w:lineRule="auto"/>
        <w:ind w:firstLine="422" w:firstLineChars="200"/>
        <w:textAlignment w:val="auto"/>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注：</w:t>
      </w:r>
      <w:r>
        <w:rPr>
          <w:rFonts w:hint="eastAsia"/>
          <w:b/>
          <w:bCs/>
          <w:color w:val="000000" w:themeColor="text1"/>
          <w:highlight w:val="none"/>
          <w14:textFill>
            <w14:solidFill>
              <w14:schemeClr w14:val="tx1"/>
            </w14:solidFill>
          </w14:textFill>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b/>
          <w:bCs/>
          <w:color w:val="000000" w:themeColor="text1"/>
          <w:highlight w:val="none"/>
          <w:lang w:eastAsia="zh-CN"/>
          <w14:textFill>
            <w14:solidFill>
              <w14:schemeClr w14:val="tx1"/>
            </w14:solidFill>
          </w14:textFill>
        </w:rPr>
        <w:t>。</w:t>
      </w:r>
    </w:p>
    <w:p w14:paraId="4A0F1BAE">
      <w:pPr>
        <w:widowControl/>
        <w:adjustRightInd w:val="0"/>
        <w:snapToGrid w:val="0"/>
        <w:spacing w:line="480" w:lineRule="exact"/>
        <w:ind w:firstLine="422" w:firstLineChars="200"/>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三、供货日期及质保期限：</w:t>
      </w:r>
    </w:p>
    <w:p w14:paraId="05863D0D">
      <w:pPr>
        <w:widowControl/>
        <w:adjustRightInd w:val="0"/>
        <w:snapToGrid w:val="0"/>
        <w:spacing w:line="48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1.供货日期：</w:t>
      </w:r>
      <w:r>
        <w:rPr>
          <w:rFonts w:hint="eastAsia" w:ascii="宋体" w:hAnsi="宋体" w:cs="宋体"/>
          <w:color w:val="000000" w:themeColor="text1"/>
          <w:kern w:val="0"/>
          <w:szCs w:val="21"/>
          <w:highlight w:val="none"/>
          <w14:textFill>
            <w14:solidFill>
              <w14:schemeClr w14:val="tx1"/>
            </w14:solidFill>
          </w14:textFill>
        </w:rPr>
        <w:t>中标通知书签发后</w:t>
      </w:r>
      <w:r>
        <w:rPr>
          <w:rFonts w:hint="eastAsia" w:ascii="宋体" w:hAnsi="宋体" w:cs="宋体"/>
          <w:color w:val="000000" w:themeColor="text1"/>
          <w:kern w:val="0"/>
          <w:szCs w:val="21"/>
          <w:highlight w:val="none"/>
          <w:u w:val="single"/>
          <w:lang w:val="en-US" w:eastAsia="zh-CN"/>
          <w14:textFill>
            <w14:solidFill>
              <w14:schemeClr w14:val="tx1"/>
            </w14:solidFill>
          </w14:textFill>
        </w:rPr>
        <w:t>2</w:t>
      </w:r>
      <w:r>
        <w:rPr>
          <w:rFonts w:hint="eastAsia" w:ascii="宋体" w:hAnsi="宋体" w:cs="宋体"/>
          <w:color w:val="000000" w:themeColor="text1"/>
          <w:kern w:val="0"/>
          <w:szCs w:val="21"/>
          <w:highlight w:val="none"/>
          <w:u w:val="single"/>
          <w14:textFill>
            <w14:solidFill>
              <w14:schemeClr w14:val="tx1"/>
            </w14:solidFill>
          </w14:textFill>
        </w:rPr>
        <w:t>0</w:t>
      </w:r>
      <w:r>
        <w:rPr>
          <w:rFonts w:hint="eastAsia" w:ascii="宋体" w:hAnsi="宋体" w:cs="宋体"/>
          <w:color w:val="000000" w:themeColor="text1"/>
          <w:kern w:val="0"/>
          <w:szCs w:val="21"/>
          <w:highlight w:val="none"/>
          <w14:textFill>
            <w14:solidFill>
              <w14:schemeClr w14:val="tx1"/>
            </w14:solidFill>
          </w14:textFill>
        </w:rPr>
        <w:t>日历天内完成所有货物的采购、制作、供货、安装并验收合格交付招标人使用</w:t>
      </w:r>
      <w:r>
        <w:rPr>
          <w:rFonts w:hint="eastAsia" w:ascii="宋体" w:hAnsi="宋体" w:cs="宋体"/>
          <w:color w:val="000000" w:themeColor="text1"/>
          <w:szCs w:val="21"/>
          <w:highlight w:val="none"/>
          <w14:textFill>
            <w14:solidFill>
              <w14:schemeClr w14:val="tx1"/>
            </w14:solidFill>
          </w14:textFill>
        </w:rPr>
        <w:t>；</w:t>
      </w:r>
    </w:p>
    <w:p w14:paraId="5F7DFCD0">
      <w:pPr>
        <w:widowControl/>
        <w:adjustRightInd w:val="0"/>
        <w:snapToGrid w:val="0"/>
        <w:spacing w:line="48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2.供货地点：招标人指定地点。</w:t>
      </w:r>
    </w:p>
    <w:p w14:paraId="0936B110">
      <w:pPr>
        <w:widowControl/>
        <w:adjustRightInd w:val="0"/>
        <w:snapToGrid w:val="0"/>
        <w:spacing w:line="48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3.质保期限：至少</w:t>
      </w:r>
      <w:r>
        <w:rPr>
          <w:rFonts w:hint="eastAsia" w:ascii="宋体" w:hAnsi="宋体" w:cs="宋体"/>
          <w:color w:val="000000" w:themeColor="text1"/>
          <w:szCs w:val="21"/>
          <w:highlight w:val="none"/>
          <w:u w:val="single"/>
          <w14:textFill>
            <w14:solidFill>
              <w14:schemeClr w14:val="tx1"/>
            </w14:solidFill>
          </w14:textFill>
        </w:rPr>
        <w:t>3</w:t>
      </w:r>
      <w:r>
        <w:rPr>
          <w:rFonts w:hint="eastAsia" w:ascii="宋体" w:hAnsi="宋体" w:cs="宋体"/>
          <w:color w:val="000000" w:themeColor="text1"/>
          <w:kern w:val="0"/>
          <w:szCs w:val="21"/>
          <w:highlight w:val="none"/>
          <w14:textFill>
            <w14:solidFill>
              <w14:schemeClr w14:val="tx1"/>
            </w14:solidFill>
          </w14:textFill>
        </w:rPr>
        <w:t>年；</w:t>
      </w:r>
    </w:p>
    <w:p w14:paraId="5B26B0A1">
      <w:pPr>
        <w:widowControl/>
        <w:adjustRightInd w:val="0"/>
        <w:snapToGrid w:val="0"/>
        <w:spacing w:line="480" w:lineRule="exact"/>
        <w:ind w:firstLine="420" w:firstLineChars="200"/>
        <w:jc w:val="left"/>
        <w:rPr>
          <w:rFonts w:eastAsia="仿宋_GB2312"/>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4.质量标准：货物质量等级为“合格”，并符合招标文件中技术需求、国家现行的相关规范标准及有关部门最新颁布的相应的最新标准；项目确保按规范和标准验收，且达国家合格标准。</w:t>
      </w:r>
    </w:p>
    <w:p w14:paraId="2598B115">
      <w:pPr>
        <w:widowControl/>
        <w:snapToGrid w:val="0"/>
        <w:spacing w:line="480" w:lineRule="exact"/>
        <w:ind w:firstLine="422" w:firstLineChars="200"/>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四、付款方式：</w:t>
      </w:r>
    </w:p>
    <w:p w14:paraId="15D4F590">
      <w:pPr>
        <w:pStyle w:val="31"/>
        <w:spacing w:beforeAutospacing="0" w:afterAutospacing="0" w:line="480" w:lineRule="exact"/>
        <w:ind w:right="210" w:firstLine="420"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合同签订后，招标人收到预付款发票后10个工作日内支付合同总价30%的预付款；项目完成、发票齐全、项目验收合格后支付至合同价的70%；审计结束后付至审定价的95%；尾款于项目质保期满后一次性付清（无息）。</w:t>
      </w:r>
    </w:p>
    <w:p w14:paraId="500B8CA9">
      <w:pPr>
        <w:tabs>
          <w:tab w:val="left" w:pos="900"/>
        </w:tabs>
        <w:spacing w:line="44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五</w:t>
      </w:r>
      <w:r>
        <w:rPr>
          <w:rFonts w:hint="eastAsia" w:ascii="宋体" w:hAnsi="宋体"/>
          <w:b/>
          <w:color w:val="000000" w:themeColor="text1"/>
          <w:szCs w:val="21"/>
          <w:highlight w:val="none"/>
          <w14:textFill>
            <w14:solidFill>
              <w14:schemeClr w14:val="tx1"/>
            </w14:solidFill>
          </w14:textFill>
        </w:rPr>
        <w:t>、质量保证</w:t>
      </w:r>
    </w:p>
    <w:p w14:paraId="3E69DF80">
      <w:pPr>
        <w:pStyle w:val="31"/>
        <w:spacing w:beforeAutospacing="0" w:afterAutospacing="0" w:line="480" w:lineRule="exact"/>
        <w:ind w:right="210"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1、中标人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供应商承担。</w:t>
      </w:r>
    </w:p>
    <w:p w14:paraId="05F89FE0">
      <w:pPr>
        <w:pStyle w:val="31"/>
        <w:spacing w:beforeAutospacing="0" w:afterAutospacing="0" w:line="480" w:lineRule="exact"/>
        <w:ind w:right="210"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2、履行中标人在其投标文件中的服务承诺。</w:t>
      </w:r>
    </w:p>
    <w:p w14:paraId="0DA68A45">
      <w:pPr>
        <w:pStyle w:val="31"/>
        <w:spacing w:beforeAutospacing="0" w:afterAutospacing="0" w:line="480" w:lineRule="exact"/>
        <w:ind w:right="210"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3、若货物验收时货物质量不能满足要求，招标人有权要求更换，同时有权提出索赔，所产生的一切费用（含所有检验费用）由中标人承担。</w:t>
      </w:r>
    </w:p>
    <w:p w14:paraId="599C6628">
      <w:pPr>
        <w:widowControl/>
        <w:adjustRightInd w:val="0"/>
        <w:snapToGrid w:val="0"/>
        <w:spacing w:line="480" w:lineRule="exact"/>
        <w:ind w:firstLine="422" w:firstLineChars="200"/>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六、</w:t>
      </w:r>
      <w:r>
        <w:rPr>
          <w:rFonts w:hint="eastAsia" w:ascii="宋体" w:hAnsi="宋体"/>
          <w:b/>
          <w:color w:val="000000" w:themeColor="text1"/>
          <w:szCs w:val="21"/>
          <w:highlight w:val="none"/>
          <w:lang w:val="en-US" w:eastAsia="zh-CN"/>
          <w14:textFill>
            <w14:solidFill>
              <w14:schemeClr w14:val="tx1"/>
            </w14:solidFill>
          </w14:textFill>
        </w:rPr>
        <w:t>质保期</w:t>
      </w:r>
    </w:p>
    <w:p w14:paraId="69864BEC">
      <w:pPr>
        <w:spacing w:line="480" w:lineRule="exact"/>
        <w:ind w:right="-105" w:rightChars="-50" w:firstLine="420" w:firstLineChars="200"/>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人在满足项目需求最低质量保修期3年基础上，增加免费质量保修期的优先。免费质量保修期间产生的所有保修相关费用（包含人工费、备品备件、耗材、服务费、税金以及保修期间涉及到的其他一切费用）应全部由投标人承担。</w:t>
      </w:r>
    </w:p>
    <w:p w14:paraId="0AA60183">
      <w:pPr>
        <w:spacing w:line="360" w:lineRule="auto"/>
        <w:ind w:firstLine="422" w:firstLineChars="200"/>
        <w:rPr>
          <w:rFonts w:ascii="宋体" w:hAnsi="宋体" w:eastAsia="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七、</w:t>
      </w:r>
      <w:r>
        <w:rPr>
          <w:rFonts w:hint="eastAsia" w:ascii="宋体" w:hAnsi="宋体" w:eastAsia="宋体" w:cs="宋体"/>
          <w:b/>
          <w:color w:val="000000" w:themeColor="text1"/>
          <w:szCs w:val="21"/>
          <w:highlight w:val="none"/>
          <w14:textFill>
            <w14:solidFill>
              <w14:schemeClr w14:val="tx1"/>
            </w14:solidFill>
          </w14:textFill>
        </w:rPr>
        <w:t>企业实力</w:t>
      </w:r>
    </w:p>
    <w:p w14:paraId="556B591F">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为了择优选择中标人，体现企业实力，投标人具有质量管理体系认证证书、</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环境管理体系认证证书、职业健康安全管理体系认证证书、售后服务认证证书</w:t>
      </w:r>
      <w:r>
        <w:rPr>
          <w:rFonts w:hint="eastAsia" w:ascii="宋体" w:hAnsi="宋体" w:cs="宋体" w:eastAsiaTheme="minorEastAsia"/>
          <w:color w:val="000000" w:themeColor="text1"/>
          <w:kern w:val="0"/>
          <w:sz w:val="21"/>
          <w:szCs w:val="21"/>
          <w:highlight w:val="none"/>
          <w14:textFill>
            <w14:solidFill>
              <w14:schemeClr w14:val="tx1"/>
            </w14:solidFill>
          </w14:textFill>
        </w:rPr>
        <w:t>的优先。</w:t>
      </w:r>
    </w:p>
    <w:p w14:paraId="62B087C5">
      <w:pPr>
        <w:spacing w:line="480" w:lineRule="exact"/>
        <w:ind w:right="-105" w:rightChars="-50" w:firstLine="422" w:firstLineChars="200"/>
        <w:rPr>
          <w:rFonts w:ascii="宋体" w:hAnsi="宋体" w:cs="宋体"/>
          <w:b/>
          <w:bCs/>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八、</w:t>
      </w:r>
      <w:r>
        <w:rPr>
          <w:rFonts w:hint="eastAsia" w:ascii="宋体" w:hAnsi="宋体" w:cs="宋体"/>
          <w:b/>
          <w:bCs/>
          <w:color w:val="000000" w:themeColor="text1"/>
          <w:kern w:val="0"/>
          <w:szCs w:val="21"/>
          <w:highlight w:val="none"/>
          <w14:textFill>
            <w14:solidFill>
              <w14:schemeClr w14:val="tx1"/>
            </w14:solidFill>
          </w14:textFill>
        </w:rPr>
        <w:t>企业业绩</w:t>
      </w:r>
    </w:p>
    <w:p w14:paraId="6A9549D6">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为了确保项目的顺利实施，投标人需具备丰富的所投产品设备承接经验，确保本项目的顺利实施，</w:t>
      </w: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月1日以来承担</w:t>
      </w:r>
      <w:r>
        <w:rPr>
          <w:rFonts w:hint="eastAsia" w:ascii="宋体" w:hAnsi="宋体" w:eastAsia="宋体" w:cs="宋体"/>
          <w:color w:val="000000" w:themeColor="text1"/>
          <w:sz w:val="21"/>
          <w:szCs w:val="21"/>
          <w:highlight w:val="none"/>
          <w:lang w:eastAsia="zh-CN"/>
          <w14:textFill>
            <w14:solidFill>
              <w14:schemeClr w14:val="tx1"/>
            </w14:solidFill>
          </w14:textFill>
        </w:rPr>
        <w:t>类似（</w:t>
      </w:r>
      <w:r>
        <w:rPr>
          <w:rFonts w:hint="eastAsia" w:ascii="宋体" w:hAnsi="宋体" w:eastAsia="宋体" w:cs="宋体"/>
          <w:color w:val="000000" w:themeColor="text1"/>
          <w:sz w:val="21"/>
          <w:szCs w:val="21"/>
          <w:highlight w:val="none"/>
          <w14:textFill>
            <w14:solidFill>
              <w14:schemeClr w14:val="tx1"/>
            </w14:solidFill>
          </w14:textFill>
        </w:rPr>
        <w:t>建设内容</w:t>
      </w:r>
      <w:r>
        <w:rPr>
          <w:rFonts w:hint="eastAsia" w:ascii="宋体" w:hAnsi="宋体" w:eastAsia="宋体" w:cs="宋体"/>
          <w:color w:val="000000" w:themeColor="text1"/>
          <w:sz w:val="21"/>
          <w:szCs w:val="21"/>
          <w:highlight w:val="none"/>
          <w:lang w:eastAsia="zh-CN"/>
          <w14:textFill>
            <w14:solidFill>
              <w14:schemeClr w14:val="tx1"/>
            </w14:solidFill>
          </w14:textFill>
        </w:rPr>
        <w:t>至少</w:t>
      </w:r>
      <w:r>
        <w:rPr>
          <w:rFonts w:hint="eastAsia" w:ascii="宋体" w:hAnsi="宋体" w:eastAsia="宋体" w:cs="宋体"/>
          <w:color w:val="000000" w:themeColor="text1"/>
          <w:sz w:val="21"/>
          <w:szCs w:val="21"/>
          <w:highlight w:val="none"/>
          <w14:textFill>
            <w14:solidFill>
              <w14:schemeClr w14:val="tx1"/>
            </w14:solidFill>
          </w14:textFill>
        </w:rPr>
        <w:t>包</w:t>
      </w:r>
      <w:r>
        <w:rPr>
          <w:rFonts w:hint="eastAsia" w:ascii="宋体" w:hAnsi="宋体" w:eastAsia="宋体" w:cs="宋体"/>
          <w:color w:val="000000" w:themeColor="text1"/>
          <w:sz w:val="21"/>
          <w:szCs w:val="21"/>
          <w:highlight w:val="none"/>
          <w:lang w:eastAsia="zh-CN"/>
          <w14:textFill>
            <w14:solidFill>
              <w14:schemeClr w14:val="tx1"/>
            </w14:solidFill>
          </w14:textFill>
        </w:rPr>
        <w:t>含</w:t>
      </w:r>
      <w:r>
        <w:rPr>
          <w:rFonts w:hint="eastAsia" w:ascii="宋体" w:hAnsi="宋体" w:eastAsia="宋体" w:cs="宋体"/>
          <w:color w:val="000000" w:themeColor="text1"/>
          <w:sz w:val="21"/>
          <w:szCs w:val="21"/>
          <w:highlight w:val="none"/>
          <w14:textFill>
            <w14:solidFill>
              <w14:schemeClr w14:val="tx1"/>
            </w14:solidFill>
          </w14:textFill>
        </w:rPr>
        <w:t>无人机侦测或反制设备采购</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相关业绩的优先。</w:t>
      </w:r>
    </w:p>
    <w:p w14:paraId="22881948">
      <w:pPr>
        <w:spacing w:line="360" w:lineRule="auto"/>
        <w:ind w:firstLine="422" w:firstLineChars="200"/>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九、</w:t>
      </w:r>
      <w:r>
        <w:rPr>
          <w:rFonts w:hint="eastAsia" w:ascii="宋体" w:hAnsi="宋体" w:cs="宋体"/>
          <w:b/>
          <w:color w:val="000000" w:themeColor="text1"/>
          <w:szCs w:val="21"/>
          <w:highlight w:val="none"/>
          <w:lang w:val="en-US" w:eastAsia="zh-CN"/>
          <w14:textFill>
            <w14:solidFill>
              <w14:schemeClr w14:val="tx1"/>
            </w14:solidFill>
          </w14:textFill>
        </w:rPr>
        <w:t xml:space="preserve">项目组成员 </w:t>
      </w:r>
    </w:p>
    <w:p w14:paraId="438AB8FF">
      <w:pPr>
        <w:pStyle w:val="215"/>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为了确保项目的顺利实施，在</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的</w:t>
      </w:r>
      <w:r>
        <w:rPr>
          <w:rFonts w:hint="eastAsia" w:ascii="宋体" w:hAnsi="宋体" w:cs="宋体" w:eastAsiaTheme="minorEastAsia"/>
          <w:color w:val="000000" w:themeColor="text1"/>
          <w:kern w:val="0"/>
          <w:sz w:val="21"/>
          <w:szCs w:val="21"/>
          <w:highlight w:val="none"/>
          <w14:textFill>
            <w14:solidFill>
              <w14:schemeClr w14:val="tx1"/>
            </w14:solidFill>
          </w14:textFill>
        </w:rPr>
        <w:t>项目实施过程中，投标人应高度重视专业人员的配备工作，确保各个环节都有相应的专业人才进行精准对接和高效执行。投标人为本项目配备丰富的服务团队，项目经理具有人社部门认定的信息系统项目管理师证书的优先；人社部门颁发和认定的数字经济（电子信息）专业相关的高级工程师及以上职称证书的优先。</w:t>
      </w:r>
    </w:p>
    <w:p w14:paraId="1B76D71F">
      <w:pPr>
        <w:pStyle w:val="215"/>
        <w:ind w:firstLine="482"/>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十、技术方案</w:t>
      </w:r>
    </w:p>
    <w:p w14:paraId="41257F60">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投标人应根据采购需求和本项目实际，制订相应的方案至少包含以下内容:</w:t>
      </w:r>
    </w:p>
    <w:p w14:paraId="774818E3">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10.1技术服务整体方案</w:t>
      </w:r>
    </w:p>
    <w:p w14:paraId="5CF0106B">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技术服务整体方案</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至少包含</w:t>
      </w:r>
      <w:r>
        <w:rPr>
          <w:rFonts w:hint="eastAsia" w:ascii="宋体" w:hAnsi="宋体" w:cs="宋体" w:eastAsiaTheme="minorEastAsia"/>
          <w:color w:val="000000" w:themeColor="text1"/>
          <w:kern w:val="0"/>
          <w:sz w:val="21"/>
          <w:szCs w:val="21"/>
          <w:highlight w:val="none"/>
          <w14:textFill>
            <w14:solidFill>
              <w14:schemeClr w14:val="tx1"/>
            </w14:solidFill>
          </w14:textFill>
        </w:rPr>
        <w:t>:①需求分析（设备组网应用、实时数据可视、远程控制管理等）</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w:t>
      </w:r>
      <w:bookmarkStart w:id="180" w:name="OLE_LINK2"/>
      <w:r>
        <w:rPr>
          <w:rFonts w:hint="eastAsia" w:ascii="宋体" w:hAnsi="宋体" w:cs="宋体" w:eastAsiaTheme="minorEastAsia"/>
          <w:color w:val="000000" w:themeColor="text1"/>
          <w:kern w:val="0"/>
          <w:sz w:val="21"/>
          <w:szCs w:val="21"/>
          <w:highlight w:val="none"/>
          <w14:textFill>
            <w14:solidFill>
              <w14:schemeClr w14:val="tx1"/>
            </w14:solidFill>
          </w14:textFill>
        </w:rPr>
        <w:t>②</w:t>
      </w:r>
      <w:bookmarkEnd w:id="180"/>
      <w:r>
        <w:rPr>
          <w:rFonts w:hint="eastAsia" w:ascii="宋体" w:hAnsi="宋体" w:cs="宋体" w:eastAsiaTheme="minorEastAsia"/>
          <w:color w:val="000000" w:themeColor="text1"/>
          <w:kern w:val="0"/>
          <w:sz w:val="21"/>
          <w:szCs w:val="21"/>
          <w:highlight w:val="none"/>
          <w14:textFill>
            <w14:solidFill>
              <w14:schemeClr w14:val="tx1"/>
            </w14:solidFill>
          </w14:textFill>
        </w:rPr>
        <w:t>项目实施计划及时间进度安排</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③培训方案等方面内容。</w:t>
      </w:r>
    </w:p>
    <w:p w14:paraId="21E56C3C">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①需求分析（设备组网应用、实时数据可视、远程控制管理等）</w:t>
      </w:r>
    </w:p>
    <w:p w14:paraId="5326964C">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default" w:ascii="宋体" w:hAnsi="宋体" w:cs="宋体" w:eastAsiaTheme="minorEastAsia"/>
          <w:color w:val="000000" w:themeColor="text1"/>
          <w:kern w:val="0"/>
          <w:sz w:val="21"/>
          <w:szCs w:val="21"/>
          <w:highlight w:val="none"/>
          <w:lang w:val="en-US" w:eastAsia="zh-CN"/>
          <w14:textFill>
            <w14:solidFill>
              <w14:schemeClr w14:val="tx1"/>
            </w14:solidFill>
          </w14:textFill>
        </w:rPr>
        <w:t>为满足巡特警低空安防实战需求，本次采购无人机侦测与反制系统，聚焦设备组网应用、实时数据可视、远程控制管理三大核心能力，构建全域覆盖、快速响应、智能协同的低空防控体系。</w:t>
      </w:r>
    </w:p>
    <w:p w14:paraId="73435EBF">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设备组网应用</w:t>
      </w:r>
    </w:p>
    <w:p w14:paraId="54DB91BE">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default" w:ascii="宋体" w:hAnsi="宋体" w:cs="宋体" w:eastAsiaTheme="minorEastAsia"/>
          <w:color w:val="000000" w:themeColor="text1"/>
          <w:kern w:val="0"/>
          <w:sz w:val="21"/>
          <w:szCs w:val="21"/>
          <w:highlight w:val="none"/>
          <w:lang w:val="en-US" w:eastAsia="zh-CN"/>
          <w14:textFill>
            <w14:solidFill>
              <w14:schemeClr w14:val="tx1"/>
            </w14:solidFill>
          </w14:textFill>
        </w:rPr>
        <w:t>支持固定式、车载、便携式侦测与反制设备统一接入，采用分布式部署、集中管控架构，实现多站点、多设备互联互通、协同探测、联动反制；兼容多频段探测与干扰设备，支持跨区域、多层级组网，消除防控盲区，满足重点区域、机动巡逻、应急处突等场景的一体化作战需求。</w:t>
      </w:r>
    </w:p>
    <w:p w14:paraId="150ABB4F">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实时数据可视</w:t>
      </w:r>
    </w:p>
    <w:p w14:paraId="429DF90C">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default" w:ascii="宋体" w:hAnsi="宋体" w:cs="宋体" w:eastAsiaTheme="minorEastAsia"/>
          <w:color w:val="000000" w:themeColor="text1"/>
          <w:kern w:val="0"/>
          <w:sz w:val="21"/>
          <w:szCs w:val="21"/>
          <w:highlight w:val="none"/>
          <w:lang w:val="en-US" w:eastAsia="zh-CN"/>
          <w14:textFill>
            <w14:solidFill>
              <w14:schemeClr w14:val="tx1"/>
            </w14:solidFill>
          </w14:textFill>
        </w:rPr>
        <w:t>依托指挥平台实现全域态势一屏可视化，在电子地图实时呈现设备状态、无人机位置、飞行轨迹、威胁等级、告警信息；同步显示频谱数据、光电画面、反制指令执行状态，支持多目标并行展示与历史轨迹回溯，为快速研判、精准处置提供直观支撑。</w:t>
      </w:r>
    </w:p>
    <w:p w14:paraId="1CCB8C74">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远程控制管理</w:t>
      </w:r>
    </w:p>
    <w:p w14:paraId="3E59F68C">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default" w:ascii="宋体" w:hAnsi="宋体" w:cs="宋体" w:eastAsiaTheme="minorEastAsia"/>
          <w:color w:val="000000" w:themeColor="text1"/>
          <w:kern w:val="0"/>
          <w:sz w:val="21"/>
          <w:szCs w:val="21"/>
          <w:highlight w:val="none"/>
          <w:lang w:val="en-US" w:eastAsia="zh-CN"/>
          <w14:textFill>
            <w14:solidFill>
              <w14:schemeClr w14:val="tx1"/>
            </w14:solidFill>
          </w14:textFill>
        </w:rPr>
        <w:t>平台支持远程配置、状态监控、指令下发、权限分级管理，可远程启动 / 停止侦测、切换反制模式、调整设备参数；具备日志留存、数据导出、告警推送、设备运维管理功能，实现无人值守与远程闭环处置，提升巡特警非接触、高效率防控能力。</w:t>
      </w:r>
    </w:p>
    <w:p w14:paraId="7A973289">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②项目实施计划及时间进度安排</w:t>
      </w:r>
    </w:p>
    <w:p w14:paraId="2B81E304">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投标人需制定详细的项目实施时间表，明确各阶段工作内容及时间节点。项目整体周期不超过30日，从合同签订之日起计算。</w:t>
      </w:r>
    </w:p>
    <w:p w14:paraId="24FD0AAB">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前期准备阶段（1-</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5</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天）</w:t>
      </w:r>
    </w:p>
    <w:p w14:paraId="33BA7B64">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开展现场勘查，确认设备安装点位（如固定站选址、车载设备改装条件），输出勘查报告。</w:t>
      </w:r>
    </w:p>
    <w:p w14:paraId="1D3215B0">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中期落地阶段（</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5</w:t>
      </w:r>
      <w:r>
        <w:rPr>
          <w:rFonts w:hint="eastAsia" w:ascii="宋体" w:hAnsi="宋体" w:cs="宋体" w:eastAsiaTheme="minorEastAsia"/>
          <w:color w:val="000000" w:themeColor="text1"/>
          <w:kern w:val="0"/>
          <w:sz w:val="21"/>
          <w:szCs w:val="21"/>
          <w:highlight w:val="none"/>
          <w14:textFill>
            <w14:solidFill>
              <w14:schemeClr w14:val="tx1"/>
            </w14:solidFill>
          </w14:textFill>
        </w:rPr>
        <w:t>-1</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5</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天</w:t>
      </w:r>
      <w:r>
        <w:rPr>
          <w:rFonts w:hint="eastAsia" w:ascii="宋体" w:hAnsi="宋体" w:cs="宋体" w:eastAsiaTheme="minorEastAsia"/>
          <w:color w:val="000000" w:themeColor="text1"/>
          <w:kern w:val="0"/>
          <w:sz w:val="21"/>
          <w:szCs w:val="21"/>
          <w:highlight w:val="none"/>
          <w14:textFill>
            <w14:solidFill>
              <w14:schemeClr w14:val="tx1"/>
            </w14:solidFill>
          </w14:textFill>
        </w:rPr>
        <w:t>）</w:t>
      </w:r>
    </w:p>
    <w:p w14:paraId="7144A7D4">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设备部署调试：完成固定侦测站安装、车载设备改装、手持设备配置，同步搭建本地管理平台。</w:t>
      </w:r>
    </w:p>
    <w:p w14:paraId="409F4A4A">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系统联调测试：对接公安指挥调度平台，测试数据互通性；模拟“低慢小”无人机场景，验证侦测精度与反制有效性，输出测试报告。</w:t>
      </w:r>
    </w:p>
    <w:p w14:paraId="20564D40">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人员培训：分批次开展操作培训（覆盖设备使用、应急处理）与运维培训（基础故障排查），确保公安人员独立操作，培训后组织考核。</w:t>
      </w:r>
    </w:p>
    <w:p w14:paraId="5AAB5701">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后期保障阶段（1</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5</w:t>
      </w:r>
      <w:r>
        <w:rPr>
          <w:rFonts w:hint="eastAsia" w:ascii="宋体" w:hAnsi="宋体" w:cs="宋体" w:eastAsiaTheme="minorEastAsia"/>
          <w:color w:val="000000" w:themeColor="text1"/>
          <w:kern w:val="0"/>
          <w:sz w:val="21"/>
          <w:szCs w:val="21"/>
          <w:highlight w:val="none"/>
          <w14:textFill>
            <w14:solidFill>
              <w14:schemeClr w14:val="tx1"/>
            </w14:solidFill>
          </w14:textFill>
        </w:rPr>
        <w:t>-</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30天</w:t>
      </w:r>
      <w:r>
        <w:rPr>
          <w:rFonts w:hint="eastAsia" w:ascii="宋体" w:hAnsi="宋体" w:cs="宋体" w:eastAsiaTheme="minorEastAsia"/>
          <w:color w:val="000000" w:themeColor="text1"/>
          <w:kern w:val="0"/>
          <w:sz w:val="21"/>
          <w:szCs w:val="21"/>
          <w:highlight w:val="none"/>
          <w14:textFill>
            <w14:solidFill>
              <w14:schemeClr w14:val="tx1"/>
            </w14:solidFill>
          </w14:textFill>
        </w:rPr>
        <w:t>）</w:t>
      </w:r>
    </w:p>
    <w:p w14:paraId="33F7D04D">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试运行与优化：设备投入实际场景试运行，收集使用反馈，优化系统参数（如调整侦测灵敏度）。</w:t>
      </w:r>
    </w:p>
    <w:p w14:paraId="557A317A">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项目验收与交付：提交验收资料（含测试报告、培训记录），组织</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招标人</w:t>
      </w:r>
      <w:r>
        <w:rPr>
          <w:rFonts w:hint="eastAsia" w:ascii="宋体" w:hAnsi="宋体" w:cs="宋体" w:eastAsiaTheme="minorEastAsia"/>
          <w:color w:val="000000" w:themeColor="text1"/>
          <w:kern w:val="0"/>
          <w:sz w:val="21"/>
          <w:szCs w:val="21"/>
          <w:highlight w:val="none"/>
          <w14:textFill>
            <w14:solidFill>
              <w14:schemeClr w14:val="tx1"/>
            </w14:solidFill>
          </w14:textFill>
        </w:rPr>
        <w:t>进行最终验收；验收通过后交付设备手册、运维文档，并移交备件。</w:t>
      </w:r>
    </w:p>
    <w:p w14:paraId="0CE2C5C8">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③培训方案</w:t>
      </w:r>
    </w:p>
    <w:p w14:paraId="27B9429B">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投标人需制定培训计划，做好培训工作，使招标人能够熟练操作设备，处理简易故障。</w:t>
      </w:r>
    </w:p>
    <w:p w14:paraId="520840A0">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需配备持无线电操作证书的讲师，且有</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相关</w:t>
      </w:r>
      <w:r>
        <w:rPr>
          <w:rFonts w:hint="eastAsia" w:ascii="宋体" w:hAnsi="宋体" w:cs="宋体" w:eastAsiaTheme="minorEastAsia"/>
          <w:color w:val="000000" w:themeColor="text1"/>
          <w:kern w:val="0"/>
          <w:sz w:val="21"/>
          <w:szCs w:val="21"/>
          <w:highlight w:val="none"/>
          <w14:textFill>
            <w14:solidFill>
              <w14:schemeClr w14:val="tx1"/>
            </w14:solidFill>
          </w14:textFill>
        </w:rPr>
        <w:t>项目培训经验，提供讲师资质文件备查。</w:t>
      </w:r>
    </w:p>
    <w:p w14:paraId="075D5CA4">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课程模块分场景（理论+实操）</w:t>
      </w:r>
    </w:p>
    <w:p w14:paraId="43D09840">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课程设计紧扣实战，理论占比30%、实操占比70%，具体模块如下：</w:t>
      </w:r>
    </w:p>
    <w:p w14:paraId="0513AF49">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基础理论模块（所有对象必修，4课时）</w:t>
      </w:r>
    </w:p>
    <w:p w14:paraId="26DD75CC">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内容：无人机“低慢小”特性、侦测反制设备原理（雷达/无线电/光电侦测、信号干扰/物理捕获反制）、国家无线电管理法规与公安执勤纪律（如反制不干扰民航频段）。</w:t>
      </w:r>
    </w:p>
    <w:p w14:paraId="3AFF3B89">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目标：让学员明晰设备逻辑与合规边界，避免操作违规。</w:t>
      </w:r>
    </w:p>
    <w:p w14:paraId="56FA497C">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线操作模块（操作层主修，8课时）</w:t>
      </w:r>
    </w:p>
    <w:p w14:paraId="03131FE0">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理论：大型活动安保、机场周边值守、重点场馆防控等场景的处置流程（如发现目标→上报→反制→记录）。</w:t>
      </w:r>
    </w:p>
    <w:p w14:paraId="60A0752E">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实操：手持设备开机校准、车载设备部署（15分钟内完成）、目标识别（区分民用/可疑无人机）、一键反制操作（干扰/迫降）、应急情况处理（如设备突然断连）。</w:t>
      </w:r>
    </w:p>
    <w:p w14:paraId="744DAF6F">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运维技术模块（技术层主修，6课时）</w:t>
      </w:r>
    </w:p>
    <w:p w14:paraId="3AD8523F">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理论：设备日常校准标准、常见故障（如侦测灵敏度下降）成因分析、系统数据对接逻辑（与公安指挥平台同步）。</w:t>
      </w:r>
    </w:p>
    <w:p w14:paraId="77FD9C8F">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实操：设备参数调试、天线更换、软件升级、故障排查（40分钟内定位并解决基础故障）、备件更换（如干扰模块更换）。</w:t>
      </w:r>
    </w:p>
    <w:p w14:paraId="20B465ED">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10.2人员配备方案</w:t>
      </w:r>
    </w:p>
    <w:p w14:paraId="15D2AE0A">
      <w:pPr>
        <w:pStyle w:val="215"/>
        <w:ind w:firstLine="482"/>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人员配备方案</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至少包含</w:t>
      </w:r>
      <w:r>
        <w:rPr>
          <w:rFonts w:hint="eastAsia" w:ascii="宋体" w:hAnsi="宋体" w:cs="宋体" w:eastAsiaTheme="minorEastAsia"/>
          <w:color w:val="000000" w:themeColor="text1"/>
          <w:kern w:val="0"/>
          <w:sz w:val="21"/>
          <w:szCs w:val="21"/>
          <w:highlight w:val="none"/>
          <w14:textFill>
            <w14:solidFill>
              <w14:schemeClr w14:val="tx1"/>
            </w14:solidFill>
          </w14:textFill>
        </w:rPr>
        <w:t>:①管理人员投入</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②技术人员及安装调试人员投入</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等方面内容。</w:t>
      </w:r>
    </w:p>
    <w:p w14:paraId="55C57EA2">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①管理人员投入</w:t>
      </w:r>
    </w:p>
    <w:p w14:paraId="43960BDE">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投标人为本项目配备丰富的项目经理1名，负责本项目的整体协调、进度控制及质量管理。</w:t>
      </w:r>
    </w:p>
    <w:p w14:paraId="06CEDCD1">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人员调配：可实时调度技术团队支援现场。</w:t>
      </w:r>
    </w:p>
    <w:p w14:paraId="1D848607">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应急时效：突发问题2小时内响应，24小时到场解决。</w:t>
      </w:r>
    </w:p>
    <w:p w14:paraId="36FE3132">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②技术人员及安装调试人员投入</w:t>
      </w:r>
    </w:p>
    <w:p w14:paraId="3FB7862F">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技术人员及安装调试人员2名，负责技术支持、操作指导及设备精准调试。</w:t>
      </w:r>
    </w:p>
    <w:p w14:paraId="1B42E598">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10.3售后服务方案</w:t>
      </w:r>
    </w:p>
    <w:p w14:paraId="0B642E08">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售后服务方案</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至少包含</w:t>
      </w:r>
      <w:r>
        <w:rPr>
          <w:rFonts w:hint="eastAsia" w:ascii="宋体" w:hAnsi="宋体" w:cs="宋体" w:eastAsiaTheme="minorEastAsia"/>
          <w:color w:val="000000" w:themeColor="text1"/>
          <w:kern w:val="0"/>
          <w:sz w:val="21"/>
          <w:szCs w:val="21"/>
          <w:highlight w:val="none"/>
          <w14:textFill>
            <w14:solidFill>
              <w14:schemeClr w14:val="tx1"/>
            </w14:solidFill>
          </w14:textFill>
        </w:rPr>
        <w:t>:①售后服务目标和内容、②售后服务承诺和保证、③售后服务队伍方案等方面内容。</w:t>
      </w:r>
    </w:p>
    <w:p w14:paraId="055223A2">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①售后服务体系</w:t>
      </w:r>
    </w:p>
    <w:p w14:paraId="54F2BCF5">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需明确售后服务的组织架构、人员配置及服务渠道，在设备出现故障或问题时，售后服务团队能够迅速行动，提供远程诊断或现场服务，确保招标人人能快速对接、高效解决问题，符合招标文件“2小时内响应，24小时到场解决,并在2天内完成修复或更换”等要求。</w:t>
      </w:r>
    </w:p>
    <w:p w14:paraId="5183DC3B">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技术支持全面覆盖：提供7×24小时在线技术咨询渠道，及时解答关于设备操作使用、故障排查等方面的疑问；针对复杂技术难题，安排人员远程协助或上门解决。</w:t>
      </w:r>
    </w:p>
    <w:p w14:paraId="230F1012">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②售后服务承诺和保证</w:t>
      </w:r>
    </w:p>
    <w:p w14:paraId="79897D97">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服务承诺：对各项服务的可用性、响应时间、解决时限等关键指标做出量化承诺</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可用性≥99.9%、响应时间≤1小时响应、解决时限≤4小时解决</w:t>
      </w:r>
      <w:r>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t>。</w:t>
      </w:r>
    </w:p>
    <w:p w14:paraId="4D460B46">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应急处理预案完备：针对可能出现的重大故障、安全事故等情况，制定完善的应急处置预案，明确应急响应流程、责任分工及恢复措施，定期组织演练，确保在突发状况下能迅速恢复服务</w:t>
      </w:r>
    </w:p>
    <w:p w14:paraId="5619FE8B">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③售后服务队伍</w:t>
      </w:r>
    </w:p>
    <w:p w14:paraId="262A452A">
      <w:pPr>
        <w:pStyle w:val="215"/>
        <w:ind w:firstLine="482"/>
        <w:rPr>
          <w:rFonts w:hint="eastAsia" w:ascii="宋体" w:hAnsi="宋体" w:cs="宋体" w:eastAsiaTheme="minorEastAsia"/>
          <w:color w:val="000000" w:themeColor="text1"/>
          <w:kern w:val="0"/>
          <w:sz w:val="21"/>
          <w:szCs w:val="21"/>
          <w:highlight w:val="none"/>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专业团队组建：打造一支由技术专家、就业行业顾问及客服专员组成的多元化售后服务团队，成员具备丰富的项目实施经验与专业知识背景，能够精准定位并解决问题。</w:t>
      </w:r>
    </w:p>
    <w:p w14:paraId="166903E9">
      <w:pPr>
        <w:pStyle w:val="215"/>
        <w:ind w:firstLine="482"/>
        <w:rPr>
          <w:rFonts w:hint="eastAsia" w:ascii="宋体" w:hAnsi="宋体" w:cs="宋体" w:eastAsiaTheme="minorEastAsia"/>
          <w:color w:val="000000" w:themeColor="text1"/>
          <w:kern w:val="0"/>
          <w:sz w:val="21"/>
          <w:szCs w:val="21"/>
          <w:highlight w:val="none"/>
          <w:lang w:eastAsia="zh-CN"/>
          <w14:textFill>
            <w14:solidFill>
              <w14:schemeClr w14:val="tx1"/>
            </w14:solidFill>
          </w14:textFill>
        </w:rPr>
      </w:pPr>
      <w:r>
        <w:rPr>
          <w:rFonts w:hint="eastAsia" w:ascii="宋体" w:hAnsi="宋体" w:cs="宋体" w:eastAsiaTheme="minorEastAsia"/>
          <w:color w:val="000000" w:themeColor="text1"/>
          <w:kern w:val="0"/>
          <w:sz w:val="21"/>
          <w:szCs w:val="21"/>
          <w:highlight w:val="none"/>
          <w14:textFill>
            <w14:solidFill>
              <w14:schemeClr w14:val="tx1"/>
            </w14:solidFill>
          </w14:textFill>
        </w:rPr>
        <w:t>培训考核常态化：定期对售后服务人员进行技能培训与业务考核，鼓励参加行业认证考试，不断提升团队整体素质与服务水平，以适应不断变化的技术与业务需求。</w:t>
      </w:r>
    </w:p>
    <w:p w14:paraId="55E5B185">
      <w:pPr>
        <w:spacing w:line="360" w:lineRule="exact"/>
        <w:ind w:firstLine="210" w:firstLineChars="100"/>
        <w:jc w:val="left"/>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eastAsiaTheme="minorEastAsia"/>
          <w:b/>
          <w:bCs/>
          <w:color w:val="000000" w:themeColor="text1"/>
          <w:kern w:val="0"/>
          <w:sz w:val="21"/>
          <w:szCs w:val="21"/>
          <w:highlight w:val="none"/>
          <w:lang w:val="en-US" w:eastAsia="zh-CN"/>
          <w14:textFill>
            <w14:solidFill>
              <w14:schemeClr w14:val="tx1"/>
            </w14:solidFill>
          </w14:textFill>
        </w:rPr>
        <w:t>十一、</w:t>
      </w:r>
      <w:r>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t>产品实测</w:t>
      </w:r>
      <w:r>
        <w:rPr>
          <w:rFonts w:hint="eastAsia" w:ascii="宋体" w:hAnsi="宋体" w:cs="宋体"/>
          <w:b/>
          <w:bCs/>
          <w:color w:val="000000" w:themeColor="text1"/>
          <w:kern w:val="0"/>
          <w:sz w:val="21"/>
          <w:szCs w:val="21"/>
          <w:highlight w:val="none"/>
          <w:lang w:val="en-US" w:eastAsia="zh-CN"/>
          <w14:textFill>
            <w14:solidFill>
              <w14:schemeClr w14:val="tx1"/>
            </w14:solidFill>
          </w14:textFill>
        </w:rPr>
        <w:t>（实测部分）</w:t>
      </w:r>
    </w:p>
    <w:p w14:paraId="1FA1440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本</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项目设有现场测试（演示，下同）环节，由盐城市公安局巡特警支队保障，各投标人须赴现场参加测试。</w:t>
      </w:r>
    </w:p>
    <w:p w14:paraId="182F667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投标人的参演人员、测试设备到场截止时间：2026年</w:t>
      </w:r>
      <w:r>
        <w:rPr>
          <w:rStyle w:val="225"/>
          <w:rFonts w:hint="eastAsia" w:ascii="宋体" w:hAnsi="宋体" w:cs="宋体"/>
          <w:color w:val="000000" w:themeColor="text1"/>
          <w:sz w:val="21"/>
          <w:szCs w:val="21"/>
          <w:highlight w:val="none"/>
          <w:u w:val="none"/>
          <w:lang w:val="en-US" w:eastAsia="zh-CN" w:bidi="ar"/>
          <w14:textFill>
            <w14:solidFill>
              <w14:schemeClr w14:val="tx1"/>
            </w14:solidFill>
          </w14:textFill>
        </w:rPr>
        <w:t>10</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月</w:t>
      </w:r>
      <w:r>
        <w:rPr>
          <w:rStyle w:val="225"/>
          <w:rFonts w:hint="eastAsia" w:ascii="宋体" w:hAnsi="宋体" w:cs="宋体"/>
          <w:color w:val="000000" w:themeColor="text1"/>
          <w:sz w:val="21"/>
          <w:szCs w:val="21"/>
          <w:highlight w:val="none"/>
          <w:u w:val="none"/>
          <w:lang w:val="en-US" w:eastAsia="zh-CN" w:bidi="ar"/>
          <w14:textFill>
            <w14:solidFill>
              <w14:schemeClr w14:val="tx1"/>
            </w14:solidFill>
          </w14:textFill>
        </w:rPr>
        <w:t>13</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日上午9:</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3</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0（逾期视为投标人未参加现场测试，并将视为无关人员而拒绝入场）；</w:t>
      </w:r>
    </w:p>
    <w:p w14:paraId="639EA6F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测试地点：盐城市公安局巡特警支队院内（江苏省盐城市亭湖区步凤路166号）；</w:t>
      </w:r>
    </w:p>
    <w:p w14:paraId="3239B9B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测试时间：2026年</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10</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月</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13</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日（具体时间以</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评标委员会</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安排为准）。</w:t>
      </w:r>
    </w:p>
    <w:p w14:paraId="4008491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Style w:val="225"/>
          <w:rFonts w:hint="eastAsia" w:ascii="宋体" w:hAnsi="宋体" w:eastAsia="宋体" w:cs="宋体"/>
          <w:b/>
          <w:bCs/>
          <w:color w:val="000000" w:themeColor="text1"/>
          <w:sz w:val="21"/>
          <w:szCs w:val="21"/>
          <w:highlight w:val="none"/>
          <w:lang w:val="en-US" w:eastAsia="zh-CN" w:bidi="ar"/>
          <w14:textFill>
            <w14:solidFill>
              <w14:schemeClr w14:val="tx1"/>
            </w14:solidFill>
          </w14:textFill>
        </w:rPr>
        <w:t>特别说明：</w:t>
      </w:r>
      <w:r>
        <w:rPr>
          <w:rFonts w:hint="eastAsia" w:ascii="宋体" w:hAnsi="宋体" w:cs="宋体" w:eastAsiaTheme="minorEastAsia"/>
          <w:color w:val="000000" w:themeColor="text1"/>
          <w:kern w:val="0"/>
          <w:sz w:val="21"/>
          <w:szCs w:val="21"/>
          <w:highlight w:val="none"/>
          <w14:textFill>
            <w14:solidFill>
              <w14:schemeClr w14:val="tx1"/>
            </w14:solidFill>
          </w14:textFill>
        </w:rPr>
        <w:t>①</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各投标人的参演人员须携带《法定代表人授权函》或《单位介绍信》（须为原件，并注明参演人员的姓名及身份证号。否将视为无关人员而予以拒绝入场）、测试设备自行赴测试地点进行测试。</w:t>
      </w:r>
      <w:r>
        <w:rPr>
          <w:rFonts w:hint="eastAsia" w:ascii="宋体" w:hAnsi="宋体" w:cs="宋体" w:eastAsiaTheme="minorEastAsia"/>
          <w:color w:val="000000" w:themeColor="text1"/>
          <w:kern w:val="0"/>
          <w:sz w:val="21"/>
          <w:szCs w:val="21"/>
          <w:highlight w:val="none"/>
          <w14:textFill>
            <w14:solidFill>
              <w14:schemeClr w14:val="tx1"/>
            </w14:solidFill>
          </w14:textFill>
        </w:rPr>
        <w:t>②</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请投标人充分预估路途、安检等耗时，建议投标人提前抵达现场（签到），熟悉测试环境做好试前准备工作；</w:t>
      </w:r>
      <w:r>
        <w:rPr>
          <w:rFonts w:hint="eastAsia" w:ascii="宋体" w:hAnsi="宋体" w:cs="宋体" w:eastAsiaTheme="minorEastAsia"/>
          <w:color w:val="000000" w:themeColor="text1"/>
          <w:kern w:val="0"/>
          <w:sz w:val="21"/>
          <w:szCs w:val="21"/>
          <w:highlight w:val="none"/>
          <w14:textFill>
            <w14:solidFill>
              <w14:schemeClr w14:val="tx1"/>
            </w14:solidFill>
          </w14:textFill>
        </w:rPr>
        <w:t>③</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投标人自行携带测试所需全部设备（</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“移动式侦测设备”及“移动式定向反制设备1”</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）、配件、工具，往返交通、设备搬运等全部费用由投标人自行承担；</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④</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工作人员根据</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评标委员会</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的通知，安排投标人依次进行现场测试。投标人参演人员须服从现场工作人员管理，并遵守场所相关管理规定；⑤未按要求参加现场测试的，按</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评分标准中“产品实测（实测部分）”部分不得分处理。</w:t>
      </w:r>
    </w:p>
    <w:p w14:paraId="62F594D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具体测试项目:</w:t>
      </w:r>
    </w:p>
    <w:p w14:paraId="3BFB253F">
      <w:pPr>
        <w:pStyle w:val="215"/>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pP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1.无人机侦测能力：</w:t>
      </w:r>
      <w:r>
        <w:rPr>
          <w:rFonts w:hint="eastAsia" w:ascii="宋体" w:hAnsi="宋体" w:cs="宋体" w:eastAsiaTheme="minorEastAsia"/>
          <w:color w:val="000000" w:themeColor="text1"/>
          <w:kern w:val="0"/>
          <w:sz w:val="21"/>
          <w:szCs w:val="21"/>
          <w:highlight w:val="none"/>
          <w14:textFill>
            <w14:solidFill>
              <w14:schemeClr w14:val="tx1"/>
            </w14:solidFill>
          </w14:textFill>
        </w:rPr>
        <w:t>①</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无人机定位侦测能力</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定位出5架的优先</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②</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有效探测距离</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≥8km的优先</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w:t>
      </w:r>
    </w:p>
    <w:p w14:paraId="5D001648">
      <w:pPr>
        <w:pStyle w:val="215"/>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pP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2.无人机反制能力：</w:t>
      </w:r>
      <w:r>
        <w:rPr>
          <w:rFonts w:hint="eastAsia" w:ascii="宋体" w:hAnsi="宋体" w:cs="宋体" w:eastAsiaTheme="minorEastAsia"/>
          <w:color w:val="000000" w:themeColor="text1"/>
          <w:kern w:val="0"/>
          <w:sz w:val="21"/>
          <w:szCs w:val="21"/>
          <w:highlight w:val="none"/>
          <w14:textFill>
            <w14:solidFill>
              <w14:schemeClr w14:val="tx1"/>
            </w14:solidFill>
          </w14:textFill>
        </w:rPr>
        <w:t>①</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反制距离</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靶机从3km处起飞，记录返航受到反制距离，2000m＜D≤3000m的优先</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w:t>
      </w:r>
      <w:r>
        <w:rPr>
          <w:rFonts w:hint="eastAsia" w:ascii="宋体" w:hAnsi="宋体" w:cs="宋体" w:eastAsiaTheme="minorEastAsia"/>
          <w:color w:val="000000" w:themeColor="text1"/>
          <w:kern w:val="0"/>
          <w:sz w:val="21"/>
          <w:szCs w:val="21"/>
          <w:highlight w:val="none"/>
          <w14:textFill>
            <w14:solidFill>
              <w14:schemeClr w14:val="tx1"/>
            </w14:solidFill>
          </w14:textFill>
        </w:rPr>
        <w:t>②</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反制能力稳定性，</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1公里处同时起飞4架无人机群，对机群反制效果最佳的优先</w:t>
      </w:r>
      <w:r>
        <w:rPr>
          <w:rFonts w:hint="eastAsia" w:ascii="宋体" w:hAnsi="宋体" w:cs="宋体" w:eastAsiaTheme="minorEastAsia"/>
          <w:color w:val="000000" w:themeColor="text1"/>
          <w:kern w:val="0"/>
          <w:sz w:val="21"/>
          <w:szCs w:val="21"/>
          <w:highlight w:val="none"/>
          <w:lang w:val="en-US" w:eastAsia="zh-CN"/>
          <w14:textFill>
            <w14:solidFill>
              <w14:schemeClr w14:val="tx1"/>
            </w14:solidFill>
          </w14:textFill>
        </w:rPr>
        <w:t>。</w:t>
      </w:r>
    </w:p>
    <w:p w14:paraId="4524E9C1">
      <w:pPr>
        <w:jc w:val="both"/>
        <w:rPr>
          <w:rFonts w:hint="eastAsia" w:ascii="宋体" w:hAnsi="宋体" w:eastAsia="宋体" w:cs="宋体"/>
          <w:i/>
          <w:iCs/>
          <w:color w:val="000000" w:themeColor="text1"/>
          <w:spacing w:val="8"/>
          <w:sz w:val="21"/>
          <w:szCs w:val="21"/>
          <w:highlight w:val="none"/>
          <w:u w:val="single"/>
          <w:lang w:eastAsia="zh-CN"/>
          <w14:textFill>
            <w14:solidFill>
              <w14:schemeClr w14:val="tx1"/>
            </w14:solidFill>
          </w14:textFill>
        </w:rPr>
      </w:pP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十</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二</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、本项目</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不</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接受进口产品投标</w:t>
      </w:r>
      <w:r>
        <w:rPr>
          <w:rFonts w:hint="eastAsia"/>
          <w:color w:val="000000" w:themeColor="text1"/>
          <w:sz w:val="21"/>
          <w:szCs w:val="21"/>
          <w:highlight w:val="none"/>
          <w:lang w:eastAsia="zh-CN"/>
          <w14:textFill>
            <w14:solidFill>
              <w14:schemeClr w14:val="tx1"/>
            </w14:solidFill>
          </w14:textFill>
        </w:rPr>
        <w:t>。</w:t>
      </w:r>
    </w:p>
    <w:p w14:paraId="622D631E">
      <w:pPr>
        <w:jc w:val="both"/>
        <w:rPr>
          <w:rFonts w:hint="eastAsia" w:ascii="宋体" w:hAnsi="宋体" w:eastAsia="宋体" w:cs="宋体"/>
          <w:i/>
          <w:iCs/>
          <w:color w:val="000000" w:themeColor="text1"/>
          <w:spacing w:val="8"/>
          <w:sz w:val="21"/>
          <w:szCs w:val="21"/>
          <w:highlight w:val="none"/>
          <w:u w:val="single"/>
          <w:lang w:eastAsia="zh-CN"/>
          <w14:textFill>
            <w14:solidFill>
              <w14:schemeClr w14:val="tx1"/>
            </w14:solidFill>
          </w14:textFill>
        </w:rPr>
      </w:pPr>
    </w:p>
    <w:p w14:paraId="73786A2E">
      <w:pPr>
        <w:pStyle w:val="31"/>
        <w:spacing w:beforeAutospacing="0" w:afterAutospacing="0" w:line="360" w:lineRule="auto"/>
        <w:jc w:val="both"/>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5E08A0A7">
      <w:pPr>
        <w:jc w:val="both"/>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54919FEA">
      <w:pPr>
        <w:pStyle w:val="27"/>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672A1E36">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57C5E0C3">
      <w:pPr>
        <w:pStyle w:val="27"/>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11182B70">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13396C73">
      <w:pPr>
        <w:pStyle w:val="27"/>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1A8C4890">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05FB4409">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08CE091A">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00E969D5">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35E15D07">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0C63F4EB">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43158B8D">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7CC37809">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2FACA49D">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305E85F5">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3B1717C1">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4D7E1A0B">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42F19E49">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75E3DFFD">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47E3FE57">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7C84EEF9">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4E8BF6F7">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0881972F">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3D44D341">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0177BF10">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057BA904">
      <w:pPr>
        <w:rPr>
          <w:rFonts w:hint="eastAsia" w:ascii="宋体" w:hAnsi="宋体" w:eastAsia="宋体" w:cs="宋体"/>
          <w:i/>
          <w:iCs/>
          <w:color w:val="000000" w:themeColor="text1"/>
          <w:spacing w:val="8"/>
          <w:sz w:val="24"/>
          <w:szCs w:val="24"/>
          <w:highlight w:val="none"/>
          <w:u w:val="single"/>
          <w:lang w:eastAsia="zh-CN"/>
          <w14:textFill>
            <w14:solidFill>
              <w14:schemeClr w14:val="tx1"/>
            </w14:solidFill>
          </w14:textFill>
        </w:rPr>
      </w:pPr>
    </w:p>
    <w:p w14:paraId="253C7414">
      <w:pPr>
        <w:numPr>
          <w:ilvl w:val="0"/>
          <w:numId w:val="0"/>
        </w:numPr>
        <w:spacing w:line="360" w:lineRule="auto"/>
        <w:jc w:val="center"/>
        <w:rPr>
          <w:rFonts w:hint="eastAsia" w:ascii="黑体" w:hAnsi="宋体" w:eastAsia="黑体" w:cs="黑体"/>
          <w:color w:val="000000" w:themeColor="text1"/>
          <w:sz w:val="44"/>
          <w:szCs w:val="44"/>
          <w:highlight w:val="none"/>
          <w14:textFill>
            <w14:solidFill>
              <w14:schemeClr w14:val="tx1"/>
            </w14:solidFill>
          </w14:textFill>
        </w:rPr>
      </w:pPr>
    </w:p>
    <w:p w14:paraId="056F414F">
      <w:pPr>
        <w:numPr>
          <w:ilvl w:val="0"/>
          <w:numId w:val="0"/>
        </w:numPr>
        <w:spacing w:line="360" w:lineRule="auto"/>
        <w:jc w:val="cente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第五章 </w:t>
      </w:r>
      <w:r>
        <w:rPr>
          <w:rFonts w:hint="eastAsia" w:ascii="黑体" w:hAnsi="宋体" w:eastAsia="黑体" w:cs="黑体"/>
          <w:b/>
          <w:color w:val="000000" w:themeColor="text1"/>
          <w:sz w:val="44"/>
          <w:szCs w:val="44"/>
          <w:highlight w:val="none"/>
          <w14:textFill>
            <w14:solidFill>
              <w14:schemeClr w14:val="tx1"/>
            </w14:solidFill>
          </w14:textFill>
        </w:rPr>
        <w:t>评标方法与评标标准</w:t>
      </w:r>
    </w:p>
    <w:p w14:paraId="1C707FA7">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一、定标原则</w:t>
      </w:r>
    </w:p>
    <w:p w14:paraId="7051A42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本项目采用</w:t>
      </w:r>
      <w:r>
        <w:rPr>
          <w:rFonts w:hint="eastAsia" w:ascii="宋体" w:hAnsi="宋体" w:cs="宋体"/>
          <w:bCs/>
          <w:color w:val="000000" w:themeColor="text1"/>
          <w:szCs w:val="21"/>
          <w:highlight w:val="none"/>
          <w:u w:val="single"/>
          <w14:textFill>
            <w14:solidFill>
              <w14:schemeClr w14:val="tx1"/>
            </w14:solidFill>
          </w14:textFill>
        </w:rPr>
        <w:t>综合评分</w:t>
      </w:r>
      <w:r>
        <w:rPr>
          <w:rFonts w:hint="eastAsia" w:ascii="宋体" w:hAnsi="宋体" w:cs="宋体"/>
          <w:bCs/>
          <w:color w:val="000000" w:themeColor="text1"/>
          <w:szCs w:val="21"/>
          <w:highlight w:val="none"/>
          <w14:textFill>
            <w14:solidFill>
              <w14:schemeClr w14:val="tx1"/>
            </w14:solidFill>
          </w14:textFill>
        </w:rPr>
        <w:t>法。</w:t>
      </w:r>
      <w:r>
        <w:rPr>
          <w:rFonts w:hint="eastAsia" w:ascii="宋体" w:hAnsi="宋体" w:cs="宋体"/>
          <w:color w:val="000000" w:themeColor="text1"/>
          <w:szCs w:val="21"/>
          <w:highlight w:val="none"/>
          <w14:textFill>
            <w14:solidFill>
              <w14:schemeClr w14:val="tx1"/>
            </w14:solidFill>
          </w14:textFill>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D0E1C4F">
      <w:pPr>
        <w:spacing w:line="360" w:lineRule="auto"/>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政府采购政策功能落实</w:t>
      </w:r>
    </w:p>
    <w:p w14:paraId="60AF7C0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1、小微型企业价格扣除</w:t>
      </w:r>
    </w:p>
    <w:p w14:paraId="217AB948">
      <w:pPr>
        <w:spacing w:line="360" w:lineRule="auto"/>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本项目不专门面向中小企业采购，对符合规定的小型和微型企业报价给予20%的扣除价格，用扣除后的价格参与评审</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B79225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（2）供应商需按照采购文件的要求提供相应的《中小企业声明函》。</w:t>
      </w:r>
    </w:p>
    <w:p w14:paraId="1594952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（3）企业标准请参照《关于印发中小企业划型标准规定的通知》（工信部联企业〔2011〕300号）文件规定自行填写。</w:t>
      </w:r>
    </w:p>
    <w:p w14:paraId="76E0D36D">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2、残疾人福利单位价格扣除</w:t>
      </w:r>
      <w:r>
        <w:rPr>
          <w:rFonts w:hint="eastAsia" w:ascii="宋体" w:hAnsi="宋体" w:eastAsia="宋体" w:cs="宋体"/>
          <w:color w:val="000000" w:themeColor="text1"/>
          <w:sz w:val="21"/>
          <w:szCs w:val="21"/>
          <w:highlight w:val="none"/>
          <w14:textFill>
            <w14:solidFill>
              <w14:schemeClr w14:val="tx1"/>
            </w14:solidFill>
          </w14:textFill>
        </w:rPr>
        <w:t>，给予20%的价格扣除，用扣除后的价格参与评审</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2F324CCB">
      <w:pPr>
        <w:spacing w:line="360"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w:t>
      </w:r>
    </w:p>
    <w:p w14:paraId="7D066E4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（2）残疾人福利单位需按照采购文件的要求提供《残疾人福利性单位声明函》。</w:t>
      </w:r>
    </w:p>
    <w:p w14:paraId="77C5802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（3）残疾人福利单位标准请参照《关于促进残疾人就业政府采购政策的通知》（财库〔2017〕141号）。</w:t>
      </w:r>
    </w:p>
    <w:p w14:paraId="0BDA7B7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3、监狱和戒毒企业价格扣除</w:t>
      </w:r>
    </w:p>
    <w:p w14:paraId="070B77E8">
      <w:pPr>
        <w:spacing w:line="360"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w:t>
      </w:r>
      <w:r>
        <w:rPr>
          <w:rFonts w:hint="eastAsia" w:ascii="宋体" w:hAnsi="宋体" w:eastAsia="宋体" w:cs="宋体"/>
          <w:color w:val="000000" w:themeColor="text1"/>
          <w:sz w:val="21"/>
          <w:szCs w:val="21"/>
          <w:highlight w:val="none"/>
          <w14:textFill>
            <w14:solidFill>
              <w14:schemeClr w14:val="tx1"/>
            </w14:solidFill>
          </w14:textFill>
        </w:rPr>
        <w:t>，给予20%的价格扣除，用扣除后的价格参与评审</w:t>
      </w:r>
      <w:r>
        <w:rPr>
          <w:rFonts w:hint="eastAsia" w:ascii="宋体" w:hAnsi="宋体" w:cs="宋体"/>
          <w:color w:val="000000" w:themeColor="text1"/>
          <w:szCs w:val="21"/>
          <w:highlight w:val="none"/>
          <w14:textFill>
            <w14:solidFill>
              <w14:schemeClr w14:val="tx1"/>
            </w14:solidFill>
          </w14:textFill>
        </w:rPr>
        <w:t>。</w:t>
      </w:r>
    </w:p>
    <w:p w14:paraId="6733ABD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2FE9B5D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5E951055">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4、残疾人福利单位、监狱企业属于小型、微型企业的，不重复享受政策。</w:t>
      </w:r>
    </w:p>
    <w:p w14:paraId="1511688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Cs w:val="21"/>
          <w:highlight w:val="none"/>
          <w:u w:val="single"/>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的价格扣除，用扣除后的价格参与评审。</w:t>
      </w:r>
    </w:p>
    <w:p w14:paraId="26BDC4B5">
      <w:pPr>
        <w:spacing w:line="360"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6、联合体各方均为小型、微型企业（残疾人福利单位、监狱企业）的，联合体享受</w:t>
      </w:r>
      <w:r>
        <w:rPr>
          <w:rFonts w:hint="eastAsia" w:ascii="宋体" w:hAnsi="宋体" w:cs="宋体"/>
          <w:color w:val="000000" w:themeColor="text1"/>
          <w:szCs w:val="21"/>
          <w:highlight w:val="none"/>
          <w:u w:val="single"/>
          <w14:textFill>
            <w14:solidFill>
              <w14:schemeClr w14:val="tx1"/>
            </w14:solidFill>
          </w14:textFill>
        </w:rPr>
        <w:t>20%</w:t>
      </w:r>
      <w:r>
        <w:rPr>
          <w:rFonts w:hint="eastAsia" w:ascii="宋体" w:hAnsi="宋体" w:cs="宋体"/>
          <w:color w:val="000000" w:themeColor="text1"/>
          <w:szCs w:val="21"/>
          <w:highlight w:val="none"/>
          <w14:textFill>
            <w14:solidFill>
              <w14:schemeClr w14:val="tx1"/>
            </w14:solidFill>
          </w14:textFill>
        </w:rPr>
        <w:t>的价格扣除。</w:t>
      </w:r>
    </w:p>
    <w:p w14:paraId="100C1754">
      <w:pPr>
        <w:adjustRightInd w:val="0"/>
        <w:spacing w:line="400" w:lineRule="exact"/>
        <w:ind w:firstLine="422" w:firstLineChars="200"/>
        <w:jc w:val="left"/>
        <w:textAlignment w:val="baseline"/>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7、采购本国产品的支持政策</w:t>
      </w:r>
    </w:p>
    <w:p w14:paraId="5BA7C957">
      <w:pPr>
        <w:adjustRightInd w:val="0"/>
        <w:spacing w:line="400" w:lineRule="exact"/>
        <w:ind w:firstLine="422" w:firstLineChars="200"/>
        <w:jc w:val="left"/>
        <w:textAlignment w:val="baseline"/>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7.1本项目政府采购活动中既有本国产品又有非本国产品参与竞争的，依法对本国产品给予价格评审优惠，对本国产品的报价给予</w:t>
      </w:r>
      <w:r>
        <w:rPr>
          <w:rFonts w:hint="eastAsia" w:ascii="宋体" w:hAnsi="宋体" w:eastAsia="宋体" w:cs="宋体"/>
          <w:b/>
          <w:bCs/>
          <w:color w:val="000000" w:themeColor="text1"/>
          <w:sz w:val="21"/>
          <w:szCs w:val="21"/>
          <w:highlight w:val="none"/>
          <w:u w:val="single"/>
          <w14:textFill>
            <w14:solidFill>
              <w14:schemeClr w14:val="tx1"/>
            </w14:solidFill>
          </w14:textFill>
        </w:rPr>
        <w:t>20%</w:t>
      </w:r>
      <w:r>
        <w:rPr>
          <w:rFonts w:hint="eastAsia" w:ascii="宋体" w:hAnsi="宋体" w:eastAsia="宋体" w:cs="宋体"/>
          <w:b/>
          <w:bCs/>
          <w:color w:val="000000" w:themeColor="text1"/>
          <w:sz w:val="21"/>
          <w:szCs w:val="21"/>
          <w:highlight w:val="none"/>
          <w14:textFill>
            <w14:solidFill>
              <w14:schemeClr w14:val="tx1"/>
            </w14:solidFill>
          </w14:textFill>
        </w:rPr>
        <w:t>的价格扣除，用扣除后的价格参与评审。</w:t>
      </w:r>
    </w:p>
    <w:p w14:paraId="5AB2C567">
      <w:pPr>
        <w:adjustRightInd w:val="0"/>
        <w:spacing w:line="400" w:lineRule="exact"/>
        <w:ind w:firstLine="422" w:firstLineChars="200"/>
        <w:jc w:val="left"/>
        <w:textAlignment w:val="baseline"/>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7.2当采购项目或者采购包中含有多种产品，供应商为该采购项目或者采购包提供的符合本国产品标准的产品成本之和占该供应商提供的全部产品成本之和的比例达到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themeColor="text1"/>
          <w:sz w:val="21"/>
          <w:szCs w:val="21"/>
          <w:highlight w:val="none"/>
          <w:u w:val="single"/>
          <w14:textFill>
            <w14:solidFill>
              <w14:schemeClr w14:val="tx1"/>
            </w14:solidFill>
          </w14:textFill>
        </w:rPr>
        <w:t>80%</w:t>
      </w:r>
      <w:r>
        <w:rPr>
          <w:rFonts w:hint="eastAsia" w:ascii="宋体" w:hAnsi="宋体" w:eastAsia="宋体" w:cs="宋体"/>
          <w:b/>
          <w:bCs/>
          <w:color w:val="000000" w:themeColor="text1"/>
          <w:sz w:val="21"/>
          <w:szCs w:val="21"/>
          <w:highlight w:val="none"/>
          <w14:textFill>
            <w14:solidFill>
              <w14:schemeClr w14:val="tx1"/>
            </w14:solidFill>
          </w14:textFill>
        </w:rPr>
        <w:t>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themeColor="text1"/>
          <w:sz w:val="21"/>
          <w:szCs w:val="21"/>
          <w:highlight w:val="none"/>
          <w:u w:val="single"/>
          <w14:textFill>
            <w14:solidFill>
              <w14:schemeClr w14:val="tx1"/>
            </w14:solidFill>
          </w14:textFill>
        </w:rPr>
        <w:t>20%</w:t>
      </w:r>
      <w:r>
        <w:rPr>
          <w:rFonts w:hint="eastAsia" w:ascii="宋体" w:hAnsi="宋体" w:eastAsia="宋体" w:cs="宋体"/>
          <w:b/>
          <w:bCs/>
          <w:color w:val="000000" w:themeColor="text1"/>
          <w:sz w:val="21"/>
          <w:szCs w:val="21"/>
          <w:highlight w:val="none"/>
          <w14:textFill>
            <w14:solidFill>
              <w14:schemeClr w14:val="tx1"/>
            </w14:solidFill>
          </w14:textFill>
        </w:rPr>
        <w:t>的价格扣除，用扣除后的价格参与评审。供应商未填写比例数值，或比例数值未达到80%的，将不享受本国产品价格评审优惠。</w:t>
      </w:r>
    </w:p>
    <w:p w14:paraId="78F84F32">
      <w:pPr>
        <w:adjustRightInd w:val="0"/>
        <w:spacing w:line="400" w:lineRule="exact"/>
        <w:ind w:firstLine="422" w:firstLineChars="200"/>
        <w:jc w:val="left"/>
        <w:textAlignment w:val="baseline"/>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7.3供应商需按照招标文件的要求提供《关于符合本国产品标准的声明函》（以下简称《声明函》），如不提供将不享受本国产品价格评审优惠。</w:t>
      </w:r>
    </w:p>
    <w:p w14:paraId="66A9085D">
      <w:pPr>
        <w:adjustRightInd w:val="0"/>
        <w:spacing w:line="400" w:lineRule="exact"/>
        <w:ind w:firstLine="422" w:firstLineChars="200"/>
        <w:jc w:val="left"/>
        <w:textAlignment w:val="baseline"/>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7.4供应商需在《声明函》中逐一、准确填写产品名称、厂名、生产厂址三项信息（《声明函》中用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横</w:t>
      </w:r>
      <w:r>
        <w:rPr>
          <w:rFonts w:hint="eastAsia" w:ascii="宋体" w:hAnsi="宋体" w:eastAsia="宋体" w:cs="宋体"/>
          <w:b/>
          <w:bCs/>
          <w:color w:val="000000" w:themeColor="text1"/>
          <w:sz w:val="21"/>
          <w:szCs w:val="21"/>
          <w:highlight w:val="none"/>
          <w14:textFill>
            <w14:solidFill>
              <w14:schemeClr w14:val="tx1"/>
            </w14:solidFill>
          </w14:textFill>
        </w:rPr>
        <w:t>线划除的地方无需填写），三项信息中任意一项未填写的视为该项产品不符合本国产品标准，不享受本国产品价格评审优惠。</w:t>
      </w:r>
    </w:p>
    <w:p w14:paraId="15CDA484">
      <w:pPr>
        <w:spacing w:line="360" w:lineRule="auto"/>
        <w:ind w:firstLine="4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7.5评标过程中，如发现供应商在《声明函》内容含义不明确、同类事项与投标（响应）文件表述不一致或者有明显文字错误等情况的，评标委员会应当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在苏采云系统</w:t>
      </w:r>
      <w:r>
        <w:rPr>
          <w:rFonts w:hint="eastAsia" w:ascii="宋体" w:hAnsi="宋体" w:eastAsia="宋体" w:cs="宋体"/>
          <w:b/>
          <w:bCs/>
          <w:color w:val="000000" w:themeColor="text1"/>
          <w:sz w:val="21"/>
          <w:szCs w:val="21"/>
          <w:highlight w:val="none"/>
          <w14:textFill>
            <w14:solidFill>
              <w14:schemeClr w14:val="tx1"/>
            </w14:solidFill>
          </w14:textFill>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BAC7589">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8</w:t>
      </w:r>
      <w:r>
        <w:rPr>
          <w:rFonts w:hint="eastAsia" w:ascii="宋体" w:hAnsi="宋体" w:eastAsia="宋体" w:cs="宋体"/>
          <w:color w:val="000000" w:themeColor="text1"/>
          <w:szCs w:val="21"/>
          <w:highlight w:val="none"/>
          <w14:textFill>
            <w14:solidFill>
              <w14:schemeClr w14:val="tx1"/>
            </w14:solidFill>
          </w14:textFill>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5AC71EF">
      <w:pPr>
        <w:spacing w:line="360" w:lineRule="auto"/>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评标方法与评标标准</w:t>
      </w:r>
    </w:p>
    <w:tbl>
      <w:tblPr>
        <w:tblStyle w:val="33"/>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1"/>
        <w:gridCol w:w="6820"/>
        <w:gridCol w:w="861"/>
      </w:tblGrid>
      <w:tr w14:paraId="4999F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61" w:type="dxa"/>
            <w:vAlign w:val="center"/>
          </w:tcPr>
          <w:p w14:paraId="4D8FF570">
            <w:pPr>
              <w:spacing w:line="360" w:lineRule="exact"/>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评分项目</w:t>
            </w:r>
          </w:p>
        </w:tc>
        <w:tc>
          <w:tcPr>
            <w:tcW w:w="6820" w:type="dxa"/>
            <w:vAlign w:val="center"/>
          </w:tcPr>
          <w:p w14:paraId="20FB3253">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评分内容</w:t>
            </w:r>
          </w:p>
        </w:tc>
        <w:tc>
          <w:tcPr>
            <w:tcW w:w="861" w:type="dxa"/>
            <w:vAlign w:val="center"/>
          </w:tcPr>
          <w:p w14:paraId="55E5450B">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分值</w:t>
            </w:r>
          </w:p>
        </w:tc>
      </w:tr>
      <w:tr w14:paraId="7CF1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561" w:type="dxa"/>
            <w:vAlign w:val="center"/>
          </w:tcPr>
          <w:p w14:paraId="612C2C4B">
            <w:pPr>
              <w:spacing w:line="360" w:lineRule="exact"/>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价格部分</w:t>
            </w:r>
          </w:p>
          <w:p w14:paraId="577D7166">
            <w:pPr>
              <w:spacing w:line="360" w:lineRule="exact"/>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40</w:t>
            </w:r>
            <w:r>
              <w:rPr>
                <w:rFonts w:hint="eastAsia" w:ascii="宋体" w:hAnsi="宋体" w:eastAsia="宋体" w:cs="宋体"/>
                <w:color w:val="000000" w:themeColor="text1"/>
                <w:szCs w:val="21"/>
                <w:highlight w:val="none"/>
                <w:lang w:val="zh-CN"/>
                <w14:textFill>
                  <w14:solidFill>
                    <w14:schemeClr w14:val="tx1"/>
                  </w14:solidFill>
                </w14:textFill>
              </w:rPr>
              <w:t>分）</w:t>
            </w:r>
          </w:p>
        </w:tc>
        <w:tc>
          <w:tcPr>
            <w:tcW w:w="6820" w:type="dxa"/>
            <w:vAlign w:val="center"/>
          </w:tcPr>
          <w:p w14:paraId="65FBE092">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采用低价优先法计算，即满足招标文件要求且投标价格低的投标报价为评标基准价，其价格分为满分。其他投标供应商的价格分按照下列公式计算：投标报价得分=(评标基准价／投标报价)×</w:t>
            </w:r>
            <w:r>
              <w:rPr>
                <w:rFonts w:hint="eastAsia" w:ascii="宋体" w:hAnsi="宋体" w:cs="宋体"/>
                <w:color w:val="000000" w:themeColor="text1"/>
                <w:szCs w:val="21"/>
                <w:highlight w:val="none"/>
                <w:lang w:val="en-US" w:eastAsia="zh-CN"/>
                <w14:textFill>
                  <w14:solidFill>
                    <w14:schemeClr w14:val="tx1"/>
                  </w14:solidFill>
                </w14:textFill>
              </w:rPr>
              <w:t>40</w:t>
            </w:r>
            <w:r>
              <w:rPr>
                <w:rFonts w:hint="eastAsia" w:ascii="宋体" w:hAnsi="宋体" w:eastAsia="宋体" w:cs="宋体"/>
                <w:color w:val="000000" w:themeColor="text1"/>
                <w:szCs w:val="21"/>
                <w:highlight w:val="none"/>
                <w14:textFill>
                  <w14:solidFill>
                    <w14:schemeClr w14:val="tx1"/>
                  </w14:solidFill>
                </w14:textFill>
              </w:rPr>
              <w:t>，计算分数时四舍五入取小数点后两位。</w:t>
            </w:r>
          </w:p>
        </w:tc>
        <w:tc>
          <w:tcPr>
            <w:tcW w:w="861" w:type="dxa"/>
            <w:vAlign w:val="center"/>
          </w:tcPr>
          <w:p w14:paraId="2EF4F7AB">
            <w:pPr>
              <w:spacing w:line="360" w:lineRule="exac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40</w:t>
            </w:r>
          </w:p>
        </w:tc>
      </w:tr>
      <w:tr w14:paraId="52FBE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561" w:type="dxa"/>
            <w:vAlign w:val="center"/>
          </w:tcPr>
          <w:p w14:paraId="33948FAE">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设备技术参数</w:t>
            </w:r>
          </w:p>
          <w:p w14:paraId="5599AA48">
            <w:pPr>
              <w:spacing w:line="360" w:lineRule="exact"/>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26</w:t>
            </w:r>
            <w:r>
              <w:rPr>
                <w:rFonts w:hint="eastAsia" w:ascii="宋体" w:hAnsi="宋体" w:eastAsia="宋体" w:cs="宋体"/>
                <w:color w:val="000000" w:themeColor="text1"/>
                <w:szCs w:val="21"/>
                <w:highlight w:val="none"/>
                <w14:textFill>
                  <w14:solidFill>
                    <w14:schemeClr w14:val="tx1"/>
                  </w14:solidFill>
                </w14:textFill>
              </w:rPr>
              <w:t>分）</w:t>
            </w:r>
          </w:p>
        </w:tc>
        <w:tc>
          <w:tcPr>
            <w:tcW w:w="6820" w:type="dxa"/>
            <w:vAlign w:val="center"/>
          </w:tcPr>
          <w:p w14:paraId="79E4A9B1">
            <w:pPr>
              <w:spacing w:line="32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本项目“技术参数”中标注“▲”的技术参数代表重要指标，共</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0</w:t>
            </w:r>
            <w:r>
              <w:rPr>
                <w:rFonts w:hint="eastAsia" w:ascii="宋体" w:hAnsi="宋体" w:eastAsia="宋体" w:cs="宋体"/>
                <w:color w:val="000000" w:themeColor="text1"/>
                <w:szCs w:val="21"/>
                <w:highlight w:val="none"/>
                <w:lang w:val="zh-CN"/>
                <w14:textFill>
                  <w14:solidFill>
                    <w14:schemeClr w14:val="tx1"/>
                  </w14:solidFill>
                </w14:textFill>
              </w:rPr>
              <w:t>项，每有一项满足的得</w:t>
            </w:r>
            <w:r>
              <w:rPr>
                <w:rFonts w:hint="eastAsia" w:ascii="宋体" w:hAnsi="宋体" w:cs="宋体"/>
                <w:color w:val="000000" w:themeColor="text1"/>
                <w:szCs w:val="21"/>
                <w:highlight w:val="none"/>
                <w:lang w:val="en-US" w:eastAsia="zh-CN"/>
                <w14:textFill>
                  <w14:solidFill>
                    <w14:schemeClr w14:val="tx1"/>
                  </w14:solidFill>
                </w14:textFill>
              </w:rPr>
              <w:t>1.3</w:t>
            </w:r>
            <w:r>
              <w:rPr>
                <w:rFonts w:hint="eastAsia" w:ascii="宋体" w:hAnsi="宋体" w:eastAsia="宋体" w:cs="宋体"/>
                <w:color w:val="000000" w:themeColor="text1"/>
                <w:szCs w:val="21"/>
                <w:highlight w:val="none"/>
                <w:lang w:val="zh-CN"/>
                <w14:textFill>
                  <w14:solidFill>
                    <w14:schemeClr w14:val="tx1"/>
                  </w14:solidFill>
                </w14:textFill>
              </w:rPr>
              <w:t>分，全部满足的得</w:t>
            </w:r>
            <w:r>
              <w:rPr>
                <w:rFonts w:hint="eastAsia" w:ascii="宋体" w:hAnsi="宋体" w:cs="宋体"/>
                <w:color w:val="000000" w:themeColor="text1"/>
                <w:szCs w:val="21"/>
                <w:highlight w:val="none"/>
                <w:lang w:val="en-US" w:eastAsia="zh-CN"/>
                <w14:textFill>
                  <w14:solidFill>
                    <w14:schemeClr w14:val="tx1"/>
                  </w14:solidFill>
                </w14:textFill>
              </w:rPr>
              <w:t>26</w:t>
            </w:r>
            <w:r>
              <w:rPr>
                <w:rFonts w:hint="eastAsia" w:ascii="宋体" w:hAnsi="宋体" w:eastAsia="宋体" w:cs="宋体"/>
                <w:color w:val="000000" w:themeColor="text1"/>
                <w:szCs w:val="21"/>
                <w:highlight w:val="none"/>
                <w:lang w:val="zh-CN"/>
                <w14:textFill>
                  <w14:solidFill>
                    <w14:schemeClr w14:val="tx1"/>
                  </w14:solidFill>
                </w14:textFill>
              </w:rPr>
              <w:t>分（</w:t>
            </w:r>
            <w:r>
              <w:rPr>
                <w:rFonts w:hint="eastAsia" w:ascii="宋体" w:hAnsi="宋体" w:eastAsia="宋体" w:cs="宋体"/>
                <w:color w:val="000000" w:themeColor="text1"/>
                <w:szCs w:val="21"/>
                <w:highlight w:val="none"/>
                <w:lang w:val="en-US" w:eastAsia="zh-CN"/>
                <w14:textFill>
                  <w14:solidFill>
                    <w14:schemeClr w14:val="tx1"/>
                  </w14:solidFill>
                </w14:textFill>
              </w:rPr>
              <w:t>非</w:t>
            </w:r>
            <w:r>
              <w:rPr>
                <w:rFonts w:hint="eastAsia" w:ascii="宋体" w:hAnsi="宋体" w:eastAsia="宋体" w:cs="宋体"/>
                <w:color w:val="000000" w:themeColor="text1"/>
                <w:szCs w:val="21"/>
                <w:highlight w:val="none"/>
                <w:lang w:val="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为基本参数不得负偏离</w:t>
            </w:r>
            <w:r>
              <w:rPr>
                <w:rFonts w:hint="eastAsia" w:ascii="宋体" w:hAnsi="宋体" w:eastAsia="宋体" w:cs="宋体"/>
                <w:color w:val="000000" w:themeColor="text1"/>
                <w:szCs w:val="21"/>
                <w:highlight w:val="none"/>
                <w:lang w:val="zh-CN"/>
                <w14:textFill>
                  <w14:solidFill>
                    <w14:schemeClr w14:val="tx1"/>
                  </w14:solidFill>
                </w14:textFill>
              </w:rPr>
              <w:t>）</w:t>
            </w:r>
          </w:p>
          <w:p w14:paraId="1F3E9378">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w:t>
            </w:r>
            <w:r>
              <w:rPr>
                <w:rFonts w:hint="eastAsia" w:ascii="宋体" w:hAnsi="宋体" w:eastAsia="宋体" w:cs="宋体"/>
                <w:color w:val="000000" w:themeColor="text1"/>
                <w:sz w:val="21"/>
                <w:szCs w:val="21"/>
                <w:highlight w:val="none"/>
                <w14:textFill>
                  <w14:solidFill>
                    <w14:schemeClr w14:val="tx1"/>
                  </w14:solidFill>
                </w14:textFill>
              </w:rPr>
              <w:t>明</w:t>
            </w:r>
            <w:r>
              <w:rPr>
                <w:rFonts w:hint="eastAsia" w:ascii="宋体" w:hAnsi="宋体" w:eastAsia="宋体" w:cs="宋体"/>
                <w:color w:val="000000" w:themeColor="text1"/>
                <w:sz w:val="21"/>
                <w:szCs w:val="21"/>
                <w:highlight w:val="none"/>
                <w:lang w:val="zh-CN"/>
                <w14:textFill>
                  <w14:solidFill>
                    <w14:schemeClr w14:val="tx1"/>
                  </w14:solidFill>
                </w14:textFill>
              </w:rPr>
              <w:t>：标注“▲”的技术参数代表重要指标，</w:t>
            </w:r>
            <w:r>
              <w:rPr>
                <w:rFonts w:hint="eastAsia" w:ascii="宋体" w:hAnsi="宋体" w:eastAsia="宋体" w:cs="宋体"/>
                <w:color w:val="000000" w:themeColor="text1"/>
                <w:sz w:val="21"/>
                <w:szCs w:val="21"/>
                <w:highlight w:val="none"/>
                <w14:textFill>
                  <w14:solidFill>
                    <w14:schemeClr w14:val="tx1"/>
                  </w14:solidFill>
                </w14:textFill>
              </w:rPr>
              <w:t>技术参数中明确</w:t>
            </w:r>
            <w:r>
              <w:rPr>
                <w:rFonts w:hint="eastAsia" w:ascii="宋体" w:hAnsi="宋体" w:eastAsia="宋体" w:cs="宋体"/>
                <w:color w:val="000000" w:themeColor="text1"/>
                <w:sz w:val="21"/>
                <w:szCs w:val="21"/>
                <w:highlight w:val="none"/>
                <w:lang w:val="zh-CN"/>
                <w14:textFill>
                  <w14:solidFill>
                    <w14:schemeClr w14:val="tx1"/>
                  </w14:solidFill>
                </w14:textFill>
              </w:rPr>
              <w:t>要求提供证明材料的以证明材料加盖投标人公章为准，未作要求的以投标人提供的《技术要求响应及偏离表》</w:t>
            </w:r>
            <w:r>
              <w:rPr>
                <w:rFonts w:hint="eastAsia" w:ascii="宋体" w:hAnsi="宋体" w:eastAsia="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检测报告、白皮书、产品手册、操作界面截图、承诺函中任一项</w:t>
            </w:r>
            <w:r>
              <w:rPr>
                <w:rFonts w:hint="eastAsia" w:ascii="宋体" w:hAnsi="宋体" w:eastAsia="宋体" w:cs="宋体"/>
                <w:color w:val="000000" w:themeColor="text1"/>
                <w:sz w:val="21"/>
                <w:szCs w:val="21"/>
                <w:highlight w:val="none"/>
                <w14:textFill>
                  <w14:solidFill>
                    <w14:schemeClr w14:val="tx1"/>
                  </w14:solidFill>
                </w14:textFill>
              </w:rPr>
              <w:t>加盖公章</w:t>
            </w:r>
            <w:r>
              <w:rPr>
                <w:rFonts w:hint="eastAsia" w:ascii="宋体" w:hAnsi="宋体" w:eastAsia="宋体" w:cs="宋体"/>
                <w:color w:val="000000" w:themeColor="text1"/>
                <w:sz w:val="21"/>
                <w:szCs w:val="21"/>
                <w:highlight w:val="none"/>
                <w:lang w:val="zh-CN"/>
                <w14:textFill>
                  <w14:solidFill>
                    <w14:schemeClr w14:val="tx1"/>
                  </w14:solidFill>
                </w14:textFill>
              </w:rPr>
              <w:t>为准。</w:t>
            </w:r>
          </w:p>
        </w:tc>
        <w:tc>
          <w:tcPr>
            <w:tcW w:w="861" w:type="dxa"/>
            <w:vAlign w:val="center"/>
          </w:tcPr>
          <w:p w14:paraId="1EF0E0E9">
            <w:pPr>
              <w:spacing w:line="360" w:lineRule="exac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26</w:t>
            </w:r>
          </w:p>
        </w:tc>
      </w:tr>
      <w:tr w14:paraId="5495F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561" w:type="dxa"/>
            <w:vAlign w:val="center"/>
          </w:tcPr>
          <w:p w14:paraId="52F72C1F">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企业实力     （</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w:t>
            </w:r>
          </w:p>
        </w:tc>
        <w:tc>
          <w:tcPr>
            <w:tcW w:w="6820" w:type="dxa"/>
            <w:vAlign w:val="center"/>
          </w:tcPr>
          <w:p w14:paraId="12592808">
            <w:pPr>
              <w:spacing w:line="360" w:lineRule="exact"/>
              <w:ind w:firstLine="420"/>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投标人具有</w:t>
            </w:r>
            <w:r>
              <w:rPr>
                <w:rFonts w:hint="eastAsia" w:ascii="宋体" w:hAnsi="宋体" w:eastAsia="宋体" w:cs="宋体"/>
                <w:color w:val="000000" w:themeColor="text1"/>
                <w:szCs w:val="21"/>
                <w:highlight w:val="none"/>
                <w:lang w:val="en-US" w:eastAsia="zh-CN"/>
                <w14:textFill>
                  <w14:solidFill>
                    <w14:schemeClr w14:val="tx1"/>
                  </w14:solidFill>
                </w14:textFill>
              </w:rPr>
              <w:t>在</w:t>
            </w:r>
            <w:r>
              <w:rPr>
                <w:rFonts w:hint="eastAsia" w:ascii="宋体" w:hAnsi="宋体" w:eastAsia="宋体" w:cs="宋体"/>
                <w:color w:val="000000" w:themeColor="text1"/>
                <w:szCs w:val="21"/>
                <w:highlight w:val="none"/>
                <w14:textFill>
                  <w14:solidFill>
                    <w14:schemeClr w14:val="tx1"/>
                  </w14:solidFill>
                </w14:textFill>
              </w:rPr>
              <w:t>有效</w:t>
            </w:r>
            <w:r>
              <w:rPr>
                <w:rFonts w:hint="eastAsia" w:ascii="宋体" w:hAnsi="宋体" w:eastAsia="宋体" w:cs="宋体"/>
                <w:color w:val="000000" w:themeColor="text1"/>
                <w:szCs w:val="21"/>
                <w:highlight w:val="none"/>
                <w:lang w:val="en-US" w:eastAsia="zh-CN"/>
                <w14:textFill>
                  <w14:solidFill>
                    <w14:schemeClr w14:val="tx1"/>
                  </w14:solidFill>
                </w14:textFill>
              </w:rPr>
              <w:t>期内</w:t>
            </w:r>
            <w:r>
              <w:rPr>
                <w:rFonts w:hint="eastAsia" w:ascii="宋体" w:hAnsi="宋体" w:eastAsia="宋体" w:cs="宋体"/>
                <w:color w:val="000000" w:themeColor="text1"/>
                <w:szCs w:val="21"/>
                <w:highlight w:val="none"/>
                <w14:textFill>
                  <w14:solidFill>
                    <w14:schemeClr w14:val="tx1"/>
                  </w14:solidFill>
                </w14:textFill>
              </w:rPr>
              <w:t>的质量管理体系认证证书、</w:t>
            </w:r>
            <w:r>
              <w:rPr>
                <w:rFonts w:hint="eastAsia" w:ascii="宋体" w:hAnsi="宋体" w:eastAsia="宋体" w:cs="宋体"/>
                <w:color w:val="000000" w:themeColor="text1"/>
                <w:szCs w:val="21"/>
                <w:highlight w:val="none"/>
                <w:lang w:val="en-US" w:eastAsia="zh-CN"/>
                <w14:textFill>
                  <w14:solidFill>
                    <w14:schemeClr w14:val="tx1"/>
                  </w14:solidFill>
                </w14:textFill>
              </w:rPr>
              <w:t>环境管理体系认证证书、职业健康安全管理体系认证证书</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售后服务认证证书的，</w:t>
            </w:r>
            <w:r>
              <w:rPr>
                <w:rFonts w:hint="eastAsia" w:ascii="宋体" w:hAnsi="宋体" w:eastAsia="宋体" w:cs="宋体"/>
                <w:color w:val="000000" w:themeColor="text1"/>
                <w:szCs w:val="21"/>
                <w:highlight w:val="none"/>
                <w14:textFill>
                  <w14:solidFill>
                    <w14:schemeClr w14:val="tx1"/>
                  </w14:solidFill>
                </w14:textFill>
              </w:rPr>
              <w:t>每提供一个证书的得</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分，本项最高得</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分。不提供不得分</w:t>
            </w:r>
            <w:r>
              <w:rPr>
                <w:rFonts w:hint="eastAsia" w:ascii="宋体" w:hAnsi="宋体" w:eastAsia="宋体" w:cs="宋体"/>
                <w:color w:val="000000" w:themeColor="text1"/>
                <w:szCs w:val="21"/>
                <w:highlight w:val="none"/>
                <w:lang w:val="en-US" w:eastAsia="zh-CN"/>
                <w14:textFill>
                  <w14:solidFill>
                    <w14:schemeClr w14:val="tx1"/>
                  </w14:solidFill>
                </w14:textFill>
              </w:rPr>
              <w:t>。</w:t>
            </w:r>
          </w:p>
          <w:p w14:paraId="268CBEA5">
            <w:pPr>
              <w:spacing w:line="360" w:lineRule="exact"/>
              <w:ind w:firstLine="42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说明：投标时提供上述证书的扫描件，投标人应当确保证书开标当天处于有效期内，否则不予认可。以上材料均须加盖投标人公章，否则不予认可，不提供不得分。</w:t>
            </w:r>
          </w:p>
        </w:tc>
        <w:tc>
          <w:tcPr>
            <w:tcW w:w="861" w:type="dxa"/>
            <w:vAlign w:val="center"/>
          </w:tcPr>
          <w:p w14:paraId="367464B4">
            <w:pPr>
              <w:spacing w:line="36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r>
      <w:tr w14:paraId="23679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561" w:type="dxa"/>
            <w:vAlign w:val="center"/>
          </w:tcPr>
          <w:p w14:paraId="47EA205D">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企业业绩                （</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w:t>
            </w:r>
          </w:p>
        </w:tc>
        <w:tc>
          <w:tcPr>
            <w:tcW w:w="6820" w:type="dxa"/>
            <w:vAlign w:val="center"/>
          </w:tcPr>
          <w:p w14:paraId="307DEA4E">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投标人自202</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年1月1日以来承担</w:t>
            </w:r>
            <w:r>
              <w:rPr>
                <w:rFonts w:hint="eastAsia" w:ascii="宋体" w:hAnsi="宋体" w:eastAsia="宋体" w:cs="宋体"/>
                <w:color w:val="000000" w:themeColor="text1"/>
                <w:szCs w:val="21"/>
                <w:highlight w:val="none"/>
                <w:lang w:eastAsia="zh-CN"/>
                <w14:textFill>
                  <w14:solidFill>
                    <w14:schemeClr w14:val="tx1"/>
                  </w14:solidFill>
                </w14:textFill>
              </w:rPr>
              <w:t>类似（</w:t>
            </w:r>
            <w:r>
              <w:rPr>
                <w:rFonts w:hint="eastAsia" w:ascii="宋体" w:hAnsi="宋体" w:eastAsia="宋体" w:cs="宋体"/>
                <w:color w:val="000000" w:themeColor="text1"/>
                <w:szCs w:val="21"/>
                <w:highlight w:val="none"/>
                <w14:textFill>
                  <w14:solidFill>
                    <w14:schemeClr w14:val="tx1"/>
                  </w14:solidFill>
                </w14:textFill>
              </w:rPr>
              <w:t>建设内容</w:t>
            </w:r>
            <w:r>
              <w:rPr>
                <w:rFonts w:hint="eastAsia" w:ascii="宋体" w:hAnsi="宋体" w:eastAsia="宋体" w:cs="宋体"/>
                <w:color w:val="000000" w:themeColor="text1"/>
                <w:szCs w:val="21"/>
                <w:highlight w:val="none"/>
                <w:lang w:eastAsia="zh-CN"/>
                <w14:textFill>
                  <w14:solidFill>
                    <w14:schemeClr w14:val="tx1"/>
                  </w14:solidFill>
                </w14:textFill>
              </w:rPr>
              <w:t>至少</w:t>
            </w:r>
            <w:r>
              <w:rPr>
                <w:rFonts w:hint="eastAsia" w:ascii="宋体" w:hAnsi="宋体" w:eastAsia="宋体" w:cs="宋体"/>
                <w:color w:val="000000" w:themeColor="text1"/>
                <w:szCs w:val="21"/>
                <w:highlight w:val="none"/>
                <w14:textFill>
                  <w14:solidFill>
                    <w14:schemeClr w14:val="tx1"/>
                  </w14:solidFill>
                </w14:textFill>
              </w:rPr>
              <w:t>包</w:t>
            </w:r>
            <w:r>
              <w:rPr>
                <w:rFonts w:hint="eastAsia" w:ascii="宋体" w:hAnsi="宋体" w:eastAsia="宋体" w:cs="宋体"/>
                <w:color w:val="000000" w:themeColor="text1"/>
                <w:szCs w:val="21"/>
                <w:highlight w:val="none"/>
                <w:lang w:eastAsia="zh-CN"/>
                <w14:textFill>
                  <w14:solidFill>
                    <w14:schemeClr w14:val="tx1"/>
                  </w14:solidFill>
                </w14:textFill>
              </w:rPr>
              <w:t>含</w:t>
            </w:r>
            <w:r>
              <w:rPr>
                <w:rFonts w:hint="eastAsia" w:ascii="宋体" w:hAnsi="宋体" w:eastAsia="宋体" w:cs="宋体"/>
                <w:color w:val="000000" w:themeColor="text1"/>
                <w:szCs w:val="21"/>
                <w:highlight w:val="none"/>
                <w14:textFill>
                  <w14:solidFill>
                    <w14:schemeClr w14:val="tx1"/>
                  </w14:solidFill>
                </w14:textFill>
              </w:rPr>
              <w:t>无人机侦测或反制设备采购</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相关业绩。每提供一个业绩得1分，本项最高</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w:t>
            </w:r>
          </w:p>
          <w:p w14:paraId="55F31A6C">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说明：投标时需提供服务合同原件扫描件，且合同中需体现甲乙双方名称、合同签订时间、甲乙双方章印齐全，否则不予认可。未提供或经评审不合格的均不得分。</w:t>
            </w:r>
          </w:p>
        </w:tc>
        <w:tc>
          <w:tcPr>
            <w:tcW w:w="861" w:type="dxa"/>
            <w:vAlign w:val="center"/>
          </w:tcPr>
          <w:p w14:paraId="4561C150">
            <w:pPr>
              <w:spacing w:line="36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p>
        </w:tc>
      </w:tr>
      <w:tr w14:paraId="259D3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561" w:type="dxa"/>
            <w:vAlign w:val="center"/>
          </w:tcPr>
          <w:p w14:paraId="7E23F853">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项目组成员 （</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w:t>
            </w:r>
          </w:p>
        </w:tc>
        <w:tc>
          <w:tcPr>
            <w:tcW w:w="6820" w:type="dxa"/>
            <w:vAlign w:val="center"/>
          </w:tcPr>
          <w:p w14:paraId="77A8597C">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投标人拟派的项目经理（1人）：具有人社部门认定的信息系统项目管理师证书、人社部门颁发和认定的数字经济（电子信息）专业相关的高级工程师及以上职称证书；每提供1项证书得</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分，最高得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w:t>
            </w:r>
          </w:p>
          <w:p w14:paraId="0AA3EAC4">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说明：提供相应证书原件扫描件及相应人员投标截止时间前</w:t>
            </w:r>
            <w:r>
              <w:rPr>
                <w:rFonts w:hint="eastAsia" w:ascii="宋体" w:hAnsi="宋体" w:eastAsia="宋体" w:cs="宋体"/>
                <w:color w:val="000000" w:themeColor="text1"/>
                <w:szCs w:val="21"/>
                <w:highlight w:val="none"/>
                <w:lang w:val="en-US" w:eastAsia="zh-CN"/>
                <w14:textFill>
                  <w14:solidFill>
                    <w14:schemeClr w14:val="tx1"/>
                  </w14:solidFill>
                </w14:textFill>
              </w:rPr>
              <w:t>6个月以来任意</w:t>
            </w:r>
            <w:r>
              <w:rPr>
                <w:rFonts w:hint="eastAsia" w:ascii="宋体" w:hAnsi="宋体" w:eastAsia="宋体" w:cs="宋体"/>
                <w:color w:val="000000" w:themeColor="text1"/>
                <w:szCs w:val="21"/>
                <w:highlight w:val="none"/>
                <w14:textFill>
                  <w14:solidFill>
                    <w14:schemeClr w14:val="tx1"/>
                  </w14:solidFill>
                </w14:textFill>
              </w:rPr>
              <w:t>1个月在本单位缴纳养老保险的证明扫描件加盖投标人公章，未提供或提供不全不得分。</w:t>
            </w:r>
          </w:p>
        </w:tc>
        <w:tc>
          <w:tcPr>
            <w:tcW w:w="861" w:type="dxa"/>
            <w:vAlign w:val="center"/>
          </w:tcPr>
          <w:p w14:paraId="46C78FCC">
            <w:pPr>
              <w:spacing w:line="36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p>
        </w:tc>
      </w:tr>
      <w:tr w14:paraId="0DC76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61" w:type="dxa"/>
            <w:shd w:val="clear" w:color="auto" w:fill="auto"/>
            <w:vAlign w:val="center"/>
          </w:tcPr>
          <w:p w14:paraId="2F8EB3C1">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技术服务整体方案</w:t>
            </w:r>
          </w:p>
          <w:p w14:paraId="3C41CA47">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w:t>
            </w:r>
          </w:p>
        </w:tc>
        <w:tc>
          <w:tcPr>
            <w:tcW w:w="6820" w:type="dxa"/>
            <w:shd w:val="clear" w:color="auto" w:fill="auto"/>
            <w:vAlign w:val="center"/>
          </w:tcPr>
          <w:p w14:paraId="2A908CD0">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根据本项目第四部分中“技术服务整体方案”要求，提供科学合理的技术服务整体方案，至少包含：（1）需求分析（设备组网应用、实时数据可视、远程控制管理等）（2）项目实施计划及时间进度安排（3）培训方案等方面内容。方案优于本项目需求的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分，符合本项目需求的得</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分，不符合或不提供不得分。</w:t>
            </w:r>
          </w:p>
          <w:p w14:paraId="5104DF68">
            <w:pPr>
              <w:spacing w:line="360" w:lineRule="exact"/>
              <w:ind w:firstLine="420" w:firstLineChars="20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861" w:type="dxa"/>
            <w:shd w:val="clear" w:color="auto" w:fill="auto"/>
            <w:vAlign w:val="center"/>
          </w:tcPr>
          <w:p w14:paraId="629E5A76">
            <w:pPr>
              <w:spacing w:line="36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p>
        </w:tc>
      </w:tr>
      <w:tr w14:paraId="6DF21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61" w:type="dxa"/>
            <w:shd w:val="clear" w:color="auto" w:fill="auto"/>
            <w:vAlign w:val="center"/>
          </w:tcPr>
          <w:p w14:paraId="4C66D907">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人员配备方案（</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w:t>
            </w:r>
          </w:p>
        </w:tc>
        <w:tc>
          <w:tcPr>
            <w:tcW w:w="6820" w:type="dxa"/>
            <w:shd w:val="clear" w:color="auto" w:fill="auto"/>
            <w:vAlign w:val="center"/>
          </w:tcPr>
          <w:p w14:paraId="3ACCB0CA">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投标人根据本项目第四部分中“人员配备方案”要求，配备丰富的管理及专业实施人员团队，至少包含：（1）管理人员投入、（2）技术人员及安装调试人员投入等方面内容。方案优于本项目需求的得</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分，符合本项目需求的得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分，不符合或不提供不得分。</w:t>
            </w:r>
          </w:p>
          <w:p w14:paraId="46932BD5">
            <w:pPr>
              <w:spacing w:line="36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861" w:type="dxa"/>
            <w:shd w:val="clear" w:color="auto" w:fill="auto"/>
            <w:vAlign w:val="center"/>
          </w:tcPr>
          <w:p w14:paraId="770444A0">
            <w:pPr>
              <w:spacing w:line="36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r>
      <w:tr w14:paraId="537D3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61" w:type="dxa"/>
            <w:shd w:val="clear" w:color="auto" w:fill="auto"/>
            <w:vAlign w:val="center"/>
          </w:tcPr>
          <w:p w14:paraId="5714D67E">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售后服务方案</w:t>
            </w:r>
          </w:p>
          <w:p w14:paraId="169968B1">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w:t>
            </w:r>
          </w:p>
        </w:tc>
        <w:tc>
          <w:tcPr>
            <w:tcW w:w="6820" w:type="dxa"/>
            <w:shd w:val="clear" w:color="auto" w:fill="auto"/>
            <w:vAlign w:val="center"/>
          </w:tcPr>
          <w:p w14:paraId="50FCBFDA">
            <w:pPr>
              <w:spacing w:line="36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投标人根据本项目第四部分中“售后服务方案”要求，提供科学合理的售后服务方案，至少包含：①售后服务目标和内容、②售后服务承诺和保证、③售后服务队伍方案等方面内容。方案优于要求的得</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分，符合要求得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分，不符合要求或未提供的不得分。</w:t>
            </w:r>
          </w:p>
          <w:p w14:paraId="5ACDEB65">
            <w:pPr>
              <w:spacing w:line="360" w:lineRule="exact"/>
              <w:ind w:firstLine="420" w:firstLineChars="20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861" w:type="dxa"/>
            <w:shd w:val="clear" w:color="auto" w:fill="auto"/>
            <w:vAlign w:val="center"/>
          </w:tcPr>
          <w:p w14:paraId="7D05A01B">
            <w:pPr>
              <w:spacing w:line="36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r>
      <w:tr w14:paraId="75FFB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61" w:type="dxa"/>
            <w:shd w:val="clear" w:color="auto" w:fill="auto"/>
            <w:vAlign w:val="center"/>
          </w:tcPr>
          <w:p w14:paraId="692563C4">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质保期</w:t>
            </w:r>
          </w:p>
          <w:p w14:paraId="5F6BCFC6">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w:t>
            </w:r>
          </w:p>
        </w:tc>
        <w:tc>
          <w:tcPr>
            <w:tcW w:w="6820" w:type="dxa"/>
            <w:shd w:val="clear" w:color="auto" w:fill="auto"/>
            <w:vAlign w:val="center"/>
          </w:tcPr>
          <w:p w14:paraId="70F9C11A">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在本项目要求免费质保期3年基础上，每增加一年的加</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分，最高</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w:t>
            </w:r>
          </w:p>
          <w:p w14:paraId="5CD4A3AD">
            <w:pPr>
              <w:spacing w:line="360" w:lineRule="exact"/>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说明：质保期内承诺设备固件免费升级，保持固件版本为当时最新。投标时提供承诺函（格式自拟）并加盖投标人公章，未提供的不得分。</w:t>
            </w:r>
          </w:p>
        </w:tc>
        <w:tc>
          <w:tcPr>
            <w:tcW w:w="861" w:type="dxa"/>
            <w:shd w:val="clear" w:color="auto" w:fill="auto"/>
            <w:vAlign w:val="center"/>
          </w:tcPr>
          <w:p w14:paraId="175724C9">
            <w:pPr>
              <w:spacing w:line="36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p>
        </w:tc>
      </w:tr>
      <w:tr w14:paraId="1D73A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61" w:type="dxa"/>
            <w:shd w:val="clear" w:color="auto" w:fill="auto"/>
            <w:vAlign w:val="center"/>
          </w:tcPr>
          <w:p w14:paraId="492E84C7">
            <w:pPr>
              <w:spacing w:line="36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产品实测</w:t>
            </w:r>
          </w:p>
          <w:p w14:paraId="40D87E0A">
            <w:pPr>
              <w:spacing w:line="360" w:lineRule="exact"/>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实测部分 </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6146153A">
            <w:pPr>
              <w:spacing w:line="3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tc>
        <w:tc>
          <w:tcPr>
            <w:tcW w:w="6820" w:type="dxa"/>
            <w:shd w:val="clear" w:color="auto" w:fill="auto"/>
            <w:vAlign w:val="center"/>
          </w:tcPr>
          <w:p w14:paraId="52BA3770">
            <w:pPr>
              <w:spacing w:line="360" w:lineRule="exact"/>
              <w:ind w:firstLine="210" w:firstLineChars="100"/>
              <w:jc w:val="left"/>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本项目设有现场测试（演示，下同）环节，</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由盐城市公安局巡特警支队保障测试工作，</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各潜在投标人须至项目现场测试（具体要求见采购需求部分）。评标委员会</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根据现场符合招标要求的投标人测试分值进行打分，本项最高得1</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4</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分。测试项目:</w:t>
            </w:r>
          </w:p>
          <w:p w14:paraId="2E9A695E">
            <w:pPr>
              <w:spacing w:line="360" w:lineRule="exact"/>
              <w:ind w:firstLine="422" w:firstLineChars="200"/>
              <w:jc w:val="left"/>
              <w:rPr>
                <w:rStyle w:val="225"/>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Style w:val="225"/>
                <w:rFonts w:hint="eastAsia" w:ascii="宋体" w:hAnsi="宋体" w:cs="宋体"/>
                <w:b/>
                <w:bCs/>
                <w:color w:val="000000" w:themeColor="text1"/>
                <w:sz w:val="21"/>
                <w:szCs w:val="21"/>
                <w:highlight w:val="none"/>
                <w:lang w:val="en-US" w:eastAsia="zh-CN" w:bidi="ar"/>
                <w14:textFill>
                  <w14:solidFill>
                    <w14:schemeClr w14:val="tx1"/>
                  </w14:solidFill>
                </w14:textFill>
              </w:rPr>
              <w:t>1.</w:t>
            </w:r>
            <w:r>
              <w:rPr>
                <w:rStyle w:val="225"/>
                <w:rFonts w:hint="eastAsia" w:ascii="宋体" w:hAnsi="宋体" w:eastAsia="宋体" w:cs="宋体"/>
                <w:b/>
                <w:bCs/>
                <w:color w:val="000000" w:themeColor="text1"/>
                <w:sz w:val="21"/>
                <w:szCs w:val="21"/>
                <w:highlight w:val="none"/>
                <w:lang w:val="en-US" w:eastAsia="zh-CN" w:bidi="ar"/>
                <w14:textFill>
                  <w14:solidFill>
                    <w14:schemeClr w14:val="tx1"/>
                  </w14:solidFill>
                </w14:textFill>
              </w:rPr>
              <w:t>无人机侦测能力(5分)</w:t>
            </w:r>
            <w:r>
              <w:rPr>
                <w:rStyle w:val="225"/>
                <w:rFonts w:hint="eastAsia" w:ascii="宋体" w:hAnsi="宋体" w:cs="宋体"/>
                <w:b/>
                <w:bCs/>
                <w:color w:val="000000" w:themeColor="text1"/>
                <w:sz w:val="21"/>
                <w:szCs w:val="21"/>
                <w:highlight w:val="none"/>
                <w:lang w:val="en-US" w:eastAsia="zh-CN" w:bidi="ar"/>
                <w14:textFill>
                  <w14:solidFill>
                    <w14:schemeClr w14:val="tx1"/>
                  </w14:solidFill>
                </w14:textFill>
              </w:rPr>
              <w:t>【</w:t>
            </w:r>
            <w:r>
              <w:rPr>
                <w:rStyle w:val="225"/>
                <w:rFonts w:hint="eastAsia"/>
                <w:b/>
                <w:bCs/>
                <w:color w:val="000000" w:themeColor="text1"/>
                <w:highlight w:val="none"/>
                <w:lang w:val="en-US" w:eastAsia="zh-CN" w:bidi="ar"/>
                <w14:textFill>
                  <w14:solidFill>
                    <w14:schemeClr w14:val="tx1"/>
                  </w14:solidFill>
                </w14:textFill>
              </w:rPr>
              <w:t>测试设备：移动式侦测设备】</w:t>
            </w:r>
          </w:p>
          <w:p w14:paraId="0780C87B">
            <w:pPr>
              <w:numPr>
                <w:ilvl w:val="0"/>
                <w:numId w:val="0"/>
              </w:numPr>
              <w:spacing w:line="360" w:lineRule="exact"/>
              <w:ind w:firstLine="420" w:firstLineChars="200"/>
              <w:jc w:val="left"/>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无人机定位侦测能力：定位出1架及以下得0分，2架得1分，3架得1.5分，4架得2分，5架得3分。</w:t>
            </w:r>
          </w:p>
          <w:p w14:paraId="67DC4146">
            <w:pPr>
              <w:spacing w:line="360" w:lineRule="exact"/>
              <w:ind w:firstLine="420" w:firstLineChars="200"/>
              <w:jc w:val="left"/>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有效探测距离：D＜3km得0分，3km≤D＜5km得0.5分，5km≤D＜8km得1分，D≥8km得2分。</w:t>
            </w:r>
          </w:p>
          <w:p w14:paraId="724C5720">
            <w:pPr>
              <w:spacing w:line="360" w:lineRule="exact"/>
              <w:ind w:firstLine="422" w:firstLineChars="200"/>
              <w:jc w:val="left"/>
              <w:rPr>
                <w:rStyle w:val="225"/>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Style w:val="225"/>
                <w:rFonts w:hint="eastAsia" w:ascii="宋体" w:hAnsi="宋体" w:eastAsia="宋体" w:cs="宋体"/>
                <w:b/>
                <w:bCs/>
                <w:color w:val="000000" w:themeColor="text1"/>
                <w:sz w:val="21"/>
                <w:szCs w:val="21"/>
                <w:highlight w:val="none"/>
                <w:lang w:val="en-US" w:eastAsia="zh-CN" w:bidi="ar"/>
                <w14:textFill>
                  <w14:solidFill>
                    <w14:schemeClr w14:val="tx1"/>
                  </w14:solidFill>
                </w14:textFill>
              </w:rPr>
              <w:t>2.无人机反制能力(</w:t>
            </w:r>
            <w:r>
              <w:rPr>
                <w:rStyle w:val="225"/>
                <w:rFonts w:hint="eastAsia" w:ascii="宋体" w:hAnsi="宋体" w:cs="宋体"/>
                <w:b/>
                <w:bCs/>
                <w:color w:val="000000" w:themeColor="text1"/>
                <w:sz w:val="21"/>
                <w:szCs w:val="21"/>
                <w:highlight w:val="none"/>
                <w:lang w:val="en-US" w:eastAsia="zh-CN" w:bidi="ar"/>
                <w14:textFill>
                  <w14:solidFill>
                    <w14:schemeClr w14:val="tx1"/>
                  </w14:solidFill>
                </w14:textFill>
              </w:rPr>
              <w:t>9</w:t>
            </w:r>
            <w:r>
              <w:rPr>
                <w:rStyle w:val="225"/>
                <w:rFonts w:hint="eastAsia" w:ascii="宋体" w:hAnsi="宋体" w:eastAsia="宋体" w:cs="宋体"/>
                <w:b/>
                <w:bCs/>
                <w:color w:val="000000" w:themeColor="text1"/>
                <w:sz w:val="21"/>
                <w:szCs w:val="21"/>
                <w:highlight w:val="none"/>
                <w:lang w:val="en-US" w:eastAsia="zh-CN" w:bidi="ar"/>
                <w14:textFill>
                  <w14:solidFill>
                    <w14:schemeClr w14:val="tx1"/>
                  </w14:solidFill>
                </w14:textFill>
              </w:rPr>
              <w:t>分)</w:t>
            </w:r>
            <w:r>
              <w:rPr>
                <w:rStyle w:val="225"/>
                <w:rFonts w:hint="eastAsia"/>
                <w:b/>
                <w:bCs/>
                <w:color w:val="000000" w:themeColor="text1"/>
                <w:highlight w:val="none"/>
                <w:lang w:val="en-US" w:eastAsia="zh-CN" w:bidi="ar"/>
                <w14:textFill>
                  <w14:solidFill>
                    <w14:schemeClr w14:val="tx1"/>
                  </w14:solidFill>
                </w14:textFill>
              </w:rPr>
              <w:t>【测试设备：移动式定向反制设备1】</w:t>
            </w:r>
          </w:p>
          <w:p w14:paraId="61898BF4">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反制距离：靶机从3km处起飞，记录</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被成功反制时靶机与设备的距离</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，0≤D&lt;500m得0分，500≤D&lt;1000m得1分，1000m≤D &lt;1500m得1.5分，1500m≤D≤2000m得2分，2000m＜D≤3000m得3分。</w:t>
            </w:r>
          </w:p>
          <w:p w14:paraId="7C972F3A">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反制能力稳定性：1公里处同时起飞</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4</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架无人机</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群，开启反制后</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均未受到反制的得0分，1架受到反制的得1.5</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分</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，2架受到反制的得3</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分</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，3架受到反制的得4.5</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分</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，4架受到反制的得6</w:t>
            </w:r>
            <w:r>
              <w:rPr>
                <w:rStyle w:val="225"/>
                <w:rFonts w:hint="eastAsia" w:ascii="宋体" w:hAnsi="宋体" w:eastAsia="宋体" w:cs="宋体"/>
                <w:color w:val="000000" w:themeColor="text1"/>
                <w:sz w:val="21"/>
                <w:szCs w:val="21"/>
                <w:highlight w:val="none"/>
                <w:lang w:val="en-US" w:eastAsia="zh-CN" w:bidi="ar"/>
                <w14:textFill>
                  <w14:solidFill>
                    <w14:schemeClr w14:val="tx1"/>
                  </w14:solidFill>
                </w14:textFill>
              </w:rPr>
              <w:t>分</w:t>
            </w:r>
            <w:r>
              <w:rPr>
                <w:rStyle w:val="225"/>
                <w:rFonts w:hint="eastAsia" w:ascii="宋体" w:hAnsi="宋体" w:cs="宋体"/>
                <w:color w:val="000000" w:themeColor="text1"/>
                <w:sz w:val="21"/>
                <w:szCs w:val="21"/>
                <w:highlight w:val="none"/>
                <w:lang w:val="en-US" w:eastAsia="zh-CN" w:bidi="ar"/>
                <w14:textFill>
                  <w14:solidFill>
                    <w14:schemeClr w14:val="tx1"/>
                  </w14:solidFill>
                </w14:textFill>
              </w:rPr>
              <w:t>。</w:t>
            </w:r>
          </w:p>
          <w:p w14:paraId="74AF3E3A">
            <w:pPr>
              <w:spacing w:line="360" w:lineRule="exact"/>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p>
        </w:tc>
        <w:tc>
          <w:tcPr>
            <w:tcW w:w="861" w:type="dxa"/>
            <w:shd w:val="clear" w:color="auto" w:fill="auto"/>
            <w:vAlign w:val="center"/>
          </w:tcPr>
          <w:p w14:paraId="445ACB9A">
            <w:pPr>
              <w:spacing w:line="36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4</w:t>
            </w:r>
          </w:p>
        </w:tc>
      </w:tr>
      <w:tr w14:paraId="0856D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381" w:type="dxa"/>
            <w:gridSpan w:val="2"/>
            <w:vAlign w:val="center"/>
          </w:tcPr>
          <w:p w14:paraId="44EF8F39">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合计</w:t>
            </w:r>
          </w:p>
        </w:tc>
        <w:tc>
          <w:tcPr>
            <w:tcW w:w="861" w:type="dxa"/>
            <w:vAlign w:val="center"/>
          </w:tcPr>
          <w:p w14:paraId="7E091E7A">
            <w:pPr>
              <w:spacing w:line="36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100分</w:t>
            </w:r>
          </w:p>
        </w:tc>
      </w:tr>
    </w:tbl>
    <w:p w14:paraId="6D6E56FE">
      <w:pPr>
        <w:spacing w:line="360" w:lineRule="auto"/>
        <w:rPr>
          <w:rFonts w:hint="eastAsia" w:ascii="宋体" w:hAnsi="宋体" w:cs="宋体"/>
          <w:color w:val="000000" w:themeColor="text1"/>
          <w:szCs w:val="21"/>
          <w:highlight w:val="none"/>
          <w14:textFill>
            <w14:solidFill>
              <w14:schemeClr w14:val="tx1"/>
            </w14:solidFill>
          </w14:textFill>
        </w:rPr>
      </w:pPr>
    </w:p>
    <w:p w14:paraId="3A33A171">
      <w:pPr>
        <w:pStyle w:val="27"/>
        <w:rPr>
          <w:rFonts w:hint="eastAsia" w:ascii="宋体" w:hAnsi="宋体" w:cs="宋体"/>
          <w:color w:val="000000" w:themeColor="text1"/>
          <w:szCs w:val="21"/>
          <w:highlight w:val="none"/>
          <w14:textFill>
            <w14:solidFill>
              <w14:schemeClr w14:val="tx1"/>
            </w14:solidFill>
          </w14:textFill>
        </w:rPr>
      </w:pPr>
    </w:p>
    <w:p w14:paraId="4BFA6786">
      <w:pPr>
        <w:rPr>
          <w:rFonts w:hint="eastAsia" w:ascii="宋体" w:hAnsi="宋体" w:cs="宋体"/>
          <w:color w:val="000000" w:themeColor="text1"/>
          <w:szCs w:val="21"/>
          <w:highlight w:val="none"/>
          <w14:textFill>
            <w14:solidFill>
              <w14:schemeClr w14:val="tx1"/>
            </w14:solidFill>
          </w14:textFill>
        </w:rPr>
      </w:pPr>
    </w:p>
    <w:p w14:paraId="33B7D7B4">
      <w:pPr>
        <w:pStyle w:val="27"/>
        <w:rPr>
          <w:rFonts w:hint="eastAsia" w:ascii="宋体" w:hAnsi="宋体" w:cs="宋体"/>
          <w:color w:val="000000" w:themeColor="text1"/>
          <w:szCs w:val="21"/>
          <w:highlight w:val="none"/>
          <w14:textFill>
            <w14:solidFill>
              <w14:schemeClr w14:val="tx1"/>
            </w14:solidFill>
          </w14:textFill>
        </w:rPr>
      </w:pPr>
    </w:p>
    <w:p w14:paraId="4026EDA8">
      <w:pPr>
        <w:rPr>
          <w:rFonts w:hint="eastAsia" w:ascii="宋体" w:hAnsi="宋体" w:cs="宋体"/>
          <w:color w:val="000000" w:themeColor="text1"/>
          <w:szCs w:val="21"/>
          <w:highlight w:val="none"/>
          <w14:textFill>
            <w14:solidFill>
              <w14:schemeClr w14:val="tx1"/>
            </w14:solidFill>
          </w14:textFill>
        </w:rPr>
      </w:pPr>
    </w:p>
    <w:p w14:paraId="481D885B">
      <w:pPr>
        <w:pStyle w:val="27"/>
        <w:rPr>
          <w:rFonts w:hint="eastAsia"/>
          <w:color w:val="000000" w:themeColor="text1"/>
          <w:highlight w:val="none"/>
          <w14:textFill>
            <w14:solidFill>
              <w14:schemeClr w14:val="tx1"/>
            </w14:solidFill>
          </w14:textFill>
        </w:rPr>
      </w:pPr>
    </w:p>
    <w:p w14:paraId="62559480">
      <w:pPr>
        <w:pStyle w:val="27"/>
        <w:rPr>
          <w:rFonts w:hint="eastAsia"/>
          <w:color w:val="000000" w:themeColor="text1"/>
          <w:highlight w:val="none"/>
          <w14:textFill>
            <w14:solidFill>
              <w14:schemeClr w14:val="tx1"/>
            </w14:solidFill>
          </w14:textFill>
        </w:rPr>
      </w:pPr>
    </w:p>
    <w:p w14:paraId="17BCAE06">
      <w:pPr>
        <w:pStyle w:val="40"/>
        <w:rPr>
          <w:rFonts w:hint="eastAsia"/>
          <w:color w:val="000000" w:themeColor="text1"/>
          <w:highlight w:val="none"/>
          <w14:textFill>
            <w14:solidFill>
              <w14:schemeClr w14:val="tx1"/>
            </w14:solidFill>
          </w14:textFill>
        </w:rPr>
      </w:pPr>
    </w:p>
    <w:p w14:paraId="4E257CC6">
      <w:pPr>
        <w:pStyle w:val="209"/>
        <w:keepNext/>
        <w:spacing w:beforeAutospacing="0" w:afterAutospacing="0"/>
        <w:jc w:val="cente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 </w:t>
      </w:r>
    </w:p>
    <w:p w14:paraId="1016AE92">
      <w:pPr>
        <w:pStyle w:val="209"/>
        <w:spacing w:beforeAutospacing="0" w:afterAutospacing="0"/>
        <w:jc w:val="center"/>
        <w:rPr>
          <w:rFonts w:hint="eastAsia" w:ascii="宋体" w:hAnsi="宋体" w:cs="宋体"/>
          <w:b/>
          <w:color w:val="000000" w:themeColor="text1"/>
          <w:sz w:val="72"/>
          <w:szCs w:val="72"/>
          <w:highlight w:val="none"/>
          <w14:textFill>
            <w14:solidFill>
              <w14:schemeClr w14:val="tx1"/>
            </w14:solidFill>
          </w14:textFill>
        </w:rPr>
      </w:pPr>
      <w:bookmarkStart w:id="181" w:name="_Toc120614282"/>
      <w:bookmarkEnd w:id="181"/>
      <w:bookmarkStart w:id="182" w:name="_Toc49090576"/>
      <w:bookmarkEnd w:id="182"/>
      <w:bookmarkStart w:id="183" w:name="_Hlt26955039"/>
      <w:bookmarkStart w:id="184" w:name="_Hlt26671244"/>
      <w:bookmarkStart w:id="185" w:name="_Toc26554094"/>
    </w:p>
    <w:p w14:paraId="40BE821F">
      <w:pPr>
        <w:pStyle w:val="209"/>
        <w:spacing w:beforeAutospacing="0" w:afterAutospacing="0"/>
        <w:jc w:val="center"/>
        <w:rPr>
          <w:color w:val="000000" w:themeColor="text1"/>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投  标  文  件</w:t>
      </w:r>
    </w:p>
    <w:p w14:paraId="78E24C6F">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5EC6C6A">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E155799">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685EDF1">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E8734B3">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AD1222E">
      <w:pPr>
        <w:pStyle w:val="209"/>
        <w:spacing w:beforeAutospacing="0" w:afterAutospacing="0"/>
        <w:ind w:firstLine="1084"/>
        <w:jc w:val="both"/>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项 目 名 称：</w:t>
      </w:r>
      <w:r>
        <w:rPr>
          <w:rFonts w:hint="eastAsia" w:ascii="宋体" w:hAnsi="宋体" w:cs="宋体"/>
          <w:b/>
          <w:color w:val="000000" w:themeColor="text1"/>
          <w:sz w:val="36"/>
          <w:szCs w:val="36"/>
          <w:highlight w:val="none"/>
          <w:u w:val="single"/>
          <w14:textFill>
            <w14:solidFill>
              <w14:schemeClr w14:val="tx1"/>
            </w14:solidFill>
          </w14:textFill>
        </w:rPr>
        <w:t>             </w:t>
      </w:r>
    </w:p>
    <w:p w14:paraId="2D18A181">
      <w:pPr>
        <w:pStyle w:val="209"/>
        <w:spacing w:beforeAutospacing="0" w:afterAutospacing="0"/>
        <w:ind w:firstLine="1084"/>
        <w:jc w:val="both"/>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项 目 编 号：</w:t>
      </w:r>
      <w:r>
        <w:rPr>
          <w:rFonts w:hint="eastAsia" w:ascii="宋体" w:hAnsi="宋体" w:cs="宋体"/>
          <w:b/>
          <w:color w:val="000000" w:themeColor="text1"/>
          <w:sz w:val="36"/>
          <w:szCs w:val="36"/>
          <w:highlight w:val="none"/>
          <w:u w:val="single"/>
          <w14:textFill>
            <w14:solidFill>
              <w14:schemeClr w14:val="tx1"/>
            </w14:solidFill>
          </w14:textFill>
        </w:rPr>
        <w:t>             </w:t>
      </w:r>
    </w:p>
    <w:p w14:paraId="07FB6043">
      <w:pPr>
        <w:pStyle w:val="209"/>
        <w:spacing w:beforeAutospacing="0" w:afterAutospacing="0"/>
        <w:jc w:val="both"/>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投标人名称 ：</w:t>
      </w:r>
      <w:r>
        <w:rPr>
          <w:rFonts w:hint="eastAsia" w:ascii="宋体" w:hAnsi="宋体" w:cs="宋体"/>
          <w:b/>
          <w:color w:val="000000" w:themeColor="text1"/>
          <w:sz w:val="36"/>
          <w:szCs w:val="36"/>
          <w:highlight w:val="none"/>
          <w:u w:val="single"/>
          <w14:textFill>
            <w14:solidFill>
              <w14:schemeClr w14:val="tx1"/>
            </w14:solidFill>
          </w14:textFill>
        </w:rPr>
        <w:t>（加盖CA电子公章）</w:t>
      </w:r>
    </w:p>
    <w:p w14:paraId="570947B0">
      <w:pPr>
        <w:pStyle w:val="209"/>
        <w:spacing w:beforeAutospacing="0" w:afterAutospacing="0"/>
        <w:jc w:val="both"/>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日   期 ：</w:t>
      </w:r>
      <w:r>
        <w:rPr>
          <w:rFonts w:hint="eastAsia" w:ascii="宋体" w:hAnsi="宋体" w:cs="宋体"/>
          <w:b/>
          <w:color w:val="000000" w:themeColor="text1"/>
          <w:sz w:val="36"/>
          <w:szCs w:val="36"/>
          <w:highlight w:val="none"/>
          <w:u w:val="single"/>
          <w14:textFill>
            <w14:solidFill>
              <w14:schemeClr w14:val="tx1"/>
            </w14:solidFill>
          </w14:textFill>
        </w:rPr>
        <w:t>             </w:t>
      </w:r>
    </w:p>
    <w:p w14:paraId="0B7F2469">
      <w:pPr>
        <w:pStyle w:val="209"/>
        <w:spacing w:beforeAutospacing="0" w:afterAutospacing="0" w:line="0" w:lineRule="atLeast"/>
        <w:jc w:val="center"/>
        <w:rPr>
          <w:color w:val="000000" w:themeColor="text1"/>
          <w:highlight w:val="none"/>
          <w14:textFill>
            <w14:solidFill>
              <w14:schemeClr w14:val="tx1"/>
            </w14:solidFill>
          </w14:textFill>
        </w:rPr>
      </w:pPr>
    </w:p>
    <w:p w14:paraId="0E04D3A9">
      <w:pPr>
        <w:pStyle w:val="209"/>
        <w:spacing w:beforeAutospacing="0" w:afterAutospacing="0" w:line="0" w:lineRule="atLeast"/>
        <w:jc w:val="center"/>
        <w:rPr>
          <w:color w:val="000000" w:themeColor="text1"/>
          <w:highlight w:val="none"/>
          <w14:textFill>
            <w14:solidFill>
              <w14:schemeClr w14:val="tx1"/>
            </w14:solidFill>
          </w14:textFill>
        </w:rPr>
      </w:pPr>
    </w:p>
    <w:p w14:paraId="59C3E80E">
      <w:pPr>
        <w:pStyle w:val="209"/>
        <w:spacing w:beforeAutospacing="0" w:afterAutospacing="0" w:line="0" w:lineRule="atLeast"/>
        <w:jc w:val="center"/>
        <w:rPr>
          <w:color w:val="000000" w:themeColor="text1"/>
          <w:highlight w:val="none"/>
          <w14:textFill>
            <w14:solidFill>
              <w14:schemeClr w14:val="tx1"/>
            </w14:solidFill>
          </w14:textFill>
        </w:rPr>
      </w:pPr>
    </w:p>
    <w:p w14:paraId="02B85444">
      <w:pPr>
        <w:pStyle w:val="209"/>
        <w:spacing w:beforeAutospacing="0" w:afterAutospacing="0" w:line="0" w:lineRule="atLeast"/>
        <w:jc w:val="center"/>
        <w:rPr>
          <w:color w:val="000000" w:themeColor="text1"/>
          <w:highlight w:val="none"/>
          <w14:textFill>
            <w14:solidFill>
              <w14:schemeClr w14:val="tx1"/>
            </w14:solidFill>
          </w14:textFill>
        </w:rPr>
      </w:pPr>
    </w:p>
    <w:p w14:paraId="6B3C4060">
      <w:pPr>
        <w:pStyle w:val="209"/>
        <w:spacing w:beforeAutospacing="0" w:afterAutospacing="0" w:line="0" w:lineRule="atLeast"/>
        <w:jc w:val="center"/>
        <w:rPr>
          <w:color w:val="000000" w:themeColor="text1"/>
          <w:highlight w:val="none"/>
          <w14:textFill>
            <w14:solidFill>
              <w14:schemeClr w14:val="tx1"/>
            </w14:solidFill>
          </w14:textFill>
        </w:rPr>
      </w:pPr>
    </w:p>
    <w:p w14:paraId="6050F4B7">
      <w:pPr>
        <w:pStyle w:val="209"/>
        <w:spacing w:beforeAutospacing="0" w:afterAutospacing="0" w:line="0" w:lineRule="atLeast"/>
        <w:jc w:val="center"/>
        <w:rPr>
          <w:color w:val="000000" w:themeColor="text1"/>
          <w:highlight w:val="none"/>
          <w14:textFill>
            <w14:solidFill>
              <w14:schemeClr w14:val="tx1"/>
            </w14:solidFill>
          </w14:textFill>
        </w:rPr>
      </w:pPr>
    </w:p>
    <w:p w14:paraId="56A5A71F">
      <w:pPr>
        <w:pStyle w:val="209"/>
        <w:spacing w:beforeAutospacing="0" w:afterAutospacing="0" w:line="0" w:lineRule="atLeast"/>
        <w:jc w:val="center"/>
        <w:rPr>
          <w:color w:val="000000" w:themeColor="text1"/>
          <w:highlight w:val="none"/>
          <w14:textFill>
            <w14:solidFill>
              <w14:schemeClr w14:val="tx1"/>
            </w14:solidFill>
          </w14:textFill>
        </w:rPr>
      </w:pPr>
    </w:p>
    <w:p w14:paraId="1840F469">
      <w:pPr>
        <w:pStyle w:val="209"/>
        <w:spacing w:beforeAutospacing="0" w:afterAutospacing="0" w:line="0" w:lineRule="atLeast"/>
        <w:jc w:val="center"/>
        <w:rPr>
          <w:color w:val="000000" w:themeColor="text1"/>
          <w:highlight w:val="none"/>
          <w14:textFill>
            <w14:solidFill>
              <w14:schemeClr w14:val="tx1"/>
            </w14:solidFill>
          </w14:textFill>
        </w:rPr>
      </w:pPr>
    </w:p>
    <w:p w14:paraId="24ECBEFD">
      <w:pPr>
        <w:pStyle w:val="209"/>
        <w:spacing w:beforeAutospacing="0" w:afterAutospacing="0" w:line="0" w:lineRule="atLeast"/>
        <w:jc w:val="center"/>
        <w:rPr>
          <w:color w:val="000000" w:themeColor="text1"/>
          <w:highlight w:val="none"/>
          <w14:textFill>
            <w14:solidFill>
              <w14:schemeClr w14:val="tx1"/>
            </w14:solidFill>
          </w14:textFill>
        </w:rPr>
      </w:pPr>
    </w:p>
    <w:p w14:paraId="66F3BB13">
      <w:pPr>
        <w:pStyle w:val="209"/>
        <w:spacing w:beforeAutospacing="0" w:afterAutospacing="0" w:line="0" w:lineRule="atLeast"/>
        <w:jc w:val="center"/>
        <w:rPr>
          <w:color w:val="000000" w:themeColor="text1"/>
          <w:highlight w:val="none"/>
          <w14:textFill>
            <w14:solidFill>
              <w14:schemeClr w14:val="tx1"/>
            </w14:solidFill>
          </w14:textFill>
        </w:rPr>
      </w:pPr>
    </w:p>
    <w:p w14:paraId="2C2DF221">
      <w:pPr>
        <w:pStyle w:val="209"/>
        <w:spacing w:beforeAutospacing="0" w:afterAutospacing="0" w:line="0" w:lineRule="atLeast"/>
        <w:jc w:val="center"/>
        <w:rPr>
          <w:color w:val="000000" w:themeColor="text1"/>
          <w:highlight w:val="none"/>
          <w14:textFill>
            <w14:solidFill>
              <w14:schemeClr w14:val="tx1"/>
            </w14:solidFill>
          </w14:textFill>
        </w:rPr>
      </w:pPr>
    </w:p>
    <w:p w14:paraId="37196FDD">
      <w:pPr>
        <w:pStyle w:val="209"/>
        <w:spacing w:beforeAutospacing="0" w:afterAutospacing="0" w:line="0" w:lineRule="atLeast"/>
        <w:jc w:val="center"/>
        <w:rPr>
          <w:color w:val="000000" w:themeColor="text1"/>
          <w:highlight w:val="none"/>
          <w14:textFill>
            <w14:solidFill>
              <w14:schemeClr w14:val="tx1"/>
            </w14:solidFill>
          </w14:textFill>
        </w:rPr>
      </w:pPr>
    </w:p>
    <w:p w14:paraId="77769358">
      <w:pPr>
        <w:pStyle w:val="209"/>
        <w:spacing w:beforeAutospacing="0" w:afterAutospacing="0" w:line="0" w:lineRule="atLeast"/>
        <w:jc w:val="center"/>
        <w:rPr>
          <w:color w:val="000000" w:themeColor="text1"/>
          <w:highlight w:val="none"/>
          <w14:textFill>
            <w14:solidFill>
              <w14:schemeClr w14:val="tx1"/>
            </w14:solidFill>
          </w14:textFill>
        </w:rPr>
      </w:pPr>
    </w:p>
    <w:p w14:paraId="667EE0A7">
      <w:pPr>
        <w:pStyle w:val="209"/>
        <w:spacing w:beforeAutospacing="0" w:afterAutospacing="0" w:line="0" w:lineRule="atLeast"/>
        <w:jc w:val="center"/>
        <w:rPr>
          <w:color w:val="000000" w:themeColor="text1"/>
          <w:highlight w:val="none"/>
          <w14:textFill>
            <w14:solidFill>
              <w14:schemeClr w14:val="tx1"/>
            </w14:solidFill>
          </w14:textFill>
        </w:rPr>
      </w:pPr>
    </w:p>
    <w:p w14:paraId="70D770E7">
      <w:pPr>
        <w:pStyle w:val="209"/>
        <w:spacing w:beforeAutospacing="0" w:afterAutospacing="0" w:line="0" w:lineRule="atLeast"/>
        <w:jc w:val="center"/>
        <w:rPr>
          <w:color w:val="000000" w:themeColor="text1"/>
          <w:highlight w:val="none"/>
          <w14:textFill>
            <w14:solidFill>
              <w14:schemeClr w14:val="tx1"/>
            </w14:solidFill>
          </w14:textFill>
        </w:rPr>
      </w:pPr>
    </w:p>
    <w:p w14:paraId="2F345E95">
      <w:pPr>
        <w:pStyle w:val="209"/>
        <w:spacing w:beforeAutospacing="0" w:afterAutospacing="0" w:line="0" w:lineRule="atLeast"/>
        <w:jc w:val="center"/>
        <w:rPr>
          <w:color w:val="000000" w:themeColor="text1"/>
          <w:highlight w:val="none"/>
          <w14:textFill>
            <w14:solidFill>
              <w14:schemeClr w14:val="tx1"/>
            </w14:solidFill>
          </w14:textFill>
        </w:rPr>
      </w:pPr>
    </w:p>
    <w:p w14:paraId="5BE09D4E">
      <w:pPr>
        <w:pStyle w:val="209"/>
        <w:spacing w:beforeAutospacing="0" w:afterAutospacing="0" w:line="0" w:lineRule="atLeast"/>
        <w:jc w:val="center"/>
        <w:rPr>
          <w:color w:val="000000" w:themeColor="text1"/>
          <w:highlight w:val="none"/>
          <w14:textFill>
            <w14:solidFill>
              <w14:schemeClr w14:val="tx1"/>
            </w14:solidFill>
          </w14:textFill>
        </w:rPr>
      </w:pPr>
    </w:p>
    <w:p w14:paraId="629993A8">
      <w:pPr>
        <w:pStyle w:val="209"/>
        <w:spacing w:beforeAutospacing="0" w:afterAutospacing="0" w:line="0" w:lineRule="atLeast"/>
        <w:jc w:val="center"/>
        <w:rPr>
          <w:color w:val="000000" w:themeColor="text1"/>
          <w:highlight w:val="none"/>
          <w14:textFill>
            <w14:solidFill>
              <w14:schemeClr w14:val="tx1"/>
            </w14:solidFill>
          </w14:textFill>
        </w:rPr>
      </w:pPr>
    </w:p>
    <w:p w14:paraId="3D79090C">
      <w:pPr>
        <w:pStyle w:val="209"/>
        <w:spacing w:beforeAutospacing="0" w:afterAutospacing="0" w:line="0" w:lineRule="atLeast"/>
        <w:jc w:val="center"/>
        <w:rPr>
          <w:color w:val="000000" w:themeColor="text1"/>
          <w:highlight w:val="none"/>
          <w14:textFill>
            <w14:solidFill>
              <w14:schemeClr w14:val="tx1"/>
            </w14:solidFill>
          </w14:textFill>
        </w:rPr>
      </w:pPr>
    </w:p>
    <w:p w14:paraId="444E100B">
      <w:pPr>
        <w:pStyle w:val="209"/>
        <w:spacing w:beforeAutospacing="0" w:afterAutospacing="0" w:line="0" w:lineRule="atLeast"/>
        <w:jc w:val="center"/>
        <w:rPr>
          <w:color w:val="000000" w:themeColor="text1"/>
          <w:highlight w:val="none"/>
          <w14:textFill>
            <w14:solidFill>
              <w14:schemeClr w14:val="tx1"/>
            </w14:solidFill>
          </w14:textFill>
        </w:rPr>
      </w:pPr>
    </w:p>
    <w:p w14:paraId="4BA09A9A">
      <w:pPr>
        <w:pStyle w:val="209"/>
        <w:spacing w:beforeAutospacing="0" w:afterAutospacing="0" w:line="0" w:lineRule="atLeast"/>
        <w:jc w:val="center"/>
        <w:rPr>
          <w:color w:val="000000" w:themeColor="text1"/>
          <w:highlight w:val="none"/>
          <w14:textFill>
            <w14:solidFill>
              <w14:schemeClr w14:val="tx1"/>
            </w14:solidFill>
          </w14:textFill>
        </w:rPr>
      </w:pPr>
    </w:p>
    <w:p w14:paraId="08F55612">
      <w:pPr>
        <w:pStyle w:val="209"/>
        <w:spacing w:beforeAutospacing="0" w:afterAutospacing="0" w:line="0" w:lineRule="atLeast"/>
        <w:jc w:val="center"/>
        <w:rPr>
          <w:color w:val="000000" w:themeColor="text1"/>
          <w:highlight w:val="none"/>
          <w14:textFill>
            <w14:solidFill>
              <w14:schemeClr w14:val="tx1"/>
            </w14:solidFill>
          </w14:textFill>
        </w:rPr>
      </w:pPr>
    </w:p>
    <w:p w14:paraId="2B40E599">
      <w:pPr>
        <w:pStyle w:val="209"/>
        <w:spacing w:beforeAutospacing="0" w:afterAutospacing="0" w:line="0" w:lineRule="atLeast"/>
        <w:jc w:val="center"/>
        <w:rPr>
          <w:color w:val="000000" w:themeColor="text1"/>
          <w:highlight w:val="none"/>
          <w14:textFill>
            <w14:solidFill>
              <w14:schemeClr w14:val="tx1"/>
            </w14:solidFill>
          </w14:textFill>
        </w:rPr>
      </w:pPr>
    </w:p>
    <w:p w14:paraId="637A159B">
      <w:pPr>
        <w:pStyle w:val="209"/>
        <w:spacing w:beforeAutospacing="0" w:afterAutospacing="0" w:line="0" w:lineRule="atLeast"/>
        <w:jc w:val="center"/>
        <w:rPr>
          <w:color w:val="000000" w:themeColor="text1"/>
          <w:highlight w:val="none"/>
          <w14:textFill>
            <w14:solidFill>
              <w14:schemeClr w14:val="tx1"/>
            </w14:solidFill>
          </w14:textFill>
        </w:rPr>
      </w:pPr>
    </w:p>
    <w:p w14:paraId="68598DD6">
      <w:pPr>
        <w:pStyle w:val="209"/>
        <w:spacing w:beforeAutospacing="0" w:afterAutospacing="0" w:line="0" w:lineRule="atLeast"/>
        <w:jc w:val="center"/>
        <w:rPr>
          <w:color w:val="000000" w:themeColor="text1"/>
          <w:highlight w:val="none"/>
          <w14:textFill>
            <w14:solidFill>
              <w14:schemeClr w14:val="tx1"/>
            </w14:solidFill>
          </w14:textFill>
        </w:rPr>
      </w:pPr>
    </w:p>
    <w:p w14:paraId="0A28BF53">
      <w:pPr>
        <w:pStyle w:val="209"/>
        <w:spacing w:beforeAutospacing="0" w:afterAutospacing="0" w:line="0" w:lineRule="atLeast"/>
        <w:jc w:val="both"/>
        <w:rPr>
          <w:color w:val="000000" w:themeColor="text1"/>
          <w:highlight w:val="none"/>
          <w14:textFill>
            <w14:solidFill>
              <w14:schemeClr w14:val="tx1"/>
            </w14:solidFill>
          </w14:textFill>
        </w:rPr>
      </w:pPr>
    </w:p>
    <w:p w14:paraId="0A156F62">
      <w:pPr>
        <w:pStyle w:val="209"/>
        <w:spacing w:beforeAutospacing="0" w:afterAutospacing="0" w:line="0" w:lineRule="atLeast"/>
        <w:jc w:val="both"/>
        <w:rPr>
          <w:color w:val="000000" w:themeColor="text1"/>
          <w:highlight w:val="none"/>
          <w14:textFill>
            <w14:solidFill>
              <w14:schemeClr w14:val="tx1"/>
            </w14:solidFill>
          </w14:textFill>
        </w:rPr>
      </w:pPr>
    </w:p>
    <w:p w14:paraId="7890181E">
      <w:pPr>
        <w:pStyle w:val="20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投标文件目录</w:t>
      </w:r>
    </w:p>
    <w:p w14:paraId="3483C503">
      <w:pPr>
        <w:pStyle w:val="209"/>
        <w:spacing w:beforeAutospacing="0" w:afterAutospacing="0" w:line="360" w:lineRule="auto"/>
        <w:ind w:left="480"/>
        <w:jc w:val="both"/>
        <w:rPr>
          <w:rFonts w:hint="eastAsia" w:ascii="宋体" w:hAnsi="宋体" w:cs="宋体"/>
          <w:iCs/>
          <w:color w:val="000000" w:themeColor="text1"/>
          <w:sz w:val="21"/>
          <w:szCs w:val="21"/>
          <w:highlight w:val="none"/>
          <w14:textFill>
            <w14:solidFill>
              <w14:schemeClr w14:val="tx1"/>
            </w14:solidFill>
          </w14:textFill>
        </w:rPr>
      </w:pPr>
    </w:p>
    <w:p w14:paraId="5547BE16">
      <w:pPr>
        <w:pStyle w:val="209"/>
        <w:spacing w:beforeAutospacing="0" w:afterAutospacing="0" w:line="360" w:lineRule="auto"/>
        <w:ind w:left="480"/>
        <w:jc w:val="both"/>
        <w:rPr>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一、法人或者其他组织的营业执照等证明文件，自然人的身份证明</w:t>
      </w:r>
    </w:p>
    <w:p w14:paraId="7CE0959F">
      <w:pPr>
        <w:tabs>
          <w:tab w:val="left" w:pos="1331"/>
        </w:tabs>
        <w:spacing w:line="360" w:lineRule="auto"/>
        <w:ind w:firstLine="420"/>
        <w:jc w:val="left"/>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二、</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上一年度的财务状况报</w:t>
      </w:r>
      <w:r>
        <w:rPr>
          <w:rFonts w:hint="eastAsia" w:ascii="宋体" w:hAnsi="宋体" w:eastAsia="宋体" w:cs="宋体"/>
          <w:color w:val="000000" w:themeColor="text1"/>
          <w:sz w:val="21"/>
          <w:szCs w:val="21"/>
          <w:highlight w:val="none"/>
          <w:lang w:eastAsia="zh-CN"/>
          <w14:textFill>
            <w14:solidFill>
              <w14:schemeClr w14:val="tx1"/>
            </w14:solidFill>
          </w14:textFill>
        </w:rPr>
        <w:t>表</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kern w:val="0"/>
          <w:szCs w:val="21"/>
          <w:highlight w:val="none"/>
          <w14:textFill>
            <w14:solidFill>
              <w14:schemeClr w14:val="tx1"/>
            </w14:solidFill>
          </w14:textFill>
        </w:rPr>
        <w:t>至少提供资产负债表、利润表、现金流量表</w:t>
      </w:r>
      <w:r>
        <w:rPr>
          <w:rFonts w:hint="eastAsia" w:ascii="宋体" w:hAnsi="宋体" w:eastAsia="宋体" w:cs="宋体"/>
          <w:color w:val="000000" w:themeColor="text1"/>
          <w:sz w:val="21"/>
          <w:szCs w:val="21"/>
          <w:highlight w:val="none"/>
          <w14:textFill>
            <w14:solidFill>
              <w14:schemeClr w14:val="tx1"/>
            </w14:solidFill>
          </w14:textFill>
        </w:rPr>
        <w:t>，成立不满一年无需提供）</w:t>
      </w:r>
    </w:p>
    <w:p w14:paraId="65FC8B2F">
      <w:pPr>
        <w:pStyle w:val="209"/>
        <w:spacing w:beforeAutospacing="0" w:afterAutospacing="0" w:line="360" w:lineRule="auto"/>
        <w:ind w:left="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三、具备履行合同所必需的设备和专业技术能力的书面声明</w:t>
      </w:r>
    </w:p>
    <w:p w14:paraId="5FB31BED">
      <w:pPr>
        <w:pStyle w:val="209"/>
        <w:spacing w:beforeAutospacing="0" w:afterAutospacing="0" w:line="360" w:lineRule="auto"/>
        <w:ind w:left="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C00636E">
      <w:pPr>
        <w:pStyle w:val="209"/>
        <w:spacing w:beforeAutospacing="0" w:afterAutospacing="0" w:line="360" w:lineRule="auto"/>
        <w:ind w:firstLine="480"/>
        <w:jc w:val="both"/>
        <w:rPr>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五、参加政府采购活动前3年内在经营活动中没有重大违法记录的书面声明</w:t>
      </w:r>
    </w:p>
    <w:p w14:paraId="62968227">
      <w:pPr>
        <w:pStyle w:val="209"/>
        <w:spacing w:beforeAutospacing="0" w:afterAutospacing="0" w:line="360" w:lineRule="auto"/>
        <w:ind w:firstLine="480"/>
        <w:jc w:val="both"/>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eastAsia="zh-CN"/>
          <w14:textFill>
            <w14:solidFill>
              <w14:schemeClr w14:val="tx1"/>
            </w14:solidFill>
          </w14:textFill>
        </w:rPr>
        <w:t>六、</w:t>
      </w:r>
      <w:r>
        <w:rPr>
          <w:rFonts w:hint="eastAsia" w:ascii="宋体" w:hAnsi="宋体" w:eastAsia="宋体" w:cs="宋体"/>
          <w:iCs/>
          <w:color w:val="000000" w:themeColor="text1"/>
          <w:sz w:val="21"/>
          <w:szCs w:val="21"/>
          <w:highlight w:val="none"/>
          <w14:textFill>
            <w14:solidFill>
              <w14:schemeClr w14:val="tx1"/>
            </w14:solidFill>
          </w14:textFill>
        </w:rPr>
        <w:t>单位负责人为同一人或者存在直接控股、管理关系的不同供应商，不得参加同一合同项下的政府采购活动。</w:t>
      </w:r>
      <w:r>
        <w:rPr>
          <w:rFonts w:hint="eastAsia" w:ascii="宋体" w:hAnsi="宋体" w:eastAsia="宋体" w:cs="宋体"/>
          <w:iCs/>
          <w:color w:val="000000" w:themeColor="text1"/>
          <w:sz w:val="21"/>
          <w:szCs w:val="21"/>
          <w:highlight w:val="none"/>
          <w:lang w:eastAsia="zh-CN"/>
          <w14:textFill>
            <w14:solidFill>
              <w14:schemeClr w14:val="tx1"/>
            </w14:solidFill>
          </w14:textFill>
        </w:rPr>
        <w:t>（自行提供，格式自拟）</w:t>
      </w:r>
    </w:p>
    <w:p w14:paraId="33FA6359">
      <w:pPr>
        <w:pStyle w:val="209"/>
        <w:spacing w:beforeAutospacing="0" w:afterAutospacing="0" w:line="360" w:lineRule="auto"/>
        <w:ind w:firstLine="480"/>
        <w:jc w:val="both"/>
        <w:rPr>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lang w:eastAsia="zh-CN"/>
          <w14:textFill>
            <w14:solidFill>
              <w14:schemeClr w14:val="tx1"/>
            </w14:solidFill>
          </w14:textFill>
        </w:rPr>
        <w:t>七</w:t>
      </w:r>
      <w:r>
        <w:rPr>
          <w:rFonts w:hint="eastAsia" w:ascii="宋体" w:hAnsi="宋体" w:cs="宋体"/>
          <w:iCs/>
          <w:color w:val="000000" w:themeColor="text1"/>
          <w:sz w:val="21"/>
          <w:szCs w:val="21"/>
          <w:highlight w:val="none"/>
          <w14:textFill>
            <w14:solidFill>
              <w14:schemeClr w14:val="tx1"/>
            </w14:solidFill>
          </w14:textFill>
        </w:rPr>
        <w:t>、特定资格要求的证明文件（如果本项目设置特定资格要求，则需要提供）</w:t>
      </w:r>
    </w:p>
    <w:p w14:paraId="3758FAA7">
      <w:pPr>
        <w:pStyle w:val="209"/>
        <w:spacing w:beforeAutospacing="0" w:afterAutospacing="0" w:line="360" w:lineRule="auto"/>
        <w:ind w:firstLine="480"/>
        <w:jc w:val="both"/>
        <w:rPr>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lang w:eastAsia="zh-CN"/>
          <w14:textFill>
            <w14:solidFill>
              <w14:schemeClr w14:val="tx1"/>
            </w14:solidFill>
          </w14:textFill>
        </w:rPr>
        <w:t>八</w:t>
      </w:r>
      <w:r>
        <w:rPr>
          <w:rFonts w:hint="eastAsia" w:ascii="宋体" w:hAnsi="宋体" w:cs="宋体"/>
          <w:iCs/>
          <w:color w:val="000000" w:themeColor="text1"/>
          <w:sz w:val="21"/>
          <w:szCs w:val="21"/>
          <w:highlight w:val="none"/>
          <w14:textFill>
            <w14:solidFill>
              <w14:schemeClr w14:val="tx1"/>
            </w14:solidFill>
          </w14:textFill>
        </w:rPr>
        <w:t>、法人授权书</w:t>
      </w:r>
    </w:p>
    <w:p w14:paraId="21382314">
      <w:pPr>
        <w:pStyle w:val="209"/>
        <w:spacing w:beforeAutospacing="0" w:afterAutospacing="0" w:line="360" w:lineRule="auto"/>
        <w:ind w:firstLine="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lang w:eastAsia="zh-CN"/>
          <w14:textFill>
            <w14:solidFill>
              <w14:schemeClr w14:val="tx1"/>
            </w14:solidFill>
          </w14:textFill>
        </w:rPr>
        <w:t>九</w:t>
      </w:r>
      <w:r>
        <w:rPr>
          <w:rFonts w:hint="eastAsia" w:ascii="宋体" w:hAnsi="宋体" w:cs="宋体"/>
          <w:iCs/>
          <w:color w:val="000000" w:themeColor="text1"/>
          <w:sz w:val="21"/>
          <w:szCs w:val="21"/>
          <w:highlight w:val="none"/>
          <w14:textFill>
            <w14:solidFill>
              <w14:schemeClr w14:val="tx1"/>
            </w14:solidFill>
          </w14:textFill>
        </w:rPr>
        <w:t>、投标函</w:t>
      </w:r>
    </w:p>
    <w:p w14:paraId="2873A9BB">
      <w:pPr>
        <w:pStyle w:val="209"/>
        <w:spacing w:beforeAutospacing="0" w:afterAutospacing="0" w:line="360" w:lineRule="auto"/>
        <w:ind w:firstLine="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lang w:eastAsia="zh-CN"/>
          <w14:textFill>
            <w14:solidFill>
              <w14:schemeClr w14:val="tx1"/>
            </w14:solidFill>
          </w14:textFill>
        </w:rPr>
        <w:t>十</w:t>
      </w:r>
      <w:r>
        <w:rPr>
          <w:rFonts w:hint="eastAsia" w:ascii="宋体" w:hAnsi="宋体" w:cs="宋体"/>
          <w:iCs/>
          <w:color w:val="000000" w:themeColor="text1"/>
          <w:sz w:val="21"/>
          <w:szCs w:val="21"/>
          <w:highlight w:val="none"/>
          <w14:textFill>
            <w14:solidFill>
              <w14:schemeClr w14:val="tx1"/>
            </w14:solidFill>
          </w14:textFill>
        </w:rPr>
        <w:t>、中小企业声明函</w:t>
      </w:r>
    </w:p>
    <w:p w14:paraId="2B8805B2">
      <w:pPr>
        <w:pStyle w:val="209"/>
        <w:spacing w:beforeAutospacing="0" w:afterAutospacing="0" w:line="360" w:lineRule="auto"/>
        <w:ind w:firstLine="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十</w:t>
      </w:r>
      <w:r>
        <w:rPr>
          <w:rFonts w:hint="eastAsia" w:ascii="宋体" w:hAnsi="宋体" w:cs="宋体"/>
          <w:iCs/>
          <w:color w:val="000000" w:themeColor="text1"/>
          <w:sz w:val="21"/>
          <w:szCs w:val="21"/>
          <w:highlight w:val="none"/>
          <w:lang w:eastAsia="zh-CN"/>
          <w14:textFill>
            <w14:solidFill>
              <w14:schemeClr w14:val="tx1"/>
            </w14:solidFill>
          </w14:textFill>
        </w:rPr>
        <w:t>一</w:t>
      </w:r>
      <w:r>
        <w:rPr>
          <w:rFonts w:hint="eastAsia" w:ascii="宋体" w:hAnsi="宋体" w:cs="宋体"/>
          <w:iCs/>
          <w:color w:val="000000" w:themeColor="text1"/>
          <w:sz w:val="21"/>
          <w:szCs w:val="21"/>
          <w:highlight w:val="none"/>
          <w14:textFill>
            <w14:solidFill>
              <w14:schemeClr w14:val="tx1"/>
            </w14:solidFill>
          </w14:textFill>
        </w:rPr>
        <w:t>、残疾人福利性单位声明函</w:t>
      </w:r>
    </w:p>
    <w:p w14:paraId="0D08BF1D">
      <w:pPr>
        <w:pStyle w:val="209"/>
        <w:spacing w:beforeAutospacing="0" w:afterAutospacing="0" w:line="360" w:lineRule="auto"/>
        <w:ind w:firstLine="480"/>
        <w:jc w:val="both"/>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14:textFill>
            <w14:solidFill>
              <w14:schemeClr w14:val="tx1"/>
            </w14:solidFill>
          </w14:textFill>
        </w:rPr>
        <w:t>十</w:t>
      </w:r>
      <w:r>
        <w:rPr>
          <w:rFonts w:hint="eastAsia" w:ascii="宋体" w:hAnsi="宋体" w:cs="宋体"/>
          <w:i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i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关于符合本国产品标准的声明函</w:t>
      </w:r>
    </w:p>
    <w:p w14:paraId="5BCAF051">
      <w:pPr>
        <w:pStyle w:val="209"/>
        <w:spacing w:beforeAutospacing="0" w:afterAutospacing="0" w:line="360" w:lineRule="auto"/>
        <w:ind w:firstLine="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十</w:t>
      </w:r>
      <w:r>
        <w:rPr>
          <w:rFonts w:hint="eastAsia" w:ascii="宋体" w:hAnsi="宋体" w:cs="宋体"/>
          <w:iCs/>
          <w:color w:val="000000" w:themeColor="text1"/>
          <w:sz w:val="21"/>
          <w:szCs w:val="21"/>
          <w:highlight w:val="none"/>
          <w:lang w:val="en-US" w:eastAsia="zh-CN"/>
          <w14:textFill>
            <w14:solidFill>
              <w14:schemeClr w14:val="tx1"/>
            </w14:solidFill>
          </w14:textFill>
        </w:rPr>
        <w:t>三</w:t>
      </w:r>
      <w:r>
        <w:rPr>
          <w:rFonts w:hint="eastAsia" w:ascii="宋体" w:hAnsi="宋体" w:cs="宋体"/>
          <w:iCs/>
          <w:color w:val="000000" w:themeColor="text1"/>
          <w:sz w:val="21"/>
          <w:szCs w:val="21"/>
          <w:highlight w:val="none"/>
          <w14:textFill>
            <w14:solidFill>
              <w14:schemeClr w14:val="tx1"/>
            </w14:solidFill>
          </w14:textFill>
        </w:rPr>
        <w:t>、投标分项报价表</w:t>
      </w:r>
    </w:p>
    <w:p w14:paraId="072AE91F">
      <w:pPr>
        <w:pStyle w:val="209"/>
        <w:spacing w:beforeAutospacing="0" w:afterAutospacing="0" w:line="360" w:lineRule="auto"/>
        <w:ind w:firstLine="480"/>
        <w:jc w:val="both"/>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十</w:t>
      </w:r>
      <w:r>
        <w:rPr>
          <w:rFonts w:hint="eastAsia" w:ascii="宋体" w:hAnsi="宋体" w:cs="宋体"/>
          <w:iCs/>
          <w:color w:val="000000" w:themeColor="text1"/>
          <w:sz w:val="21"/>
          <w:szCs w:val="21"/>
          <w:highlight w:val="none"/>
          <w:lang w:val="en-US" w:eastAsia="zh-CN"/>
          <w14:textFill>
            <w14:solidFill>
              <w14:schemeClr w14:val="tx1"/>
            </w14:solidFill>
          </w14:textFill>
        </w:rPr>
        <w:t>四</w:t>
      </w:r>
      <w:r>
        <w:rPr>
          <w:rFonts w:hint="eastAsia" w:ascii="宋体" w:hAnsi="宋体" w:cs="宋体"/>
          <w:iCs/>
          <w:color w:val="000000" w:themeColor="text1"/>
          <w:sz w:val="21"/>
          <w:szCs w:val="21"/>
          <w:highlight w:val="none"/>
          <w14:textFill>
            <w14:solidFill>
              <w14:schemeClr w14:val="tx1"/>
            </w14:solidFill>
          </w14:textFill>
        </w:rPr>
        <w:t>、技术要求响应及偏离表</w:t>
      </w:r>
    </w:p>
    <w:p w14:paraId="4C8F7ABF">
      <w:pPr>
        <w:pStyle w:val="209"/>
        <w:spacing w:beforeAutospacing="0" w:afterAutospacing="0" w:line="360" w:lineRule="auto"/>
        <w:ind w:firstLine="480"/>
        <w:jc w:val="both"/>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14:textFill>
            <w14:solidFill>
              <w14:schemeClr w14:val="tx1"/>
            </w14:solidFill>
          </w14:textFill>
        </w:rPr>
        <w:t>十</w:t>
      </w:r>
      <w:r>
        <w:rPr>
          <w:rFonts w:hint="eastAsia" w:ascii="宋体" w:hAnsi="宋体" w:eastAsia="宋体" w:cs="宋体"/>
          <w:iCs/>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iCs/>
          <w:color w:val="000000" w:themeColor="text1"/>
          <w:sz w:val="21"/>
          <w:szCs w:val="21"/>
          <w:highlight w:val="none"/>
          <w14:textFill>
            <w14:solidFill>
              <w14:schemeClr w14:val="tx1"/>
            </w14:solidFill>
          </w14:textFill>
        </w:rPr>
        <w:t>、商务要求响应及偏离表</w:t>
      </w:r>
    </w:p>
    <w:p w14:paraId="2EB7C707">
      <w:pPr>
        <w:pStyle w:val="209"/>
        <w:spacing w:beforeAutospacing="0" w:afterAutospacing="0" w:line="360" w:lineRule="auto"/>
        <w:ind w:firstLine="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十</w:t>
      </w:r>
      <w:r>
        <w:rPr>
          <w:rFonts w:hint="eastAsia" w:ascii="宋体" w:hAnsi="宋体" w:cs="宋体"/>
          <w:iCs/>
          <w:color w:val="000000" w:themeColor="text1"/>
          <w:sz w:val="21"/>
          <w:szCs w:val="21"/>
          <w:highlight w:val="none"/>
          <w:lang w:val="en-US" w:eastAsia="zh-CN"/>
          <w14:textFill>
            <w14:solidFill>
              <w14:schemeClr w14:val="tx1"/>
            </w14:solidFill>
          </w14:textFill>
        </w:rPr>
        <w:t>六</w:t>
      </w:r>
      <w:r>
        <w:rPr>
          <w:rFonts w:hint="eastAsia" w:ascii="宋体" w:hAnsi="宋体" w:cs="宋体"/>
          <w:iCs/>
          <w:color w:val="000000" w:themeColor="text1"/>
          <w:sz w:val="21"/>
          <w:szCs w:val="21"/>
          <w:highlight w:val="none"/>
          <w14:textFill>
            <w14:solidFill>
              <w14:schemeClr w14:val="tx1"/>
            </w14:solidFill>
          </w14:textFill>
        </w:rPr>
        <w:t>、开标一览表</w:t>
      </w:r>
    </w:p>
    <w:p w14:paraId="174CAE7E">
      <w:pPr>
        <w:pStyle w:val="209"/>
        <w:spacing w:beforeAutospacing="0" w:afterAutospacing="0" w:line="360" w:lineRule="auto"/>
        <w:ind w:firstLine="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十</w:t>
      </w:r>
      <w:r>
        <w:rPr>
          <w:rFonts w:hint="eastAsia" w:ascii="宋体" w:hAnsi="宋体" w:cs="宋体"/>
          <w:iCs/>
          <w:color w:val="000000" w:themeColor="text1"/>
          <w:sz w:val="21"/>
          <w:szCs w:val="21"/>
          <w:highlight w:val="none"/>
          <w:lang w:eastAsia="zh-CN"/>
          <w14:textFill>
            <w14:solidFill>
              <w14:schemeClr w14:val="tx1"/>
            </w14:solidFill>
          </w14:textFill>
        </w:rPr>
        <w:t>七</w:t>
      </w:r>
      <w:r>
        <w:rPr>
          <w:rFonts w:hint="eastAsia" w:ascii="宋体" w:hAnsi="宋体" w:cs="宋体"/>
          <w:iCs/>
          <w:color w:val="000000" w:themeColor="text1"/>
          <w:sz w:val="21"/>
          <w:szCs w:val="21"/>
          <w:highlight w:val="none"/>
          <w14:textFill>
            <w14:solidFill>
              <w14:schemeClr w14:val="tx1"/>
            </w14:solidFill>
          </w14:textFill>
        </w:rPr>
        <w:t>、技术方案、服务承诺、培训承诺等</w:t>
      </w:r>
    </w:p>
    <w:p w14:paraId="5F366C93">
      <w:pPr>
        <w:pStyle w:val="209"/>
        <w:spacing w:beforeAutospacing="0" w:afterAutospacing="0" w:line="360" w:lineRule="auto"/>
        <w:ind w:firstLine="480"/>
        <w:jc w:val="both"/>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十</w:t>
      </w:r>
      <w:r>
        <w:rPr>
          <w:rFonts w:hint="eastAsia" w:ascii="宋体" w:hAnsi="宋体" w:cs="宋体"/>
          <w:iCs/>
          <w:color w:val="000000" w:themeColor="text1"/>
          <w:sz w:val="21"/>
          <w:szCs w:val="21"/>
          <w:highlight w:val="none"/>
          <w:lang w:val="en-US" w:eastAsia="zh-CN"/>
          <w14:textFill>
            <w14:solidFill>
              <w14:schemeClr w14:val="tx1"/>
            </w14:solidFill>
          </w14:textFill>
        </w:rPr>
        <w:t>八</w:t>
      </w:r>
      <w:r>
        <w:rPr>
          <w:rFonts w:hint="eastAsia" w:ascii="宋体" w:hAnsi="宋体" w:cs="宋体"/>
          <w:iCs/>
          <w:color w:val="000000" w:themeColor="text1"/>
          <w:sz w:val="21"/>
          <w:szCs w:val="21"/>
          <w:highlight w:val="none"/>
          <w14:textFill>
            <w14:solidFill>
              <w14:schemeClr w14:val="tx1"/>
            </w14:solidFill>
          </w14:textFill>
        </w:rPr>
        <w:t>、盐城市政府采购事前信用承诺书</w:t>
      </w:r>
    </w:p>
    <w:p w14:paraId="0C8C0893">
      <w:pPr>
        <w:pStyle w:val="209"/>
        <w:spacing w:beforeAutospacing="0" w:afterAutospacing="0" w:line="0" w:lineRule="atLeast"/>
        <w:ind w:firstLine="480"/>
        <w:jc w:val="both"/>
        <w:rPr>
          <w:rFonts w:hint="eastAsia" w:eastAsia="宋体"/>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w:t>
      </w:r>
      <w:r>
        <w:rPr>
          <w:rFonts w:hint="eastAsia"/>
          <w:color w:val="000000" w:themeColor="text1"/>
          <w:sz w:val="21"/>
          <w:szCs w:val="21"/>
          <w:highlight w:val="none"/>
          <w:lang w:val="en-US" w:eastAsia="zh-CN"/>
          <w14:textFill>
            <w14:solidFill>
              <w14:schemeClr w14:val="tx1"/>
            </w14:solidFill>
          </w14:textFill>
        </w:rPr>
        <w:t>十九、项目建设供应商承诺函</w:t>
      </w:r>
    </w:p>
    <w:p w14:paraId="207B6492">
      <w:pPr>
        <w:pStyle w:val="209"/>
        <w:spacing w:beforeAutospacing="0" w:afterAutospacing="0" w:line="0" w:lineRule="atLeast"/>
        <w:ind w:firstLine="480"/>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12582A47">
      <w:pPr>
        <w:pStyle w:val="209"/>
        <w:spacing w:beforeAutospacing="0" w:afterAutospacing="0" w:line="0" w:lineRule="atLeast"/>
        <w:ind w:firstLine="480"/>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477B6F4B">
      <w:pPr>
        <w:pStyle w:val="20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D597BEF">
      <w:pPr>
        <w:pStyle w:val="20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F95109D">
      <w:pPr>
        <w:pStyle w:val="20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CC92B43">
      <w:pPr>
        <w:pStyle w:val="20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7FE3E3A">
      <w:pPr>
        <w:pStyle w:val="20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DDEDE0E">
      <w:pPr>
        <w:pStyle w:val="209"/>
        <w:spacing w:beforeAutospacing="0" w:afterAutospacing="0" w:line="0" w:lineRule="atLeast"/>
        <w:ind w:firstLine="480"/>
        <w:jc w:val="both"/>
        <w:rPr>
          <w:color w:val="000000" w:themeColor="text1"/>
          <w:highlight w:val="none"/>
          <w14:textFill>
            <w14:solidFill>
              <w14:schemeClr w14:val="tx1"/>
            </w14:solidFill>
          </w14:textFill>
        </w:rPr>
      </w:pPr>
    </w:p>
    <w:p w14:paraId="65B9D750">
      <w:pPr>
        <w:pStyle w:val="209"/>
        <w:spacing w:beforeAutospacing="0" w:afterAutospacing="0" w:line="0" w:lineRule="atLeast"/>
        <w:ind w:firstLine="480"/>
        <w:jc w:val="both"/>
        <w:rPr>
          <w:color w:val="000000" w:themeColor="text1"/>
          <w:highlight w:val="none"/>
          <w14:textFill>
            <w14:solidFill>
              <w14:schemeClr w14:val="tx1"/>
            </w14:solidFill>
          </w14:textFill>
        </w:rPr>
      </w:pPr>
    </w:p>
    <w:p w14:paraId="7B9D8F12">
      <w:pPr>
        <w:pStyle w:val="209"/>
        <w:spacing w:beforeAutospacing="0" w:afterAutospacing="0" w:line="0" w:lineRule="atLeast"/>
        <w:ind w:firstLine="480"/>
        <w:jc w:val="both"/>
        <w:rPr>
          <w:color w:val="000000" w:themeColor="text1"/>
          <w:highlight w:val="none"/>
          <w14:textFill>
            <w14:solidFill>
              <w14:schemeClr w14:val="tx1"/>
            </w14:solidFill>
          </w14:textFill>
        </w:rPr>
      </w:pPr>
    </w:p>
    <w:p w14:paraId="1F7A9D10">
      <w:pPr>
        <w:pStyle w:val="209"/>
        <w:spacing w:beforeAutospacing="0" w:afterAutospacing="0" w:line="0" w:lineRule="atLeast"/>
        <w:ind w:firstLine="480"/>
        <w:jc w:val="both"/>
        <w:rPr>
          <w:color w:val="000000" w:themeColor="text1"/>
          <w:highlight w:val="none"/>
          <w14:textFill>
            <w14:solidFill>
              <w14:schemeClr w14:val="tx1"/>
            </w14:solidFill>
          </w14:textFill>
        </w:rPr>
      </w:pPr>
    </w:p>
    <w:p w14:paraId="785DBD94">
      <w:pPr>
        <w:pStyle w:val="209"/>
        <w:spacing w:beforeAutospacing="0" w:afterAutospacing="0" w:line="0" w:lineRule="atLeast"/>
        <w:ind w:firstLine="480"/>
        <w:jc w:val="both"/>
        <w:rPr>
          <w:color w:val="000000" w:themeColor="text1"/>
          <w:highlight w:val="none"/>
          <w14:textFill>
            <w14:solidFill>
              <w14:schemeClr w14:val="tx1"/>
            </w14:solidFill>
          </w14:textFill>
        </w:rPr>
      </w:pPr>
    </w:p>
    <w:p w14:paraId="7E22E07E">
      <w:pPr>
        <w:pStyle w:val="209"/>
        <w:spacing w:beforeAutospacing="0" w:afterAutospacing="0" w:line="0" w:lineRule="atLeast"/>
        <w:ind w:firstLine="480"/>
        <w:jc w:val="both"/>
        <w:rPr>
          <w:color w:val="000000" w:themeColor="text1"/>
          <w:highlight w:val="none"/>
          <w14:textFill>
            <w14:solidFill>
              <w14:schemeClr w14:val="tx1"/>
            </w14:solidFill>
          </w14:textFill>
        </w:rPr>
      </w:pPr>
    </w:p>
    <w:p w14:paraId="2E84CB79">
      <w:pPr>
        <w:pStyle w:val="209"/>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一、法人或者其他组织的营业执照等证明文件，自然人的身份证明</w:t>
      </w:r>
    </w:p>
    <w:p w14:paraId="35D2A71E">
      <w:pPr>
        <w:pStyle w:val="209"/>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1F87AFA5">
      <w:pPr>
        <w:tabs>
          <w:tab w:val="left" w:pos="1331"/>
        </w:tabs>
        <w:spacing w:line="360" w:lineRule="auto"/>
        <w:ind w:firstLine="420"/>
        <w:jc w:val="left"/>
        <w:rPr>
          <w:color w:val="000000" w:themeColor="text1"/>
          <w:sz w:val="21"/>
          <w:szCs w:val="2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二、</w:t>
      </w:r>
      <w:r>
        <w:rPr>
          <w:rFonts w:hint="eastAsia" w:ascii="黑体" w:hAnsi="宋体" w:eastAsia="黑体" w:cs="黑体"/>
          <w:i/>
          <w:color w:val="000000" w:themeColor="text1"/>
          <w:sz w:val="32"/>
          <w:szCs w:val="32"/>
          <w:highlight w:val="none"/>
          <w:u w:val="single"/>
          <w:lang w:val="en-US" w:eastAsia="zh-CN" w:bidi="ar-SA"/>
          <w14:textFill>
            <w14:solidFill>
              <w14:schemeClr w14:val="tx1"/>
            </w14:solidFill>
          </w14:textFill>
        </w:rPr>
        <w:t>上一年度的财务状况报告（财务状况报表至少包含利润表、资产负债表、现金流量表，成立不满一年无需提供）。</w:t>
      </w:r>
    </w:p>
    <w:p w14:paraId="2632DB08">
      <w:pPr>
        <w:pStyle w:val="20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三、具备履行合同所必需的设备和专业技术能力的书面声明</w:t>
      </w:r>
    </w:p>
    <w:p w14:paraId="65317249">
      <w:pPr>
        <w:pStyle w:val="209"/>
        <w:spacing w:beforeAutospacing="0" w:afterAutospacing="0" w:line="360" w:lineRule="auto"/>
        <w:ind w:firstLine="492"/>
        <w:jc w:val="both"/>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3DA6E7A9">
      <w:pPr>
        <w:pStyle w:val="209"/>
        <w:spacing w:beforeAutospacing="0" w:afterAutospacing="0" w:line="360" w:lineRule="auto"/>
        <w:ind w:firstLine="492"/>
        <w:jc w:val="both"/>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主要设备有：</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w:t>
      </w:r>
    </w:p>
    <w:p w14:paraId="58D7B443">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主要专业技术能力有：</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w:t>
      </w:r>
    </w:p>
    <w:p w14:paraId="0D09B5E1">
      <w:pPr>
        <w:pStyle w:val="209"/>
        <w:spacing w:beforeAutospacing="0" w:afterAutospacing="0"/>
        <w:jc w:val="both"/>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四、依法缴纳税收和社会保障资金的相关材料</w:t>
      </w:r>
    </w:p>
    <w:p w14:paraId="5598DD49">
      <w:pPr>
        <w:pStyle w:val="209"/>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提供提交投标文件截止时间前一年内至少一个月依法缴纳税收及缴纳社会保障资金的证明材料。投标人依法享受缓缴、免缴税收、社会保障资金的提供证明材料。</w:t>
      </w:r>
    </w:p>
    <w:p w14:paraId="0995C2E9">
      <w:pPr>
        <w:pStyle w:val="209"/>
        <w:spacing w:beforeAutospacing="0" w:afterAutospacing="0" w:line="360" w:lineRule="auto"/>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2018280A">
      <w:pPr>
        <w:pStyle w:val="209"/>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五、参加政府采购活动前 3 年内在经营活动中没有重大违法记录的书面声明</w:t>
      </w:r>
    </w:p>
    <w:p w14:paraId="667C540F">
      <w:pPr>
        <w:pStyle w:val="209"/>
        <w:spacing w:beforeAutospacing="0" w:afterAutospacing="0" w:line="360" w:lineRule="auto"/>
        <w:jc w:val="both"/>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w:t>
      </w:r>
    </w:p>
    <w:p w14:paraId="258CEEB6">
      <w:pPr>
        <w:pStyle w:val="209"/>
        <w:spacing w:beforeAutospacing="0" w:afterAutospacing="0"/>
        <w:jc w:val="center"/>
        <w:rPr>
          <w:rFonts w:hint="eastAsia" w:ascii="黑体" w:hAnsi="宋体" w:eastAsia="黑体" w:cs="黑体"/>
          <w:iCs/>
          <w:color w:val="000000" w:themeColor="text1"/>
          <w:sz w:val="32"/>
          <w:szCs w:val="32"/>
          <w:highlight w:val="none"/>
          <w14:textFill>
            <w14:solidFill>
              <w14:schemeClr w14:val="tx1"/>
            </w14:solidFill>
          </w14:textFill>
        </w:rPr>
      </w:pPr>
      <w:r>
        <w:rPr>
          <w:rFonts w:hint="eastAsia" w:ascii="黑体" w:hAnsi="宋体" w:eastAsia="黑体" w:cs="黑体"/>
          <w:iCs/>
          <w:color w:val="000000" w:themeColor="text1"/>
          <w:sz w:val="32"/>
          <w:szCs w:val="32"/>
          <w:highlight w:val="none"/>
          <w14:textFill>
            <w14:solidFill>
              <w14:schemeClr w14:val="tx1"/>
            </w14:solidFill>
          </w14:textFill>
        </w:rPr>
        <w:t xml:space="preserve"> 声  明</w:t>
      </w:r>
    </w:p>
    <w:p w14:paraId="4FDD550E">
      <w:pPr>
        <w:pStyle w:val="209"/>
        <w:spacing w:beforeAutospacing="0" w:afterAutospacing="0" w:line="360" w:lineRule="auto"/>
        <w:jc w:val="both"/>
        <w:rPr>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69CB9256">
      <w:pPr>
        <w:pStyle w:val="209"/>
        <w:spacing w:beforeAutospacing="0" w:afterAutospacing="0" w:line="360" w:lineRule="auto"/>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008F04D5">
      <w:pPr>
        <w:pStyle w:val="209"/>
        <w:numPr>
          <w:ilvl w:val="0"/>
          <w:numId w:val="2"/>
        </w:numPr>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单位负责人为同一人或者存在直接控股、管理关系的不同供应商，不得参加同一合同项下的政府采购活动。</w:t>
      </w:r>
    </w:p>
    <w:p w14:paraId="1D189E10">
      <w:pPr>
        <w:pStyle w:val="209"/>
        <w:numPr>
          <w:ilvl w:val="0"/>
          <w:numId w:val="0"/>
        </w:numPr>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eastAsia="zh-CN"/>
          <w14:textFill>
            <w14:solidFill>
              <w14:schemeClr w14:val="tx1"/>
            </w14:solidFill>
          </w14:textFill>
        </w:rPr>
        <w:t>（自行提供，格式自拟）</w:t>
      </w:r>
    </w:p>
    <w:p w14:paraId="4F052FC6">
      <w:pPr>
        <w:pStyle w:val="209"/>
        <w:spacing w:beforeAutospacing="0" w:afterAutospacing="0"/>
        <w:rPr>
          <w:rFonts w:hint="eastAsia" w:ascii="黑体" w:hAnsi="宋体" w:eastAsia="黑体" w:cs="黑体"/>
          <w:i/>
          <w:color w:val="000000" w:themeColor="text1"/>
          <w:sz w:val="32"/>
          <w:szCs w:val="32"/>
          <w:highlight w:val="none"/>
          <w:u w:val="single"/>
          <w:lang w:eastAsia="zh-CN"/>
          <w14:textFill>
            <w14:solidFill>
              <w14:schemeClr w14:val="tx1"/>
            </w14:solidFill>
          </w14:textFill>
        </w:rPr>
      </w:pPr>
    </w:p>
    <w:p w14:paraId="56D1C1CC">
      <w:pPr>
        <w:pStyle w:val="209"/>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lang w:eastAsia="zh-CN"/>
          <w14:textFill>
            <w14:solidFill>
              <w14:schemeClr w14:val="tx1"/>
            </w14:solidFill>
          </w14:textFill>
        </w:rPr>
        <w:t>七</w:t>
      </w:r>
      <w:r>
        <w:rPr>
          <w:rFonts w:hint="eastAsia" w:ascii="黑体" w:hAnsi="宋体" w:eastAsia="黑体" w:cs="黑体"/>
          <w:i/>
          <w:color w:val="000000" w:themeColor="text1"/>
          <w:sz w:val="32"/>
          <w:szCs w:val="32"/>
          <w:highlight w:val="none"/>
          <w:u w:val="single"/>
          <w14:textFill>
            <w14:solidFill>
              <w14:schemeClr w14:val="tx1"/>
            </w14:solidFill>
          </w14:textFill>
        </w:rPr>
        <w:t>、特定资格要求的证明文件</w:t>
      </w:r>
    </w:p>
    <w:p w14:paraId="5B64E6A3">
      <w:pPr>
        <w:pStyle w:val="209"/>
        <w:spacing w:beforeAutospacing="0" w:afterAutospacing="0" w:line="360" w:lineRule="auto"/>
        <w:jc w:val="both"/>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如果本项目申请人的特定资格要求中要求提供的，必须提供。</w:t>
      </w:r>
    </w:p>
    <w:p w14:paraId="2D4D16BA">
      <w:pPr>
        <w:pStyle w:val="209"/>
        <w:spacing w:beforeAutospacing="0" w:afterAutospacing="0" w:line="360" w:lineRule="auto"/>
        <w:jc w:val="center"/>
        <w:rPr>
          <w:rFonts w:hint="eastAsia" w:ascii="黑体" w:hAnsi="宋体" w:eastAsia="黑体" w:cs="黑体"/>
          <w:i/>
          <w:color w:val="000000" w:themeColor="text1"/>
          <w:sz w:val="21"/>
          <w:szCs w:val="21"/>
          <w:highlight w:val="none"/>
          <w:u w:val="single"/>
          <w14:textFill>
            <w14:solidFill>
              <w14:schemeClr w14:val="tx1"/>
            </w14:solidFill>
          </w14:textFill>
        </w:rPr>
      </w:pPr>
      <w:bookmarkStart w:id="186" w:name="_Toc120614284"/>
    </w:p>
    <w:p w14:paraId="55DA2ECE">
      <w:pPr>
        <w:pStyle w:val="209"/>
        <w:spacing w:beforeAutospacing="0" w:afterAutospacing="0"/>
        <w:jc w:val="both"/>
        <w:rPr>
          <w:rFonts w:hint="eastAsia" w:ascii="黑体" w:hAnsi="宋体" w:eastAsia="黑体" w:cs="黑体"/>
          <w:i/>
          <w:color w:val="000000" w:themeColor="text1"/>
          <w:sz w:val="32"/>
          <w:szCs w:val="32"/>
          <w:highlight w:val="none"/>
          <w:u w:val="single"/>
          <w14:textFill>
            <w14:solidFill>
              <w14:schemeClr w14:val="tx1"/>
            </w14:solidFill>
          </w14:textFill>
        </w:rPr>
      </w:pPr>
    </w:p>
    <w:p w14:paraId="0BD14E7E">
      <w:pPr>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br w:type="page"/>
      </w:r>
    </w:p>
    <w:p w14:paraId="014976E9">
      <w:pPr>
        <w:pStyle w:val="209"/>
        <w:spacing w:beforeAutospacing="0" w:afterAutospacing="0"/>
        <w:jc w:val="center"/>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eastAsia="zh-CN"/>
          <w14:textFill>
            <w14:solidFill>
              <w14:schemeClr w14:val="tx1"/>
            </w14:solidFill>
          </w14:textFill>
        </w:rPr>
        <w:t>八</w:t>
      </w:r>
      <w:r>
        <w:rPr>
          <w:rFonts w:hint="eastAsia" w:ascii="黑体" w:hAnsi="宋体" w:eastAsia="黑体" w:cs="黑体"/>
          <w:i/>
          <w:color w:val="000000" w:themeColor="text1"/>
          <w:sz w:val="32"/>
          <w:szCs w:val="32"/>
          <w:highlight w:val="none"/>
          <w:u w:val="single"/>
          <w14:textFill>
            <w14:solidFill>
              <w14:schemeClr w14:val="tx1"/>
            </w14:solidFill>
          </w14:textFill>
        </w:rPr>
        <w:t>、法人授权书</w:t>
      </w:r>
    </w:p>
    <w:p w14:paraId="7406918C">
      <w:pPr>
        <w:pStyle w:val="209"/>
        <w:tabs>
          <w:tab w:val="left" w:pos="360"/>
        </w:tabs>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本授权书声明：____________（投标人名称）授权________________（被授权人的姓名）为我方就JSZC-</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号项目采购活动的合法代理人，以本单位名义全权处理一切与该项目采购有关的事务。</w:t>
      </w:r>
    </w:p>
    <w:p w14:paraId="303CC096">
      <w:pPr>
        <w:pStyle w:val="209"/>
        <w:tabs>
          <w:tab w:val="left" w:pos="360"/>
        </w:tabs>
        <w:spacing w:beforeAutospacing="0" w:afterAutospacing="0" w:line="360" w:lineRule="auto"/>
        <w:ind w:firstLine="688"/>
        <w:jc w:val="both"/>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本授权书于______年____月____日起生效，特此声明。</w:t>
      </w:r>
    </w:p>
    <w:p w14:paraId="73228BFD">
      <w:pPr>
        <w:pStyle w:val="209"/>
        <w:tabs>
          <w:tab w:val="left" w:pos="360"/>
        </w:tabs>
        <w:spacing w:beforeAutospacing="0" w:afterAutospacing="0" w:line="360" w:lineRule="auto"/>
        <w:jc w:val="both"/>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被授权人身份证号码：</w:t>
      </w:r>
      <w:r>
        <w:rPr>
          <w:rFonts w:ascii="Times New Roman" w:hAnsi="Times New Roman"/>
          <w:color w:val="000000" w:themeColor="text1"/>
          <w:sz w:val="21"/>
          <w:szCs w:val="21"/>
          <w:highlight w:val="none"/>
          <w:u w:val="single"/>
          <w14:textFill>
            <w14:solidFill>
              <w14:schemeClr w14:val="tx1"/>
            </w14:solidFill>
          </w14:textFill>
        </w:rPr>
        <w:t xml:space="preserve">                              </w:t>
      </w:r>
    </w:p>
    <w:p w14:paraId="5E210529">
      <w:pPr>
        <w:pStyle w:val="209"/>
        <w:tabs>
          <w:tab w:val="left" w:pos="360"/>
        </w:tabs>
        <w:spacing w:beforeAutospacing="0" w:afterAutospacing="0" w:line="360" w:lineRule="auto"/>
        <w:jc w:val="both"/>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被授权人联系电话：（手机）</w:t>
      </w:r>
      <w:r>
        <w:rPr>
          <w:rFonts w:ascii="Times New Roman" w:hAnsi="Times New Roman"/>
          <w:color w:val="000000" w:themeColor="text1"/>
          <w:sz w:val="21"/>
          <w:szCs w:val="21"/>
          <w:highlight w:val="none"/>
          <w:u w:val="single"/>
          <w14:textFill>
            <w14:solidFill>
              <w14:schemeClr w14:val="tx1"/>
            </w14:solidFill>
          </w14:textFill>
        </w:rPr>
        <w:t xml:space="preserve">                          </w:t>
      </w:r>
    </w:p>
    <w:p w14:paraId="3735F137">
      <w:pPr>
        <w:pStyle w:val="209"/>
        <w:tabs>
          <w:tab w:val="left" w:pos="360"/>
        </w:tabs>
        <w:spacing w:beforeAutospacing="0" w:afterAutospacing="0" w:line="360" w:lineRule="auto"/>
        <w:ind w:firstLine="630"/>
        <w:jc w:val="both"/>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授权单位名称：</w:t>
      </w:r>
      <w:r>
        <w:rPr>
          <w:rFonts w:ascii="Times New Roman" w:hAnsi="Times New Roman"/>
          <w:color w:val="000000" w:themeColor="text1"/>
          <w:sz w:val="21"/>
          <w:szCs w:val="21"/>
          <w:highlight w:val="none"/>
          <w:u w:val="single"/>
          <w14:textFill>
            <w14:solidFill>
              <w14:schemeClr w14:val="tx1"/>
            </w14:solidFill>
          </w14:textFill>
        </w:rPr>
        <w:t>（加盖CA电子公章）</w:t>
      </w:r>
    </w:p>
    <w:p w14:paraId="7B766187">
      <w:pPr>
        <w:pStyle w:val="209"/>
        <w:tabs>
          <w:tab w:val="left" w:pos="360"/>
        </w:tabs>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单位地址：</w:t>
      </w:r>
      <w:r>
        <w:rPr>
          <w:rFonts w:ascii="Times New Roman" w:hAnsi="Times New Roman"/>
          <w:color w:val="000000" w:themeColor="text1"/>
          <w:sz w:val="21"/>
          <w:szCs w:val="21"/>
          <w:highlight w:val="none"/>
          <w:u w:val="single"/>
          <w14:textFill>
            <w14:solidFill>
              <w14:schemeClr w14:val="tx1"/>
            </w14:solidFill>
          </w14:textFill>
        </w:rPr>
        <w:t xml:space="preserve">                                         </w:t>
      </w:r>
    </w:p>
    <w:p w14:paraId="018DC83C">
      <w:pPr>
        <w:pStyle w:val="209"/>
        <w:tabs>
          <w:tab w:val="left" w:pos="360"/>
        </w:tabs>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日期：</w:t>
      </w:r>
      <w:bookmarkStart w:id="187" w:name="_格式3__银行出具的资信证明"/>
      <w:bookmarkStart w:id="188" w:name="_Hlt26671380"/>
      <w:bookmarkStart w:id="189" w:name="_Hlt26955070"/>
      <w:r>
        <w:rPr>
          <w:rFonts w:ascii="Times New Roman" w:hAnsi="Times New Roman"/>
          <w:color w:val="000000" w:themeColor="text1"/>
          <w:sz w:val="21"/>
          <w:szCs w:val="21"/>
          <w:highlight w:val="none"/>
          <w:u w:val="single"/>
          <w14:textFill>
            <w14:solidFill>
              <w14:schemeClr w14:val="tx1"/>
            </w14:solidFill>
          </w14:textFill>
        </w:rPr>
        <w:t xml:space="preserve">                                         </w:t>
      </w:r>
    </w:p>
    <w:p w14:paraId="5E1F9143">
      <w:pPr>
        <w:pStyle w:val="209"/>
        <w:spacing w:beforeAutospacing="0" w:afterAutospacing="0"/>
        <w:ind w:firstLine="42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2202D5C">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D680CE2">
      <w:pPr>
        <w:pStyle w:val="20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F322367">
      <w:pPr>
        <w:pStyle w:val="209"/>
        <w:keepNext/>
        <w:keepLines/>
        <w:spacing w:before="260" w:beforeAutospacing="0" w:after="260" w:afterAutospacing="0" w:line="415" w:lineRule="auto"/>
        <w:ind w:firstLine="3390"/>
        <w:jc w:val="both"/>
        <w:rPr>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r>
      <w:r>
        <w:rPr>
          <w:rFonts w:hint="eastAsia" w:ascii="宋体" w:hAnsi="宋体" w:cs="宋体"/>
          <w:b/>
          <w:color w:val="000000" w:themeColor="text1"/>
          <w:highlight w:val="none"/>
          <w14:textFill>
            <w14:solidFill>
              <w14:schemeClr w14:val="tx1"/>
            </w14:solidFill>
          </w14:textFill>
        </w:rPr>
        <w:t> </w:t>
      </w:r>
      <w:r>
        <w:rPr>
          <w:rFonts w:hint="eastAsia" w:ascii="黑体" w:hAnsi="宋体" w:eastAsia="黑体" w:cs="黑体"/>
          <w:b/>
          <w:i/>
          <w:color w:val="000000" w:themeColor="text1"/>
          <w:sz w:val="32"/>
          <w:szCs w:val="32"/>
          <w:highlight w:val="none"/>
          <w:u w:val="single"/>
          <w:lang w:eastAsia="zh-CN"/>
          <w14:textFill>
            <w14:solidFill>
              <w14:schemeClr w14:val="tx1"/>
            </w14:solidFill>
          </w14:textFill>
        </w:rPr>
        <w:t>九</w:t>
      </w:r>
      <w:r>
        <w:rPr>
          <w:rFonts w:hint="eastAsia" w:ascii="黑体" w:hAnsi="宋体" w:eastAsia="黑体" w:cs="黑体"/>
          <w:b/>
          <w:i/>
          <w:color w:val="000000" w:themeColor="text1"/>
          <w:sz w:val="32"/>
          <w:szCs w:val="32"/>
          <w:highlight w:val="none"/>
          <w:u w:val="single"/>
          <w14:textFill>
            <w14:solidFill>
              <w14:schemeClr w14:val="tx1"/>
            </w14:solidFill>
          </w14:textFill>
        </w:rPr>
        <w:t>、投标函</w:t>
      </w:r>
    </w:p>
    <w:p w14:paraId="7E06BBC3">
      <w:pPr>
        <w:pStyle w:val="209"/>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致：采购人</w:t>
      </w:r>
    </w:p>
    <w:p w14:paraId="56CB89A8">
      <w:pPr>
        <w:pStyle w:val="209"/>
        <w:spacing w:beforeAutospacing="0" w:afterAutospacing="0" w:line="360" w:lineRule="auto"/>
        <w:ind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根据贵方的JSZC-***</w:t>
      </w:r>
      <w:r>
        <w:rPr>
          <w:rFonts w:hint="eastAsia" w:ascii="宋体" w:hAnsi="宋体" w:cs="宋体"/>
          <w:b/>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号招标文件，正式授权下述签字人_________________(姓名)代表我方______________（投标人的名称），全权处理本次项目投标的有关事宜。</w:t>
      </w:r>
    </w:p>
    <w:p w14:paraId="2111651D">
      <w:pPr>
        <w:pStyle w:val="209"/>
        <w:spacing w:beforeAutospacing="0" w:afterAutospacing="0" w:line="360" w:lineRule="auto"/>
        <w:ind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据此函，__________签字人兹宣布同意如下：</w:t>
      </w:r>
    </w:p>
    <w:p w14:paraId="025BB314">
      <w:pPr>
        <w:pStyle w:val="209"/>
        <w:spacing w:beforeAutospacing="0" w:afterAutospacing="0" w:line="360" w:lineRule="auto"/>
        <w:ind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1.按招标文件规定的各项要求，向买方提供所需货物（包含与货物相关的服务）。</w:t>
      </w:r>
    </w:p>
    <w:p w14:paraId="04E9B732">
      <w:pPr>
        <w:pStyle w:val="209"/>
        <w:spacing w:beforeAutospacing="0" w:afterAutospacing="0" w:line="360" w:lineRule="auto"/>
        <w:ind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2.我们完全理解贵方不一定将合同授予最低报价的投标人。</w:t>
      </w:r>
    </w:p>
    <w:p w14:paraId="041468DD">
      <w:pPr>
        <w:pStyle w:val="209"/>
        <w:spacing w:beforeAutospacing="0" w:afterAutospacing="0" w:line="360" w:lineRule="auto"/>
        <w:ind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3.我们已详细审核全部招标文件及其有效补充文件，我们知道必须放弃提出含糊不清或误解问题的权利。</w:t>
      </w:r>
    </w:p>
    <w:p w14:paraId="67A24F37">
      <w:pPr>
        <w:pStyle w:val="209"/>
        <w:spacing w:beforeAutospacing="0" w:afterAutospacing="0" w:line="360" w:lineRule="auto"/>
        <w:ind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4.我们同意从规定的开标日期起遵循本投标文件，并在规定的投标有效期期满之前均具有约束力。</w:t>
      </w:r>
    </w:p>
    <w:p w14:paraId="60EAF3D8">
      <w:pPr>
        <w:pStyle w:val="209"/>
        <w:spacing w:beforeAutospacing="0" w:afterAutospacing="0" w:line="360" w:lineRule="auto"/>
        <w:ind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5.同意向贵方提供贵方可能另外要求的与投标有关的任何证据或资料，并保证我方已提供和将要提供的文件是真实的、准确的。</w:t>
      </w:r>
    </w:p>
    <w:p w14:paraId="29FB0A4A">
      <w:pPr>
        <w:pStyle w:val="209"/>
        <w:spacing w:beforeAutospacing="0" w:afterAutospacing="0" w:line="360" w:lineRule="auto"/>
        <w:ind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6.一旦我方中标,我方将根据招标文件的规定，严格履行合同的责任和义务,并保证在招标文件规定的时间完成项目，交付买方验收、使用。</w:t>
      </w:r>
    </w:p>
    <w:p w14:paraId="15714D9C">
      <w:pPr>
        <w:pStyle w:val="209"/>
        <w:spacing w:beforeAutospacing="0" w:afterAutospacing="0" w:line="360" w:lineRule="auto"/>
        <w:ind w:left="425"/>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7.与本投标有关的正式通讯地址为：</w:t>
      </w:r>
    </w:p>
    <w:p w14:paraId="04557C15">
      <w:pPr>
        <w:pStyle w:val="209"/>
        <w:spacing w:beforeAutospacing="0" w:afterAutospacing="0" w:line="360" w:lineRule="auto"/>
        <w:ind w:left="420"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地          址：</w:t>
      </w:r>
    </w:p>
    <w:p w14:paraId="3DA0E03D">
      <w:pPr>
        <w:pStyle w:val="209"/>
        <w:spacing w:beforeAutospacing="0" w:afterAutospacing="0" w:line="360" w:lineRule="auto"/>
        <w:ind w:left="420"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邮          编：</w:t>
      </w:r>
    </w:p>
    <w:p w14:paraId="5183ECFC">
      <w:pPr>
        <w:pStyle w:val="209"/>
        <w:spacing w:beforeAutospacing="0" w:afterAutospacing="0" w:line="360" w:lineRule="auto"/>
        <w:ind w:left="420"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电          话：</w:t>
      </w:r>
    </w:p>
    <w:p w14:paraId="0BC79A63">
      <w:pPr>
        <w:pStyle w:val="209"/>
        <w:spacing w:beforeAutospacing="0" w:afterAutospacing="0" w:line="360" w:lineRule="auto"/>
        <w:ind w:left="420"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传          真：</w:t>
      </w:r>
    </w:p>
    <w:p w14:paraId="1B1804D7">
      <w:pPr>
        <w:pStyle w:val="209"/>
        <w:spacing w:beforeAutospacing="0" w:afterAutospacing="0" w:line="360" w:lineRule="auto"/>
        <w:ind w:left="420"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投标人开户行：</w:t>
      </w:r>
    </w:p>
    <w:p w14:paraId="7C6BB05E">
      <w:pPr>
        <w:pStyle w:val="209"/>
        <w:spacing w:beforeAutospacing="0" w:afterAutospacing="0" w:line="360" w:lineRule="auto"/>
        <w:ind w:left="420"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账          号： </w:t>
      </w:r>
    </w:p>
    <w:p w14:paraId="4F40961F">
      <w:pPr>
        <w:pStyle w:val="209"/>
        <w:spacing w:beforeAutospacing="0" w:afterAutospacing="0" w:line="360" w:lineRule="auto"/>
        <w:ind w:left="420" w:firstLine="48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日           期：________年____月____日</w:t>
      </w:r>
    </w:p>
    <w:p w14:paraId="6AB9D2A7">
      <w:pPr>
        <w:pStyle w:val="20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17FB3B7">
      <w:pPr>
        <w:pStyle w:val="20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5917CFD">
      <w:pPr>
        <w:pStyle w:val="20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199D5CF">
      <w:pPr>
        <w:pStyle w:val="20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DF1EF89">
      <w:pPr>
        <w:pStyle w:val="209"/>
        <w:spacing w:beforeAutospacing="0" w:afterAutospacing="0" w:line="0" w:lineRule="atLeast"/>
        <w:ind w:firstLine="240"/>
        <w:jc w:val="center"/>
        <w:rPr>
          <w:color w:val="000000" w:themeColor="text1"/>
          <w:highlight w:val="none"/>
          <w14:textFill>
            <w14:solidFill>
              <w14:schemeClr w14:val="tx1"/>
            </w14:solidFill>
          </w14:textFill>
        </w:rPr>
      </w:pPr>
    </w:p>
    <w:p w14:paraId="096C0685">
      <w:pPr>
        <w:pStyle w:val="209"/>
        <w:spacing w:beforeAutospacing="0" w:afterAutospacing="0" w:line="0" w:lineRule="atLeast"/>
        <w:ind w:firstLine="240"/>
        <w:jc w:val="center"/>
        <w:rPr>
          <w:color w:val="000000" w:themeColor="text1"/>
          <w:highlight w:val="none"/>
          <w14:textFill>
            <w14:solidFill>
              <w14:schemeClr w14:val="tx1"/>
            </w14:solidFill>
          </w14:textFill>
        </w:rPr>
      </w:pPr>
    </w:p>
    <w:p w14:paraId="3756D498">
      <w:pPr>
        <w:pStyle w:val="209"/>
        <w:spacing w:beforeAutospacing="0" w:afterAutospacing="0" w:line="0" w:lineRule="atLeast"/>
        <w:ind w:firstLine="240"/>
        <w:jc w:val="center"/>
        <w:rPr>
          <w:color w:val="000000" w:themeColor="text1"/>
          <w:highlight w:val="none"/>
          <w14:textFill>
            <w14:solidFill>
              <w14:schemeClr w14:val="tx1"/>
            </w14:solidFill>
          </w14:textFill>
        </w:rPr>
      </w:pPr>
    </w:p>
    <w:p w14:paraId="2F85352B">
      <w:pPr>
        <w:pStyle w:val="209"/>
        <w:spacing w:beforeAutospacing="0" w:afterAutospacing="0" w:line="0" w:lineRule="atLeast"/>
        <w:ind w:firstLine="240"/>
        <w:jc w:val="center"/>
        <w:rPr>
          <w:color w:val="000000" w:themeColor="text1"/>
          <w:highlight w:val="none"/>
          <w14:textFill>
            <w14:solidFill>
              <w14:schemeClr w14:val="tx1"/>
            </w14:solidFill>
          </w14:textFill>
        </w:rPr>
      </w:pPr>
    </w:p>
    <w:p w14:paraId="781D192C">
      <w:pPr>
        <w:pStyle w:val="209"/>
        <w:spacing w:beforeAutospacing="0" w:afterAutospacing="0" w:line="0" w:lineRule="atLeast"/>
        <w:ind w:firstLine="240"/>
        <w:jc w:val="center"/>
        <w:rPr>
          <w:color w:val="000000" w:themeColor="text1"/>
          <w:highlight w:val="none"/>
          <w14:textFill>
            <w14:solidFill>
              <w14:schemeClr w14:val="tx1"/>
            </w14:solidFill>
          </w14:textFill>
        </w:rPr>
      </w:pPr>
    </w:p>
    <w:p w14:paraId="2985C568">
      <w:pPr>
        <w:pStyle w:val="20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001DE1A">
      <w:pPr>
        <w:pStyle w:val="209"/>
        <w:spacing w:beforeAutospacing="0" w:afterAutospacing="0" w:line="0" w:lineRule="atLeast"/>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lang w:eastAsia="zh-CN"/>
          <w14:textFill>
            <w14:solidFill>
              <w14:schemeClr w14:val="tx1"/>
            </w14:solidFill>
          </w14:textFill>
        </w:rPr>
        <w:t>十</w:t>
      </w:r>
      <w:r>
        <w:rPr>
          <w:rFonts w:hint="eastAsia" w:ascii="黑体" w:hAnsi="宋体" w:eastAsia="黑体" w:cs="黑体"/>
          <w:b/>
          <w:color w:val="000000" w:themeColor="text1"/>
          <w:sz w:val="32"/>
          <w:szCs w:val="32"/>
          <w:highlight w:val="none"/>
          <w14:textFill>
            <w14:solidFill>
              <w14:schemeClr w14:val="tx1"/>
            </w14:solidFill>
          </w14:textFill>
        </w:rPr>
        <w:t>、中小企业声明函（货物）（分包号：**）</w:t>
      </w:r>
    </w:p>
    <w:p w14:paraId="41B7935F">
      <w:pPr>
        <w:spacing w:line="500" w:lineRule="exact"/>
        <w:ind w:firstLine="480"/>
        <w:rPr>
          <w:color w:val="000000" w:themeColor="text1"/>
          <w:sz w:val="24"/>
          <w:highlight w:val="none"/>
          <w14:textFill>
            <w14:solidFill>
              <w14:schemeClr w14:val="tx1"/>
            </w14:solidFill>
          </w14:textFill>
        </w:rPr>
      </w:pPr>
    </w:p>
    <w:p w14:paraId="76A780A4">
      <w:pPr>
        <w:spacing w:line="500" w:lineRule="exact"/>
        <w:ind w:firstLine="48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本公司（联合体）郑重声明，根据《政府采购促进中小企业发展管理办法》(财库〔2020〕46号)的规定，本公司（联合体）参加</w:t>
      </w:r>
      <w:r>
        <w:rPr>
          <w:rFonts w:hint="eastAsia"/>
          <w:color w:val="000000" w:themeColor="text1"/>
          <w:szCs w:val="21"/>
          <w:highlight w:val="none"/>
          <w:u w:val="single"/>
          <w14:textFill>
            <w14:solidFill>
              <w14:schemeClr w14:val="tx1"/>
            </w14:solidFill>
          </w14:textFill>
        </w:rPr>
        <w:t>（单位名称)</w:t>
      </w:r>
      <w:r>
        <w:rPr>
          <w:rFonts w:hint="eastAsia"/>
          <w:color w:val="000000" w:themeColor="text1"/>
          <w:szCs w:val="21"/>
          <w:highlight w:val="none"/>
          <w14:textFill>
            <w14:solidFill>
              <w14:schemeClr w14:val="tx1"/>
            </w14:solidFill>
          </w14:textFill>
        </w:rPr>
        <w:t>采购编号为</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的</w:t>
      </w:r>
      <w:r>
        <w:rPr>
          <w:rFonts w:hint="eastAsia"/>
          <w:color w:val="000000" w:themeColor="text1"/>
          <w:szCs w:val="21"/>
          <w:highlight w:val="none"/>
          <w:u w:val="single"/>
          <w14:textFill>
            <w14:solidFill>
              <w14:schemeClr w14:val="tx1"/>
            </w14:solidFill>
          </w14:textFill>
        </w:rPr>
        <w:t xml:space="preserve">（项目名称）       </w:t>
      </w:r>
      <w:r>
        <w:rPr>
          <w:rFonts w:hint="eastAsia"/>
          <w:color w:val="000000" w:themeColor="text1"/>
          <w:szCs w:val="21"/>
          <w:highlight w:val="none"/>
          <w14:textFill>
            <w14:solidFill>
              <w14:schemeClr w14:val="tx1"/>
            </w14:solidFill>
          </w14:textFill>
        </w:rPr>
        <w:t>的采购活动，提供的货物全部由符合政策要求的中小企业制造。相关企业（含联合体中的中小企业、签订分包意向协议的中小企业）的具体情况如下：</w:t>
      </w:r>
    </w:p>
    <w:p w14:paraId="52996AAC">
      <w:pPr>
        <w:pStyle w:val="209"/>
        <w:spacing w:beforeAutospacing="0" w:afterAutospacing="0" w:line="360" w:lineRule="auto"/>
        <w:ind w:firstLine="36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w:t>
      </w:r>
      <w:r>
        <w:rPr>
          <w:rFonts w:hint="eastAsia"/>
          <w:color w:val="000000" w:themeColor="text1"/>
          <w:sz w:val="21"/>
          <w:szCs w:val="21"/>
          <w:highlight w:val="none"/>
          <w:u w:val="single"/>
          <w14:textFill>
            <w14:solidFill>
              <w14:schemeClr w14:val="tx1"/>
            </w14:solidFill>
          </w14:textFill>
        </w:rPr>
        <w:t>（标的名称）</w:t>
      </w:r>
      <w:r>
        <w:rPr>
          <w:rFonts w:hint="eastAsia"/>
          <w:i/>
          <w:color w:val="000000" w:themeColor="text1"/>
          <w:sz w:val="21"/>
          <w:szCs w:val="21"/>
          <w:highlight w:val="none"/>
          <w14:textFill>
            <w14:solidFill>
              <w14:schemeClr w14:val="tx1"/>
            </w14:solidFill>
          </w14:textFill>
        </w:rPr>
        <w:t>，</w:t>
      </w:r>
      <w:r>
        <w:rPr>
          <w:rFonts w:hint="eastAsia"/>
          <w:color w:val="000000" w:themeColor="text1"/>
          <w:sz w:val="21"/>
          <w:szCs w:val="21"/>
          <w:highlight w:val="none"/>
          <w14:textFill>
            <w14:solidFill>
              <w14:schemeClr w14:val="tx1"/>
            </w14:solidFill>
          </w14:textFill>
        </w:rPr>
        <w:t>属于</w:t>
      </w:r>
      <w:r>
        <w:rPr>
          <w:rFonts w:hint="eastAsia"/>
          <w:color w:val="000000" w:themeColor="text1"/>
          <w:sz w:val="21"/>
          <w:szCs w:val="21"/>
          <w:highlight w:val="none"/>
          <w:u w:val="single"/>
          <w14:textFill>
            <w14:solidFill>
              <w14:schemeClr w14:val="tx1"/>
            </w14:solidFill>
          </w14:textFill>
        </w:rPr>
        <w:t>(采购文件中明确的所属行业)</w:t>
      </w:r>
      <w:r>
        <w:rPr>
          <w:rFonts w:hint="eastAsia"/>
          <w:color w:val="000000" w:themeColor="text1"/>
          <w:sz w:val="21"/>
          <w:szCs w:val="21"/>
          <w:highlight w:val="none"/>
          <w14:textFill>
            <w14:solidFill>
              <w14:schemeClr w14:val="tx1"/>
            </w14:solidFill>
          </w14:textFill>
        </w:rPr>
        <w:t>行业；制造商为</w:t>
      </w:r>
      <w:r>
        <w:rPr>
          <w:rFonts w:hint="eastAsia"/>
          <w:color w:val="000000" w:themeColor="text1"/>
          <w:sz w:val="21"/>
          <w:szCs w:val="21"/>
          <w:highlight w:val="none"/>
          <w:u w:val="single"/>
          <w14:textFill>
            <w14:solidFill>
              <w14:schemeClr w14:val="tx1"/>
            </w14:solidFill>
          </w14:textFill>
        </w:rPr>
        <w:t>（企业名称）</w:t>
      </w:r>
      <w:r>
        <w:rPr>
          <w:rFonts w:hint="eastAsia"/>
          <w:color w:val="000000" w:themeColor="text1"/>
          <w:sz w:val="21"/>
          <w:szCs w:val="21"/>
          <w:highlight w:val="none"/>
          <w14:textFill>
            <w14:solidFill>
              <w14:schemeClr w14:val="tx1"/>
            </w14:solidFill>
          </w14:textFill>
        </w:rPr>
        <w:t>，从业人员</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人，营业收入为</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万元，资产总额为</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万元，属于</w:t>
      </w:r>
      <w:r>
        <w:rPr>
          <w:rFonts w:hint="eastAsia"/>
          <w:color w:val="000000" w:themeColor="text1"/>
          <w:sz w:val="21"/>
          <w:szCs w:val="21"/>
          <w:highlight w:val="none"/>
          <w:u w:val="single"/>
          <w14:textFill>
            <w14:solidFill>
              <w14:schemeClr w14:val="tx1"/>
            </w14:solidFill>
          </w14:textFill>
        </w:rPr>
        <w:t>（中型企业、小型企业、微型企业）；</w:t>
      </w:r>
    </w:p>
    <w:p w14:paraId="23B87AE5">
      <w:pPr>
        <w:pStyle w:val="209"/>
        <w:spacing w:beforeAutospacing="0" w:afterAutospacing="0" w:line="360" w:lineRule="auto"/>
        <w:ind w:firstLine="36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w:t>
      </w:r>
      <w:r>
        <w:rPr>
          <w:rFonts w:hint="eastAsia"/>
          <w:color w:val="000000" w:themeColor="text1"/>
          <w:sz w:val="21"/>
          <w:szCs w:val="21"/>
          <w:highlight w:val="none"/>
          <w:u w:val="single"/>
          <w14:textFill>
            <w14:solidFill>
              <w14:schemeClr w14:val="tx1"/>
            </w14:solidFill>
          </w14:textFill>
        </w:rPr>
        <w:t>（标的名称）</w:t>
      </w:r>
      <w:r>
        <w:rPr>
          <w:rFonts w:hint="eastAsia"/>
          <w:i/>
          <w:color w:val="000000" w:themeColor="text1"/>
          <w:sz w:val="21"/>
          <w:szCs w:val="21"/>
          <w:highlight w:val="none"/>
          <w14:textFill>
            <w14:solidFill>
              <w14:schemeClr w14:val="tx1"/>
            </w14:solidFill>
          </w14:textFill>
        </w:rPr>
        <w:t>，</w:t>
      </w:r>
      <w:r>
        <w:rPr>
          <w:rFonts w:hint="eastAsia"/>
          <w:color w:val="000000" w:themeColor="text1"/>
          <w:sz w:val="21"/>
          <w:szCs w:val="21"/>
          <w:highlight w:val="none"/>
          <w14:textFill>
            <w14:solidFill>
              <w14:schemeClr w14:val="tx1"/>
            </w14:solidFill>
          </w14:textFill>
        </w:rPr>
        <w:t>属于</w:t>
      </w:r>
      <w:r>
        <w:rPr>
          <w:rFonts w:hint="eastAsia"/>
          <w:color w:val="000000" w:themeColor="text1"/>
          <w:sz w:val="21"/>
          <w:szCs w:val="21"/>
          <w:highlight w:val="none"/>
          <w:u w:val="single"/>
          <w14:textFill>
            <w14:solidFill>
              <w14:schemeClr w14:val="tx1"/>
            </w14:solidFill>
          </w14:textFill>
        </w:rPr>
        <w:t>(采购文件中明确的所属行业)</w:t>
      </w:r>
      <w:r>
        <w:rPr>
          <w:rFonts w:hint="eastAsia"/>
          <w:color w:val="000000" w:themeColor="text1"/>
          <w:sz w:val="21"/>
          <w:szCs w:val="21"/>
          <w:highlight w:val="none"/>
          <w14:textFill>
            <w14:solidFill>
              <w14:schemeClr w14:val="tx1"/>
            </w14:solidFill>
          </w14:textFill>
        </w:rPr>
        <w:t>行业；制造商为</w:t>
      </w:r>
      <w:r>
        <w:rPr>
          <w:rFonts w:hint="eastAsia"/>
          <w:color w:val="000000" w:themeColor="text1"/>
          <w:sz w:val="21"/>
          <w:szCs w:val="21"/>
          <w:highlight w:val="none"/>
          <w:u w:val="single"/>
          <w14:textFill>
            <w14:solidFill>
              <w14:schemeClr w14:val="tx1"/>
            </w14:solidFill>
          </w14:textFill>
        </w:rPr>
        <w:t>（企业名称）</w:t>
      </w:r>
      <w:r>
        <w:rPr>
          <w:rFonts w:hint="eastAsia"/>
          <w:color w:val="000000" w:themeColor="text1"/>
          <w:sz w:val="21"/>
          <w:szCs w:val="21"/>
          <w:highlight w:val="none"/>
          <w14:textFill>
            <w14:solidFill>
              <w14:schemeClr w14:val="tx1"/>
            </w14:solidFill>
          </w14:textFill>
        </w:rPr>
        <w:t>，从业人员</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人，营业收入为</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万元，资产总额为</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万元，属于</w:t>
      </w:r>
      <w:r>
        <w:rPr>
          <w:rFonts w:hint="eastAsia"/>
          <w:color w:val="000000" w:themeColor="text1"/>
          <w:sz w:val="21"/>
          <w:szCs w:val="21"/>
          <w:highlight w:val="none"/>
          <w:u w:val="single"/>
          <w14:textFill>
            <w14:solidFill>
              <w14:schemeClr w14:val="tx1"/>
            </w14:solidFill>
          </w14:textFill>
        </w:rPr>
        <w:t>（中型企业、小型企业、微型企业）；</w:t>
      </w:r>
    </w:p>
    <w:p w14:paraId="63C74853">
      <w:pPr>
        <w:pStyle w:val="209"/>
        <w:spacing w:beforeAutospacing="0" w:afterAutospacing="0" w:line="360" w:lineRule="auto"/>
        <w:ind w:firstLine="36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w:t>
      </w:r>
    </w:p>
    <w:p w14:paraId="73FFBEB4">
      <w:pPr>
        <w:pStyle w:val="209"/>
        <w:spacing w:beforeAutospacing="0" w:afterAutospacing="0" w:line="360" w:lineRule="auto"/>
        <w:ind w:firstLine="36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61DE9EB4">
      <w:pPr>
        <w:pStyle w:val="209"/>
        <w:spacing w:beforeAutospacing="0" w:afterAutospacing="0" w:line="360" w:lineRule="auto"/>
        <w:ind w:firstLine="36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本企业对上述声明内容的真实性负责。如有虚假，将依法承担相应责任</w:t>
      </w:r>
    </w:p>
    <w:p w14:paraId="4ACD6D81">
      <w:pPr>
        <w:pStyle w:val="209"/>
        <w:spacing w:beforeAutospacing="0" w:afterAutospacing="0" w:line="360" w:lineRule="auto"/>
        <w:ind w:right="720"/>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0B0980B3">
      <w:pPr>
        <w:pStyle w:val="209"/>
        <w:spacing w:beforeAutospacing="0" w:afterAutospacing="0" w:line="360" w:lineRule="auto"/>
        <w:ind w:right="180" w:firstLine="360"/>
        <w:jc w:val="righ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企业名称（加盖CA电子公章）：</w:t>
      </w:r>
    </w:p>
    <w:p w14:paraId="4FC8C265">
      <w:pPr>
        <w:pStyle w:val="209"/>
        <w:spacing w:beforeAutospacing="0" w:afterAutospacing="0" w:line="360" w:lineRule="auto"/>
        <w:ind w:right="480" w:firstLine="540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日  期：</w:t>
      </w:r>
    </w:p>
    <w:p w14:paraId="57D83BF9">
      <w:pPr>
        <w:pStyle w:val="209"/>
        <w:spacing w:beforeAutospacing="0" w:afterAutospacing="0" w:line="360" w:lineRule="auto"/>
        <w:ind w:firstLine="360"/>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45F1AC3C">
      <w:pPr>
        <w:pStyle w:val="209"/>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备注1：从业人员、营业收入、资产总额填报上一年度数据，无上一年度数据的新成立企业可不填报。</w:t>
      </w:r>
    </w:p>
    <w:p w14:paraId="2682B6E9">
      <w:pPr>
        <w:pStyle w:val="209"/>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备注2：供应商如不提供此声明函，价格将不做相应扣除（如项目全面面向中小企业，则资格审查不通过）。</w:t>
      </w:r>
    </w:p>
    <w:p w14:paraId="682EE0CD">
      <w:pPr>
        <w:pStyle w:val="209"/>
        <w:spacing w:beforeAutospacing="0" w:afterAutospacing="0" w:line="0" w:lineRule="atLeast"/>
        <w:jc w:val="center"/>
        <w:rPr>
          <w:rFonts w:hint="eastAsia" w:ascii="黑体" w:hAnsi="宋体" w:eastAsia="黑体" w:cs="黑体"/>
          <w:b/>
          <w:color w:val="000000" w:themeColor="text1"/>
          <w:sz w:val="21"/>
          <w:szCs w:val="21"/>
          <w:highlight w:val="none"/>
          <w14:textFill>
            <w14:solidFill>
              <w14:schemeClr w14:val="tx1"/>
            </w14:solidFill>
          </w14:textFill>
        </w:rPr>
      </w:pPr>
    </w:p>
    <w:p w14:paraId="455EA627">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79731F1B">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6AD6D897">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3528CC41">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79FAFEE7">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36A76AFD">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54513623">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22F970D5">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1FE0626A">
      <w:pPr>
        <w:pStyle w:val="20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64CD8D46">
      <w:pPr>
        <w:pStyle w:val="209"/>
        <w:spacing w:beforeAutospacing="0" w:afterAutospacing="0" w:line="0" w:lineRule="atLeast"/>
        <w:jc w:val="both"/>
        <w:rPr>
          <w:rFonts w:hint="eastAsia" w:ascii="黑体" w:hAnsi="宋体" w:eastAsia="黑体" w:cs="黑体"/>
          <w:b/>
          <w:color w:val="000000" w:themeColor="text1"/>
          <w:sz w:val="32"/>
          <w:szCs w:val="32"/>
          <w:highlight w:val="none"/>
          <w14:textFill>
            <w14:solidFill>
              <w14:schemeClr w14:val="tx1"/>
            </w14:solidFill>
          </w14:textFill>
        </w:rPr>
      </w:pPr>
    </w:p>
    <w:p w14:paraId="6E971C41">
      <w:pPr>
        <w:pStyle w:val="209"/>
        <w:spacing w:beforeAutospacing="0" w:afterAutospacing="0" w:line="0" w:lineRule="atLeast"/>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十</w:t>
      </w:r>
      <w:r>
        <w:rPr>
          <w:rFonts w:hint="eastAsia" w:ascii="黑体" w:hAnsi="宋体" w:eastAsia="黑体" w:cs="黑体"/>
          <w:b/>
          <w:color w:val="000000" w:themeColor="text1"/>
          <w:sz w:val="32"/>
          <w:szCs w:val="32"/>
          <w:highlight w:val="none"/>
          <w:lang w:eastAsia="zh-CN"/>
          <w14:textFill>
            <w14:solidFill>
              <w14:schemeClr w14:val="tx1"/>
            </w14:solidFill>
          </w14:textFill>
        </w:rPr>
        <w:t>一</w:t>
      </w:r>
      <w:r>
        <w:rPr>
          <w:rFonts w:hint="eastAsia" w:ascii="黑体" w:hAnsi="宋体" w:eastAsia="黑体" w:cs="黑体"/>
          <w:b/>
          <w:color w:val="000000" w:themeColor="text1"/>
          <w:sz w:val="32"/>
          <w:szCs w:val="32"/>
          <w:highlight w:val="none"/>
          <w14:textFill>
            <w14:solidFill>
              <w14:schemeClr w14:val="tx1"/>
            </w14:solidFill>
          </w14:textFill>
        </w:rPr>
        <w:t>、残疾人福利性单位声明函（分包号：**）</w:t>
      </w:r>
    </w:p>
    <w:p w14:paraId="07CFE948">
      <w:pPr>
        <w:pStyle w:val="209"/>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项目（分包号：**）采购活动提供本单位制造的货物，或者提供其他残疾人福利性单位制造的货物（不包括使用非残疾人福利性单位注册商标的货物）。</w:t>
      </w:r>
    </w:p>
    <w:p w14:paraId="501D07B5">
      <w:pPr>
        <w:pStyle w:val="209"/>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本单位对上述声明的真实性负责。如有虚假，将依法承担相应责任。</w:t>
      </w:r>
    </w:p>
    <w:p w14:paraId="66CE5D2D">
      <w:pPr>
        <w:pStyle w:val="209"/>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613167FC">
      <w:pPr>
        <w:pStyle w:val="209"/>
        <w:spacing w:beforeAutospacing="0" w:afterAutospacing="0" w:line="360" w:lineRule="auto"/>
        <w:ind w:firstLine="480"/>
        <w:jc w:val="both"/>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备注：1、供应商如不提供此声明函，价格将不做相应扣除（如项目全面面向中小企业，则资格审查不通过）。2、中标供应商为残疾人福利单位的，此声明函将随中标结果同时公告，接受社会监督</w:t>
      </w:r>
    </w:p>
    <w:p w14:paraId="3DB439DB">
      <w:pPr>
        <w:pStyle w:val="209"/>
        <w:spacing w:beforeAutospacing="0" w:afterAutospacing="0" w:line="360" w:lineRule="auto"/>
        <w:ind w:firstLine="624"/>
        <w:jc w:val="both"/>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3F9F74EF">
      <w:pPr>
        <w:pStyle w:val="209"/>
        <w:tabs>
          <w:tab w:val="left" w:pos="4864"/>
        </w:tabs>
        <w:spacing w:beforeAutospacing="0" w:afterAutospacing="0" w:line="360" w:lineRule="auto"/>
        <w:ind w:right="1560" w:firstLine="624"/>
        <w:jc w:val="center"/>
        <w:rPr>
          <w:color w:val="000000" w:themeColor="text1"/>
          <w:sz w:val="21"/>
          <w:szCs w:val="21"/>
          <w:highlight w:val="none"/>
          <w14:textFill>
            <w14:solidFill>
              <w14:schemeClr w14:val="tx1"/>
            </w14:solidFill>
          </w14:textFill>
        </w:rPr>
      </w:pPr>
      <w:r>
        <w:rPr>
          <w:rFonts w:ascii="仿宋_GB2312" w:eastAsia="仿宋_GB2312" w:cs="仿宋_GB2312"/>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供应商全称（加盖CA电子公章）：</w:t>
      </w:r>
    </w:p>
    <w:p w14:paraId="3407FAEA">
      <w:pPr>
        <w:pStyle w:val="209"/>
        <w:tabs>
          <w:tab w:val="left" w:pos="4864"/>
        </w:tabs>
        <w:spacing w:beforeAutospacing="0" w:afterAutospacing="0" w:line="360" w:lineRule="auto"/>
        <w:ind w:right="1560" w:firstLine="48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日  期：</w:t>
      </w:r>
    </w:p>
    <w:p w14:paraId="673B2F22">
      <w:pPr>
        <w:pStyle w:val="209"/>
        <w:spacing w:beforeAutospacing="0" w:afterAutospacing="0" w:line="360" w:lineRule="auto"/>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72628854">
      <w:pPr>
        <w:pStyle w:val="20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731DE96">
      <w:pPr>
        <w:pStyle w:val="20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81E39AF">
      <w:pPr>
        <w:pStyle w:val="20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DEE8291">
      <w:pPr>
        <w:pStyle w:val="20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2019B0D">
      <w:pPr>
        <w:pStyle w:val="20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B2B5D0D">
      <w:pPr>
        <w:pStyle w:val="20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BE4AD14">
      <w:pPr>
        <w:pStyle w:val="20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6132ED8">
      <w:pPr>
        <w:pStyle w:val="20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9EF755B">
      <w:pPr>
        <w:pStyle w:val="209"/>
        <w:spacing w:beforeAutospacing="0" w:afterAutospacing="0" w:line="0" w:lineRule="atLeast"/>
        <w:jc w:val="center"/>
        <w:rPr>
          <w:color w:val="000000" w:themeColor="text1"/>
          <w:highlight w:val="none"/>
          <w14:textFill>
            <w14:solidFill>
              <w14:schemeClr w14:val="tx1"/>
            </w14:solidFill>
          </w14:textFill>
        </w:rPr>
      </w:pPr>
    </w:p>
    <w:p w14:paraId="71225E9D">
      <w:pPr>
        <w:pStyle w:val="209"/>
        <w:spacing w:beforeAutospacing="0" w:afterAutospacing="0" w:line="0" w:lineRule="atLeast"/>
        <w:jc w:val="center"/>
        <w:rPr>
          <w:color w:val="000000" w:themeColor="text1"/>
          <w:highlight w:val="none"/>
          <w14:textFill>
            <w14:solidFill>
              <w14:schemeClr w14:val="tx1"/>
            </w14:solidFill>
          </w14:textFill>
        </w:rPr>
      </w:pPr>
    </w:p>
    <w:p w14:paraId="5D016084">
      <w:pPr>
        <w:pStyle w:val="209"/>
        <w:spacing w:beforeAutospacing="0" w:afterAutospacing="0" w:line="0" w:lineRule="atLeast"/>
        <w:jc w:val="center"/>
        <w:rPr>
          <w:color w:val="000000" w:themeColor="text1"/>
          <w:highlight w:val="none"/>
          <w14:textFill>
            <w14:solidFill>
              <w14:schemeClr w14:val="tx1"/>
            </w14:solidFill>
          </w14:textFill>
        </w:rPr>
      </w:pPr>
    </w:p>
    <w:p w14:paraId="12C87989">
      <w:pPr>
        <w:pStyle w:val="209"/>
        <w:spacing w:beforeAutospacing="0" w:afterAutospacing="0" w:line="0" w:lineRule="atLeast"/>
        <w:jc w:val="center"/>
        <w:rPr>
          <w:color w:val="000000" w:themeColor="text1"/>
          <w:highlight w:val="none"/>
          <w14:textFill>
            <w14:solidFill>
              <w14:schemeClr w14:val="tx1"/>
            </w14:solidFill>
          </w14:textFill>
        </w:rPr>
      </w:pPr>
    </w:p>
    <w:p w14:paraId="6D1580D4">
      <w:pPr>
        <w:pStyle w:val="209"/>
        <w:spacing w:beforeAutospacing="0" w:afterAutospacing="0" w:line="0" w:lineRule="atLeast"/>
        <w:jc w:val="center"/>
        <w:rPr>
          <w:color w:val="000000" w:themeColor="text1"/>
          <w:highlight w:val="none"/>
          <w14:textFill>
            <w14:solidFill>
              <w14:schemeClr w14:val="tx1"/>
            </w14:solidFill>
          </w14:textFill>
        </w:rPr>
      </w:pPr>
    </w:p>
    <w:p w14:paraId="50676370">
      <w:pPr>
        <w:pStyle w:val="209"/>
        <w:spacing w:beforeAutospacing="0" w:afterAutospacing="0" w:line="0" w:lineRule="atLeast"/>
        <w:jc w:val="center"/>
        <w:rPr>
          <w:color w:val="000000" w:themeColor="text1"/>
          <w:highlight w:val="none"/>
          <w14:textFill>
            <w14:solidFill>
              <w14:schemeClr w14:val="tx1"/>
            </w14:solidFill>
          </w14:textFill>
        </w:rPr>
      </w:pPr>
    </w:p>
    <w:p w14:paraId="2371E50C">
      <w:pPr>
        <w:pStyle w:val="209"/>
        <w:spacing w:beforeAutospacing="0" w:afterAutospacing="0" w:line="0" w:lineRule="atLeast"/>
        <w:jc w:val="center"/>
        <w:rPr>
          <w:color w:val="000000" w:themeColor="text1"/>
          <w:highlight w:val="none"/>
          <w14:textFill>
            <w14:solidFill>
              <w14:schemeClr w14:val="tx1"/>
            </w14:solidFill>
          </w14:textFill>
        </w:rPr>
      </w:pPr>
    </w:p>
    <w:p w14:paraId="5FE87F85">
      <w:pPr>
        <w:pStyle w:val="209"/>
        <w:spacing w:beforeAutospacing="0" w:afterAutospacing="0" w:line="0" w:lineRule="atLeast"/>
        <w:jc w:val="center"/>
        <w:rPr>
          <w:color w:val="000000" w:themeColor="text1"/>
          <w:highlight w:val="none"/>
          <w14:textFill>
            <w14:solidFill>
              <w14:schemeClr w14:val="tx1"/>
            </w14:solidFill>
          </w14:textFill>
        </w:rPr>
      </w:pPr>
    </w:p>
    <w:p w14:paraId="3DA666DB">
      <w:pPr>
        <w:pStyle w:val="209"/>
        <w:spacing w:beforeAutospacing="0" w:afterAutospacing="0" w:line="0" w:lineRule="atLeast"/>
        <w:jc w:val="center"/>
        <w:rPr>
          <w:color w:val="000000" w:themeColor="text1"/>
          <w:highlight w:val="none"/>
          <w14:textFill>
            <w14:solidFill>
              <w14:schemeClr w14:val="tx1"/>
            </w14:solidFill>
          </w14:textFill>
        </w:rPr>
      </w:pPr>
    </w:p>
    <w:p w14:paraId="14C1718E">
      <w:pPr>
        <w:pStyle w:val="209"/>
        <w:spacing w:beforeAutospacing="0" w:afterAutospacing="0" w:line="0" w:lineRule="atLeast"/>
        <w:jc w:val="center"/>
        <w:rPr>
          <w:color w:val="000000" w:themeColor="text1"/>
          <w:highlight w:val="none"/>
          <w14:textFill>
            <w14:solidFill>
              <w14:schemeClr w14:val="tx1"/>
            </w14:solidFill>
          </w14:textFill>
        </w:rPr>
      </w:pPr>
    </w:p>
    <w:p w14:paraId="155CAA9C">
      <w:pPr>
        <w:pStyle w:val="209"/>
        <w:spacing w:beforeAutospacing="0" w:afterAutospacing="0" w:line="0" w:lineRule="atLeast"/>
        <w:jc w:val="center"/>
        <w:rPr>
          <w:color w:val="000000" w:themeColor="text1"/>
          <w:highlight w:val="none"/>
          <w14:textFill>
            <w14:solidFill>
              <w14:schemeClr w14:val="tx1"/>
            </w14:solidFill>
          </w14:textFill>
        </w:rPr>
      </w:pPr>
    </w:p>
    <w:p w14:paraId="3D9C48F4">
      <w:pPr>
        <w:pStyle w:val="209"/>
        <w:spacing w:beforeAutospacing="0" w:afterAutospacing="0" w:line="0" w:lineRule="atLeast"/>
        <w:jc w:val="center"/>
        <w:rPr>
          <w:color w:val="000000" w:themeColor="text1"/>
          <w:highlight w:val="none"/>
          <w14:textFill>
            <w14:solidFill>
              <w14:schemeClr w14:val="tx1"/>
            </w14:solidFill>
          </w14:textFill>
        </w:rPr>
      </w:pPr>
    </w:p>
    <w:p w14:paraId="24CDF44B">
      <w:pPr>
        <w:pStyle w:val="209"/>
        <w:spacing w:beforeAutospacing="0" w:afterAutospacing="0" w:line="0" w:lineRule="atLeast"/>
        <w:jc w:val="center"/>
        <w:rPr>
          <w:color w:val="000000" w:themeColor="text1"/>
          <w:highlight w:val="none"/>
          <w14:textFill>
            <w14:solidFill>
              <w14:schemeClr w14:val="tx1"/>
            </w14:solidFill>
          </w14:textFill>
        </w:rPr>
      </w:pPr>
    </w:p>
    <w:p w14:paraId="69ED3B5F">
      <w:pPr>
        <w:pStyle w:val="209"/>
        <w:spacing w:beforeAutospacing="0" w:afterAutospacing="0" w:line="0" w:lineRule="atLeast"/>
        <w:jc w:val="center"/>
        <w:rPr>
          <w:color w:val="000000" w:themeColor="text1"/>
          <w:highlight w:val="none"/>
          <w14:textFill>
            <w14:solidFill>
              <w14:schemeClr w14:val="tx1"/>
            </w14:solidFill>
          </w14:textFill>
        </w:rPr>
      </w:pPr>
    </w:p>
    <w:p w14:paraId="1AA029EE">
      <w:pPr>
        <w:pStyle w:val="20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5B2A753">
      <w:pPr>
        <w:pStyle w:val="209"/>
        <w:spacing w:beforeAutospacing="0" w:afterAutospacing="0" w:line="0" w:lineRule="atLeast"/>
        <w:jc w:val="both"/>
        <w:rPr>
          <w:color w:val="000000" w:themeColor="text1"/>
          <w:highlight w:val="none"/>
          <w14:textFill>
            <w14:solidFill>
              <w14:schemeClr w14:val="tx1"/>
            </w14:solidFill>
          </w14:textFill>
        </w:rPr>
      </w:pPr>
    </w:p>
    <w:p w14:paraId="2CC72F0F">
      <w:pPr>
        <w:pStyle w:val="209"/>
        <w:spacing w:beforeAutospacing="0" w:afterAutospacing="0" w:line="0" w:lineRule="atLeast"/>
        <w:jc w:val="both"/>
        <w:rPr>
          <w:color w:val="000000" w:themeColor="text1"/>
          <w:highlight w:val="none"/>
          <w14:textFill>
            <w14:solidFill>
              <w14:schemeClr w14:val="tx1"/>
            </w14:solidFill>
          </w14:textFill>
        </w:rPr>
      </w:pPr>
    </w:p>
    <w:p w14:paraId="0B1152A3">
      <w:pPr>
        <w:pStyle w:val="209"/>
        <w:spacing w:beforeAutospacing="0" w:afterAutospacing="0" w:line="0" w:lineRule="atLeast"/>
        <w:jc w:val="both"/>
        <w:rPr>
          <w:color w:val="000000" w:themeColor="text1"/>
          <w:highlight w:val="none"/>
          <w14:textFill>
            <w14:solidFill>
              <w14:schemeClr w14:val="tx1"/>
            </w14:solidFill>
          </w14:textFill>
        </w:rPr>
      </w:pPr>
    </w:p>
    <w:p w14:paraId="506B1939">
      <w:pPr>
        <w:pStyle w:val="209"/>
        <w:spacing w:beforeAutospacing="0" w:afterAutospacing="0" w:line="0" w:lineRule="atLeast"/>
        <w:jc w:val="both"/>
        <w:rPr>
          <w:color w:val="000000" w:themeColor="text1"/>
          <w:highlight w:val="none"/>
          <w14:textFill>
            <w14:solidFill>
              <w14:schemeClr w14:val="tx1"/>
            </w14:solidFill>
          </w14:textFill>
        </w:rPr>
      </w:pPr>
    </w:p>
    <w:p w14:paraId="09F8F896">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b/>
          <w:bCs/>
          <w:color w:val="000000" w:themeColor="text1"/>
          <w:highlight w:val="none"/>
          <w14:textFill>
            <w14:solidFill>
              <w14:schemeClr w14:val="tx1"/>
            </w14:solidFill>
          </w14:textFill>
        </w:rPr>
      </w:pPr>
      <w:r>
        <w:rPr>
          <w:rFonts w:ascii="黑体" w:hAnsi="宋体" w:eastAsia="黑体" w:cs="黑体"/>
          <w:b/>
          <w:bCs/>
          <w:color w:val="000000" w:themeColor="text1"/>
          <w:sz w:val="32"/>
          <w:szCs w:val="32"/>
          <w:highlight w:val="none"/>
          <w14:textFill>
            <w14:solidFill>
              <w14:schemeClr w14:val="tx1"/>
            </w14:solidFill>
          </w14:textFill>
        </w:rPr>
        <w:t>十</w:t>
      </w:r>
      <w:r>
        <w:rPr>
          <w:rFonts w:hint="eastAsia" w:ascii="黑体" w:hAnsi="宋体" w:eastAsia="黑体" w:cs="黑体"/>
          <w:b/>
          <w:bCs/>
          <w:color w:val="000000" w:themeColor="text1"/>
          <w:sz w:val="32"/>
          <w:szCs w:val="32"/>
          <w:highlight w:val="none"/>
          <w:lang w:eastAsia="zh-CN"/>
          <w14:textFill>
            <w14:solidFill>
              <w14:schemeClr w14:val="tx1"/>
            </w14:solidFill>
          </w14:textFill>
        </w:rPr>
        <w:t>二</w:t>
      </w:r>
      <w:r>
        <w:rPr>
          <w:rFonts w:ascii="黑体" w:hAnsi="宋体" w:eastAsia="黑体" w:cs="黑体"/>
          <w:b/>
          <w:bCs/>
          <w:color w:val="000000" w:themeColor="text1"/>
          <w:sz w:val="32"/>
          <w:szCs w:val="32"/>
          <w:highlight w:val="none"/>
          <w14:textFill>
            <w14:solidFill>
              <w14:schemeClr w14:val="tx1"/>
            </w14:solidFill>
          </w14:textFill>
        </w:rPr>
        <w:t>、关于符合本国产品标准的声明函（采购包号：**）</w:t>
      </w:r>
    </w:p>
    <w:p w14:paraId="0E087EE9">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25EB7694">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1.</w:t>
      </w:r>
      <w:r>
        <w:rPr>
          <w:rFonts w:ascii="宋体" w:hAnsi="宋体" w:eastAsia="宋体" w:cs="宋体"/>
          <w:b/>
          <w:bCs/>
          <w:color w:val="000000" w:themeColor="text1"/>
          <w:sz w:val="21"/>
          <w:szCs w:val="21"/>
          <w:highlight w:val="none"/>
          <w:u w:val="single"/>
          <w:shd w:val="clear" w:color="auto" w:fill="FFFFFF"/>
          <w14:textFill>
            <w14:solidFill>
              <w14:schemeClr w14:val="tx1"/>
            </w14:solidFill>
          </w14:textFill>
        </w:rPr>
        <w:t>（产品名称1）</w:t>
      </w:r>
      <w:r>
        <w:rPr>
          <w:rFonts w:ascii="宋体" w:hAnsi="宋体" w:eastAsia="宋体" w:cs="宋体"/>
          <w:b/>
          <w:bCs/>
          <w:color w:val="000000" w:themeColor="text1"/>
          <w:sz w:val="21"/>
          <w:szCs w:val="21"/>
          <w:highlight w:val="none"/>
          <w:shd w:val="clear" w:color="auto" w:fill="FFFFFF"/>
          <w:vertAlign w:val="superscript"/>
          <w14:textFill>
            <w14:solidFill>
              <w14:schemeClr w14:val="tx1"/>
            </w14:solidFill>
          </w14:textFill>
        </w:rPr>
        <w:t>1</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，生产厂为</w:t>
      </w:r>
      <w:r>
        <w:rPr>
          <w:rFonts w:ascii="宋体" w:hAnsi="宋体" w:eastAsia="宋体" w:cs="宋体"/>
          <w:b/>
          <w:bCs/>
          <w:color w:val="000000" w:themeColor="text1"/>
          <w:sz w:val="21"/>
          <w:szCs w:val="21"/>
          <w:highlight w:val="none"/>
          <w:u w:val="single"/>
          <w:shd w:val="clear" w:color="auto" w:fill="FFFFFF"/>
          <w14:textFill>
            <w14:solidFill>
              <w14:schemeClr w14:val="tx1"/>
            </w14:solidFill>
          </w14:textFill>
        </w:rPr>
        <w:t>（厂名）</w:t>
      </w:r>
      <w:r>
        <w:rPr>
          <w:rFonts w:ascii="宋体" w:hAnsi="宋体" w:eastAsia="宋体" w:cs="宋体"/>
          <w:b/>
          <w:bCs/>
          <w:color w:val="000000" w:themeColor="text1"/>
          <w:sz w:val="21"/>
          <w:szCs w:val="21"/>
          <w:highlight w:val="none"/>
          <w:shd w:val="clear" w:color="auto" w:fill="FFFFFF"/>
          <w:vertAlign w:val="superscript"/>
          <w14:textFill>
            <w14:solidFill>
              <w14:schemeClr w14:val="tx1"/>
            </w14:solidFill>
          </w14:textFill>
        </w:rPr>
        <w:t>2</w:t>
      </w:r>
      <w:r>
        <w:rPr>
          <w:rFonts w:ascii="宋体" w:hAnsi="宋体" w:eastAsia="宋体" w:cs="宋体"/>
          <w:b/>
          <w:bCs/>
          <w:color w:val="000000" w:themeColor="text1"/>
          <w:sz w:val="21"/>
          <w:szCs w:val="21"/>
          <w:highlight w:val="none"/>
          <w:shd w:val="clear" w:color="auto" w:fill="FFFFFF"/>
          <w14:textFill>
            <w14:solidFill>
              <w14:schemeClr w14:val="tx1"/>
            </w14:solidFill>
          </w14:textFill>
        </w:rPr>
        <w:t>，厂址为</w:t>
      </w:r>
      <w:r>
        <w:rPr>
          <w:rFonts w:ascii="宋体" w:hAnsi="宋体" w:eastAsia="宋体" w:cs="宋体"/>
          <w:b/>
          <w:bCs/>
          <w:color w:val="000000" w:themeColor="text1"/>
          <w:sz w:val="21"/>
          <w:szCs w:val="21"/>
          <w:highlight w:val="none"/>
          <w:u w:val="single"/>
          <w:shd w:val="clear" w:color="auto" w:fill="FFFFFF"/>
          <w14:textFill>
            <w14:solidFill>
              <w14:schemeClr w14:val="tx1"/>
            </w14:solidFill>
          </w14:textFill>
        </w:rPr>
        <w:t>（生产厂址）</w:t>
      </w:r>
      <w:r>
        <w:rPr>
          <w:rFonts w:ascii="宋体" w:hAnsi="宋体" w:eastAsia="宋体" w:cs="宋体"/>
          <w:b/>
          <w:bCs/>
          <w:color w:val="000000" w:themeColor="text1"/>
          <w:sz w:val="21"/>
          <w:szCs w:val="21"/>
          <w:highlight w:val="none"/>
          <w:shd w:val="clear" w:color="auto" w:fill="FFFFFF"/>
          <w14:textFill>
            <w14:solidFill>
              <w14:schemeClr w14:val="tx1"/>
            </w14:solidFill>
          </w14:textFill>
        </w:rPr>
        <w:t>。</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 （产品名称1）</w:t>
      </w:r>
      <w:r>
        <w:rPr>
          <w:rFonts w:ascii="宋体" w:hAnsi="宋体" w:eastAsia="宋体" w:cs="宋体"/>
          <w:b/>
          <w:bCs/>
          <w:color w:val="000000" w:themeColor="text1"/>
          <w:sz w:val="21"/>
          <w:szCs w:val="21"/>
          <w:highlight w:val="none"/>
          <w:u w:val="single"/>
          <w:shd w:val="clear" w:color="auto" w:fill="FFFFFF"/>
          <w14:textFill>
            <w14:solidFill>
              <w14:schemeClr w14:val="tx1"/>
            </w14:solidFill>
          </w14:textFill>
        </w:rPr>
        <w:t> </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的中国境内生产的组件成本占比≥</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（规定比例）</w:t>
      </w:r>
      <w:r>
        <w:rPr>
          <w:rFonts w:ascii="宋体" w:hAnsi="宋体" w:eastAsia="宋体" w:cs="宋体"/>
          <w:b/>
          <w:bCs/>
          <w:strike/>
          <w:dstrike w:val="0"/>
          <w:color w:val="000000" w:themeColor="text1"/>
          <w:sz w:val="21"/>
          <w:szCs w:val="21"/>
          <w:highlight w:val="none"/>
          <w:shd w:val="clear" w:color="auto" w:fill="FFFFFF"/>
          <w:vertAlign w:val="superscript"/>
          <w14:textFill>
            <w14:solidFill>
              <w14:schemeClr w14:val="tx1"/>
            </w14:solidFill>
          </w14:textFill>
        </w:rPr>
        <w:t>3</w:t>
      </w:r>
      <w:r>
        <w:rPr>
          <w:rFonts w:ascii="宋体" w:hAnsi="宋体" w:eastAsia="宋体" w:cs="宋体"/>
          <w:b/>
          <w:bCs/>
          <w:color w:val="000000" w:themeColor="text1"/>
          <w:sz w:val="21"/>
          <w:szCs w:val="21"/>
          <w:highlight w:val="none"/>
          <w:shd w:val="clear" w:color="auto" w:fill="FFFFFF"/>
          <w14:textFill>
            <w14:solidFill>
              <w14:schemeClr w14:val="tx1"/>
            </w14:solidFill>
          </w14:textFill>
        </w:rPr>
        <w:t>。</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（产品名称1）</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的</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（关键组件）</w:t>
      </w:r>
      <w:r>
        <w:rPr>
          <w:rFonts w:ascii="宋体" w:hAnsi="宋体" w:eastAsia="宋体" w:cs="宋体"/>
          <w:b/>
          <w:bCs/>
          <w:strike/>
          <w:dstrike w:val="0"/>
          <w:color w:val="000000" w:themeColor="text1"/>
          <w:sz w:val="21"/>
          <w:szCs w:val="21"/>
          <w:highlight w:val="none"/>
          <w:shd w:val="clear" w:color="auto" w:fill="FFFFFF"/>
          <w:vertAlign w:val="superscript"/>
          <w14:textFill>
            <w14:solidFill>
              <w14:schemeClr w14:val="tx1"/>
            </w14:solidFill>
          </w14:textFill>
        </w:rPr>
        <w:t>4</w:t>
      </w:r>
      <w:r>
        <w:rPr>
          <w:rFonts w:ascii="宋体" w:hAnsi="宋体" w:eastAsia="宋体" w:cs="宋体"/>
          <w:b/>
          <w:bCs/>
          <w:color w:val="000000" w:themeColor="text1"/>
          <w:sz w:val="21"/>
          <w:szCs w:val="21"/>
          <w:highlight w:val="none"/>
          <w:shd w:val="clear" w:color="auto" w:fill="FFFFFF"/>
          <w14:textFill>
            <w14:solidFill>
              <w14:schemeClr w14:val="tx1"/>
            </w14:solidFill>
          </w14:textFill>
        </w:rPr>
        <w:t>在中国境内生产。</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（产品名称1）</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的</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（关键工序）</w:t>
      </w:r>
      <w:r>
        <w:rPr>
          <w:rFonts w:ascii="宋体" w:hAnsi="宋体" w:eastAsia="宋体" w:cs="宋体"/>
          <w:b/>
          <w:bCs/>
          <w:strike/>
          <w:dstrike w:val="0"/>
          <w:color w:val="000000" w:themeColor="text1"/>
          <w:sz w:val="21"/>
          <w:szCs w:val="21"/>
          <w:highlight w:val="none"/>
          <w:shd w:val="clear" w:color="auto" w:fill="FFFFFF"/>
          <w:vertAlign w:val="superscript"/>
          <w14:textFill>
            <w14:solidFill>
              <w14:schemeClr w14:val="tx1"/>
            </w14:solidFill>
          </w14:textFill>
        </w:rPr>
        <w:t>5</w:t>
      </w:r>
      <w:r>
        <w:rPr>
          <w:rFonts w:ascii="宋体" w:hAnsi="宋体" w:eastAsia="宋体" w:cs="宋体"/>
          <w:b/>
          <w:bCs/>
          <w:color w:val="000000" w:themeColor="text1"/>
          <w:sz w:val="21"/>
          <w:szCs w:val="21"/>
          <w:highlight w:val="none"/>
          <w:shd w:val="clear" w:color="auto" w:fill="FFFFFF"/>
          <w14:textFill>
            <w14:solidFill>
              <w14:schemeClr w14:val="tx1"/>
            </w14:solidFill>
          </w14:textFill>
        </w:rPr>
        <w:t>在中国境内完成。</w:t>
      </w:r>
    </w:p>
    <w:p w14:paraId="3497AD5C">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2.</w:t>
      </w:r>
      <w:r>
        <w:rPr>
          <w:rFonts w:ascii="宋体" w:hAnsi="宋体" w:eastAsia="宋体" w:cs="宋体"/>
          <w:b/>
          <w:bCs/>
          <w:color w:val="000000" w:themeColor="text1"/>
          <w:sz w:val="21"/>
          <w:szCs w:val="21"/>
          <w:highlight w:val="none"/>
          <w:u w:val="single"/>
          <w:shd w:val="clear" w:color="auto" w:fill="FFFFFF"/>
          <w14:textFill>
            <w14:solidFill>
              <w14:schemeClr w14:val="tx1"/>
            </w14:solidFill>
          </w14:textFill>
        </w:rPr>
        <w:t>（产品名称2）</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，生产厂为</w:t>
      </w:r>
      <w:r>
        <w:rPr>
          <w:rFonts w:ascii="宋体" w:hAnsi="宋体" w:eastAsia="宋体" w:cs="宋体"/>
          <w:b/>
          <w:bCs/>
          <w:color w:val="000000" w:themeColor="text1"/>
          <w:sz w:val="21"/>
          <w:szCs w:val="21"/>
          <w:highlight w:val="none"/>
          <w:u w:val="single"/>
          <w:shd w:val="clear" w:color="auto" w:fill="FFFFFF"/>
          <w14:textFill>
            <w14:solidFill>
              <w14:schemeClr w14:val="tx1"/>
            </w14:solidFill>
          </w14:textFill>
        </w:rPr>
        <w:t>（厂名）</w:t>
      </w:r>
      <w:r>
        <w:rPr>
          <w:rFonts w:ascii="宋体" w:hAnsi="宋体" w:eastAsia="宋体" w:cs="宋体"/>
          <w:b/>
          <w:bCs/>
          <w:color w:val="000000" w:themeColor="text1"/>
          <w:sz w:val="21"/>
          <w:szCs w:val="21"/>
          <w:highlight w:val="none"/>
          <w:shd w:val="clear" w:color="auto" w:fill="FFFFFF"/>
          <w14:textFill>
            <w14:solidFill>
              <w14:schemeClr w14:val="tx1"/>
            </w14:solidFill>
          </w14:textFill>
        </w:rPr>
        <w:t>，厂址为</w:t>
      </w:r>
      <w:r>
        <w:rPr>
          <w:rFonts w:ascii="宋体" w:hAnsi="宋体" w:eastAsia="宋体" w:cs="宋体"/>
          <w:b/>
          <w:bCs/>
          <w:color w:val="000000" w:themeColor="text1"/>
          <w:sz w:val="21"/>
          <w:szCs w:val="21"/>
          <w:highlight w:val="none"/>
          <w:u w:val="single"/>
          <w:shd w:val="clear" w:color="auto" w:fill="FFFFFF"/>
          <w14:textFill>
            <w14:solidFill>
              <w14:schemeClr w14:val="tx1"/>
            </w14:solidFill>
          </w14:textFill>
        </w:rPr>
        <w:t>（生产厂址）</w:t>
      </w:r>
      <w:r>
        <w:rPr>
          <w:rFonts w:ascii="宋体" w:hAnsi="宋体" w:eastAsia="宋体" w:cs="宋体"/>
          <w:b/>
          <w:bCs/>
          <w:color w:val="000000" w:themeColor="text1"/>
          <w:sz w:val="21"/>
          <w:szCs w:val="21"/>
          <w:highlight w:val="none"/>
          <w:shd w:val="clear" w:color="auto" w:fill="FFFFFF"/>
          <w14:textFill>
            <w14:solidFill>
              <w14:schemeClr w14:val="tx1"/>
            </w14:solidFill>
          </w14:textFill>
        </w:rPr>
        <w:t>。</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（产品名称2）</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的中国境内生产的组件成本占比≥</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（规定比例）</w:t>
      </w:r>
      <w:r>
        <w:rPr>
          <w:rFonts w:ascii="宋体" w:hAnsi="宋体" w:eastAsia="宋体" w:cs="宋体"/>
          <w:b/>
          <w:bCs/>
          <w:color w:val="000000" w:themeColor="text1"/>
          <w:sz w:val="21"/>
          <w:szCs w:val="21"/>
          <w:highlight w:val="none"/>
          <w:shd w:val="clear" w:color="auto" w:fill="FFFFFF"/>
          <w14:textFill>
            <w14:solidFill>
              <w14:schemeClr w14:val="tx1"/>
            </w14:solidFill>
          </w14:textFill>
        </w:rPr>
        <w:t>。</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（产品名称2）</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的</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（关键组件）</w:t>
      </w:r>
      <w:r>
        <w:rPr>
          <w:rFonts w:ascii="宋体" w:hAnsi="宋体" w:eastAsia="宋体" w:cs="宋体"/>
          <w:b/>
          <w:bCs/>
          <w:color w:val="000000" w:themeColor="text1"/>
          <w:sz w:val="21"/>
          <w:szCs w:val="21"/>
          <w:highlight w:val="none"/>
          <w:shd w:val="clear" w:color="auto" w:fill="FFFFFF"/>
          <w14:textFill>
            <w14:solidFill>
              <w14:schemeClr w14:val="tx1"/>
            </w14:solidFill>
          </w14:textFill>
        </w:rPr>
        <w:t>在中国境内生产。</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（产品名称1）</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的</w:t>
      </w:r>
      <w:r>
        <w:rPr>
          <w:rFonts w:ascii="宋体" w:hAnsi="宋体" w:eastAsia="宋体" w:cs="宋体"/>
          <w:b/>
          <w:bCs/>
          <w:strike/>
          <w:dstrike w:val="0"/>
          <w:color w:val="000000" w:themeColor="text1"/>
          <w:sz w:val="21"/>
          <w:szCs w:val="21"/>
          <w:highlight w:val="none"/>
          <w:u w:val="single"/>
          <w:shd w:val="clear" w:color="auto" w:fill="FFFFFF"/>
          <w14:textFill>
            <w14:solidFill>
              <w14:schemeClr w14:val="tx1"/>
            </w14:solidFill>
          </w14:textFill>
        </w:rPr>
        <w:t>（关键工序）</w:t>
      </w:r>
      <w:r>
        <w:rPr>
          <w:rFonts w:ascii="宋体" w:hAnsi="宋体" w:eastAsia="宋体" w:cs="宋体"/>
          <w:b/>
          <w:bCs/>
          <w:color w:val="000000" w:themeColor="text1"/>
          <w:sz w:val="21"/>
          <w:szCs w:val="21"/>
          <w:highlight w:val="none"/>
          <w:shd w:val="clear" w:color="auto" w:fill="FFFFFF"/>
          <w14:textFill>
            <w14:solidFill>
              <w14:schemeClr w14:val="tx1"/>
            </w14:solidFill>
          </w14:textFill>
        </w:rPr>
        <w:t>在中国境内完成。</w:t>
      </w:r>
    </w:p>
    <w:p w14:paraId="2562C79F">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w:t>
      </w:r>
    </w:p>
    <w:p w14:paraId="265815DD">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本公司（单位）对上述声明内容的真实性负责。如有虚假，愿承担相应法律责任。</w:t>
      </w:r>
    </w:p>
    <w:p w14:paraId="776EAC38">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w:t>
      </w:r>
    </w:p>
    <w:p w14:paraId="120396FA">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公司（单位）名称（盖章）：　</w:t>
      </w:r>
    </w:p>
    <w:p w14:paraId="6CB521E3">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                            日期：　   年　  月　  日</w:t>
      </w:r>
    </w:p>
    <w:p w14:paraId="293BDA24">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__________________</w:t>
      </w:r>
    </w:p>
    <w:p w14:paraId="26922F9A">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1.产品如有型号，请在“产品名称”栏一并填写。</w:t>
      </w:r>
    </w:p>
    <w:p w14:paraId="5E7DCE4D">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2.生产厂名与厂址应与生产厂营业执照载明的相关信息保持一致。</w:t>
      </w:r>
    </w:p>
    <w:p w14:paraId="086FF0F3">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3.该产品的中国境内生产的组件成本占比相关要求实施前，“规定比例”栏可不填，下同。</w:t>
      </w:r>
    </w:p>
    <w:p w14:paraId="50AC1B17">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4.该产品的关键组件要求实施前，“关键组件”栏可不填，下同。</w:t>
      </w:r>
    </w:p>
    <w:p w14:paraId="164AAE42">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5.该产品的关键工序要求实施前，“关键工序”栏可不填，下同。</w:t>
      </w:r>
    </w:p>
    <w:p w14:paraId="6D0AB247">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000000" w:themeColor="text1"/>
          <w:sz w:val="21"/>
          <w:szCs w:val="21"/>
          <w:highlight w:val="none"/>
          <w:shd w:val="clear" w:color="auto" w:fill="FFFFFF"/>
          <w14:textFill>
            <w14:solidFill>
              <w14:schemeClr w14:val="tx1"/>
            </w14:solidFill>
          </w14:textFill>
        </w:rPr>
      </w:pPr>
      <w:r>
        <w:rPr>
          <w:rFonts w:ascii="宋体" w:hAnsi="宋体" w:eastAsia="宋体" w:cs="宋体"/>
          <w:b/>
          <w:bCs/>
          <w:color w:val="000000" w:themeColor="text1"/>
          <w:sz w:val="21"/>
          <w:szCs w:val="21"/>
          <w:highlight w:val="none"/>
          <w:shd w:val="clear" w:color="auto" w:fill="FFFFFF"/>
          <w14:textFill>
            <w14:solidFill>
              <w14:schemeClr w14:val="tx1"/>
            </w14:solidFill>
          </w14:textFill>
        </w:rPr>
        <w:t>6.用</w:t>
      </w:r>
      <w:r>
        <w:rPr>
          <w:rFonts w:hint="eastAsia" w:ascii="宋体" w:hAnsi="宋体" w:eastAsia="宋体" w:cs="宋体"/>
          <w:b/>
          <w:bCs/>
          <w:color w:val="000000" w:themeColor="text1"/>
          <w:sz w:val="21"/>
          <w:szCs w:val="21"/>
          <w:highlight w:val="none"/>
          <w:shd w:val="clear" w:color="auto" w:fill="FFFFFF"/>
          <w:lang w:val="en-US" w:eastAsia="zh-CN"/>
          <w14:textFill>
            <w14:solidFill>
              <w14:schemeClr w14:val="tx1"/>
            </w14:solidFill>
          </w14:textFill>
        </w:rPr>
        <w:t>横</w:t>
      </w:r>
      <w:r>
        <w:rPr>
          <w:rFonts w:ascii="宋体" w:hAnsi="宋体" w:eastAsia="宋体" w:cs="宋体"/>
          <w:b/>
          <w:bCs/>
          <w:color w:val="000000" w:themeColor="text1"/>
          <w:sz w:val="21"/>
          <w:szCs w:val="21"/>
          <w:highlight w:val="none"/>
          <w:shd w:val="clear" w:color="auto" w:fill="FFFFFF"/>
          <w14:textFill>
            <w14:solidFill>
              <w14:schemeClr w14:val="tx1"/>
            </w14:solidFill>
          </w14:textFill>
        </w:rPr>
        <w:t>线划除的地方无需填写。</w:t>
      </w:r>
    </w:p>
    <w:p w14:paraId="45E2D0E5">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lang w:val="en-US" w:eastAsia="zh-CN"/>
          <w14:textFill>
            <w14:solidFill>
              <w14:schemeClr w14:val="tx1"/>
            </w14:solidFill>
          </w14:textFill>
        </w:rPr>
        <w:t>备注：</w:t>
      </w: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kern w:val="0"/>
          <w:sz w:val="21"/>
          <w:szCs w:val="21"/>
          <w:highlight w:val="none"/>
          <w:u w:val="single"/>
          <w:lang w:val="en-US" w:eastAsia="zh-CN" w:bidi="ar-SA"/>
          <w14:textFill>
            <w14:solidFill>
              <w14:schemeClr w14:val="tx1"/>
            </w14:solidFill>
          </w14:textFill>
        </w:rPr>
        <w:t>故，如供应商所提供产品为本国产品的，应当对其提供的产品出具《关于符合本国产品标准的声明函》（以下简称《声明函》），不出具《声明函》的，不享受政府采购对本国产品的支持政策。</w:t>
      </w:r>
    </w:p>
    <w:p w14:paraId="4CB05F3E">
      <w:pPr>
        <w:jc w:val="both"/>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1D3116C7">
      <w:pPr>
        <w:spacing w:line="241" w:lineRule="auto"/>
        <w:rPr>
          <w:rFonts w:ascii="Arial"/>
          <w:color w:val="000000" w:themeColor="text1"/>
          <w:sz w:val="21"/>
          <w:highlight w:val="none"/>
          <w14:textFill>
            <w14:solidFill>
              <w14:schemeClr w14:val="tx1"/>
            </w14:solidFill>
          </w14:textFill>
        </w:rPr>
      </w:pPr>
    </w:p>
    <w:p w14:paraId="6CBF6A33">
      <w:pPr>
        <w:spacing w:line="241" w:lineRule="auto"/>
        <w:rPr>
          <w:rFonts w:ascii="Arial"/>
          <w:color w:val="000000" w:themeColor="text1"/>
          <w:sz w:val="21"/>
          <w:highlight w:val="none"/>
          <w14:textFill>
            <w14:solidFill>
              <w14:schemeClr w14:val="tx1"/>
            </w14:solidFill>
          </w14:textFill>
        </w:rPr>
      </w:pPr>
    </w:p>
    <w:p w14:paraId="31DDF195">
      <w:pPr>
        <w:pStyle w:val="31"/>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7B51ED5">
      <w:pPr>
        <w:pStyle w:val="31"/>
        <w:spacing w:beforeAutospacing="0" w:afterAutospacing="0" w:line="0" w:lineRule="atLeast"/>
        <w:jc w:val="center"/>
        <w:rPr>
          <w:color w:val="000000" w:themeColor="text1"/>
          <w:highlight w:val="none"/>
          <w14:textFill>
            <w14:solidFill>
              <w14:schemeClr w14:val="tx1"/>
            </w14:solidFill>
          </w14:textFill>
        </w:rPr>
      </w:pPr>
    </w:p>
    <w:p w14:paraId="102087CF">
      <w:pPr>
        <w:pStyle w:val="31"/>
        <w:spacing w:beforeAutospacing="0" w:afterAutospacing="0" w:line="0" w:lineRule="atLeast"/>
        <w:jc w:val="center"/>
        <w:rPr>
          <w:color w:val="000000" w:themeColor="text1"/>
          <w:highlight w:val="none"/>
          <w14:textFill>
            <w14:solidFill>
              <w14:schemeClr w14:val="tx1"/>
            </w14:solidFill>
          </w14:textFill>
        </w:rPr>
      </w:pPr>
    </w:p>
    <w:p w14:paraId="20C51A57">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026849D">
      <w:pPr>
        <w:spacing w:line="241" w:lineRule="auto"/>
        <w:rPr>
          <w:rFonts w:ascii="Arial"/>
          <w:color w:val="000000" w:themeColor="text1"/>
          <w:sz w:val="21"/>
          <w:highlight w:val="none"/>
          <w14:textFill>
            <w14:solidFill>
              <w14:schemeClr w14:val="tx1"/>
            </w14:solidFill>
          </w14:textFill>
        </w:rPr>
      </w:pPr>
    </w:p>
    <w:p w14:paraId="699203EE">
      <w:pPr>
        <w:pStyle w:val="40"/>
        <w:rPr>
          <w:rFonts w:ascii="Arial"/>
          <w:color w:val="000000" w:themeColor="text1"/>
          <w:sz w:val="21"/>
          <w:highlight w:val="none"/>
          <w14:textFill>
            <w14:solidFill>
              <w14:schemeClr w14:val="tx1"/>
            </w14:solidFill>
          </w14:textFill>
        </w:rPr>
      </w:pPr>
    </w:p>
    <w:p w14:paraId="1A89E4DC">
      <w:pPr>
        <w:rPr>
          <w:rFonts w:ascii="Arial"/>
          <w:color w:val="000000" w:themeColor="text1"/>
          <w:sz w:val="21"/>
          <w:highlight w:val="none"/>
          <w14:textFill>
            <w14:solidFill>
              <w14:schemeClr w14:val="tx1"/>
            </w14:solidFill>
          </w14:textFill>
        </w:rPr>
      </w:pPr>
    </w:p>
    <w:p w14:paraId="5C292062">
      <w:pPr>
        <w:pStyle w:val="40"/>
        <w:rPr>
          <w:rFonts w:ascii="Arial"/>
          <w:color w:val="000000" w:themeColor="text1"/>
          <w:sz w:val="21"/>
          <w:highlight w:val="none"/>
          <w14:textFill>
            <w14:solidFill>
              <w14:schemeClr w14:val="tx1"/>
            </w14:solidFill>
          </w14:textFill>
        </w:rPr>
      </w:pPr>
    </w:p>
    <w:p w14:paraId="441F6D08">
      <w:pPr>
        <w:rPr>
          <w:rFonts w:ascii="Arial"/>
          <w:color w:val="000000" w:themeColor="text1"/>
          <w:sz w:val="21"/>
          <w:highlight w:val="none"/>
          <w14:textFill>
            <w14:solidFill>
              <w14:schemeClr w14:val="tx1"/>
            </w14:solidFill>
          </w14:textFill>
        </w:rPr>
      </w:pPr>
    </w:p>
    <w:p w14:paraId="5B507949">
      <w:pPr>
        <w:rPr>
          <w:rFonts w:ascii="Arial"/>
          <w:color w:val="000000" w:themeColor="text1"/>
          <w:sz w:val="21"/>
          <w:highlight w:val="none"/>
          <w14:textFill>
            <w14:solidFill>
              <w14:schemeClr w14:val="tx1"/>
            </w14:solidFill>
          </w14:textFill>
        </w:rPr>
      </w:pPr>
    </w:p>
    <w:p w14:paraId="7013FF25">
      <w:pPr>
        <w:rPr>
          <w:rFonts w:ascii="Arial"/>
          <w:color w:val="000000" w:themeColor="text1"/>
          <w:sz w:val="21"/>
          <w:highlight w:val="none"/>
          <w14:textFill>
            <w14:solidFill>
              <w14:schemeClr w14:val="tx1"/>
            </w14:solidFill>
          </w14:textFill>
        </w:rPr>
      </w:pPr>
    </w:p>
    <w:p w14:paraId="4B2A67E9">
      <w:pPr>
        <w:rPr>
          <w:rFonts w:ascii="Arial"/>
          <w:color w:val="000000" w:themeColor="text1"/>
          <w:sz w:val="21"/>
          <w:highlight w:val="none"/>
          <w14:textFill>
            <w14:solidFill>
              <w14:schemeClr w14:val="tx1"/>
            </w14:solidFill>
          </w14:textFill>
        </w:rPr>
      </w:pPr>
    </w:p>
    <w:p w14:paraId="4CEB60D7">
      <w:pPr>
        <w:rPr>
          <w:rFonts w:ascii="Arial"/>
          <w:color w:val="000000" w:themeColor="text1"/>
          <w:sz w:val="21"/>
          <w:highlight w:val="none"/>
          <w14:textFill>
            <w14:solidFill>
              <w14:schemeClr w14:val="tx1"/>
            </w14:solidFill>
          </w14:textFill>
        </w:rPr>
      </w:pPr>
    </w:p>
    <w:p w14:paraId="6D54DEBF">
      <w:pPr>
        <w:rPr>
          <w:rFonts w:ascii="Arial"/>
          <w:color w:val="000000" w:themeColor="text1"/>
          <w:sz w:val="21"/>
          <w:highlight w:val="none"/>
          <w14:textFill>
            <w14:solidFill>
              <w14:schemeClr w14:val="tx1"/>
            </w14:solidFill>
          </w14:textFill>
        </w:rPr>
      </w:pPr>
    </w:p>
    <w:p w14:paraId="166AB9DB">
      <w:pPr>
        <w:rPr>
          <w:rFonts w:ascii="Arial"/>
          <w:color w:val="000000" w:themeColor="text1"/>
          <w:sz w:val="21"/>
          <w:highlight w:val="none"/>
          <w14:textFill>
            <w14:solidFill>
              <w14:schemeClr w14:val="tx1"/>
            </w14:solidFill>
          </w14:textFill>
        </w:rPr>
      </w:pPr>
    </w:p>
    <w:p w14:paraId="1EB317D0">
      <w:pPr>
        <w:rPr>
          <w:rFonts w:ascii="Arial"/>
          <w:color w:val="000000" w:themeColor="text1"/>
          <w:sz w:val="21"/>
          <w:highlight w:val="none"/>
          <w14:textFill>
            <w14:solidFill>
              <w14:schemeClr w14:val="tx1"/>
            </w14:solidFill>
          </w14:textFill>
        </w:rPr>
      </w:pPr>
    </w:p>
    <w:p w14:paraId="699E4376">
      <w:pPr>
        <w:rPr>
          <w:rFonts w:ascii="Arial"/>
          <w:color w:val="000000" w:themeColor="text1"/>
          <w:sz w:val="21"/>
          <w:highlight w:val="none"/>
          <w14:textFill>
            <w14:solidFill>
              <w14:schemeClr w14:val="tx1"/>
            </w14:solidFill>
          </w14:textFill>
        </w:rPr>
      </w:pPr>
    </w:p>
    <w:p w14:paraId="36D66F3A">
      <w:pPr>
        <w:pStyle w:val="31"/>
        <w:spacing w:beforeAutospacing="0" w:afterAutospacing="0" w:line="0" w:lineRule="atLeast"/>
        <w:jc w:val="both"/>
        <w:rPr>
          <w:color w:val="000000" w:themeColor="text1"/>
          <w:highlight w:val="none"/>
          <w14:textFill>
            <w14:solidFill>
              <w14:schemeClr w14:val="tx1"/>
            </w14:solidFill>
          </w14:textFill>
        </w:rPr>
      </w:pPr>
    </w:p>
    <w:p w14:paraId="38407553">
      <w:pPr>
        <w:pStyle w:val="209"/>
        <w:spacing w:beforeAutospacing="0" w:afterAutospacing="0"/>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三</w:t>
      </w:r>
      <w:r>
        <w:rPr>
          <w:rFonts w:hint="eastAsia" w:ascii="黑体" w:hAnsi="宋体" w:eastAsia="黑体" w:cs="黑体"/>
          <w:b/>
          <w:color w:val="000000" w:themeColor="text1"/>
          <w:sz w:val="32"/>
          <w:szCs w:val="32"/>
          <w:highlight w:val="none"/>
          <w14:textFill>
            <w14:solidFill>
              <w14:schemeClr w14:val="tx1"/>
            </w14:solidFill>
          </w14:textFill>
        </w:rPr>
        <w:t>、</w:t>
      </w:r>
      <w:bookmarkStart w:id="190" w:name="OLE_LINK22"/>
      <w:r>
        <w:rPr>
          <w:rFonts w:hint="eastAsia" w:ascii="黑体" w:hAnsi="宋体" w:eastAsia="黑体" w:cs="黑体"/>
          <w:b/>
          <w:color w:val="000000" w:themeColor="text1"/>
          <w:sz w:val="32"/>
          <w:szCs w:val="32"/>
          <w:highlight w:val="none"/>
          <w14:textFill>
            <w14:solidFill>
              <w14:schemeClr w14:val="tx1"/>
            </w14:solidFill>
          </w14:textFill>
        </w:rPr>
        <w:t>投标分项报价表（分包号：***）</w:t>
      </w:r>
    </w:p>
    <w:tbl>
      <w:tblPr>
        <w:tblStyle w:val="33"/>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4E88C892">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3B9E">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6B5FE">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69E0">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97BB">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94C87">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74780">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40FF3">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DAE0">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CF03">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w:t>
            </w:r>
          </w:p>
        </w:tc>
      </w:tr>
      <w:tr w14:paraId="6612CFD7">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59F5F">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6704">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产品</w:t>
            </w:r>
          </w:p>
          <w:p w14:paraId="19672057">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E0A1">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CEBB">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78755">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FAAA">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CFAB">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2317C">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68D5">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分项总价</w:t>
            </w:r>
          </w:p>
        </w:tc>
      </w:tr>
      <w:tr w14:paraId="562D029E">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976B">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72AE">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6D6E">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9611">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DE54">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1431F">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3C8E4">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2F8C">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4CCE">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49C9E67">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CAF6">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B146">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B25F">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BB48">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017CE">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548BC">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1F4D9">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222E3">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6FAD">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0B71F756">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B12F7">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D278">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C6271">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D0E3">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B8CDD">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67C0">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842B">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C3DF">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2E47">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E1DAE9F">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E080">
            <w:pPr>
              <w:pStyle w:val="31"/>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E4FE">
            <w:pPr>
              <w:pStyle w:val="31"/>
              <w:spacing w:beforeAutospacing="0" w:afterAutospacing="0" w:line="0" w:lineRule="atLeast"/>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6E2EB">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381E">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817F">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51DF">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B06AD">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2D95">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DC0A0">
            <w:pPr>
              <w:pStyle w:val="31"/>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C7C263F">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2AC0759">
            <w:pPr>
              <w:pStyle w:val="31"/>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11202">
            <w:pPr>
              <w:pStyle w:val="31"/>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D399DA3">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9B7F0C6">
            <w:pPr>
              <w:pStyle w:val="31"/>
              <w:spacing w:beforeAutospacing="0" w:afterAutospacing="0"/>
              <w:jc w:val="both"/>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本采购包中提供的符合本国产品标准的产品成本之和占该采购包提供的全部产品成本之和的比例为</w:t>
            </w:r>
            <w:r>
              <w:rPr>
                <w:rFonts w:hint="eastAsia" w:eastAsia="宋体" w:asciiTheme="minorEastAsia" w:hAnsi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r>
    </w:tbl>
    <w:p w14:paraId="20F9515E">
      <w:pPr>
        <w:pStyle w:val="209"/>
        <w:spacing w:beforeAutospacing="0" w:afterAutospacing="0"/>
        <w:jc w:val="both"/>
        <w:rPr>
          <w:rFonts w:hint="eastAsia" w:ascii="宋体" w:hAnsi="宋体" w:cs="宋体"/>
          <w:color w:val="000000" w:themeColor="text1"/>
          <w:sz w:val="21"/>
          <w:szCs w:val="21"/>
          <w:highlight w:val="none"/>
          <w14:textFill>
            <w14:solidFill>
              <w14:schemeClr w14:val="tx1"/>
            </w14:solidFill>
          </w14:textFill>
        </w:rPr>
      </w:pPr>
    </w:p>
    <w:p w14:paraId="359320CD">
      <w:pPr>
        <w:pStyle w:val="209"/>
        <w:spacing w:beforeAutospacing="0" w:afterAutospacing="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0194E67E">
      <w:pPr>
        <w:pStyle w:val="209"/>
        <w:spacing w:beforeAutospacing="0" w:afterAutospacing="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 “投标分项报价表”中“投标总报价”数额应当与“开标一览表”中“投标总报价”数额一致。</w:t>
      </w:r>
    </w:p>
    <w:p w14:paraId="0B2778D1">
      <w:pPr>
        <w:pStyle w:val="209"/>
        <w:spacing w:beforeAutospacing="0" w:afterAutospacing="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3.本采购包中含有多种产品时，供应商未填写本采购包中提供的符合本国产品标准的产品成本之和占该采购包提供的全部产品成本之和的比例数值的，或比例数值未达到80%的，将不享受本国产品价格评审优惠。</w:t>
      </w:r>
    </w:p>
    <w:bookmarkEnd w:id="190"/>
    <w:p w14:paraId="7371C621">
      <w:pPr>
        <w:pStyle w:val="209"/>
        <w:spacing w:beforeAutospacing="0" w:afterAutospacing="0"/>
        <w:jc w:val="both"/>
        <w:rPr>
          <w:color w:val="000000" w:themeColor="text1"/>
          <w:highlight w:val="none"/>
          <w14:textFill>
            <w14:solidFill>
              <w14:schemeClr w14:val="tx1"/>
            </w14:solidFill>
          </w14:textFill>
        </w:rPr>
      </w:pPr>
    </w:p>
    <w:p w14:paraId="03F7566D">
      <w:pPr>
        <w:pStyle w:val="209"/>
        <w:spacing w:beforeAutospacing="0" w:afterAutospacing="0"/>
        <w:jc w:val="both"/>
        <w:rPr>
          <w:color w:val="000000" w:themeColor="text1"/>
          <w:highlight w:val="none"/>
          <w14:textFill>
            <w14:solidFill>
              <w14:schemeClr w14:val="tx1"/>
            </w14:solidFill>
          </w14:textFill>
        </w:rPr>
      </w:pPr>
    </w:p>
    <w:p w14:paraId="33F49749">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3DF6EE4">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8EE2BD2">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29FD7A2">
      <w:pPr>
        <w:pStyle w:val="209"/>
        <w:spacing w:beforeAutospacing="0" w:afterAutospacing="0"/>
        <w:jc w:val="both"/>
        <w:rPr>
          <w:color w:val="000000" w:themeColor="text1"/>
          <w:highlight w:val="none"/>
          <w14:textFill>
            <w14:solidFill>
              <w14:schemeClr w14:val="tx1"/>
            </w14:solidFill>
          </w14:textFill>
        </w:rPr>
      </w:pPr>
    </w:p>
    <w:p w14:paraId="233CDE0D">
      <w:pPr>
        <w:pStyle w:val="209"/>
        <w:spacing w:beforeAutospacing="0" w:afterAutospacing="0"/>
        <w:jc w:val="both"/>
        <w:rPr>
          <w:color w:val="000000" w:themeColor="text1"/>
          <w:highlight w:val="none"/>
          <w14:textFill>
            <w14:solidFill>
              <w14:schemeClr w14:val="tx1"/>
            </w14:solidFill>
          </w14:textFill>
        </w:rPr>
      </w:pPr>
    </w:p>
    <w:p w14:paraId="769F3B71">
      <w:pPr>
        <w:pStyle w:val="209"/>
        <w:spacing w:beforeAutospacing="0" w:afterAutospacing="0"/>
        <w:jc w:val="both"/>
        <w:rPr>
          <w:color w:val="000000" w:themeColor="text1"/>
          <w:highlight w:val="none"/>
          <w14:textFill>
            <w14:solidFill>
              <w14:schemeClr w14:val="tx1"/>
            </w14:solidFill>
          </w14:textFill>
        </w:rPr>
      </w:pPr>
    </w:p>
    <w:p w14:paraId="2F421B87">
      <w:pPr>
        <w:pStyle w:val="209"/>
        <w:spacing w:beforeAutospacing="0" w:afterAutospacing="0"/>
        <w:jc w:val="both"/>
        <w:rPr>
          <w:color w:val="000000" w:themeColor="text1"/>
          <w:highlight w:val="none"/>
          <w14:textFill>
            <w14:solidFill>
              <w14:schemeClr w14:val="tx1"/>
            </w14:solidFill>
          </w14:textFill>
        </w:rPr>
      </w:pPr>
    </w:p>
    <w:p w14:paraId="07EAAC76">
      <w:pPr>
        <w:pStyle w:val="209"/>
        <w:spacing w:beforeAutospacing="0" w:afterAutospacing="0"/>
        <w:jc w:val="both"/>
        <w:rPr>
          <w:color w:val="000000" w:themeColor="text1"/>
          <w:highlight w:val="none"/>
          <w14:textFill>
            <w14:solidFill>
              <w14:schemeClr w14:val="tx1"/>
            </w14:solidFill>
          </w14:textFill>
        </w:rPr>
      </w:pPr>
    </w:p>
    <w:p w14:paraId="415DDB76">
      <w:pPr>
        <w:pStyle w:val="209"/>
        <w:spacing w:beforeAutospacing="0" w:afterAutospacing="0"/>
        <w:jc w:val="both"/>
        <w:rPr>
          <w:color w:val="000000" w:themeColor="text1"/>
          <w:highlight w:val="none"/>
          <w14:textFill>
            <w14:solidFill>
              <w14:schemeClr w14:val="tx1"/>
            </w14:solidFill>
          </w14:textFill>
        </w:rPr>
      </w:pPr>
    </w:p>
    <w:p w14:paraId="70B6575B">
      <w:pPr>
        <w:pStyle w:val="209"/>
        <w:spacing w:beforeAutospacing="0" w:afterAutospacing="0"/>
        <w:jc w:val="both"/>
        <w:rPr>
          <w:color w:val="000000" w:themeColor="text1"/>
          <w:highlight w:val="none"/>
          <w14:textFill>
            <w14:solidFill>
              <w14:schemeClr w14:val="tx1"/>
            </w14:solidFill>
          </w14:textFill>
        </w:rPr>
      </w:pPr>
    </w:p>
    <w:p w14:paraId="655AD357">
      <w:pPr>
        <w:pStyle w:val="209"/>
        <w:spacing w:beforeAutospacing="0" w:afterAutospacing="0"/>
        <w:jc w:val="both"/>
        <w:rPr>
          <w:color w:val="000000" w:themeColor="text1"/>
          <w:highlight w:val="none"/>
          <w14:textFill>
            <w14:solidFill>
              <w14:schemeClr w14:val="tx1"/>
            </w14:solidFill>
          </w14:textFill>
        </w:rPr>
      </w:pPr>
    </w:p>
    <w:p w14:paraId="270CB443">
      <w:pPr>
        <w:pStyle w:val="209"/>
        <w:spacing w:beforeAutospacing="0" w:afterAutospacing="0"/>
        <w:jc w:val="both"/>
        <w:rPr>
          <w:color w:val="000000" w:themeColor="text1"/>
          <w:highlight w:val="none"/>
          <w14:textFill>
            <w14:solidFill>
              <w14:schemeClr w14:val="tx1"/>
            </w14:solidFill>
          </w14:textFill>
        </w:rPr>
      </w:pPr>
    </w:p>
    <w:p w14:paraId="176E644D">
      <w:pPr>
        <w:pStyle w:val="209"/>
        <w:spacing w:beforeAutospacing="0" w:afterAutospacing="0"/>
        <w:jc w:val="both"/>
        <w:rPr>
          <w:color w:val="000000" w:themeColor="text1"/>
          <w:highlight w:val="none"/>
          <w14:textFill>
            <w14:solidFill>
              <w14:schemeClr w14:val="tx1"/>
            </w14:solidFill>
          </w14:textFill>
        </w:rPr>
      </w:pPr>
    </w:p>
    <w:p w14:paraId="3F6C4985">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0A86CB2">
      <w:pPr>
        <w:pStyle w:val="209"/>
        <w:spacing w:beforeAutospacing="0" w:afterAutospacing="0"/>
        <w:jc w:val="both"/>
        <w:rPr>
          <w:color w:val="000000" w:themeColor="text1"/>
          <w:highlight w:val="none"/>
          <w14:textFill>
            <w14:solidFill>
              <w14:schemeClr w14:val="tx1"/>
            </w14:solidFill>
          </w14:textFill>
        </w:rPr>
      </w:pPr>
    </w:p>
    <w:p w14:paraId="681BBFEE">
      <w:pPr>
        <w:pStyle w:val="209"/>
        <w:spacing w:beforeAutospacing="0" w:afterAutospacing="0"/>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四</w:t>
      </w:r>
      <w:r>
        <w:rPr>
          <w:rFonts w:hint="eastAsia" w:ascii="黑体" w:hAnsi="宋体" w:eastAsia="黑体" w:cs="黑体"/>
          <w:b/>
          <w:color w:val="000000" w:themeColor="text1"/>
          <w:sz w:val="32"/>
          <w:szCs w:val="32"/>
          <w:highlight w:val="none"/>
          <w14:textFill>
            <w14:solidFill>
              <w14:schemeClr w14:val="tx1"/>
            </w14:solidFill>
          </w14:textFill>
        </w:rPr>
        <w:t>、</w:t>
      </w:r>
      <w:bookmarkStart w:id="191" w:name="OLE_LINK25"/>
      <w:r>
        <w:rPr>
          <w:rFonts w:hint="eastAsia" w:ascii="黑体" w:hAnsi="宋体" w:eastAsia="黑体" w:cs="黑体"/>
          <w:b/>
          <w:color w:val="000000" w:themeColor="text1"/>
          <w:sz w:val="32"/>
          <w:szCs w:val="32"/>
          <w:highlight w:val="none"/>
          <w14:textFill>
            <w14:solidFill>
              <w14:schemeClr w14:val="tx1"/>
            </w14:solidFill>
          </w14:textFill>
        </w:rPr>
        <w:t>技术要求响应及偏离表（分包号：**）</w:t>
      </w:r>
    </w:p>
    <w:tbl>
      <w:tblPr>
        <w:tblStyle w:val="33"/>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36182C31">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E4B6DEF">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3B0385FD">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4D940B94">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1206178C">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53FEC555">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证明</w:t>
            </w:r>
          </w:p>
          <w:p w14:paraId="157FE264">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材料</w:t>
            </w:r>
          </w:p>
        </w:tc>
      </w:tr>
      <w:tr w14:paraId="437F95A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68C0D09">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B78992F">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11597DF">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2D2B0F4">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FD80378">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0D7A420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7F74094">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EFF044F">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7EB5509">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99CA1DA">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C698768">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43D5E1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4519A25">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D195ABD">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E05657D">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A5E2B6A">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2961192">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38646FA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C6025F7">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80FB022">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3B37308">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D5B1899">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6746DEA">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6F996F4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99A2364">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2D97946">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2756A3B">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8A9638B">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DD425B6">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412E83C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0E15E5D">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F15507E">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1D72A8E">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510E38A">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639614E">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0FC43FE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CA3E3B1">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A608A29">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D3B08D0">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2B3AFF2">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7992ECE">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3183C3B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0A0087D">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7AD9F0B">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17F90C81">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DCD194C">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F25592D">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bl>
    <w:p w14:paraId="740618D4">
      <w:pPr>
        <w:pStyle w:val="209"/>
        <w:spacing w:beforeAutospacing="0" w:afterAutospacing="0"/>
        <w:jc w:val="both"/>
        <w:rPr>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注： 行数不够，可自行添加。</w:t>
      </w:r>
    </w:p>
    <w:bookmarkEnd w:id="191"/>
    <w:p w14:paraId="69E41A95">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D7C301F">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D496412">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48F4EA8">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643F059">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DF10AD3">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23589CE">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F36C1C5">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C49BB80">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36BEFBA">
      <w:pPr>
        <w:pStyle w:val="209"/>
        <w:spacing w:beforeAutospacing="0" w:afterAutospacing="0"/>
        <w:jc w:val="both"/>
        <w:rPr>
          <w:color w:val="000000" w:themeColor="text1"/>
          <w:highlight w:val="none"/>
          <w14:textFill>
            <w14:solidFill>
              <w14:schemeClr w14:val="tx1"/>
            </w14:solidFill>
          </w14:textFill>
        </w:rPr>
      </w:pPr>
    </w:p>
    <w:p w14:paraId="6EBA94FF">
      <w:pPr>
        <w:pStyle w:val="209"/>
        <w:spacing w:beforeAutospacing="0" w:afterAutospacing="0"/>
        <w:jc w:val="both"/>
        <w:rPr>
          <w:color w:val="000000" w:themeColor="text1"/>
          <w:highlight w:val="none"/>
          <w14:textFill>
            <w14:solidFill>
              <w14:schemeClr w14:val="tx1"/>
            </w14:solidFill>
          </w14:textFill>
        </w:rPr>
      </w:pPr>
    </w:p>
    <w:p w14:paraId="71C9689B">
      <w:pPr>
        <w:pStyle w:val="209"/>
        <w:spacing w:beforeAutospacing="0" w:afterAutospacing="0"/>
        <w:jc w:val="both"/>
        <w:rPr>
          <w:color w:val="000000" w:themeColor="text1"/>
          <w:highlight w:val="none"/>
          <w14:textFill>
            <w14:solidFill>
              <w14:schemeClr w14:val="tx1"/>
            </w14:solidFill>
          </w14:textFill>
        </w:rPr>
      </w:pPr>
    </w:p>
    <w:p w14:paraId="290C4AD5">
      <w:pPr>
        <w:pStyle w:val="209"/>
        <w:spacing w:beforeAutospacing="0" w:afterAutospacing="0"/>
        <w:jc w:val="both"/>
        <w:rPr>
          <w:color w:val="000000" w:themeColor="text1"/>
          <w:highlight w:val="none"/>
          <w14:textFill>
            <w14:solidFill>
              <w14:schemeClr w14:val="tx1"/>
            </w14:solidFill>
          </w14:textFill>
        </w:rPr>
      </w:pPr>
    </w:p>
    <w:p w14:paraId="4563BAFD">
      <w:pPr>
        <w:pStyle w:val="209"/>
        <w:spacing w:beforeAutospacing="0" w:afterAutospacing="0"/>
        <w:jc w:val="both"/>
        <w:rPr>
          <w:color w:val="000000" w:themeColor="text1"/>
          <w:highlight w:val="none"/>
          <w14:textFill>
            <w14:solidFill>
              <w14:schemeClr w14:val="tx1"/>
            </w14:solidFill>
          </w14:textFill>
        </w:rPr>
      </w:pPr>
    </w:p>
    <w:p w14:paraId="0890A4C5">
      <w:pPr>
        <w:pStyle w:val="209"/>
        <w:spacing w:beforeAutospacing="0" w:afterAutospacing="0"/>
        <w:jc w:val="both"/>
        <w:rPr>
          <w:color w:val="000000" w:themeColor="text1"/>
          <w:highlight w:val="none"/>
          <w14:textFill>
            <w14:solidFill>
              <w14:schemeClr w14:val="tx1"/>
            </w14:solidFill>
          </w14:textFill>
        </w:rPr>
      </w:pPr>
    </w:p>
    <w:p w14:paraId="1345273E">
      <w:pPr>
        <w:pStyle w:val="209"/>
        <w:spacing w:beforeAutospacing="0" w:afterAutospacing="0"/>
        <w:jc w:val="both"/>
        <w:rPr>
          <w:color w:val="000000" w:themeColor="text1"/>
          <w:highlight w:val="none"/>
          <w14:textFill>
            <w14:solidFill>
              <w14:schemeClr w14:val="tx1"/>
            </w14:solidFill>
          </w14:textFill>
        </w:rPr>
      </w:pPr>
    </w:p>
    <w:p w14:paraId="7C1230B3">
      <w:pPr>
        <w:pStyle w:val="209"/>
        <w:spacing w:beforeAutospacing="0" w:afterAutospacing="0"/>
        <w:jc w:val="both"/>
        <w:rPr>
          <w:color w:val="000000" w:themeColor="text1"/>
          <w:highlight w:val="none"/>
          <w14:textFill>
            <w14:solidFill>
              <w14:schemeClr w14:val="tx1"/>
            </w14:solidFill>
          </w14:textFill>
        </w:rPr>
      </w:pPr>
    </w:p>
    <w:p w14:paraId="4CC621BE">
      <w:pPr>
        <w:pStyle w:val="209"/>
        <w:spacing w:beforeAutospacing="0" w:afterAutospacing="0"/>
        <w:jc w:val="both"/>
        <w:rPr>
          <w:color w:val="000000" w:themeColor="text1"/>
          <w:highlight w:val="none"/>
          <w14:textFill>
            <w14:solidFill>
              <w14:schemeClr w14:val="tx1"/>
            </w14:solidFill>
          </w14:textFill>
        </w:rPr>
      </w:pPr>
    </w:p>
    <w:p w14:paraId="55776544">
      <w:pPr>
        <w:pStyle w:val="209"/>
        <w:spacing w:beforeAutospacing="0" w:afterAutospacing="0"/>
        <w:jc w:val="both"/>
        <w:rPr>
          <w:color w:val="000000" w:themeColor="text1"/>
          <w:highlight w:val="none"/>
          <w14:textFill>
            <w14:solidFill>
              <w14:schemeClr w14:val="tx1"/>
            </w14:solidFill>
          </w14:textFill>
        </w:rPr>
      </w:pPr>
    </w:p>
    <w:p w14:paraId="761B81AE">
      <w:pPr>
        <w:pStyle w:val="209"/>
        <w:spacing w:beforeAutospacing="0" w:afterAutospacing="0"/>
        <w:jc w:val="both"/>
        <w:rPr>
          <w:color w:val="000000" w:themeColor="text1"/>
          <w:highlight w:val="none"/>
          <w14:textFill>
            <w14:solidFill>
              <w14:schemeClr w14:val="tx1"/>
            </w14:solidFill>
          </w14:textFill>
        </w:rPr>
      </w:pPr>
    </w:p>
    <w:p w14:paraId="37871D09">
      <w:pPr>
        <w:pStyle w:val="209"/>
        <w:spacing w:beforeAutospacing="0" w:afterAutospacing="0"/>
        <w:jc w:val="both"/>
        <w:rPr>
          <w:color w:val="000000" w:themeColor="text1"/>
          <w:highlight w:val="none"/>
          <w14:textFill>
            <w14:solidFill>
              <w14:schemeClr w14:val="tx1"/>
            </w14:solidFill>
          </w14:textFill>
        </w:rPr>
      </w:pPr>
    </w:p>
    <w:p w14:paraId="6C1FA718">
      <w:pPr>
        <w:pStyle w:val="209"/>
        <w:spacing w:beforeAutospacing="0" w:afterAutospacing="0"/>
        <w:jc w:val="both"/>
        <w:rPr>
          <w:color w:val="000000" w:themeColor="text1"/>
          <w:highlight w:val="none"/>
          <w14:textFill>
            <w14:solidFill>
              <w14:schemeClr w14:val="tx1"/>
            </w14:solidFill>
          </w14:textFill>
        </w:rPr>
      </w:pPr>
    </w:p>
    <w:p w14:paraId="12CF5B11">
      <w:pPr>
        <w:pStyle w:val="209"/>
        <w:spacing w:beforeAutospacing="0" w:afterAutospacing="0"/>
        <w:jc w:val="both"/>
        <w:rPr>
          <w:color w:val="000000" w:themeColor="text1"/>
          <w:highlight w:val="none"/>
          <w14:textFill>
            <w14:solidFill>
              <w14:schemeClr w14:val="tx1"/>
            </w14:solidFill>
          </w14:textFill>
        </w:rPr>
      </w:pPr>
    </w:p>
    <w:p w14:paraId="1BCC7781">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B8EE526">
      <w:pPr>
        <w:pStyle w:val="209"/>
        <w:spacing w:beforeAutospacing="0" w:afterAutospacing="0"/>
        <w:jc w:val="center"/>
        <w:rPr>
          <w:color w:val="000000" w:themeColor="text1"/>
          <w:highlight w:val="none"/>
          <w14:textFill>
            <w14:solidFill>
              <w14:schemeClr w14:val="tx1"/>
            </w14:solidFill>
          </w14:textFill>
        </w:rPr>
      </w:pPr>
      <w:bookmarkStart w:id="192" w:name="_Hlt26955054"/>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五</w:t>
      </w:r>
      <w:r>
        <w:rPr>
          <w:rFonts w:hint="eastAsia" w:ascii="黑体" w:hAnsi="宋体" w:eastAsia="黑体" w:cs="黑体"/>
          <w:b/>
          <w:color w:val="000000" w:themeColor="text1"/>
          <w:sz w:val="32"/>
          <w:szCs w:val="32"/>
          <w:highlight w:val="none"/>
          <w14:textFill>
            <w14:solidFill>
              <w14:schemeClr w14:val="tx1"/>
            </w14:solidFill>
          </w14:textFill>
        </w:rPr>
        <w:t>、</w:t>
      </w:r>
      <w:bookmarkStart w:id="193" w:name="OLE_LINK18"/>
      <w:bookmarkStart w:id="194" w:name="OLE_LINK24"/>
      <w:r>
        <w:rPr>
          <w:rFonts w:hint="eastAsia" w:ascii="黑体" w:hAnsi="宋体" w:eastAsia="黑体" w:cs="黑体"/>
          <w:b/>
          <w:color w:val="000000" w:themeColor="text1"/>
          <w:sz w:val="32"/>
          <w:szCs w:val="32"/>
          <w:highlight w:val="none"/>
          <w14:textFill>
            <w14:solidFill>
              <w14:schemeClr w14:val="tx1"/>
            </w14:solidFill>
          </w14:textFill>
        </w:rPr>
        <w:t>商务要求响应及偏离表</w:t>
      </w:r>
      <w:bookmarkEnd w:id="193"/>
      <w:r>
        <w:rPr>
          <w:rFonts w:hint="eastAsia" w:ascii="黑体" w:hAnsi="宋体" w:eastAsia="黑体" w:cs="黑体"/>
          <w:b/>
          <w:color w:val="000000" w:themeColor="text1"/>
          <w:sz w:val="32"/>
          <w:szCs w:val="32"/>
          <w:highlight w:val="none"/>
          <w14:textFill>
            <w14:solidFill>
              <w14:schemeClr w14:val="tx1"/>
            </w14:solidFill>
          </w14:textFill>
        </w:rPr>
        <w:t>（分包号：**）</w:t>
      </w:r>
    </w:p>
    <w:tbl>
      <w:tblPr>
        <w:tblStyle w:val="33"/>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2C9E1D5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2312AFE">
            <w:pPr>
              <w:pStyle w:val="209"/>
              <w:spacing w:beforeAutospacing="0" w:afterAutospacing="0"/>
              <w:jc w:val="center"/>
              <w:rPr>
                <w:color w:val="000000" w:themeColor="text1"/>
                <w:sz w:val="21"/>
                <w:szCs w:val="21"/>
                <w:highlight w:val="none"/>
                <w14:textFill>
                  <w14:solidFill>
                    <w14:schemeClr w14:val="tx1"/>
                  </w14:solidFill>
                </w14:textFill>
              </w:rPr>
            </w:pPr>
            <w:bookmarkStart w:id="195" w:name="_Hlt26955056"/>
            <w:bookmarkStart w:id="196" w:name="_Hlt26782999"/>
            <w:bookmarkStart w:id="197" w:name="_Hlt26580838"/>
            <w:bookmarkStart w:id="198" w:name="_Hlt26609391"/>
            <w:bookmarkStart w:id="199" w:name="_Hlt26955064"/>
            <w:bookmarkStart w:id="200" w:name="_Hlt26671372"/>
            <w:bookmarkStart w:id="201" w:name="_Hlt26671343"/>
            <w:bookmarkStart w:id="202" w:name="_Hlt24879081"/>
            <w:bookmarkStart w:id="203" w:name="OLE_LINK23"/>
            <w:r>
              <w:rPr>
                <w:rFonts w:hint="eastAsia" w:ascii="宋体" w:hAnsi="宋体" w:cs="宋体"/>
                <w:color w:val="000000" w:themeColor="text1"/>
                <w:sz w:val="21"/>
                <w:szCs w:val="21"/>
                <w:highlight w:val="none"/>
                <w14:textFill>
                  <w14:solidFill>
                    <w14:schemeClr w14:val="tx1"/>
                  </w14:solidFill>
                </w14:textFill>
              </w:rPr>
              <w:t>序号</w:t>
            </w:r>
          </w:p>
          <w:bookmarkEnd w:id="195"/>
          <w:bookmarkEnd w:id="196"/>
          <w:bookmarkEnd w:id="197"/>
          <w:bookmarkEnd w:id="198"/>
          <w:bookmarkEnd w:id="199"/>
          <w:bookmarkEnd w:id="200"/>
          <w:bookmarkEnd w:id="201"/>
          <w:bookmarkEnd w:id="202"/>
        </w:tc>
        <w:tc>
          <w:tcPr>
            <w:tcW w:w="3026" w:type="dxa"/>
            <w:tcBorders>
              <w:top w:val="single" w:color="000000" w:sz="4" w:space="0"/>
              <w:left w:val="single" w:color="000000" w:sz="4" w:space="0"/>
              <w:bottom w:val="single" w:color="000000" w:sz="4" w:space="0"/>
              <w:right w:val="single" w:color="000000" w:sz="4" w:space="0"/>
            </w:tcBorders>
            <w:vAlign w:val="center"/>
          </w:tcPr>
          <w:p w14:paraId="1E1FE7E1">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18D48FCD">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EB07F0C">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1AC4EA7A">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证明</w:t>
            </w:r>
          </w:p>
          <w:p w14:paraId="42543520">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材料</w:t>
            </w:r>
          </w:p>
        </w:tc>
      </w:tr>
      <w:tr w14:paraId="1876AA3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9A63684">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6C7C613">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C6B7C5B">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30E51DB">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841D38D">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0906ED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70AED7C">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E232E75">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778493A">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586C629">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329E7E2">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655C087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7FDB78A">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8AC565C">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00AB69E">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4AC9964">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D50E07C">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39E1D1A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418DDD1">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5163CF3">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C6B7DF3">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A5BACF9">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D6B51F2">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327E599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3CC0F18">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75B6C5C">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554D7F5">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43FCBE4">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53B5335">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2BACCAF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CD5CA5E">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407C8F0">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2B597A0">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D81BFD5">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2EF2FBA">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7A3ED6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51D6690">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E0A2617">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86100E6">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C40EB8F">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2097BF4">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tr w14:paraId="2A936C4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CFDE981">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5EBFC75">
            <w:pPr>
              <w:pStyle w:val="209"/>
              <w:spacing w:beforeAutospacing="0" w:afterAutospacing="0"/>
              <w:jc w:val="center"/>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009143D6">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07E5936">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16D073A">
            <w:pPr>
              <w:pStyle w:val="209"/>
              <w:spacing w:beforeAutospacing="0" w:afterAutospacing="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tc>
      </w:tr>
      <w:bookmarkEnd w:id="203"/>
    </w:tbl>
    <w:p w14:paraId="4495A808">
      <w:pPr>
        <w:pStyle w:val="209"/>
        <w:spacing w:beforeAutospacing="0" w:afterAutospacing="0"/>
        <w:jc w:val="both"/>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注： 行数不够，可自行添加。</w:t>
      </w:r>
    </w:p>
    <w:bookmarkEnd w:id="194"/>
    <w:p w14:paraId="66EA0ACE">
      <w:pPr>
        <w:pStyle w:val="209"/>
        <w:spacing w:beforeAutospacing="0" w:afterAutospacing="0" w:line="480" w:lineRule="auto"/>
        <w:jc w:val="both"/>
        <w:rPr>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35F7EB38">
      <w:pPr>
        <w:pStyle w:val="209"/>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3B1E94F">
      <w:pPr>
        <w:pStyle w:val="209"/>
        <w:spacing w:beforeAutospacing="0" w:afterAutospacing="0"/>
        <w:jc w:val="center"/>
        <w:rPr>
          <w:color w:val="000000" w:themeColor="text1"/>
          <w:highlight w:val="none"/>
          <w14:textFill>
            <w14:solidFill>
              <w14:schemeClr w14:val="tx1"/>
            </w14:solidFill>
          </w14:textFill>
        </w:rPr>
      </w:pPr>
      <w:bookmarkStart w:id="204" w:name="_格式2__法定代表人授权书"/>
      <w:bookmarkStart w:id="205" w:name="_Toc462564146"/>
      <w:bookmarkStart w:id="206" w:name="_Hlt26955066"/>
      <w:bookmarkStart w:id="207" w:name="_Hlt26609389"/>
      <w:bookmarkStart w:id="208" w:name="_Hlt26671374"/>
      <w:r>
        <w:rPr>
          <w:color w:val="000000" w:themeColor="text1"/>
          <w:highlight w:val="none"/>
          <w14:textFill>
            <w14:solidFill>
              <w14:schemeClr w14:val="tx1"/>
            </w14:solidFill>
          </w14:textFill>
        </w:rPr>
        <w:t> </w:t>
      </w:r>
    </w:p>
    <w:p w14:paraId="666BA783">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EA06302">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DCC7813">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79FF545">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84B26A6">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0953B7A">
      <w:pPr>
        <w:pStyle w:val="209"/>
        <w:spacing w:beforeAutospacing="0" w:afterAutospacing="0"/>
        <w:jc w:val="center"/>
        <w:rPr>
          <w:color w:val="000000" w:themeColor="text1"/>
          <w:highlight w:val="none"/>
          <w14:textFill>
            <w14:solidFill>
              <w14:schemeClr w14:val="tx1"/>
            </w14:solidFill>
          </w14:textFill>
        </w:rPr>
      </w:pPr>
    </w:p>
    <w:p w14:paraId="3ABB1D01">
      <w:pPr>
        <w:pStyle w:val="209"/>
        <w:spacing w:beforeAutospacing="0" w:afterAutospacing="0"/>
        <w:jc w:val="center"/>
        <w:rPr>
          <w:color w:val="000000" w:themeColor="text1"/>
          <w:highlight w:val="none"/>
          <w14:textFill>
            <w14:solidFill>
              <w14:schemeClr w14:val="tx1"/>
            </w14:solidFill>
          </w14:textFill>
        </w:rPr>
      </w:pPr>
    </w:p>
    <w:p w14:paraId="75E7A300">
      <w:pPr>
        <w:pStyle w:val="209"/>
        <w:spacing w:beforeAutospacing="0" w:afterAutospacing="0"/>
        <w:jc w:val="center"/>
        <w:rPr>
          <w:color w:val="000000" w:themeColor="text1"/>
          <w:highlight w:val="none"/>
          <w14:textFill>
            <w14:solidFill>
              <w14:schemeClr w14:val="tx1"/>
            </w14:solidFill>
          </w14:textFill>
        </w:rPr>
      </w:pPr>
    </w:p>
    <w:p w14:paraId="7A9D2EE9">
      <w:pPr>
        <w:pStyle w:val="209"/>
        <w:spacing w:beforeAutospacing="0" w:afterAutospacing="0"/>
        <w:jc w:val="center"/>
        <w:rPr>
          <w:color w:val="000000" w:themeColor="text1"/>
          <w:highlight w:val="none"/>
          <w14:textFill>
            <w14:solidFill>
              <w14:schemeClr w14:val="tx1"/>
            </w14:solidFill>
          </w14:textFill>
        </w:rPr>
      </w:pPr>
    </w:p>
    <w:p w14:paraId="3BDA19AB">
      <w:pPr>
        <w:pStyle w:val="209"/>
        <w:spacing w:beforeAutospacing="0" w:afterAutospacing="0"/>
        <w:jc w:val="center"/>
        <w:rPr>
          <w:color w:val="000000" w:themeColor="text1"/>
          <w:highlight w:val="none"/>
          <w14:textFill>
            <w14:solidFill>
              <w14:schemeClr w14:val="tx1"/>
            </w14:solidFill>
          </w14:textFill>
        </w:rPr>
      </w:pPr>
    </w:p>
    <w:p w14:paraId="47DFA08D">
      <w:pPr>
        <w:pStyle w:val="209"/>
        <w:spacing w:beforeAutospacing="0" w:afterAutospacing="0"/>
        <w:jc w:val="center"/>
        <w:rPr>
          <w:color w:val="000000" w:themeColor="text1"/>
          <w:highlight w:val="none"/>
          <w14:textFill>
            <w14:solidFill>
              <w14:schemeClr w14:val="tx1"/>
            </w14:solidFill>
          </w14:textFill>
        </w:rPr>
      </w:pPr>
    </w:p>
    <w:p w14:paraId="55223D92">
      <w:pPr>
        <w:pStyle w:val="209"/>
        <w:spacing w:beforeAutospacing="0" w:afterAutospacing="0"/>
        <w:jc w:val="center"/>
        <w:rPr>
          <w:color w:val="000000" w:themeColor="text1"/>
          <w:highlight w:val="none"/>
          <w14:textFill>
            <w14:solidFill>
              <w14:schemeClr w14:val="tx1"/>
            </w14:solidFill>
          </w14:textFill>
        </w:rPr>
      </w:pPr>
    </w:p>
    <w:p w14:paraId="153279E1">
      <w:pPr>
        <w:pStyle w:val="209"/>
        <w:spacing w:beforeAutospacing="0" w:afterAutospacing="0"/>
        <w:jc w:val="center"/>
        <w:rPr>
          <w:color w:val="000000" w:themeColor="text1"/>
          <w:highlight w:val="none"/>
          <w14:textFill>
            <w14:solidFill>
              <w14:schemeClr w14:val="tx1"/>
            </w14:solidFill>
          </w14:textFill>
        </w:rPr>
      </w:pPr>
    </w:p>
    <w:p w14:paraId="05E0C963">
      <w:pPr>
        <w:pStyle w:val="209"/>
        <w:spacing w:beforeAutospacing="0" w:afterAutospacing="0"/>
        <w:jc w:val="center"/>
        <w:rPr>
          <w:color w:val="000000" w:themeColor="text1"/>
          <w:highlight w:val="none"/>
          <w14:textFill>
            <w14:solidFill>
              <w14:schemeClr w14:val="tx1"/>
            </w14:solidFill>
          </w14:textFill>
        </w:rPr>
      </w:pPr>
    </w:p>
    <w:p w14:paraId="367CBE5B">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435C47D">
      <w:pPr>
        <w:pStyle w:val="20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B558587">
      <w:pPr>
        <w:pStyle w:val="209"/>
        <w:spacing w:beforeAutospacing="0" w:afterAutospacing="0"/>
        <w:jc w:val="cente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w:t>
      </w:r>
    </w:p>
    <w:p w14:paraId="6018AF9B">
      <w:pPr>
        <w:pBdr>
          <w:top w:val="none" w:color="auto" w:sz="0" w:space="0"/>
          <w:left w:val="none" w:color="auto" w:sz="0" w:space="0"/>
          <w:bottom w:val="none" w:color="auto" w:sz="0" w:space="0"/>
          <w:right w:val="none" w:color="auto" w:sz="0" w:space="0"/>
        </w:pBdr>
        <w:spacing w:before="240" w:after="240"/>
        <w:ind w:left="0" w:right="0" w:firstLine="0"/>
        <w:jc w:val="both"/>
        <w:rPr>
          <w:rFonts w:ascii="黑体" w:hAnsi="黑体" w:eastAsia="黑体" w:cs="黑体"/>
          <w:b/>
          <w:i/>
          <w:color w:val="000000" w:themeColor="text1"/>
          <w:sz w:val="32"/>
          <w:highlight w:val="none"/>
          <w:u w:val="single"/>
          <w14:textFill>
            <w14:solidFill>
              <w14:schemeClr w14:val="tx1"/>
            </w14:solidFill>
          </w14:textFill>
        </w:rPr>
      </w:pPr>
    </w:p>
    <w:p w14:paraId="7DF5BBE1">
      <w:pPr>
        <w:pBdr>
          <w:top w:val="none" w:color="auto" w:sz="0" w:space="0"/>
          <w:left w:val="none" w:color="auto" w:sz="0" w:space="0"/>
          <w:bottom w:val="none" w:color="auto" w:sz="0" w:space="0"/>
          <w:right w:val="none" w:color="auto" w:sz="0" w:space="0"/>
        </w:pBdr>
        <w:spacing w:before="240" w:after="240"/>
        <w:ind w:left="0" w:right="0" w:firstLine="0"/>
        <w:jc w:val="center"/>
        <w:rPr>
          <w:rFonts w:ascii="黑体" w:hAnsi="黑体" w:eastAsia="黑体" w:cs="黑体"/>
          <w:b/>
          <w:bCs/>
          <w:i/>
          <w:iCs w:val="0"/>
          <w:color w:val="000000" w:themeColor="text1"/>
          <w:sz w:val="32"/>
          <w:szCs w:val="32"/>
          <w:highlight w:val="none"/>
          <w:u w:val="single"/>
          <w14:textFill>
            <w14:solidFill>
              <w14:schemeClr w14:val="tx1"/>
            </w14:solidFill>
          </w14:textFill>
        </w:rPr>
      </w:pPr>
      <w:r>
        <w:rPr>
          <w:rFonts w:ascii="黑体" w:hAnsi="黑体" w:eastAsia="黑体" w:cs="黑体"/>
          <w:b/>
          <w:i/>
          <w:iCs w:val="0"/>
          <w:color w:val="000000" w:themeColor="text1"/>
          <w:sz w:val="32"/>
          <w:highlight w:val="none"/>
          <w:u w:val="single"/>
          <w14:textFill>
            <w14:solidFill>
              <w14:schemeClr w14:val="tx1"/>
            </w14:solidFill>
          </w14:textFill>
        </w:rPr>
        <w:t>十</w:t>
      </w:r>
      <w:r>
        <w:rPr>
          <w:rFonts w:hint="eastAsia" w:ascii="黑体" w:hAnsi="黑体" w:eastAsia="黑体" w:cs="黑体"/>
          <w:b/>
          <w:i/>
          <w:iCs w:val="0"/>
          <w:color w:val="000000" w:themeColor="text1"/>
          <w:sz w:val="32"/>
          <w:highlight w:val="none"/>
          <w:u w:val="single"/>
          <w:lang w:val="en-US" w:eastAsia="zh-CN"/>
          <w14:textFill>
            <w14:solidFill>
              <w14:schemeClr w14:val="tx1"/>
            </w14:solidFill>
          </w14:textFill>
        </w:rPr>
        <w:t>六</w:t>
      </w:r>
      <w:r>
        <w:rPr>
          <w:rFonts w:ascii="黑体" w:hAnsi="黑体" w:eastAsia="黑体" w:cs="黑体"/>
          <w:b/>
          <w:i/>
          <w:iCs w:val="0"/>
          <w:color w:val="000000" w:themeColor="text1"/>
          <w:sz w:val="32"/>
          <w:highlight w:val="none"/>
          <w:u w:val="single"/>
          <w14:textFill>
            <w14:solidFill>
              <w14:schemeClr w14:val="tx1"/>
            </w14:solidFill>
          </w14:textFill>
        </w:rPr>
        <w:t>、开标一览表（总价）</w:t>
      </w:r>
    </w:p>
    <w:p w14:paraId="6C5DBEC8">
      <w:pPr>
        <w:pBdr>
          <w:top w:val="none" w:color="auto" w:sz="0" w:space="0"/>
          <w:left w:val="none" w:color="auto" w:sz="0" w:space="0"/>
          <w:bottom w:val="none" w:color="auto" w:sz="0" w:space="0"/>
          <w:right w:val="none" w:color="auto"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投标人全称（CA公章）：</w:t>
      </w:r>
    </w:p>
    <w:p w14:paraId="0B634DDE">
      <w:pPr>
        <w:pBdr>
          <w:top w:val="none" w:color="auto" w:sz="0" w:space="0"/>
          <w:left w:val="none" w:color="auto" w:sz="0" w:space="0"/>
          <w:bottom w:val="none" w:color="auto" w:sz="0" w:space="0"/>
          <w:right w:val="none" w:color="auto" w:sz="0" w:space="0"/>
        </w:pBdr>
        <w:spacing w:before="240" w:after="240"/>
        <w:ind w:left="0" w:right="0" w:firstLine="0"/>
        <w:rPr>
          <w:rFonts w:hint="eastAsia" w:eastAsia="宋体"/>
          <w:color w:val="000000" w:themeColor="text1"/>
          <w:highlight w:val="none"/>
          <w:lang w:eastAsia="zh-CN"/>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项目名称：</w:t>
      </w:r>
      <w:r>
        <w:rPr>
          <w:rFonts w:hint="eastAsia" w:ascii="宋体" w:hAnsi="宋体" w:cs="宋体"/>
          <w:color w:val="000000" w:themeColor="text1"/>
          <w:sz w:val="21"/>
          <w:highlight w:val="none"/>
          <w:lang w:eastAsia="zh-CN"/>
          <w14:textFill>
            <w14:solidFill>
              <w14:schemeClr w14:val="tx1"/>
            </w14:solidFill>
          </w14:textFill>
        </w:rPr>
        <w:t>盐城市公安局巡特警支队无人机侦测与反制设备采购项目</w:t>
      </w:r>
    </w:p>
    <w:p w14:paraId="0F596247">
      <w:pPr>
        <w:pBdr>
          <w:top w:val="none" w:color="auto" w:sz="0" w:space="0"/>
          <w:left w:val="none" w:color="auto" w:sz="0" w:space="0"/>
          <w:bottom w:val="none" w:color="auto" w:sz="0" w:space="0"/>
          <w:right w:val="none" w:color="auto" w:sz="0" w:space="0"/>
        </w:pBdr>
        <w:spacing w:before="240" w:after="240"/>
        <w:ind w:left="0" w:right="0" w:firstLine="0"/>
        <w:rPr>
          <w:rFonts w:hint="eastAsia" w:eastAsia="宋体"/>
          <w:color w:val="000000" w:themeColor="text1"/>
          <w:highlight w:val="none"/>
          <w:lang w:eastAsia="zh-CN"/>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项目编号：</w:t>
      </w:r>
    </w:p>
    <w:p w14:paraId="676B7293">
      <w:pPr>
        <w:pBdr>
          <w:top w:val="none" w:color="auto" w:sz="0" w:space="0"/>
          <w:left w:val="none" w:color="auto" w:sz="0" w:space="0"/>
          <w:bottom w:val="none" w:color="auto" w:sz="0" w:space="0"/>
          <w:right w:val="none" w:color="auto"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分包号：</w:t>
      </w:r>
    </w:p>
    <w:tbl>
      <w:tblPr>
        <w:tblStyle w:val="34"/>
        <w:tblW w:w="8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90"/>
        <w:gridCol w:w="5356"/>
      </w:tblGrid>
      <w:tr w14:paraId="0AF8D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269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1D82030">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投标货物名称</w:t>
            </w:r>
          </w:p>
        </w:tc>
        <w:tc>
          <w:tcPr>
            <w:tcW w:w="53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93B5C44">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总价（小写）</w:t>
            </w:r>
          </w:p>
        </w:tc>
      </w:tr>
      <w:tr w14:paraId="1F211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26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67CB41">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投标产品名称</w:t>
            </w:r>
          </w:p>
        </w:tc>
        <w:tc>
          <w:tcPr>
            <w:tcW w:w="53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6D16893">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元</w:t>
            </w:r>
          </w:p>
        </w:tc>
      </w:tr>
      <w:tr w14:paraId="2DDB7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trPr>
        <w:tc>
          <w:tcPr>
            <w:tcW w:w="26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6C4BBF">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核心产品品牌：</w:t>
            </w:r>
          </w:p>
        </w:tc>
        <w:tc>
          <w:tcPr>
            <w:tcW w:w="53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233A39">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000000" w:themeColor="text1"/>
                <w:highlight w:val="none"/>
                <w14:textFill>
                  <w14:solidFill>
                    <w14:schemeClr w14:val="tx1"/>
                  </w14:solidFill>
                </w14:textFill>
              </w:rPr>
            </w:pPr>
          </w:p>
        </w:tc>
      </w:tr>
    </w:tbl>
    <w:p w14:paraId="2B1446C5">
      <w:pPr>
        <w:pBdr>
          <w:top w:val="none" w:color="auto" w:sz="0" w:space="0"/>
          <w:left w:val="none" w:color="auto" w:sz="0" w:space="0"/>
          <w:bottom w:val="none" w:color="auto" w:sz="0" w:space="0"/>
          <w:right w:val="none" w:color="auto"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w:t>
      </w:r>
    </w:p>
    <w:p w14:paraId="2816D20C">
      <w:pPr>
        <w:pBdr>
          <w:top w:val="none" w:color="auto" w:sz="0" w:space="0"/>
          <w:left w:val="none" w:color="auto" w:sz="0" w:space="0"/>
          <w:bottom w:val="none" w:color="auto" w:sz="0" w:space="0"/>
          <w:right w:val="none" w:color="auto" w:sz="0" w:space="0"/>
        </w:pBdr>
        <w:spacing w:before="240" w:after="240"/>
        <w:ind w:left="0" w:right="0" w:firstLine="0"/>
        <w:jc w:val="right"/>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日期：    年  月  日</w:t>
      </w:r>
    </w:p>
    <w:p w14:paraId="2C9B58FE">
      <w:pPr>
        <w:pStyle w:val="209"/>
        <w:spacing w:beforeAutospacing="0" w:afterAutospacing="0"/>
        <w:ind w:firstLine="480"/>
        <w:jc w:val="both"/>
        <w:rPr>
          <w:rFonts w:hint="eastAsia" w:ascii="宋体" w:hAnsi="宋体" w:cs="宋体"/>
          <w:color w:val="000000" w:themeColor="text1"/>
          <w:sz w:val="21"/>
          <w:szCs w:val="21"/>
          <w:highlight w:val="none"/>
          <w14:textFill>
            <w14:solidFill>
              <w14:schemeClr w14:val="tx1"/>
            </w14:solidFill>
          </w14:textFill>
        </w:rPr>
      </w:pPr>
    </w:p>
    <w:p w14:paraId="6709AA2B">
      <w:pPr>
        <w:pStyle w:val="209"/>
        <w:spacing w:beforeAutospacing="0" w:afterAutospacing="0"/>
        <w:ind w:firstLine="480"/>
        <w:jc w:val="both"/>
        <w:rPr>
          <w:rFonts w:hint="eastAsia" w:ascii="宋体" w:hAnsi="宋体" w:cs="宋体"/>
          <w:color w:val="000000" w:themeColor="text1"/>
          <w:sz w:val="21"/>
          <w:szCs w:val="21"/>
          <w:highlight w:val="none"/>
          <w14:textFill>
            <w14:solidFill>
              <w14:schemeClr w14:val="tx1"/>
            </w14:solidFill>
          </w14:textFill>
        </w:rPr>
      </w:pPr>
    </w:p>
    <w:p w14:paraId="282FDA31">
      <w:pPr>
        <w:pStyle w:val="209"/>
        <w:spacing w:beforeAutospacing="0" w:afterAutospacing="0"/>
        <w:ind w:firstLine="480"/>
        <w:jc w:val="both"/>
        <w:rPr>
          <w:rFonts w:hint="eastAsia" w:ascii="宋体" w:hAnsi="宋体" w:cs="宋体"/>
          <w:color w:val="000000" w:themeColor="text1"/>
          <w:sz w:val="21"/>
          <w:szCs w:val="21"/>
          <w:highlight w:val="none"/>
          <w14:textFill>
            <w14:solidFill>
              <w14:schemeClr w14:val="tx1"/>
            </w14:solidFill>
          </w14:textFill>
        </w:rPr>
      </w:pPr>
    </w:p>
    <w:p w14:paraId="354045CA">
      <w:pPr>
        <w:pStyle w:val="209"/>
        <w:spacing w:beforeAutospacing="0" w:afterAutospacing="0"/>
        <w:ind w:firstLine="480"/>
        <w:jc w:val="both"/>
        <w:rPr>
          <w:color w:val="000000" w:themeColor="text1"/>
          <w:highlight w:val="none"/>
          <w14:textFill>
            <w14:solidFill>
              <w14:schemeClr w14:val="tx1"/>
            </w14:solidFill>
          </w14:textFill>
        </w:rPr>
      </w:pPr>
    </w:p>
    <w:p w14:paraId="7C1B235E">
      <w:pPr>
        <w:pStyle w:val="209"/>
        <w:spacing w:beforeAutospacing="0" w:afterAutospacing="0"/>
        <w:ind w:firstLine="480"/>
        <w:jc w:val="both"/>
        <w:rPr>
          <w:color w:val="000000" w:themeColor="text1"/>
          <w:highlight w:val="none"/>
          <w14:textFill>
            <w14:solidFill>
              <w14:schemeClr w14:val="tx1"/>
            </w14:solidFill>
          </w14:textFill>
        </w:rPr>
      </w:pPr>
    </w:p>
    <w:p w14:paraId="2E6A9483">
      <w:pPr>
        <w:pStyle w:val="209"/>
        <w:spacing w:beforeAutospacing="0" w:afterAutospacing="0"/>
        <w:ind w:firstLine="480"/>
        <w:jc w:val="both"/>
        <w:rPr>
          <w:color w:val="000000" w:themeColor="text1"/>
          <w:highlight w:val="none"/>
          <w14:textFill>
            <w14:solidFill>
              <w14:schemeClr w14:val="tx1"/>
            </w14:solidFill>
          </w14:textFill>
        </w:rPr>
      </w:pPr>
    </w:p>
    <w:p w14:paraId="5B6450C7">
      <w:pPr>
        <w:pStyle w:val="209"/>
        <w:spacing w:beforeAutospacing="0" w:afterAutospacing="0"/>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FD5CCAA">
      <w:pPr>
        <w:pStyle w:val="209"/>
        <w:spacing w:beforeAutospacing="0" w:afterAutospacing="0"/>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8C90488">
      <w:pPr>
        <w:pStyle w:val="20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112F359">
      <w:pPr>
        <w:pStyle w:val="209"/>
        <w:spacing w:beforeAutospacing="0" w:afterAutospacing="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w:t>
      </w:r>
    </w:p>
    <w:p w14:paraId="085672D7">
      <w:pPr>
        <w:pStyle w:val="209"/>
        <w:spacing w:beforeAutospacing="0" w:afterAutospacing="0"/>
        <w:jc w:val="both"/>
        <w:rPr>
          <w:rFonts w:hint="eastAsia" w:ascii="宋体" w:hAnsi="宋体" w:cs="宋体"/>
          <w:color w:val="000000" w:themeColor="text1"/>
          <w:highlight w:val="none"/>
          <w14:textFill>
            <w14:solidFill>
              <w14:schemeClr w14:val="tx1"/>
            </w14:solidFill>
          </w14:textFill>
        </w:rPr>
      </w:pPr>
    </w:p>
    <w:p w14:paraId="680771A2">
      <w:pPr>
        <w:pStyle w:val="209"/>
        <w:spacing w:beforeAutospacing="0" w:afterAutospacing="0"/>
        <w:jc w:val="both"/>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w:t>
      </w:r>
    </w:p>
    <w:p w14:paraId="279BD7D7">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A8DE25B">
      <w:pPr>
        <w:pStyle w:val="209"/>
        <w:spacing w:beforeAutospacing="0" w:afterAutospacing="0"/>
        <w:rPr>
          <w:rFonts w:hint="eastAsia" w:ascii="宋体" w:hAnsi="宋体" w:cs="宋体"/>
          <w:b/>
          <w:color w:val="000000" w:themeColor="text1"/>
          <w:sz w:val="32"/>
          <w:szCs w:val="32"/>
          <w:highlight w:val="none"/>
          <w14:textFill>
            <w14:solidFill>
              <w14:schemeClr w14:val="tx1"/>
            </w14:solidFill>
          </w14:textFill>
        </w:rPr>
      </w:pPr>
    </w:p>
    <w:p w14:paraId="4B31ECC2">
      <w:pPr>
        <w:pStyle w:val="209"/>
        <w:spacing w:beforeAutospacing="0" w:afterAutospacing="0"/>
        <w:rPr>
          <w:rFonts w:hint="eastAsia" w:ascii="宋体" w:hAnsi="宋体" w:cs="宋体"/>
          <w:b/>
          <w:color w:val="000000" w:themeColor="text1"/>
          <w:sz w:val="32"/>
          <w:szCs w:val="32"/>
          <w:highlight w:val="none"/>
          <w14:textFill>
            <w14:solidFill>
              <w14:schemeClr w14:val="tx1"/>
            </w14:solidFill>
          </w14:textFill>
        </w:rPr>
      </w:pPr>
    </w:p>
    <w:p w14:paraId="258A378D">
      <w:pPr>
        <w:pStyle w:val="209"/>
        <w:spacing w:beforeAutospacing="0" w:afterAutospacing="0"/>
        <w:rPr>
          <w:rFonts w:hint="eastAsia" w:ascii="宋体" w:hAnsi="宋体" w:cs="宋体"/>
          <w:b/>
          <w:color w:val="000000" w:themeColor="text1"/>
          <w:sz w:val="32"/>
          <w:szCs w:val="32"/>
          <w:highlight w:val="none"/>
          <w14:textFill>
            <w14:solidFill>
              <w14:schemeClr w14:val="tx1"/>
            </w14:solidFill>
          </w14:textFill>
        </w:rPr>
      </w:pPr>
    </w:p>
    <w:p w14:paraId="3EFED759">
      <w:pPr>
        <w:pStyle w:val="209"/>
        <w:spacing w:beforeAutospacing="0" w:afterAutospacing="0"/>
        <w:rPr>
          <w:rFonts w:hint="eastAsia" w:ascii="宋体" w:hAnsi="宋体" w:cs="宋体"/>
          <w:b/>
          <w:color w:val="000000" w:themeColor="text1"/>
          <w:sz w:val="32"/>
          <w:szCs w:val="32"/>
          <w:highlight w:val="none"/>
          <w14:textFill>
            <w14:solidFill>
              <w14:schemeClr w14:val="tx1"/>
            </w14:solidFill>
          </w14:textFill>
        </w:rPr>
      </w:pPr>
    </w:p>
    <w:p w14:paraId="687D227D">
      <w:pPr>
        <w:pStyle w:val="209"/>
        <w:spacing w:beforeAutospacing="0" w:afterAutospacing="0"/>
        <w:rPr>
          <w:rFonts w:hint="eastAsia" w:ascii="宋体" w:hAnsi="宋体" w:cs="宋体"/>
          <w:b/>
          <w:color w:val="000000" w:themeColor="text1"/>
          <w:sz w:val="32"/>
          <w:szCs w:val="32"/>
          <w:highlight w:val="none"/>
          <w14:textFill>
            <w14:solidFill>
              <w14:schemeClr w14:val="tx1"/>
            </w14:solidFill>
          </w14:textFill>
        </w:rPr>
      </w:pPr>
    </w:p>
    <w:p w14:paraId="12C286C4">
      <w:pPr>
        <w:pStyle w:val="209"/>
        <w:spacing w:beforeAutospacing="0" w:afterAutospacing="0"/>
        <w:rPr>
          <w:rFonts w:hint="eastAsia" w:ascii="宋体" w:hAnsi="宋体" w:cs="宋体"/>
          <w:b/>
          <w:color w:val="000000" w:themeColor="text1"/>
          <w:sz w:val="32"/>
          <w:szCs w:val="32"/>
          <w:highlight w:val="none"/>
          <w14:textFill>
            <w14:solidFill>
              <w14:schemeClr w14:val="tx1"/>
            </w14:solidFill>
          </w14:textFill>
        </w:rPr>
      </w:pPr>
    </w:p>
    <w:p w14:paraId="13B121E1">
      <w:pPr>
        <w:pStyle w:val="209"/>
        <w:spacing w:beforeAutospacing="0" w:afterAutospacing="0"/>
        <w:rPr>
          <w:rFonts w:hint="eastAsia" w:ascii="宋体" w:hAnsi="宋体" w:cs="宋体"/>
          <w:b/>
          <w:color w:val="000000" w:themeColor="text1"/>
          <w:sz w:val="32"/>
          <w:szCs w:val="32"/>
          <w:highlight w:val="none"/>
          <w14:textFill>
            <w14:solidFill>
              <w14:schemeClr w14:val="tx1"/>
            </w14:solidFill>
          </w14:textFill>
        </w:rPr>
      </w:pPr>
    </w:p>
    <w:p w14:paraId="5177CB58">
      <w:pPr>
        <w:pStyle w:val="209"/>
        <w:spacing w:beforeAutospacing="0" w:afterAutospacing="0"/>
        <w:rPr>
          <w:rFonts w:hint="eastAsia" w:ascii="宋体" w:hAnsi="宋体" w:cs="宋体"/>
          <w:b/>
          <w:color w:val="000000" w:themeColor="text1"/>
          <w:sz w:val="32"/>
          <w:szCs w:val="32"/>
          <w:highlight w:val="none"/>
          <w14:textFill>
            <w14:solidFill>
              <w14:schemeClr w14:val="tx1"/>
            </w14:solidFill>
          </w14:textFill>
        </w:rPr>
      </w:pPr>
    </w:p>
    <w:p w14:paraId="23017BA0">
      <w:pPr>
        <w:widowControl/>
        <w:spacing w:before="50" w:after="50"/>
        <w:jc w:val="center"/>
        <w:rPr>
          <w:rFonts w:hint="eastAsia" w:ascii="黑体" w:hAnsi="宋体" w:eastAsia="黑体" w:cs="黑体"/>
          <w:b/>
          <w:color w:val="000000" w:themeColor="text1"/>
          <w:sz w:val="32"/>
          <w:szCs w:val="32"/>
          <w:highlight w:val="none"/>
          <w:lang w:val="en-US" w:eastAsia="zh-CN" w:bidi="ar-SA"/>
          <w14:textFill>
            <w14:solidFill>
              <w14:schemeClr w14:val="tx1"/>
            </w14:solidFill>
          </w14:textFill>
        </w:rPr>
      </w:pPr>
      <w:r>
        <w:rPr>
          <w:color w:val="000000" w:themeColor="text1"/>
          <w:highlight w:val="none"/>
          <w14:textFill>
            <w14:solidFill>
              <w14:schemeClr w14:val="tx1"/>
            </w14:solidFill>
          </w14:textFill>
        </w:rPr>
        <w:tab/>
      </w:r>
      <w:r>
        <w:rPr>
          <w:rFonts w:hint="eastAsia" w:ascii="黑体" w:hAnsi="宋体" w:eastAsia="黑体" w:cs="黑体"/>
          <w:b/>
          <w:color w:val="000000" w:themeColor="text1"/>
          <w:sz w:val="32"/>
          <w:szCs w:val="32"/>
          <w:highlight w:val="none"/>
          <w:lang w:val="en-US" w:eastAsia="zh-CN" w:bidi="ar-SA"/>
          <w14:textFill>
            <w14:solidFill>
              <w14:schemeClr w14:val="tx1"/>
            </w14:solidFill>
          </w14:textFill>
        </w:rPr>
        <w:t>十七、技术方案、服务承诺、培训承诺等</w:t>
      </w:r>
    </w:p>
    <w:p w14:paraId="7EF8B970">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9EF3816">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EB0FD33">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4225D4B4">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CDCB2EA">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306FCFB7">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4629013B">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526BE69">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F8770B7">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50E9B894">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63B324CA">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F851DBD">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5B624191">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615EF18">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4E58DAD">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434E5826">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C92F7DA">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371FCC5F">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316C4F6">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4A5EADD0">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A893B4B">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8E01DA5">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44A3CF8">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AF2B138">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66EB7CCB">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58F26114">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47A2E33">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C3818D2">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8075364">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EDA52F2">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42347F2">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708AB15">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C7E882E">
      <w:pPr>
        <w:widowControl/>
        <w:spacing w:line="499" w:lineRule="atLeast"/>
        <w:ind w:firstLine="1600"/>
        <w:rPr>
          <w:rFonts w:hint="eastAsia" w:ascii="宋体" w:hAnsi="宋体" w:cs="宋体"/>
          <w:color w:val="000000" w:themeColor="text1"/>
          <w:sz w:val="24"/>
          <w:highlight w:val="none"/>
          <w14:textFill>
            <w14:solidFill>
              <w14:schemeClr w14:val="tx1"/>
            </w14:solidFill>
          </w14:textFill>
        </w:rPr>
      </w:pPr>
      <w:r>
        <w:rPr>
          <w:rFonts w:hint="eastAsia" w:ascii="黑体" w:hAnsi="宋体" w:eastAsia="黑体" w:cs="黑体"/>
          <w:b/>
          <w:color w:val="000000" w:themeColor="text1"/>
          <w:sz w:val="32"/>
          <w:szCs w:val="32"/>
          <w:highlight w:val="none"/>
          <w:lang w:val="en-US" w:eastAsia="zh-CN" w:bidi="ar-SA"/>
          <w14:textFill>
            <w14:solidFill>
              <w14:schemeClr w14:val="tx1"/>
            </w14:solidFill>
          </w14:textFill>
        </w:rPr>
        <w:t>十八、盐城市政府采购事前信用承诺书</w:t>
      </w:r>
      <w:r>
        <w:rPr>
          <w:rFonts w:hint="eastAsia" w:ascii="宋体" w:hAnsi="宋体" w:cs="宋体"/>
          <w:color w:val="000000" w:themeColor="text1"/>
          <w:sz w:val="32"/>
          <w:szCs w:val="32"/>
          <w:highlight w:val="none"/>
          <w14:textFill>
            <w14:solidFill>
              <w14:schemeClr w14:val="tx1"/>
            </w14:solidFill>
          </w14:textFill>
        </w:rPr>
        <w:t> </w:t>
      </w:r>
    </w:p>
    <w:p w14:paraId="5842F8C3">
      <w:pPr>
        <w:widowControl/>
        <w:spacing w:line="499" w:lineRule="atLeast"/>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为营造我市公开、公平、公正、诚实守信的政府采购交易环境，树立诚信守法的投标人形象，本人代表本单位作出以下承诺：</w:t>
      </w:r>
    </w:p>
    <w:p w14:paraId="06F4099F">
      <w:pPr>
        <w:widowControl/>
        <w:spacing w:line="499" w:lineRule="atLeas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4308D767">
      <w:pPr>
        <w:widowControl/>
        <w:spacing w:line="499" w:lineRule="atLeast"/>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F2B89BA">
      <w:pPr>
        <w:widowControl/>
        <w:spacing w:line="499" w:lineRule="atLeas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p>
    <w:p w14:paraId="74F6AEF6">
      <w:pPr>
        <w:widowControl/>
        <w:spacing w:line="499" w:lineRule="atLeas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（四）严格遵守即时信息公示规定，及时维护和更新盐城市政府采购网中与本单位相关的信息；</w:t>
      </w:r>
    </w:p>
    <w:p w14:paraId="03C85756">
      <w:pPr>
        <w:widowControl/>
        <w:spacing w:line="499" w:lineRule="atLeas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F85B4D5">
      <w:pPr>
        <w:widowControl/>
        <w:spacing w:line="499" w:lineRule="atLeas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（六）自觉接受政府、行业组织、社会公众、新闻舆论的监督；</w:t>
      </w:r>
    </w:p>
    <w:p w14:paraId="2F2D3819">
      <w:pPr>
        <w:widowControl/>
        <w:spacing w:line="499" w:lineRule="atLeast"/>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B0B4527">
      <w:pPr>
        <w:widowControl/>
        <w:spacing w:line="499" w:lineRule="atLeas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（八）本人已认真阅读了上述承诺，并向本单位员工作了宣传教育。</w:t>
      </w:r>
    </w:p>
    <w:p w14:paraId="07482F3A">
      <w:pPr>
        <w:widowControl/>
        <w:spacing w:line="499" w:lineRule="atLeas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法定代表人签名：</w:t>
      </w:r>
    </w:p>
    <w:p w14:paraId="5B5A12A2">
      <w:pPr>
        <w:widowControl/>
        <w:spacing w:line="499" w:lineRule="atLeas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单位名称（盖章）：</w:t>
      </w:r>
    </w:p>
    <w:p w14:paraId="057AE6E0">
      <w:pPr>
        <w:widowControl/>
        <w:spacing w:line="499" w:lineRule="atLeas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年月日</w:t>
      </w:r>
    </w:p>
    <w:p w14:paraId="6489B181">
      <w:pPr>
        <w:pStyle w:val="209"/>
        <w:spacing w:beforeAutospacing="0" w:afterAutospacing="0"/>
        <w:jc w:val="center"/>
        <w:rPr>
          <w:color w:val="000000" w:themeColor="text1"/>
          <w:sz w:val="21"/>
          <w:szCs w:val="21"/>
          <w:highlight w:val="none"/>
          <w14:textFill>
            <w14:solidFill>
              <w14:schemeClr w14:val="tx1"/>
            </w14:solidFill>
          </w14:textFill>
        </w:rPr>
      </w:pPr>
    </w:p>
    <w:bookmarkEnd w:id="6"/>
    <w:bookmarkEnd w:id="55"/>
    <w:bookmarkEnd w:id="102"/>
    <w:bookmarkEnd w:id="103"/>
    <w:bookmarkEnd w:id="104"/>
    <w:bookmarkEnd w:id="105"/>
    <w:bookmarkEnd w:id="106"/>
    <w:bookmarkEnd w:id="107"/>
    <w:bookmarkEnd w:id="108"/>
    <w:bookmarkEnd w:id="109"/>
    <w:bookmarkEnd w:id="118"/>
    <w:bookmarkEnd w:id="119"/>
    <w:bookmarkEnd w:id="126"/>
    <w:bookmarkEnd w:id="174"/>
    <w:bookmarkEnd w:id="177"/>
    <w:bookmarkEnd w:id="183"/>
    <w:bookmarkEnd w:id="184"/>
    <w:bookmarkEnd w:id="185"/>
    <w:bookmarkEnd w:id="186"/>
    <w:bookmarkEnd w:id="187"/>
    <w:bookmarkEnd w:id="188"/>
    <w:bookmarkEnd w:id="189"/>
    <w:bookmarkEnd w:id="192"/>
    <w:bookmarkEnd w:id="204"/>
    <w:bookmarkEnd w:id="205"/>
    <w:bookmarkEnd w:id="206"/>
    <w:bookmarkEnd w:id="207"/>
    <w:bookmarkEnd w:id="208"/>
    <w:p w14:paraId="4F13114B">
      <w:pPr>
        <w:widowControl/>
        <w:spacing w:line="499" w:lineRule="atLeast"/>
        <w:jc w:val="center"/>
        <w:rPr>
          <w:rFonts w:hint="eastAsia" w:ascii="宋体" w:hAnsi="宋体" w:cs="宋体"/>
          <w:color w:val="000000" w:themeColor="text1"/>
          <w:sz w:val="32"/>
          <w:szCs w:val="32"/>
          <w:highlight w:val="none"/>
          <w14:textFill>
            <w14:solidFill>
              <w14:schemeClr w14:val="tx1"/>
            </w14:solidFill>
          </w14:textFill>
        </w:rPr>
      </w:pPr>
    </w:p>
    <w:p w14:paraId="7EFF8FFE">
      <w:pPr>
        <w:widowControl/>
        <w:spacing w:line="499" w:lineRule="atLeast"/>
        <w:jc w:val="center"/>
        <w:rPr>
          <w:rFonts w:hint="eastAsia" w:ascii="宋体" w:hAnsi="宋体" w:cs="宋体"/>
          <w:color w:val="000000" w:themeColor="text1"/>
          <w:sz w:val="32"/>
          <w:szCs w:val="32"/>
          <w:highlight w:val="none"/>
          <w14:textFill>
            <w14:solidFill>
              <w14:schemeClr w14:val="tx1"/>
            </w14:solidFill>
          </w14:textFill>
        </w:rPr>
      </w:pPr>
    </w:p>
    <w:p w14:paraId="24D7725E">
      <w:pPr>
        <w:widowControl/>
        <w:spacing w:line="499" w:lineRule="atLeast"/>
        <w:jc w:val="center"/>
        <w:rPr>
          <w:rFonts w:hint="eastAsia" w:ascii="宋体" w:hAnsi="宋体" w:cs="宋体"/>
          <w:color w:val="000000" w:themeColor="text1"/>
          <w:sz w:val="32"/>
          <w:szCs w:val="32"/>
          <w:highlight w:val="none"/>
          <w14:textFill>
            <w14:solidFill>
              <w14:schemeClr w14:val="tx1"/>
            </w14:solidFill>
          </w14:textFill>
        </w:rPr>
      </w:pPr>
    </w:p>
    <w:p w14:paraId="2064E37E">
      <w:pPr>
        <w:pStyle w:val="27"/>
        <w:ind w:left="0" w:leftChars="0" w:firstLine="0" w:firstLineChars="0"/>
        <w:rPr>
          <w:rFonts w:hint="eastAsia"/>
          <w:color w:val="000000" w:themeColor="text1"/>
          <w:highlight w:val="none"/>
          <w14:textFill>
            <w14:solidFill>
              <w14:schemeClr w14:val="tx1"/>
            </w14:solidFill>
          </w14:textFill>
        </w:rPr>
      </w:pPr>
    </w:p>
    <w:p w14:paraId="09537AB2">
      <w:pPr>
        <w:pStyle w:val="209"/>
        <w:spacing w:beforeAutospacing="0" w:afterAutospacing="0"/>
        <w:jc w:val="center"/>
        <w:rPr>
          <w:rFonts w:hint="eastAsia" w:ascii="宋体" w:hAnsi="宋体" w:cs="宋体"/>
          <w:b/>
          <w:bCs/>
          <w:color w:val="000000" w:themeColor="text1"/>
          <w:szCs w:val="21"/>
          <w:highlight w:val="none"/>
          <w14:textFill>
            <w14:solidFill>
              <w14:schemeClr w14:val="tx1"/>
            </w14:solidFill>
          </w14:textFill>
        </w:rPr>
      </w:pPr>
      <w:r>
        <w:rPr>
          <w:rFonts w:hint="eastAsia" w:ascii="黑体" w:hAnsi="宋体" w:eastAsia="黑体" w:cs="黑体"/>
          <w:b/>
          <w:color w:val="000000" w:themeColor="text1"/>
          <w:sz w:val="32"/>
          <w:szCs w:val="32"/>
          <w:highlight w:val="none"/>
          <w:lang w:val="en-US" w:eastAsia="zh-CN"/>
          <w14:textFill>
            <w14:solidFill>
              <w14:schemeClr w14:val="tx1"/>
            </w14:solidFill>
          </w14:textFill>
        </w:rPr>
        <w:t>十九、</w:t>
      </w:r>
      <w:bookmarkStart w:id="209" w:name="OLE_LINK26"/>
      <w:r>
        <w:rPr>
          <w:rFonts w:hint="eastAsia" w:ascii="黑体" w:hAnsi="宋体" w:eastAsia="黑体" w:cs="黑体"/>
          <w:b/>
          <w:color w:val="000000" w:themeColor="text1"/>
          <w:sz w:val="32"/>
          <w:szCs w:val="32"/>
          <w:highlight w:val="none"/>
          <w14:textFill>
            <w14:solidFill>
              <w14:schemeClr w14:val="tx1"/>
            </w14:solidFill>
          </w14:textFill>
        </w:rPr>
        <w:t>项目建设供应商承诺函</w:t>
      </w:r>
      <w:bookmarkEnd w:id="209"/>
    </w:p>
    <w:p w14:paraId="2AB60499">
      <w:pPr>
        <w:spacing w:line="48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36E30C30">
      <w:pPr>
        <w:spacing w:line="48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378BE3F8">
      <w:pPr>
        <w:spacing w:line="48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对未列出的其他事项，严格按照法律法规等具体规定执行。</w:t>
      </w:r>
    </w:p>
    <w:p w14:paraId="4342D40E">
      <w:pPr>
        <w:spacing w:line="48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现承诺，我单位在履行</w:t>
      </w:r>
      <w:r>
        <w:rPr>
          <w:rFonts w:hint="eastAsia" w:ascii="宋体" w:hAnsi="宋体" w:cs="宋体"/>
          <w:color w:val="000000" w:themeColor="text1"/>
          <w:szCs w:val="21"/>
          <w:highlight w:val="none"/>
          <w:u w:val="single"/>
          <w14:textFill>
            <w14:solidFill>
              <w14:schemeClr w14:val="tx1"/>
            </w14:solidFill>
          </w14:textFill>
        </w:rPr>
        <w:t xml:space="preserve">    （ 项目名称  ）         </w:t>
      </w:r>
      <w:r>
        <w:rPr>
          <w:rFonts w:hint="eastAsia" w:ascii="宋体" w:hAnsi="宋体" w:cs="宋体"/>
          <w:color w:val="000000" w:themeColor="text1"/>
          <w:szCs w:val="21"/>
          <w:highlight w:val="none"/>
          <w14:textFill>
            <w14:solidFill>
              <w14:schemeClr w14:val="tx1"/>
            </w14:solidFill>
          </w14:textFill>
        </w:rPr>
        <w:t>的项目建设中，将严格按照提示函的内容和要求执行，如若违反愿意承担相应的责任。</w:t>
      </w:r>
    </w:p>
    <w:p w14:paraId="7A5CC92B">
      <w:pPr>
        <w:spacing w:line="480" w:lineRule="auto"/>
        <w:rPr>
          <w:rFonts w:hint="eastAsia" w:ascii="宋体" w:hAnsi="宋体" w:cs="宋体"/>
          <w:color w:val="000000" w:themeColor="text1"/>
          <w:szCs w:val="21"/>
          <w:highlight w:val="none"/>
          <w14:textFill>
            <w14:solidFill>
              <w14:schemeClr w14:val="tx1"/>
            </w14:solidFill>
          </w14:textFill>
        </w:rPr>
      </w:pPr>
    </w:p>
    <w:p w14:paraId="17363A14">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供应商项目负责人（签字）：            联系方式：</w:t>
      </w:r>
    </w:p>
    <w:p w14:paraId="465DFF53">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FBC417B">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558B046B">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2F1441B">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0AF09D2">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7A01EF9">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33926876">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0479AC0">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ED19C53">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5C660498">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33430BF2">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80362DE">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40973621">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82D7013">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469095B">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E860541">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CF28A61">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41F19072">
      <w:pPr>
        <w:jc w:val="center"/>
        <w:rPr>
          <w:rFonts w:hint="default"/>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t>承诺函</w:t>
      </w:r>
    </w:p>
    <w:p w14:paraId="20B03E20">
      <w:pPr>
        <w:keepNext w:val="0"/>
        <w:keepLines w:val="0"/>
        <w:pageBreakBefore w:val="0"/>
        <w:widowControl/>
        <w:kinsoku/>
        <w:wordWrap/>
        <w:overflowPunct/>
        <w:topLinePunct w:val="0"/>
        <w:autoSpaceDE/>
        <w:autoSpaceDN/>
        <w:bidi w:val="0"/>
        <w:adjustRightInd/>
        <w:snapToGrid/>
        <w:spacing w:line="480" w:lineRule="auto"/>
        <w:ind w:left="0" w:leftChars="0" w:right="0" w:rightChars="0"/>
        <w:jc w:val="left"/>
        <w:textAlignment w:val="auto"/>
        <w:outlineLvl w:val="9"/>
        <w:rPr>
          <w:rFonts w:hint="default"/>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致：（采购人）</w:t>
      </w:r>
    </w:p>
    <w:p w14:paraId="0FE46267">
      <w:pPr>
        <w:keepNext w:val="0"/>
        <w:keepLines w:val="0"/>
        <w:pageBreakBefore w:val="0"/>
        <w:widowControl/>
        <w:kinsoku/>
        <w:wordWrap/>
        <w:overflowPunct/>
        <w:topLinePunct w:val="0"/>
        <w:autoSpaceDE/>
        <w:autoSpaceDN/>
        <w:bidi w:val="0"/>
        <w:adjustRightInd/>
        <w:snapToGrid/>
        <w:spacing w:line="480" w:lineRule="auto"/>
        <w:ind w:left="0" w:leftChars="0" w:right="0" w:rightChars="0" w:firstLine="840" w:firstLineChars="300"/>
        <w:jc w:val="left"/>
        <w:textAlignment w:val="auto"/>
        <w:outlineLvl w:val="9"/>
        <w:rPr>
          <w:rFonts w:hint="default"/>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我公司承诺投标文件所提供的材料均真实有效，产品检测报告为真实送检，并由具备检测所需设备和资质的机构所出具。相关原件备查，如有虚假，本单位愿意接受招标人作出的取消投标、中标资格同时并愿意接受行政主管部门依法作出的其它处罚决定。</w:t>
      </w:r>
    </w:p>
    <w:p w14:paraId="77B6150E">
      <w:pPr>
        <w:keepNext w:val="0"/>
        <w:keepLines w:val="0"/>
        <w:pageBreakBefore w:val="0"/>
        <w:widowControl/>
        <w:kinsoku/>
        <w:wordWrap/>
        <w:overflowPunct/>
        <w:topLinePunct w:val="0"/>
        <w:autoSpaceDE/>
        <w:autoSpaceDN/>
        <w:bidi w:val="0"/>
        <w:adjustRightInd/>
        <w:snapToGrid/>
        <w:spacing w:line="480" w:lineRule="auto"/>
        <w:ind w:left="0" w:leftChars="0" w:right="0" w:rightChars="0"/>
        <w:jc w:val="left"/>
        <w:textAlignment w:val="auto"/>
        <w:outlineLvl w:val="9"/>
        <w:rPr>
          <w:rFonts w:hint="eastAsia"/>
          <w:color w:val="000000" w:themeColor="text1"/>
          <w:sz w:val="28"/>
          <w:szCs w:val="28"/>
          <w:highlight w:val="none"/>
          <w:lang w:val="en-US" w:eastAsia="zh-CN"/>
          <w14:textFill>
            <w14:solidFill>
              <w14:schemeClr w14:val="tx1"/>
            </w14:solidFill>
          </w14:textFill>
        </w:rPr>
      </w:pPr>
    </w:p>
    <w:p w14:paraId="1537CDEC">
      <w:pPr>
        <w:keepNext w:val="0"/>
        <w:keepLines w:val="0"/>
        <w:pageBreakBefore w:val="0"/>
        <w:widowControl/>
        <w:kinsoku/>
        <w:wordWrap/>
        <w:overflowPunct/>
        <w:topLinePunct w:val="0"/>
        <w:autoSpaceDE/>
        <w:autoSpaceDN/>
        <w:bidi w:val="0"/>
        <w:adjustRightInd/>
        <w:snapToGrid/>
        <w:spacing w:line="480" w:lineRule="auto"/>
        <w:ind w:left="0" w:leftChars="0" w:right="0" w:rightChars="0"/>
        <w:jc w:val="left"/>
        <w:textAlignment w:val="auto"/>
        <w:outlineLvl w:val="9"/>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                                          承诺人：</w:t>
      </w:r>
    </w:p>
    <w:p w14:paraId="6D11BE66">
      <w:pPr>
        <w:keepNext w:val="0"/>
        <w:keepLines w:val="0"/>
        <w:pageBreakBefore w:val="0"/>
        <w:widowControl/>
        <w:kinsoku/>
        <w:wordWrap/>
        <w:overflowPunct/>
        <w:topLinePunct w:val="0"/>
        <w:autoSpaceDE/>
        <w:autoSpaceDN/>
        <w:bidi w:val="0"/>
        <w:adjustRightInd/>
        <w:snapToGrid/>
        <w:spacing w:line="480" w:lineRule="auto"/>
        <w:ind w:left="0" w:leftChars="0" w:right="0" w:rightChars="0"/>
        <w:jc w:val="left"/>
        <w:textAlignment w:val="auto"/>
        <w:outlineLvl w:val="9"/>
        <w:rPr>
          <w:color w:val="000000" w:themeColor="text1"/>
          <w:highlight w:val="none"/>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                                          日期：</w:t>
      </w:r>
    </w:p>
    <w:p w14:paraId="5D4896B1">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AE550C5">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6C01641C">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6F43D5BE">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1DB1227">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5BA12757">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170EE7D">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5BFFA9F9">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CE5AE14">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4E030EF">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FF09031">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AB039D2">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81AAADD">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052A21B6">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39451AC3">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292088AA">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8D754F8">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41FE4FF8">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7CD9EC49">
      <w:pPr>
        <w:pStyle w:val="209"/>
        <w:spacing w:beforeAutospacing="0" w:afterAutospacing="0"/>
        <w:jc w:val="center"/>
        <w:rPr>
          <w:rFonts w:hint="eastAsia" w:ascii="宋体" w:hAnsi="宋体" w:cs="宋体"/>
          <w:b/>
          <w:color w:val="000000" w:themeColor="text1"/>
          <w:sz w:val="32"/>
          <w:szCs w:val="32"/>
          <w:highlight w:val="none"/>
          <w14:textFill>
            <w14:solidFill>
              <w14:schemeClr w14:val="tx1"/>
            </w14:solidFill>
          </w14:textFill>
        </w:rPr>
      </w:pPr>
    </w:p>
    <w:p w14:paraId="1141E601">
      <w:pPr>
        <w:pStyle w:val="209"/>
        <w:spacing w:beforeAutospacing="0" w:afterAutospacing="0"/>
        <w:jc w:val="cente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质疑函范本</w:t>
      </w:r>
    </w:p>
    <w:p w14:paraId="475942AD">
      <w:pPr>
        <w:pStyle w:val="209"/>
        <w:spacing w:before="290"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一、质疑供应商基本信息</w:t>
      </w:r>
    </w:p>
    <w:p w14:paraId="1B622FB3">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质疑供应商：</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5B713938">
      <w:pPr>
        <w:pStyle w:val="209"/>
        <w:spacing w:beforeAutospacing="0" w:afterAutospacing="0" w:line="360" w:lineRule="auto"/>
        <w:jc w:val="both"/>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地址：</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w:t>
      </w:r>
    </w:p>
    <w:p w14:paraId="58807F9E">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邮编：</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76A6B3EC">
      <w:pPr>
        <w:pStyle w:val="209"/>
        <w:spacing w:beforeAutospacing="0" w:afterAutospacing="0" w:line="360" w:lineRule="auto"/>
        <w:jc w:val="both"/>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联系人：</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256A8B07">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联系电话：</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691F1E34">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授权代表：</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1F7421AE">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联系电话：</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01144C07">
      <w:pPr>
        <w:pStyle w:val="209"/>
        <w:spacing w:beforeAutospacing="0" w:afterAutospacing="0" w:line="360" w:lineRule="auto"/>
        <w:jc w:val="both"/>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地址： </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4E10CC10">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邮编：</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30DD26F6">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二、质疑项目基本情况</w:t>
      </w:r>
    </w:p>
    <w:p w14:paraId="6A205917">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质疑项目的名称：</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30AE93FA">
      <w:pPr>
        <w:pStyle w:val="209"/>
        <w:spacing w:beforeAutospacing="0" w:afterAutospacing="0" w:line="360" w:lineRule="auto"/>
        <w:jc w:val="both"/>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质疑项目的编号：</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30B7FA14">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包号：</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208C92E6">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采购人名称：</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1A3A10EF">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采购文件获取日期：</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33A4968C">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三、质疑事项具体内容</w:t>
      </w:r>
    </w:p>
    <w:p w14:paraId="31024B5D">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质疑事项1：</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68E65373">
      <w:pPr>
        <w:pStyle w:val="209"/>
        <w:spacing w:beforeAutospacing="0"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事实依据：</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743BCE1E">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法律依据：</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7BBD966E">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质疑事项2</w:t>
      </w:r>
    </w:p>
    <w:p w14:paraId="750EDFA0">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p w14:paraId="4710BB1D">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四、与质疑事项相关的质疑请求</w:t>
      </w:r>
    </w:p>
    <w:p w14:paraId="124C397D">
      <w:pPr>
        <w:pStyle w:val="209"/>
        <w:spacing w:beforeAutospacing="0" w:afterAutospacing="0"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请求：</w:t>
      </w:r>
      <w:r>
        <w:rPr>
          <w:rFonts w:hint="eastAsia" w:ascii="宋体" w:hAnsi="宋体" w:cs="宋体"/>
          <w:color w:val="000000" w:themeColor="text1"/>
          <w:sz w:val="21"/>
          <w:szCs w:val="21"/>
          <w:highlight w:val="none"/>
          <w:u w:val="single"/>
          <w14:textFill>
            <w14:solidFill>
              <w14:schemeClr w14:val="tx1"/>
            </w14:solidFill>
          </w14:textFill>
        </w:rPr>
        <w:t xml:space="preserve">                                                          </w:t>
      </w:r>
    </w:p>
    <w:p w14:paraId="64E6A5C3">
      <w:pPr>
        <w:pStyle w:val="209"/>
        <w:spacing w:beforeAutospacing="0" w:afterAutospacing="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签字(签章)：                 公章：               日期：    </w:t>
      </w:r>
    </w:p>
    <w:p w14:paraId="4DE758C1">
      <w:pPr>
        <w:pStyle w:val="209"/>
        <w:spacing w:beforeAutospacing="0" w:afterAutospacing="0" w:line="0" w:lineRule="atLeast"/>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质疑函制作说明：</w:t>
      </w:r>
    </w:p>
    <w:p w14:paraId="0FCE6072">
      <w:pPr>
        <w:pStyle w:val="209"/>
        <w:widowControl/>
        <w:spacing w:beforeAutospacing="0" w:afterAutospacing="0" w:line="0" w:lineRule="atLeast"/>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1.供应商提出质疑时，应提交质疑函和必要的证明材料。</w:t>
      </w:r>
    </w:p>
    <w:p w14:paraId="3007AF54">
      <w:pPr>
        <w:pStyle w:val="209"/>
        <w:widowControl/>
        <w:spacing w:beforeAutospacing="0" w:afterAutospacing="0" w:line="0" w:lineRule="atLeast"/>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D4A8CFF">
      <w:pPr>
        <w:pStyle w:val="209"/>
        <w:widowControl/>
        <w:spacing w:beforeAutospacing="0" w:afterAutospacing="0" w:line="0" w:lineRule="atLeast"/>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3.质疑供应商若对项目的某一分包进行质疑，质疑函中应列明具体分包号。</w:t>
      </w:r>
    </w:p>
    <w:p w14:paraId="6DA09E78">
      <w:pPr>
        <w:pStyle w:val="209"/>
        <w:widowControl/>
        <w:spacing w:beforeAutospacing="0" w:afterAutospacing="0" w:line="0" w:lineRule="atLeast"/>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4.质疑函的质疑事项应具体、明确，并有必要的事实依据和法律依据。</w:t>
      </w:r>
    </w:p>
    <w:p w14:paraId="0C24907E">
      <w:pPr>
        <w:pStyle w:val="209"/>
        <w:widowControl/>
        <w:spacing w:beforeAutospacing="0" w:afterAutospacing="0" w:line="0" w:lineRule="atLeast"/>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5.质疑函的质疑请求应与质疑事项相关。</w:t>
      </w:r>
    </w:p>
    <w:p w14:paraId="06E6A7C9">
      <w:pPr>
        <w:pStyle w:val="209"/>
        <w:widowControl/>
        <w:spacing w:beforeAutospacing="0" w:afterAutospacing="0" w:line="0" w:lineRule="atLeast"/>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sectPr>
      <w:headerReference r:id="rId4" w:type="first"/>
      <w:footerReference r:id="rId5" w:type="default"/>
      <w:headerReference r:id="rId3" w:type="even"/>
      <w:pgSz w:w="11906" w:h="16838"/>
      <w:pgMar w:top="1440" w:right="1486" w:bottom="1440" w:left="13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1C44C">
    <w:pPr>
      <w:pStyle w:val="21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101</w:t>
    </w:r>
    <w:r>
      <w:rPr>
        <w:b/>
        <w:sz w:val="24"/>
        <w:szCs w:val="24"/>
      </w:rPr>
      <w:fldChar w:fldCharType="end"/>
    </w:r>
  </w:p>
  <w:p w14:paraId="010E09BD">
    <w:pPr>
      <w:pStyle w:val="2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7C8E0">
    <w:r>
      <mc:AlternateContent>
        <mc:Choice Requires="wps">
          <w:drawing>
            <wp:anchor distT="0" distB="0" distL="114300" distR="114300" simplePos="0" relativeHeight="25167769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7815974C">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100pt;height:25pt;width:200pt;rotation:-1638402f;z-index:251677696;mso-width-relative:page;mso-height-relative:page;" filled="f" stroked="f" coordsize="21600,21600" o:gfxdata="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hdnHa9IAAAAKAQAADwAAAAAAAAABACAAAAAiAAAAZHJzL2Rv&#10;d25yZXYueG1sUEsBAhQAFAAAAAgAh07iQImjIYw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7815974C">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5DEEE920">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300pt;height:25pt;width:200pt;rotation:-1638402f;z-index:251691008;mso-width-relative:page;mso-height-relative:page;" filled="f" stroked="f" coordsize="21600,21600" o:gfxdata="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Wgnn59IAAAAKAQAADwAAAAAAAAABACAAAAAiAAAAZHJzL2Rv&#10;d25yZXYueG1sUEsBAhQAFAAAAAgAh07iQEz7eP0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5DEEE920">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6A73D9D7">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500pt;height:25pt;width:200pt;rotation:-1638402f;z-index:251692032;mso-width-relative:page;mso-height-relative:page;" filled="f" stroked="f" coordsize="21600,21600" o:gfxdata="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wDW+NQAAAAMAQAADwAAAAAAAAABACAAAAAiAAAAZHJz&#10;L2Rvd25yZXYueG1sUEsBAhQAFAAAAAgAh07iQDAxn2Q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6A73D9D7">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9305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7FC0648F">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100pt;height:25pt;width:200pt;rotation:-1638402f;z-index:251693056;mso-width-relative:page;mso-height-relative:page;" filled="f" stroked="f" coordsize="21600,21600" o:gfxdata="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ivsb40wAAAAsBAAAPAAAAAAAAAAEAIAAAACIAAABkcnMv&#10;ZG93bnJldi54bWxQSwECFAAUAAAACACHTuJAxkrKHwgCAAAU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7FC0648F">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round/>
                      </a:ln>
                    </wps:spPr>
                    <wps:txbx>
                      <w:txbxContent>
                        <w:p w14:paraId="4D8F9882">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300pt;height:25pt;width:200pt;rotation:-1638402f;z-index:251694080;mso-width-relative:page;mso-height-relative:page;" filled="f" stroked="f" coordsize="21600,21600" o:gfxdata="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PW7mdNMAAAALAQAADwAAAAAAAAABACAAAAAiAAAA&#10;ZHJzL2Rvd25yZXYueG1sUEsBAhQAFAAAAAgAh07iQHSi9oUMAgAAHgQAAA4AAAAAAAAAAQAgAAAA&#10;IgEAAGRycy9lMm9Eb2MueG1sUEsFBgAAAAAGAAYAWQEAAKAFAAAAAA==&#10;" adj="10800">
              <v:fill on="f" focussize="0,0"/>
              <v:stroke on="f" joinstyle="round"/>
              <v:imagedata o:title=""/>
              <o:lock v:ext="edit" aspectratio="f"/>
              <v:textpath on="f" fitpath="t" trim="t" xscale="f" string="" style="font-size:36pt;v-text-align:center;"/>
              <v:textbox inset="0mm,0mm,0mm,0mm">
                <w:txbxContent>
                  <w:p w14:paraId="4D8F9882">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9510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5B3C627B">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500pt;height:25pt;width:200pt;rotation:-1638402f;z-index:251695104;mso-width-relative:page;mso-height-relative:page;" filled="f" stroked="f" coordsize="21600,21600" o:gfxdata="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nYNJNQAAAANAQAADwAAAAAAAAABACAAAAAiAAAAZHJz&#10;L2Rvd25yZXYueG1sUEsBAhQAFAAAAAgAh07iQH/YdPc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5B3C627B">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p>
  <w:p w14:paraId="0CD0CFB0">
    <w:r>
      <w:pict>
        <v:shape id="_x0000_s4109" o:spid="_x0000_s4109" o:spt="136" type="#_x0000_t136" style="position:absolute;left:0pt;margin-left:30pt;margin-top:100pt;height:25pt;width:200pt;rotation:-1638400f;z-index:251678720;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0" o:spid="_x0000_s4110" o:spt="136" type="#_x0000_t136" style="position:absolute;left:0pt;margin-left:30pt;margin-top:300pt;height:25pt;width:200pt;rotation:-1638400f;z-index:25167974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1" o:spid="_x0000_s4111" o:spt="136" type="#_x0000_t136" style="position:absolute;left:0pt;margin-left:30pt;margin-top:500pt;height:25pt;width:200pt;rotation:-1638400f;z-index:251680768;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2" o:spid="_x0000_s4112" o:spt="136" type="#_x0000_t136" style="position:absolute;left:0pt;margin-left:230pt;margin-top:100pt;height:25pt;width:200pt;rotation:-1638400f;z-index:251681792;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3" o:spid="_x0000_s4113" o:spt="136" type="#_x0000_t136" style="position:absolute;left:0pt;margin-left:230pt;margin-top:300pt;height:25pt;width:200pt;rotation:-1638400f;z-index:251682816;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4" o:spid="_x0000_s4114" o:spt="136" type="#_x0000_t136" style="position:absolute;left:0pt;margin-left:230pt;margin-top:500pt;height:25pt;width:200pt;rotation:-1638400f;z-index:251683840;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p>
  <w:p w14:paraId="75194E45">
    <w:r>
      <w:pict>
        <v:shape id="_x0000_s4115" o:spid="_x0000_s4115" o:spt="136" type="#_x0000_t136" style="position:absolute;left:0pt;margin-left:30pt;margin-top:100pt;height:25pt;width:200pt;rotation:-1638400f;z-index:251666432;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16" o:spid="_x0000_s4116" o:spt="136" type="#_x0000_t136" style="position:absolute;left:0pt;margin-left:30pt;margin-top:300pt;height:25pt;width:200pt;rotation:-1638400f;z-index:251667456;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17" o:spid="_x0000_s4117" o:spt="136" type="#_x0000_t136" style="position:absolute;left:0pt;margin-left:30pt;margin-top:500pt;height:25pt;width:200pt;rotation:-1638400f;z-index:251668480;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18" o:spid="_x0000_s4118" o:spt="136" type="#_x0000_t136" style="position:absolute;left:0pt;margin-left:230pt;margin-top:100pt;height:25pt;width:200pt;rotation:-1638400f;z-index:251669504;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19" o:spid="_x0000_s4119" o:spt="136" type="#_x0000_t136" style="position:absolute;left:0pt;margin-left:230pt;margin-top:300pt;height:25pt;width:200pt;rotation:-1638400f;z-index:251670528;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20" o:spid="_x0000_s4120" o:spt="136" type="#_x0000_t136" style="position:absolute;left:0pt;margin-left:230pt;margin-top:500pt;height:25pt;width:200pt;rotation:-1638400f;z-index:251671552;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53B19">
    <w:r>
      <mc:AlternateContent>
        <mc:Choice Requires="wps">
          <w:drawing>
            <wp:anchor distT="0" distB="0" distL="114300" distR="114300" simplePos="0" relativeHeight="2516848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矩形 7"/>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6AE6BCA1">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100pt;height:25pt;width:200pt;rotation:-1638402f;z-index:251684864;mso-width-relative:page;mso-height-relative:page;" filled="f" stroked="f" coordsize="21600,21600" o:gfxdata="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XZx2vSAAAACgEAAA8AAAAAAAAAAQAgAAAAIgAAAGRycy9k&#10;b3ducmV2LnhtbFBLAQIUABQAAAAIAIdO4kADEpNuCAIAABQEAAAOAAAAAAAAAAEAIAAAACEBAABk&#10;cnMvZTJvRG9jLnhtbFBLBQYAAAAABgAGAFkBAACbBQAAAAA=&#10;" adj="10800">
              <v:fill on="f" focussize="0,0"/>
              <v:stroke on="f"/>
              <v:imagedata o:title=""/>
              <o:lock v:ext="edit" aspectratio="f"/>
              <v:textpath on="f" fitpath="t" trim="t" xscale="f" string="" style="font-size:36pt;v-text-align:center;"/>
              <v:textbox inset="0mm,0mm,0mm,0mm">
                <w:txbxContent>
                  <w:p w14:paraId="6AE6BCA1">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矩形 8"/>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2A43B9F7">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300pt;height:25pt;width:200pt;rotation:-1638402f;z-index:251685888;mso-width-relative:page;mso-height-relative:page;" filled="f" stroked="f" coordsize="21600,21600" o:gfxdata="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Wgnn59IAAAAKAQAADwAAAAAAAAABACAAAAAiAAAAZHJzL2Rv&#10;d25yZXYueG1sUEsBAhQAFAAAAAgAh07iQJMv3gE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2A43B9F7">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矩形 9"/>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41B346D7">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500pt;height:25pt;width:200pt;rotation:-1638402f;z-index:251686912;mso-width-relative:page;mso-height-relative:page;" filled="f" stroked="f" coordsize="21600,21600" o:gfxdata="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wDW+NQAAAAMAQAADwAAAAAAAAABACAAAAAiAAAAZHJz&#10;L2Rvd25yZXYueG1sUEsBAhQAFAAAAAgAh07iQO/lOZg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41B346D7">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矩形 10"/>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2397C838">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100pt;height:25pt;width:200pt;rotation:-1638402f;z-index:251687936;mso-width-relative:page;mso-height-relative:page;" filled="f" stroked="f" coordsize="21600,21600" o:gfxdata="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ivsb40wAAAAsBAAAPAAAAAAAAAAEAIAAAACIAAABkcnMv&#10;ZG93bnJldi54bWxQSwECFAAUAAAACACHTuJA3xGSfQgCAAAW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2397C838">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矩形 11"/>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1618A85C">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300pt;height:25pt;width:200pt;rotation:-1638402f;z-index:251688960;mso-width-relative:page;mso-height-relative:page;" filled="f" stroked="f" coordsize="21600,21600" o:gfxdata="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9buZ00wAAAAsBAAAPAAAAAAAAAAEAIAAAACIAAABkcnMv&#10;ZG93bnJldi54bWxQSwECFAAUAAAACACHTuJAeYoVeAgCAAAW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1618A85C">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矩形 12"/>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round/>
                      </a:ln>
                    </wps:spPr>
                    <wps:txbx>
                      <w:txbxContent>
                        <w:p w14:paraId="13FF037B">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500pt;height:25pt;width:200pt;rotation:-1638402f;z-index:251689984;mso-width-relative:page;mso-height-relative:page;" filled="f" stroked="f" coordsize="21600,21600" o:gfxdata="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Z2DSTUAAAADQEAAA8AAAAAAAAAAQAgAAAAIgAA&#10;AGRycy9kb3ducmV2LnhtbFBLAQIUABQAAAAIAIdO4kB2nYgTDAIAACAEAAAOAAAAAAAAAAEAIAAA&#10;ACMBAABkcnMvZTJvRG9jLnhtbFBLBQYAAAAABgAGAFkBAAChBQAAAAA=&#10;" adj="10800">
              <v:fill on="f" focussize="0,0"/>
              <v:stroke on="f" joinstyle="round"/>
              <v:imagedata o:title=""/>
              <o:lock v:ext="edit" aspectratio="f"/>
              <v:textpath on="f" fitpath="t" trim="t" xscale="f" string="" style="font-size:36pt;v-text-align:center;"/>
              <v:textbox inset="0mm,0mm,0mm,0mm">
                <w:txbxContent>
                  <w:p w14:paraId="13FF037B">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p>
  <w:p w14:paraId="3EF9BE79">
    <w:r>
      <w:pict>
        <v:shape id="_x0000_s4097" o:spid="_x0000_s4097" o:spt="136" type="#_x0000_t136" style="position:absolute;left:0pt;margin-left:30pt;margin-top:100pt;height:25pt;width:200pt;rotation:-1638400f;z-index:25165926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098" o:spid="_x0000_s4098" o:spt="136" type="#_x0000_t136" style="position:absolute;left:0pt;margin-left:30pt;margin-top:300pt;height:25pt;width:200pt;rotation:-1638400f;z-index:251672576;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099" o:spid="_x0000_s4099" o:spt="136" type="#_x0000_t136" style="position:absolute;left:0pt;margin-left:30pt;margin-top:500pt;height:25pt;width:200pt;rotation:-1638400f;z-index:251673600;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0" o:spid="_x0000_s4100" o:spt="136" type="#_x0000_t136" style="position:absolute;left:0pt;margin-left:230pt;margin-top:100pt;height:25pt;width:200pt;rotation:-1638400f;z-index:25167462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1" o:spid="_x0000_s4101" o:spt="136" type="#_x0000_t136" style="position:absolute;left:0pt;margin-left:230pt;margin-top:300pt;height:25pt;width:200pt;rotation:-1638400f;z-index:251675648;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2" o:spid="_x0000_s4102" o:spt="136" type="#_x0000_t136" style="position:absolute;left:0pt;margin-left:230pt;margin-top:500pt;height:25pt;width:200pt;rotation:-1638400f;z-index:251676672;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p>
  <w:p w14:paraId="125E3EF2">
    <w:r>
      <w:pict>
        <v:shape id="_x0000_s4103" o:spid="_x0000_s4103" o:spt="136" type="#_x0000_t136" style="position:absolute;left:0pt;margin-left:30pt;margin-top:100pt;height:25pt;width:200pt;rotation:-1638400f;z-index:251660288;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04" o:spid="_x0000_s4104" o:spt="136" type="#_x0000_t136" style="position:absolute;left:0pt;margin-left:30pt;margin-top:300pt;height:25pt;width:200pt;rotation:-1638400f;z-index:251661312;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05" o:spid="_x0000_s4105" o:spt="136" type="#_x0000_t136" style="position:absolute;left:0pt;margin-left:30pt;margin-top:500pt;height:25pt;width:200pt;rotation:-1638400f;z-index:251662336;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06" o:spid="_x0000_s4106" o:spt="136" type="#_x0000_t136" style="position:absolute;left:0pt;margin-left:230pt;margin-top:100pt;height:25pt;width:200pt;rotation:-1638400f;z-index:251663360;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07" o:spid="_x0000_s4107" o:spt="136" type="#_x0000_t136" style="position:absolute;left:0pt;margin-left:230pt;margin-top:300pt;height:25pt;width:200pt;rotation:-1638400f;z-index:251664384;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r>
      <w:pict>
        <v:shape id="_x0000_s4108" o:spid="_x0000_s4108" o:spt="136" type="#_x0000_t136" style="position:absolute;left:0pt;margin-left:230pt;margin-top:500pt;height:25pt;width:200pt;rotation:-1638400f;z-index:251665408;mso-width-relative:page;mso-height-relative:page;" fillcolor="#D9D9D9" filled="t" stroked="t" coordsize="21600,21600">
          <v:path/>
          <v:fill on="t" focussize="0,0"/>
          <v:stroke color="#D9D9D9"/>
          <v:imagedata o:title=""/>
          <o:lock v:ext="edit"/>
          <v:textpath on="t" fitshape="t" fitpath="t" trim="f" xscale="f" string="无人机侦测与反制设备采购项目" style="font-family:宋体;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13DEF11"/>
    <w:multiLevelType w:val="singleLevel"/>
    <w:tmpl w:val="013DEF11"/>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961554"/>
    <w:rsid w:val="00973FB8"/>
    <w:rsid w:val="00BC57CD"/>
    <w:rsid w:val="015D17F4"/>
    <w:rsid w:val="016D145B"/>
    <w:rsid w:val="01A817CF"/>
    <w:rsid w:val="01AA085E"/>
    <w:rsid w:val="01BA2B60"/>
    <w:rsid w:val="0288005D"/>
    <w:rsid w:val="02D11E91"/>
    <w:rsid w:val="02DD05FC"/>
    <w:rsid w:val="033A2E12"/>
    <w:rsid w:val="03444BB2"/>
    <w:rsid w:val="034D7EB4"/>
    <w:rsid w:val="0374422E"/>
    <w:rsid w:val="038F541B"/>
    <w:rsid w:val="03AF24AE"/>
    <w:rsid w:val="03BC0990"/>
    <w:rsid w:val="03D2095E"/>
    <w:rsid w:val="040770F3"/>
    <w:rsid w:val="043C6EC6"/>
    <w:rsid w:val="04A6248E"/>
    <w:rsid w:val="053C4E38"/>
    <w:rsid w:val="05ED1632"/>
    <w:rsid w:val="06496DEA"/>
    <w:rsid w:val="06720BED"/>
    <w:rsid w:val="06A46D09"/>
    <w:rsid w:val="072C72D4"/>
    <w:rsid w:val="07750484"/>
    <w:rsid w:val="07820D44"/>
    <w:rsid w:val="07D47FF4"/>
    <w:rsid w:val="081D227E"/>
    <w:rsid w:val="08225E73"/>
    <w:rsid w:val="082A67BE"/>
    <w:rsid w:val="082E19BC"/>
    <w:rsid w:val="08360110"/>
    <w:rsid w:val="08504BB2"/>
    <w:rsid w:val="087979E0"/>
    <w:rsid w:val="087A7437"/>
    <w:rsid w:val="08E73603"/>
    <w:rsid w:val="09485A06"/>
    <w:rsid w:val="09760CC5"/>
    <w:rsid w:val="0A4874B2"/>
    <w:rsid w:val="0A5464CD"/>
    <w:rsid w:val="0A9A22AB"/>
    <w:rsid w:val="0A9F4195"/>
    <w:rsid w:val="0B090782"/>
    <w:rsid w:val="0B13248D"/>
    <w:rsid w:val="0B17002E"/>
    <w:rsid w:val="0B70796F"/>
    <w:rsid w:val="0BAF665A"/>
    <w:rsid w:val="0CA95432"/>
    <w:rsid w:val="0DB1034B"/>
    <w:rsid w:val="0E0631FF"/>
    <w:rsid w:val="0ED67038"/>
    <w:rsid w:val="0EEE4933"/>
    <w:rsid w:val="0F1D5791"/>
    <w:rsid w:val="0F34221E"/>
    <w:rsid w:val="0F7F10AE"/>
    <w:rsid w:val="0FB40A42"/>
    <w:rsid w:val="10103851"/>
    <w:rsid w:val="101D12F7"/>
    <w:rsid w:val="102C4A8F"/>
    <w:rsid w:val="104F73B3"/>
    <w:rsid w:val="106B0147"/>
    <w:rsid w:val="10ED2DD6"/>
    <w:rsid w:val="112D3A10"/>
    <w:rsid w:val="113E3DA5"/>
    <w:rsid w:val="11E516AE"/>
    <w:rsid w:val="12236FEF"/>
    <w:rsid w:val="122F6A4E"/>
    <w:rsid w:val="12645AF2"/>
    <w:rsid w:val="129457F5"/>
    <w:rsid w:val="136715C8"/>
    <w:rsid w:val="13675A6C"/>
    <w:rsid w:val="1377630D"/>
    <w:rsid w:val="13907E31"/>
    <w:rsid w:val="148278C7"/>
    <w:rsid w:val="14A975E7"/>
    <w:rsid w:val="14AA0E1B"/>
    <w:rsid w:val="14F528D6"/>
    <w:rsid w:val="14F73C7E"/>
    <w:rsid w:val="153F1690"/>
    <w:rsid w:val="1546720E"/>
    <w:rsid w:val="15520875"/>
    <w:rsid w:val="15603DFF"/>
    <w:rsid w:val="15A23462"/>
    <w:rsid w:val="15F1161D"/>
    <w:rsid w:val="15F66C34"/>
    <w:rsid w:val="16291C0F"/>
    <w:rsid w:val="162B0ED3"/>
    <w:rsid w:val="16521C17"/>
    <w:rsid w:val="167D7355"/>
    <w:rsid w:val="169246EF"/>
    <w:rsid w:val="170F6A96"/>
    <w:rsid w:val="17387850"/>
    <w:rsid w:val="177D6E25"/>
    <w:rsid w:val="17CD7124"/>
    <w:rsid w:val="18B12316"/>
    <w:rsid w:val="19653F55"/>
    <w:rsid w:val="197D78FE"/>
    <w:rsid w:val="198A6E91"/>
    <w:rsid w:val="1992115F"/>
    <w:rsid w:val="19A075E2"/>
    <w:rsid w:val="19EE4782"/>
    <w:rsid w:val="1A115AC2"/>
    <w:rsid w:val="1A4F3E44"/>
    <w:rsid w:val="1AD258B4"/>
    <w:rsid w:val="1B254F07"/>
    <w:rsid w:val="1B311BC4"/>
    <w:rsid w:val="1B39726E"/>
    <w:rsid w:val="1B5543FC"/>
    <w:rsid w:val="1BA76144"/>
    <w:rsid w:val="1BDF66E4"/>
    <w:rsid w:val="1BFB36E8"/>
    <w:rsid w:val="1C4B5CD8"/>
    <w:rsid w:val="1C4C33DE"/>
    <w:rsid w:val="1D1754FC"/>
    <w:rsid w:val="1D2A680F"/>
    <w:rsid w:val="1D2C2BAC"/>
    <w:rsid w:val="1D3A5E18"/>
    <w:rsid w:val="1D9278A1"/>
    <w:rsid w:val="1D9C4564"/>
    <w:rsid w:val="1E131E1E"/>
    <w:rsid w:val="1E6C3F37"/>
    <w:rsid w:val="1EB27BD0"/>
    <w:rsid w:val="1EC13C7A"/>
    <w:rsid w:val="1EC20705"/>
    <w:rsid w:val="1F67790E"/>
    <w:rsid w:val="1F9279CD"/>
    <w:rsid w:val="1FCD62AF"/>
    <w:rsid w:val="1FF81498"/>
    <w:rsid w:val="201523AC"/>
    <w:rsid w:val="2043524F"/>
    <w:rsid w:val="20865F13"/>
    <w:rsid w:val="20A92F74"/>
    <w:rsid w:val="20AB6013"/>
    <w:rsid w:val="20BE4664"/>
    <w:rsid w:val="20C964AA"/>
    <w:rsid w:val="20EA188C"/>
    <w:rsid w:val="21007E4F"/>
    <w:rsid w:val="216955FA"/>
    <w:rsid w:val="218F6A5B"/>
    <w:rsid w:val="21A734D8"/>
    <w:rsid w:val="21C4306B"/>
    <w:rsid w:val="21DF3764"/>
    <w:rsid w:val="21F069DD"/>
    <w:rsid w:val="220942A4"/>
    <w:rsid w:val="22142C3C"/>
    <w:rsid w:val="2228440D"/>
    <w:rsid w:val="22295D0D"/>
    <w:rsid w:val="22D623F3"/>
    <w:rsid w:val="232B508D"/>
    <w:rsid w:val="23365EEC"/>
    <w:rsid w:val="23810B68"/>
    <w:rsid w:val="23A86648"/>
    <w:rsid w:val="23F8626D"/>
    <w:rsid w:val="243B38DB"/>
    <w:rsid w:val="24717101"/>
    <w:rsid w:val="24A3268B"/>
    <w:rsid w:val="24C26FA6"/>
    <w:rsid w:val="25476CEB"/>
    <w:rsid w:val="25741E93"/>
    <w:rsid w:val="25D47135"/>
    <w:rsid w:val="26091816"/>
    <w:rsid w:val="26C150D0"/>
    <w:rsid w:val="27661A6C"/>
    <w:rsid w:val="27711F3F"/>
    <w:rsid w:val="279C4EA9"/>
    <w:rsid w:val="27BB65B8"/>
    <w:rsid w:val="28332FEF"/>
    <w:rsid w:val="283579C1"/>
    <w:rsid w:val="286A6E9E"/>
    <w:rsid w:val="28862099"/>
    <w:rsid w:val="28BE1833"/>
    <w:rsid w:val="28C90318"/>
    <w:rsid w:val="29130F96"/>
    <w:rsid w:val="295C7931"/>
    <w:rsid w:val="29DE3385"/>
    <w:rsid w:val="2A1536D4"/>
    <w:rsid w:val="2A5F0DF4"/>
    <w:rsid w:val="2B6A410E"/>
    <w:rsid w:val="2BDA5D34"/>
    <w:rsid w:val="2BF50297"/>
    <w:rsid w:val="2C1856FE"/>
    <w:rsid w:val="2C897AD7"/>
    <w:rsid w:val="2CD92BEE"/>
    <w:rsid w:val="2CE54CE1"/>
    <w:rsid w:val="2CE850D0"/>
    <w:rsid w:val="2DCC49F2"/>
    <w:rsid w:val="2DD90EBD"/>
    <w:rsid w:val="2DE57862"/>
    <w:rsid w:val="2E371A7C"/>
    <w:rsid w:val="2F025089"/>
    <w:rsid w:val="2F655A7B"/>
    <w:rsid w:val="2FC03607"/>
    <w:rsid w:val="2FC64924"/>
    <w:rsid w:val="3081261A"/>
    <w:rsid w:val="30856441"/>
    <w:rsid w:val="308C5D5A"/>
    <w:rsid w:val="30BA58AE"/>
    <w:rsid w:val="30BD6874"/>
    <w:rsid w:val="30C36E5E"/>
    <w:rsid w:val="30EA2141"/>
    <w:rsid w:val="30F5430D"/>
    <w:rsid w:val="311F4E9C"/>
    <w:rsid w:val="314C3ABF"/>
    <w:rsid w:val="314C569D"/>
    <w:rsid w:val="31A4672E"/>
    <w:rsid w:val="31D13ECD"/>
    <w:rsid w:val="31F25817"/>
    <w:rsid w:val="32087FC3"/>
    <w:rsid w:val="32304664"/>
    <w:rsid w:val="32B01967"/>
    <w:rsid w:val="32DE193A"/>
    <w:rsid w:val="32FE2181"/>
    <w:rsid w:val="33184BE3"/>
    <w:rsid w:val="33274478"/>
    <w:rsid w:val="33B04CA4"/>
    <w:rsid w:val="33E800AC"/>
    <w:rsid w:val="34EC28B8"/>
    <w:rsid w:val="350C1745"/>
    <w:rsid w:val="35164968"/>
    <w:rsid w:val="354C477B"/>
    <w:rsid w:val="355E55DD"/>
    <w:rsid w:val="356F7214"/>
    <w:rsid w:val="357B1341"/>
    <w:rsid w:val="35CA577F"/>
    <w:rsid w:val="35D72186"/>
    <w:rsid w:val="36B83A6B"/>
    <w:rsid w:val="377E7262"/>
    <w:rsid w:val="37A97611"/>
    <w:rsid w:val="37AA232B"/>
    <w:rsid w:val="37DA0B92"/>
    <w:rsid w:val="381C086C"/>
    <w:rsid w:val="386F6095"/>
    <w:rsid w:val="387E0FDF"/>
    <w:rsid w:val="388A0F10"/>
    <w:rsid w:val="389B56ED"/>
    <w:rsid w:val="38CF4EB1"/>
    <w:rsid w:val="38E0400A"/>
    <w:rsid w:val="392B4CC2"/>
    <w:rsid w:val="395B4FE9"/>
    <w:rsid w:val="39C646AC"/>
    <w:rsid w:val="39C72511"/>
    <w:rsid w:val="39CF64CC"/>
    <w:rsid w:val="39D06F55"/>
    <w:rsid w:val="3A157451"/>
    <w:rsid w:val="3A306341"/>
    <w:rsid w:val="3A5474D3"/>
    <w:rsid w:val="3A976388"/>
    <w:rsid w:val="3AA00A71"/>
    <w:rsid w:val="3AF81870"/>
    <w:rsid w:val="3B0847B6"/>
    <w:rsid w:val="3B2B2C2F"/>
    <w:rsid w:val="3B417694"/>
    <w:rsid w:val="3B451C40"/>
    <w:rsid w:val="3B8C25E1"/>
    <w:rsid w:val="3C325B86"/>
    <w:rsid w:val="3C8B3CCA"/>
    <w:rsid w:val="3CA55C90"/>
    <w:rsid w:val="3D257C7B"/>
    <w:rsid w:val="3D68221C"/>
    <w:rsid w:val="3D6D7401"/>
    <w:rsid w:val="3DDB1CD3"/>
    <w:rsid w:val="3E5177D9"/>
    <w:rsid w:val="3E9F7719"/>
    <w:rsid w:val="3EAD477D"/>
    <w:rsid w:val="3EC82B55"/>
    <w:rsid w:val="3EE319CD"/>
    <w:rsid w:val="3FCB6526"/>
    <w:rsid w:val="3FDE578F"/>
    <w:rsid w:val="400121B3"/>
    <w:rsid w:val="400E49F6"/>
    <w:rsid w:val="40916FFB"/>
    <w:rsid w:val="40991DE8"/>
    <w:rsid w:val="40C74447"/>
    <w:rsid w:val="40C91060"/>
    <w:rsid w:val="412F08A6"/>
    <w:rsid w:val="41CD6CC1"/>
    <w:rsid w:val="41DF49AC"/>
    <w:rsid w:val="41E9232C"/>
    <w:rsid w:val="425B7846"/>
    <w:rsid w:val="426B22C9"/>
    <w:rsid w:val="42C85EBB"/>
    <w:rsid w:val="42CA47DF"/>
    <w:rsid w:val="432F53AF"/>
    <w:rsid w:val="43407B62"/>
    <w:rsid w:val="43413334"/>
    <w:rsid w:val="435B28AD"/>
    <w:rsid w:val="43851C82"/>
    <w:rsid w:val="43AB3ABE"/>
    <w:rsid w:val="44095C00"/>
    <w:rsid w:val="44B804F6"/>
    <w:rsid w:val="45084269"/>
    <w:rsid w:val="452627E2"/>
    <w:rsid w:val="45303954"/>
    <w:rsid w:val="458658EA"/>
    <w:rsid w:val="462B59FE"/>
    <w:rsid w:val="462F4F0C"/>
    <w:rsid w:val="46600945"/>
    <w:rsid w:val="46676599"/>
    <w:rsid w:val="46B300A5"/>
    <w:rsid w:val="46B60064"/>
    <w:rsid w:val="46D61BCA"/>
    <w:rsid w:val="46FB0CBA"/>
    <w:rsid w:val="47AA514B"/>
    <w:rsid w:val="47CB25D0"/>
    <w:rsid w:val="48180165"/>
    <w:rsid w:val="48201405"/>
    <w:rsid w:val="48324F29"/>
    <w:rsid w:val="489A3099"/>
    <w:rsid w:val="48BD345D"/>
    <w:rsid w:val="48D118F2"/>
    <w:rsid w:val="48E352B0"/>
    <w:rsid w:val="492D795E"/>
    <w:rsid w:val="49551C16"/>
    <w:rsid w:val="4A462381"/>
    <w:rsid w:val="4A6F4246"/>
    <w:rsid w:val="4A8027DD"/>
    <w:rsid w:val="4A8C4CDD"/>
    <w:rsid w:val="4ACE168F"/>
    <w:rsid w:val="4B3F15A1"/>
    <w:rsid w:val="4B840CE8"/>
    <w:rsid w:val="4B865D88"/>
    <w:rsid w:val="4B9C357C"/>
    <w:rsid w:val="4BE30121"/>
    <w:rsid w:val="4C195314"/>
    <w:rsid w:val="4C475D0F"/>
    <w:rsid w:val="4C6D4C87"/>
    <w:rsid w:val="4CA43CCB"/>
    <w:rsid w:val="4CD80AB7"/>
    <w:rsid w:val="4CEC60BF"/>
    <w:rsid w:val="4CED67AD"/>
    <w:rsid w:val="4D896004"/>
    <w:rsid w:val="4D9947C8"/>
    <w:rsid w:val="4DEB6377"/>
    <w:rsid w:val="4DFB18C0"/>
    <w:rsid w:val="4E283848"/>
    <w:rsid w:val="4E3E643B"/>
    <w:rsid w:val="4E790B8C"/>
    <w:rsid w:val="4E847D44"/>
    <w:rsid w:val="4E8567CB"/>
    <w:rsid w:val="4ECB57C7"/>
    <w:rsid w:val="4EF754B4"/>
    <w:rsid w:val="4F4D2FB1"/>
    <w:rsid w:val="4F8A0762"/>
    <w:rsid w:val="4F911E60"/>
    <w:rsid w:val="4FC31EA2"/>
    <w:rsid w:val="50126ED7"/>
    <w:rsid w:val="503F6ECA"/>
    <w:rsid w:val="5066033B"/>
    <w:rsid w:val="50A71727"/>
    <w:rsid w:val="50D108BE"/>
    <w:rsid w:val="51624BA2"/>
    <w:rsid w:val="51AD2D4C"/>
    <w:rsid w:val="51C16CF3"/>
    <w:rsid w:val="524D249A"/>
    <w:rsid w:val="527964F3"/>
    <w:rsid w:val="52C67750"/>
    <w:rsid w:val="52CD626E"/>
    <w:rsid w:val="531002D1"/>
    <w:rsid w:val="53125E09"/>
    <w:rsid w:val="53167ACA"/>
    <w:rsid w:val="532540D9"/>
    <w:rsid w:val="539B7857"/>
    <w:rsid w:val="53E126F6"/>
    <w:rsid w:val="53FF2609"/>
    <w:rsid w:val="54113999"/>
    <w:rsid w:val="54267F9B"/>
    <w:rsid w:val="542C7D94"/>
    <w:rsid w:val="54722357"/>
    <w:rsid w:val="54FE62EA"/>
    <w:rsid w:val="554051FA"/>
    <w:rsid w:val="555F522A"/>
    <w:rsid w:val="55A52F86"/>
    <w:rsid w:val="55A608B5"/>
    <w:rsid w:val="55BE4344"/>
    <w:rsid w:val="561671AD"/>
    <w:rsid w:val="56375D92"/>
    <w:rsid w:val="565C4D7D"/>
    <w:rsid w:val="56850569"/>
    <w:rsid w:val="56A941CC"/>
    <w:rsid w:val="56B16EB1"/>
    <w:rsid w:val="571570C6"/>
    <w:rsid w:val="57812D56"/>
    <w:rsid w:val="57A41612"/>
    <w:rsid w:val="57C81ABA"/>
    <w:rsid w:val="57D37CD9"/>
    <w:rsid w:val="57FB7DAC"/>
    <w:rsid w:val="584D725A"/>
    <w:rsid w:val="58821591"/>
    <w:rsid w:val="58BB78BF"/>
    <w:rsid w:val="58DA3BB7"/>
    <w:rsid w:val="58E6255C"/>
    <w:rsid w:val="58F25B17"/>
    <w:rsid w:val="59694B3F"/>
    <w:rsid w:val="59701E26"/>
    <w:rsid w:val="59945B14"/>
    <w:rsid w:val="599C0754"/>
    <w:rsid w:val="59E051FD"/>
    <w:rsid w:val="5A041FE3"/>
    <w:rsid w:val="5A855A52"/>
    <w:rsid w:val="5A9F0097"/>
    <w:rsid w:val="5AC153C6"/>
    <w:rsid w:val="5AD80139"/>
    <w:rsid w:val="5AEC6CFC"/>
    <w:rsid w:val="5BAC183B"/>
    <w:rsid w:val="5BC87CF7"/>
    <w:rsid w:val="5BE85BB4"/>
    <w:rsid w:val="5BF31218"/>
    <w:rsid w:val="5C202187"/>
    <w:rsid w:val="5C714FB1"/>
    <w:rsid w:val="5C9B0FAB"/>
    <w:rsid w:val="5CC05393"/>
    <w:rsid w:val="5CDE5EB8"/>
    <w:rsid w:val="5D7A3273"/>
    <w:rsid w:val="5DA404B8"/>
    <w:rsid w:val="5DC3164B"/>
    <w:rsid w:val="5DCD72AC"/>
    <w:rsid w:val="5E143F8A"/>
    <w:rsid w:val="5E240ADC"/>
    <w:rsid w:val="5E663DCA"/>
    <w:rsid w:val="5E69057D"/>
    <w:rsid w:val="5EBC018F"/>
    <w:rsid w:val="5F421DC7"/>
    <w:rsid w:val="5F906D7E"/>
    <w:rsid w:val="5F9A228D"/>
    <w:rsid w:val="5FA13760"/>
    <w:rsid w:val="5FD759DF"/>
    <w:rsid w:val="5FF26CA8"/>
    <w:rsid w:val="606D26C1"/>
    <w:rsid w:val="607E307A"/>
    <w:rsid w:val="60980E01"/>
    <w:rsid w:val="611709F4"/>
    <w:rsid w:val="616C6292"/>
    <w:rsid w:val="61BD0CA1"/>
    <w:rsid w:val="61FE736A"/>
    <w:rsid w:val="620A5A72"/>
    <w:rsid w:val="62375BD7"/>
    <w:rsid w:val="625D58CB"/>
    <w:rsid w:val="62930045"/>
    <w:rsid w:val="62CB67C8"/>
    <w:rsid w:val="63747C85"/>
    <w:rsid w:val="639C6352"/>
    <w:rsid w:val="63C92E4B"/>
    <w:rsid w:val="63E461DC"/>
    <w:rsid w:val="642503DD"/>
    <w:rsid w:val="644A0212"/>
    <w:rsid w:val="6465428E"/>
    <w:rsid w:val="64986E00"/>
    <w:rsid w:val="64A802A7"/>
    <w:rsid w:val="64D64502"/>
    <w:rsid w:val="6612610A"/>
    <w:rsid w:val="66363D67"/>
    <w:rsid w:val="665C3D00"/>
    <w:rsid w:val="66B126D4"/>
    <w:rsid w:val="66D15C32"/>
    <w:rsid w:val="66FD0A64"/>
    <w:rsid w:val="672D4457"/>
    <w:rsid w:val="674B12C7"/>
    <w:rsid w:val="675110E9"/>
    <w:rsid w:val="67937B17"/>
    <w:rsid w:val="67A22957"/>
    <w:rsid w:val="67C952EF"/>
    <w:rsid w:val="682B092E"/>
    <w:rsid w:val="68A30BEF"/>
    <w:rsid w:val="69214DC3"/>
    <w:rsid w:val="693D367A"/>
    <w:rsid w:val="695F613F"/>
    <w:rsid w:val="697D0190"/>
    <w:rsid w:val="69B00E17"/>
    <w:rsid w:val="69DE0A9E"/>
    <w:rsid w:val="69DF0879"/>
    <w:rsid w:val="6A211646"/>
    <w:rsid w:val="6BAD1A08"/>
    <w:rsid w:val="6BF14499"/>
    <w:rsid w:val="6C2917AC"/>
    <w:rsid w:val="6C557FC1"/>
    <w:rsid w:val="6C762D25"/>
    <w:rsid w:val="6CA63FD7"/>
    <w:rsid w:val="6D1D2FF7"/>
    <w:rsid w:val="6D2535FA"/>
    <w:rsid w:val="6D31639B"/>
    <w:rsid w:val="6D48513C"/>
    <w:rsid w:val="6D5F6270"/>
    <w:rsid w:val="6D6830E8"/>
    <w:rsid w:val="6DD01206"/>
    <w:rsid w:val="6DF16F6F"/>
    <w:rsid w:val="6E027099"/>
    <w:rsid w:val="6E45599A"/>
    <w:rsid w:val="6E6130DC"/>
    <w:rsid w:val="6E7462E4"/>
    <w:rsid w:val="6EAA5557"/>
    <w:rsid w:val="6EAE2FFB"/>
    <w:rsid w:val="6EBF142E"/>
    <w:rsid w:val="6F70512A"/>
    <w:rsid w:val="6FFC0367"/>
    <w:rsid w:val="70192154"/>
    <w:rsid w:val="704103EA"/>
    <w:rsid w:val="706400BA"/>
    <w:rsid w:val="70716758"/>
    <w:rsid w:val="708C6AD8"/>
    <w:rsid w:val="70A8415E"/>
    <w:rsid w:val="70CA478C"/>
    <w:rsid w:val="71036320"/>
    <w:rsid w:val="71131321"/>
    <w:rsid w:val="713F19C8"/>
    <w:rsid w:val="71BE63FC"/>
    <w:rsid w:val="71C201B6"/>
    <w:rsid w:val="71CB330A"/>
    <w:rsid w:val="71E608FF"/>
    <w:rsid w:val="71F04EF0"/>
    <w:rsid w:val="722319F2"/>
    <w:rsid w:val="730075F6"/>
    <w:rsid w:val="732C0082"/>
    <w:rsid w:val="73304390"/>
    <w:rsid w:val="734A1CE3"/>
    <w:rsid w:val="74264E1B"/>
    <w:rsid w:val="744214AF"/>
    <w:rsid w:val="74A0261F"/>
    <w:rsid w:val="74A23383"/>
    <w:rsid w:val="74A254F4"/>
    <w:rsid w:val="74D57050"/>
    <w:rsid w:val="74F11197"/>
    <w:rsid w:val="75443A5B"/>
    <w:rsid w:val="7566647A"/>
    <w:rsid w:val="75BA294F"/>
    <w:rsid w:val="75BD5F6C"/>
    <w:rsid w:val="75E42D77"/>
    <w:rsid w:val="75E874BC"/>
    <w:rsid w:val="763F69C9"/>
    <w:rsid w:val="768A6318"/>
    <w:rsid w:val="76EC6F1F"/>
    <w:rsid w:val="77922D86"/>
    <w:rsid w:val="78487219"/>
    <w:rsid w:val="78A265FE"/>
    <w:rsid w:val="78D22F04"/>
    <w:rsid w:val="7938302F"/>
    <w:rsid w:val="798A2B86"/>
    <w:rsid w:val="79A47C1A"/>
    <w:rsid w:val="7A105D42"/>
    <w:rsid w:val="7A4F6B85"/>
    <w:rsid w:val="7A643918"/>
    <w:rsid w:val="7A7B51FC"/>
    <w:rsid w:val="7A8F78F9"/>
    <w:rsid w:val="7AA80FC8"/>
    <w:rsid w:val="7AFC22C7"/>
    <w:rsid w:val="7B5A7B6A"/>
    <w:rsid w:val="7BE07596"/>
    <w:rsid w:val="7C6E164B"/>
    <w:rsid w:val="7C8757E9"/>
    <w:rsid w:val="7C903599"/>
    <w:rsid w:val="7CC07029"/>
    <w:rsid w:val="7CD008E4"/>
    <w:rsid w:val="7CFE7534"/>
    <w:rsid w:val="7D012C11"/>
    <w:rsid w:val="7D090807"/>
    <w:rsid w:val="7D147D66"/>
    <w:rsid w:val="7D494CE4"/>
    <w:rsid w:val="7D7325DB"/>
    <w:rsid w:val="7DCF7E3D"/>
    <w:rsid w:val="7E3F60E7"/>
    <w:rsid w:val="7E67014B"/>
    <w:rsid w:val="7E6727AA"/>
    <w:rsid w:val="7EB268B9"/>
    <w:rsid w:val="7EC82B31"/>
    <w:rsid w:val="7F0D3AEF"/>
    <w:rsid w:val="7FE819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iPriority="99"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2"/>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unhideWhenUsed/>
    <w:qFormat/>
    <w:uiPriority w:val="1"/>
  </w:style>
  <w:style w:type="table" w:default="1" w:styleId="33">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a heading"/>
    <w:basedOn w:val="1"/>
    <w:next w:val="1"/>
    <w:unhideWhenUsed/>
    <w:qFormat/>
    <w:uiPriority w:val="99"/>
    <w:pPr>
      <w:spacing w:before="120"/>
    </w:pPr>
    <w:rPr>
      <w:rFonts w:ascii="Cambria" w:hAnsi="Cambria" w:eastAsia="宋体" w:cs="Times New Roman"/>
      <w:sz w:val="24"/>
      <w:szCs w:val="21"/>
    </w:rPr>
  </w:style>
  <w:style w:type="paragraph" w:styleId="14">
    <w:name w:val="annotation text"/>
    <w:basedOn w:val="1"/>
    <w:unhideWhenUsed/>
    <w:qFormat/>
    <w:uiPriority w:val="99"/>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unhideWhenUsed/>
    <w:qFormat/>
    <w:uiPriority w:val="0"/>
    <w:rPr>
      <w:rFonts w:ascii="宋体" w:hAnsi="Courier New" w:cs="Courier New"/>
      <w:szCs w:val="21"/>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7"/>
    <w:unhideWhenUsed/>
    <w:qFormat/>
    <w:uiPriority w:val="99"/>
    <w:pPr>
      <w:spacing w:after="0" w:line="240" w:lineRule="auto"/>
    </w:pPr>
    <w:rPr>
      <w:sz w:val="20"/>
    </w:rPr>
  </w:style>
  <w:style w:type="paragraph" w:styleId="20">
    <w:name w:val="footer"/>
    <w:basedOn w:val="1"/>
    <w:link w:val="60"/>
    <w:unhideWhenUsed/>
    <w:qFormat/>
    <w:uiPriority w:val="99"/>
    <w:pPr>
      <w:tabs>
        <w:tab w:val="center" w:pos="7143"/>
        <w:tab w:val="right" w:pos="14287"/>
      </w:tabs>
      <w:spacing w:after="0" w:line="240" w:lineRule="auto"/>
    </w:pPr>
  </w:style>
  <w:style w:type="paragraph" w:styleId="21">
    <w:name w:val="header"/>
    <w:basedOn w:val="1"/>
    <w:link w:val="58"/>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index 9"/>
    <w:basedOn w:val="1"/>
    <w:next w:val="1"/>
    <w:unhideWhenUsed/>
    <w:qFormat/>
    <w:uiPriority w:val="99"/>
    <w:pPr>
      <w:ind w:left="1600" w:leftChars="160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32">
    <w:name w:val="Title"/>
    <w:basedOn w:val="1"/>
    <w:next w:val="1"/>
    <w:link w:val="52"/>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文本缩进111"/>
    <w:basedOn w:val="1"/>
    <w:next w:val="1"/>
    <w:unhideWhenUsed/>
    <w:qFormat/>
    <w:uiPriority w:val="99"/>
    <w:pPr>
      <w:ind w:left="-105" w:firstLine="742"/>
    </w:pPr>
    <w:rPr>
      <w:rFonts w:eastAsia="仿宋_GB2312"/>
      <w:sz w:val="32"/>
      <w:szCs w:val="24"/>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customStyle="1" w:styleId="50">
    <w:name w:val="List Paragraph"/>
    <w:basedOn w:val="1"/>
    <w:qFormat/>
    <w:uiPriority w:val="34"/>
    <w:pPr>
      <w:ind w:left="720"/>
      <w:contextualSpacing/>
    </w:pPr>
  </w:style>
  <w:style w:type="paragraph" w:customStyle="1" w:styleId="51">
    <w:name w:val="No Spacing"/>
    <w:qFormat/>
    <w:uiPriority w:val="1"/>
    <w:pPr>
      <w:spacing w:before="0" w:after="0" w:line="240" w:lineRule="auto"/>
    </w:pPr>
    <w:rPr>
      <w:rFonts w:hint="default" w:ascii="Times New Roman" w:hAnsi="Times New Roman" w:eastAsia="宋体" w:cs="Times New Roman"/>
      <w:lang w:val="en-US" w:eastAsia="en-US" w:bidi="ar-SA"/>
    </w:rPr>
  </w:style>
  <w:style w:type="character" w:customStyle="1" w:styleId="52">
    <w:name w:val="Title Char"/>
    <w:link w:val="32"/>
    <w:qFormat/>
    <w:uiPriority w:val="10"/>
    <w:rPr>
      <w:sz w:val="48"/>
      <w:szCs w:val="48"/>
    </w:rPr>
  </w:style>
  <w:style w:type="character" w:customStyle="1" w:styleId="53">
    <w:name w:val="Subtitle Char"/>
    <w:link w:val="24"/>
    <w:qFormat/>
    <w:uiPriority w:val="11"/>
    <w:rPr>
      <w:sz w:val="24"/>
      <w:szCs w:val="24"/>
    </w:rPr>
  </w:style>
  <w:style w:type="paragraph" w:customStyle="1"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customStyle="1"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1"/>
    <w:qFormat/>
    <w:uiPriority w:val="99"/>
  </w:style>
  <w:style w:type="character" w:customStyle="1" w:styleId="59">
    <w:name w:val="Footer Char"/>
    <w:link w:val="20"/>
    <w:qFormat/>
    <w:uiPriority w:val="99"/>
  </w:style>
  <w:style w:type="character" w:customStyle="1" w:styleId="60">
    <w:name w:val="Caption Char"/>
    <w:link w:val="20"/>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9"/>
    <w:qFormat/>
    <w:uiPriority w:val="99"/>
    <w:rPr>
      <w:sz w:val="20"/>
    </w:rPr>
  </w:style>
  <w:style w:type="paragraph" w:customStyle="1" w:styleId="188">
    <w:name w:val="TOC Heading"/>
    <w:unhideWhenUsed/>
    <w:qFormat/>
    <w:uiPriority w:val="39"/>
    <w:rPr>
      <w:rFonts w:hint="default" w:ascii="Times New Roman" w:hAnsi="Times New Roman" w:eastAsia="宋体" w:cs="Times New Roman"/>
      <w:lang w:val="en-US" w:eastAsia="en-US" w:bidi="ar-SA"/>
    </w:rPr>
  </w:style>
  <w:style w:type="paragraph" w:customStyle="1" w:styleId="189">
    <w:name w:val="标题 21"/>
    <w:basedOn w:val="1"/>
    <w:next w:val="190"/>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190">
    <w:name w:val="正文缩进1"/>
    <w:basedOn w:val="1"/>
    <w:qFormat/>
    <w:uiPriority w:val="0"/>
    <w:pPr>
      <w:ind w:firstLine="420"/>
    </w:pPr>
    <w:rPr>
      <w:szCs w:val="20"/>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character" w:customStyle="1" w:styleId="193">
    <w:name w:val="批注引用1"/>
    <w:basedOn w:val="191"/>
    <w:link w:val="1"/>
    <w:qFormat/>
    <w:uiPriority w:val="0"/>
    <w:rPr>
      <w:sz w:val="21"/>
      <w:szCs w:val="21"/>
    </w:rPr>
  </w:style>
  <w:style w:type="character" w:customStyle="1" w:styleId="194">
    <w:name w:val="NormalCharacter1"/>
    <w:link w:val="1"/>
    <w:semiHidden/>
    <w:qFormat/>
    <w:uiPriority w:val="0"/>
    <w:rPr>
      <w:rFonts w:ascii="Calibri" w:hAnsi="Calibri" w:eastAsia="宋体" w:cs="Times New Roman"/>
      <w:sz w:val="21"/>
      <w:szCs w:val="24"/>
      <w:lang w:val="en-US" w:eastAsia="zh-CN" w:bidi="ar-SA"/>
    </w:rPr>
  </w:style>
  <w:style w:type="character" w:customStyle="1" w:styleId="195">
    <w:name w:val="页眉 Char"/>
    <w:basedOn w:val="191"/>
    <w:link w:val="196"/>
    <w:qFormat/>
    <w:uiPriority w:val="0"/>
    <w:rPr>
      <w:rFonts w:ascii="Calibri" w:hAnsi="Calibri" w:eastAsia="宋体" w:cs="Times New Roman"/>
      <w:sz w:val="18"/>
      <w:szCs w:val="18"/>
    </w:rPr>
  </w:style>
  <w:style w:type="paragraph" w:customStyle="1" w:styleId="196">
    <w:name w:val="页眉1"/>
    <w:basedOn w:val="1"/>
    <w:link w:val="195"/>
    <w:qFormat/>
    <w:uiPriority w:val="0"/>
    <w:pPr>
      <w:pBdr>
        <w:bottom w:val="single" w:color="000000" w:sz="6" w:space="1"/>
      </w:pBdr>
      <w:tabs>
        <w:tab w:val="center" w:pos="4153"/>
        <w:tab w:val="right" w:pos="8306"/>
      </w:tabs>
      <w:jc w:val="center"/>
    </w:pPr>
    <w:rPr>
      <w:sz w:val="18"/>
      <w:szCs w:val="18"/>
    </w:rPr>
  </w:style>
  <w:style w:type="character" w:customStyle="1" w:styleId="197">
    <w:name w:val="页脚 Char"/>
    <w:basedOn w:val="191"/>
    <w:link w:val="198"/>
    <w:qFormat/>
    <w:uiPriority w:val="0"/>
    <w:rPr>
      <w:rFonts w:ascii="Calibri" w:hAnsi="Calibri" w:eastAsia="宋体" w:cs="Times New Roman"/>
      <w:sz w:val="18"/>
      <w:szCs w:val="18"/>
    </w:rPr>
  </w:style>
  <w:style w:type="paragraph" w:customStyle="1" w:styleId="198">
    <w:name w:val="页脚11"/>
    <w:basedOn w:val="1"/>
    <w:link w:val="197"/>
    <w:qFormat/>
    <w:uiPriority w:val="0"/>
    <w:pPr>
      <w:tabs>
        <w:tab w:val="center" w:pos="4153"/>
        <w:tab w:val="right" w:pos="8306"/>
      </w:tabs>
      <w:jc w:val="left"/>
    </w:pPr>
    <w:rPr>
      <w:sz w:val="18"/>
      <w:szCs w:val="18"/>
    </w:rPr>
  </w:style>
  <w:style w:type="character" w:customStyle="1" w:styleId="199">
    <w:name w:val="font11"/>
    <w:basedOn w:val="191"/>
    <w:link w:val="1"/>
    <w:qFormat/>
    <w:uiPriority w:val="0"/>
    <w:rPr>
      <w:rFonts w:hint="eastAsia" w:ascii="微软雅黑" w:hAnsi="微软雅黑" w:eastAsia="微软雅黑" w:cs="微软雅黑"/>
      <w:color w:val="000000"/>
      <w:sz w:val="24"/>
      <w:szCs w:val="24"/>
      <w:u w:val="none"/>
    </w:rPr>
  </w:style>
  <w:style w:type="character" w:customStyle="1" w:styleId="200">
    <w:name w:val="font31"/>
    <w:basedOn w:val="191"/>
    <w:link w:val="1"/>
    <w:qFormat/>
    <w:uiPriority w:val="0"/>
    <w:rPr>
      <w:rFonts w:hint="eastAsia" w:ascii="宋体" w:hAnsi="宋体" w:eastAsia="宋体" w:cs="宋体"/>
      <w:color w:val="000000"/>
      <w:sz w:val="24"/>
      <w:szCs w:val="24"/>
      <w:u w:val="none"/>
    </w:rPr>
  </w:style>
  <w:style w:type="character" w:customStyle="1" w:styleId="201">
    <w:name w:val="custom-tag-placeholder-class"/>
    <w:basedOn w:val="191"/>
    <w:link w:val="1"/>
    <w:qFormat/>
    <w:uiPriority w:val="0"/>
  </w:style>
  <w:style w:type="character" w:customStyle="1" w:styleId="202">
    <w:name w:val="font21"/>
    <w:basedOn w:val="35"/>
    <w:link w:val="1"/>
    <w:qFormat/>
    <w:uiPriority w:val="0"/>
    <w:rPr>
      <w:rFonts w:hint="eastAsia" w:ascii="宋体" w:hAnsi="宋体" w:eastAsia="宋体" w:cs="宋体"/>
      <w:color w:val="000000"/>
      <w:sz w:val="24"/>
      <w:szCs w:val="24"/>
      <w:u w:val="none"/>
    </w:rPr>
  </w:style>
  <w:style w:type="paragraph" w:customStyle="1" w:styleId="203">
    <w:name w:val="纯文本1"/>
    <w:basedOn w:val="1"/>
    <w:unhideWhenUsed/>
    <w:qFormat/>
    <w:uiPriority w:val="0"/>
    <w:rPr>
      <w:rFonts w:ascii="宋体" w:hAnsi="Courier New" w:cs="Courier New"/>
      <w:szCs w:val="21"/>
    </w:rPr>
  </w:style>
  <w:style w:type="paragraph" w:customStyle="1" w:styleId="204">
    <w:name w:val="批注文字1"/>
    <w:basedOn w:val="1"/>
    <w:qFormat/>
    <w:uiPriority w:val="0"/>
    <w:pPr>
      <w:jc w:val="left"/>
    </w:pPr>
  </w:style>
  <w:style w:type="paragraph" w:customStyle="1" w:styleId="205">
    <w:name w:val="引文目录标题1"/>
    <w:basedOn w:val="1"/>
    <w:next w:val="1"/>
    <w:unhideWhenUsed/>
    <w:qFormat/>
    <w:uiPriority w:val="99"/>
    <w:pPr>
      <w:spacing w:before="120"/>
    </w:pPr>
    <w:rPr>
      <w:rFonts w:ascii="Cambria" w:hAnsi="Cambria" w:eastAsia="宋体" w:cs="Times New Roman"/>
      <w:sz w:val="24"/>
      <w:szCs w:val="21"/>
    </w:rPr>
  </w:style>
  <w:style w:type="paragraph" w:customStyle="1" w:styleId="206">
    <w:name w:val="正文首行缩进 2111"/>
    <w:basedOn w:val="40"/>
    <w:qFormat/>
    <w:uiPriority w:val="0"/>
    <w:pPr>
      <w:ind w:firstLine="420"/>
    </w:pPr>
    <w:rPr>
      <w:sz w:val="20"/>
      <w:szCs w:val="20"/>
    </w:rPr>
  </w:style>
  <w:style w:type="paragraph" w:customStyle="1" w:styleId="207">
    <w:name w:val="正文文本1"/>
    <w:basedOn w:val="1"/>
    <w:next w:val="1"/>
    <w:unhideWhenUsed/>
    <w:qFormat/>
    <w:uiPriority w:val="0"/>
    <w:pPr>
      <w:spacing w:after="120"/>
    </w:pPr>
    <w:rPr>
      <w:rFonts w:ascii="Calibri" w:hAnsi="Calibri"/>
      <w:szCs w:val="22"/>
    </w:rPr>
  </w:style>
  <w:style w:type="paragraph" w:customStyle="1" w:styleId="208">
    <w:name w:val="正文首行缩进1"/>
    <w:basedOn w:val="207"/>
    <w:next w:val="206"/>
    <w:qFormat/>
    <w:uiPriority w:val="0"/>
    <w:pPr>
      <w:spacing w:line="360" w:lineRule="auto"/>
      <w:ind w:firstLine="200"/>
    </w:pPr>
    <w:rPr>
      <w:rFonts w:ascii="仿宋_GB2312" w:eastAsia="仿宋_GB2312"/>
      <w:sz w:val="30"/>
      <w:szCs w:val="30"/>
    </w:rPr>
  </w:style>
  <w:style w:type="paragraph" w:customStyle="1" w:styleId="209">
    <w:name w:val="普通(网站)1"/>
    <w:basedOn w:val="1"/>
    <w:qFormat/>
    <w:uiPriority w:val="0"/>
    <w:pPr>
      <w:spacing w:beforeAutospacing="1" w:afterAutospacing="1"/>
      <w:jc w:val="left"/>
    </w:pPr>
    <w:rPr>
      <w:rFonts w:cs="Times New Roman"/>
      <w:sz w:val="24"/>
    </w:rPr>
  </w:style>
  <w:style w:type="paragraph" w:customStyle="1" w:styleId="210">
    <w:name w:val="正文首行缩进 21"/>
    <w:basedOn w:val="211"/>
    <w:qFormat/>
    <w:uiPriority w:val="0"/>
    <w:pPr>
      <w:ind w:firstLine="420"/>
    </w:pPr>
  </w:style>
  <w:style w:type="paragraph" w:customStyle="1" w:styleId="211">
    <w:name w:val="正文文本缩进1"/>
    <w:basedOn w:val="1"/>
    <w:qFormat/>
    <w:uiPriority w:val="0"/>
    <w:pPr>
      <w:spacing w:after="120"/>
      <w:ind w:left="420"/>
    </w:pPr>
  </w:style>
  <w:style w:type="paragraph" w:customStyle="1" w:styleId="212">
    <w:name w:val="页脚1"/>
    <w:basedOn w:val="1"/>
    <w:unhideWhenUsed/>
    <w:qFormat/>
    <w:uiPriority w:val="99"/>
    <w:pPr>
      <w:tabs>
        <w:tab w:val="center" w:pos="4153"/>
        <w:tab w:val="right" w:pos="8306"/>
      </w:tabs>
      <w:jc w:val="left"/>
    </w:pPr>
    <w:rPr>
      <w:sz w:val="18"/>
      <w:szCs w:val="18"/>
    </w:rPr>
  </w:style>
  <w:style w:type="paragraph" w:customStyle="1" w:styleId="213">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paragraph" w:customStyle="1" w:styleId="214">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15">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16">
    <w:name w:val="正文首行缩进 211"/>
    <w:basedOn w:val="217"/>
    <w:next w:val="213"/>
    <w:qFormat/>
    <w:uiPriority w:val="0"/>
    <w:pPr>
      <w:spacing w:after="120"/>
      <w:ind w:left="420" w:firstLine="420"/>
    </w:pPr>
    <w:rPr>
      <w:sz w:val="21"/>
      <w:szCs w:val="24"/>
    </w:rPr>
  </w:style>
  <w:style w:type="paragraph" w:customStyle="1" w:styleId="217">
    <w:name w:val="正文文本缩进11"/>
    <w:basedOn w:val="1"/>
    <w:next w:val="218"/>
    <w:qFormat/>
    <w:uiPriority w:val="99"/>
    <w:pPr>
      <w:ind w:left="-105" w:firstLine="232"/>
    </w:pPr>
    <w:rPr>
      <w:rFonts w:eastAsia="仿宋_GB2312"/>
      <w:sz w:val="32"/>
      <w:szCs w:val="32"/>
    </w:rPr>
  </w:style>
  <w:style w:type="paragraph" w:customStyle="1" w:styleId="218">
    <w:name w:val="寄信人地址11"/>
    <w:basedOn w:val="1"/>
    <w:qFormat/>
    <w:uiPriority w:val="0"/>
    <w:rPr>
      <w:rFonts w:ascii="Arial" w:hAnsi="Arial" w:cs="Arial"/>
    </w:rPr>
  </w:style>
  <w:style w:type="paragraph" w:customStyle="1" w:styleId="219">
    <w:name w:val="Default"/>
    <w:basedOn w:val="1"/>
    <w:semiHidden/>
    <w:qFormat/>
    <w:uiPriority w:val="0"/>
    <w:pPr>
      <w:jc w:val="left"/>
    </w:pPr>
    <w:rPr>
      <w:rFonts w:ascii="宋体" w:hAnsi="Calibri" w:cs="宋体"/>
      <w:color w:val="000000"/>
      <w:sz w:val="24"/>
    </w:rPr>
  </w:style>
  <w:style w:type="paragraph" w:customStyle="1" w:styleId="22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1">
    <w:name w:val="一级条标题"/>
    <w:basedOn w:val="222"/>
    <w:next w:val="214"/>
    <w:qFormat/>
    <w:uiPriority w:val="0"/>
    <w:pPr>
      <w:tabs>
        <w:tab w:val="left" w:pos="810"/>
        <w:tab w:val="left" w:pos="907"/>
        <w:tab w:val="left" w:pos="1265"/>
      </w:tabs>
      <w:ind w:left="907" w:hanging="907"/>
      <w:outlineLvl w:val="2"/>
    </w:pPr>
    <w:rPr>
      <w:rFonts w:hAnsi="宋体"/>
      <w:sz w:val="20"/>
      <w:szCs w:val="20"/>
    </w:rPr>
  </w:style>
  <w:style w:type="paragraph" w:customStyle="1" w:styleId="222">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23">
    <w:name w:val="Table Text"/>
    <w:basedOn w:val="1"/>
    <w:semiHidden/>
    <w:qFormat/>
    <w:uiPriority w:val="0"/>
    <w:rPr>
      <w:rFonts w:ascii="宋体" w:hAnsi="宋体" w:eastAsia="宋体" w:cs="宋体"/>
      <w:sz w:val="24"/>
      <w:szCs w:val="24"/>
    </w:rPr>
  </w:style>
  <w:style w:type="table" w:customStyle="1" w:styleId="224">
    <w:name w:val="网格型1"/>
    <w:basedOn w:val="192"/>
    <w:qFormat/>
    <w:uiPriority w:val="0"/>
    <w:pPr>
      <w:widowControl w:val="0"/>
      <w:jc w:val="both"/>
    </w:pPr>
  </w:style>
  <w:style w:type="character" w:customStyle="1" w:styleId="225">
    <w:name w:val="font91"/>
    <w:basedOn w:val="35"/>
    <w:qFormat/>
    <w:uiPriority w:val="0"/>
    <w:rPr>
      <w:rFonts w:hint="eastAsia" w:ascii="宋体" w:hAnsi="宋体" w:eastAsia="宋体" w:cs="宋体"/>
      <w:color w:val="000000"/>
      <w:sz w:val="20"/>
      <w:szCs w:val="20"/>
      <w:u w:val="none"/>
    </w:rPr>
  </w:style>
  <w:style w:type="character" w:customStyle="1" w:styleId="226">
    <w:name w:val="font41"/>
    <w:basedOn w:val="35"/>
    <w:qFormat/>
    <w:uiPriority w:val="0"/>
    <w:rPr>
      <w:rFonts w:hint="eastAsia" w:ascii="微软雅黑" w:hAnsi="微软雅黑" w:eastAsia="微软雅黑" w:cs="微软雅黑"/>
      <w:color w:val="000000"/>
      <w:sz w:val="20"/>
      <w:szCs w:val="20"/>
      <w:u w:val="none"/>
    </w:rPr>
  </w:style>
  <w:style w:type="character" w:customStyle="1" w:styleId="227">
    <w:name w:val="font101"/>
    <w:basedOn w:val="35"/>
    <w:qFormat/>
    <w:uiPriority w:val="0"/>
    <w:rPr>
      <w:rFonts w:hint="eastAsia" w:ascii="微软雅黑" w:hAnsi="微软雅黑" w:eastAsia="微软雅黑" w:cs="微软雅黑"/>
      <w:color w:val="FF0000"/>
      <w:sz w:val="20"/>
      <w:szCs w:val="20"/>
      <w:u w:val="none"/>
    </w:rPr>
  </w:style>
  <w:style w:type="character" w:customStyle="1" w:styleId="228">
    <w:name w:val="font81"/>
    <w:basedOn w:val="35"/>
    <w:qFormat/>
    <w:uiPriority w:val="0"/>
    <w:rPr>
      <w:rFonts w:hint="eastAsia" w:ascii="微软雅黑" w:hAnsi="微软雅黑" w:eastAsia="微软雅黑" w:cs="微软雅黑"/>
      <w:color w:val="FF0000"/>
      <w:sz w:val="20"/>
      <w:szCs w:val="20"/>
      <w:u w:val="none"/>
    </w:rPr>
  </w:style>
  <w:style w:type="character" w:customStyle="1" w:styleId="229">
    <w:name w:val="font112"/>
    <w:basedOn w:val="35"/>
    <w:qFormat/>
    <w:uiPriority w:val="0"/>
    <w:rPr>
      <w:rFonts w:ascii="Wingdings 2" w:hAnsi="Wingdings 2" w:eastAsia="Wingdings 2" w:cs="Wingdings 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109"/>
    <customShpInfo spid="_x0000_s4110"/>
    <customShpInfo spid="_x0000_s4111"/>
    <customShpInfo spid="_x0000_s4112"/>
    <customShpInfo spid="_x0000_s4113"/>
    <customShpInfo spid="_x0000_s4114"/>
    <customShpInfo spid="_x0000_s4115"/>
    <customShpInfo spid="_x0000_s4116"/>
    <customShpInfo spid="_x0000_s4117"/>
    <customShpInfo spid="_x0000_s4118"/>
    <customShpInfo spid="_x0000_s4119"/>
    <customShpInfo spid="_x0000_s4120"/>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King</Company>
  <Pages>67</Pages>
  <Words>24489</Words>
  <Characters>26838</Characters>
  <Lines>0</Lines>
  <Paragraphs>0</Paragraphs>
  <TotalTime>6</TotalTime>
  <ScaleCrop>false</ScaleCrop>
  <LinksUpToDate>false</LinksUpToDate>
  <CharactersWithSpaces>27293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2025-12-18T07:48:00Z</dcterms:created>
  <dc:creator>正式环境陈</dc:creator>
  <cp:lastModifiedBy>三人行</cp:lastModifiedBy>
  <cp:lastPrinted>2026-08-27T01:55:00Z</cp:lastPrinted>
  <dcterms:modified xsi:type="dcterms:W3CDTF">2026-08-28T04:29:30Z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32617FBC7B3B4510988F9351B302F7A1_13</vt:lpwstr>
  </property>
  <property fmtid="{D5CDD505-2E9C-101B-9397-08002B2CF9AE}" pid="3" name="KSOProductBuildVer">
    <vt:lpwstr>2052-12.1.0.28505</vt:lpwstr>
  </property>
  <property fmtid="{D5CDD505-2E9C-101B-9397-08002B2CF9AE}" pid="4" name="KSOTemplateDocerSaveRecord">
    <vt:lpwstr>eyJoZGlkIjoiZDM5MTIyMjY0NDYyNDYwYjljZmJmOTA3ZGIwZTBhMDUiLCJ1c2VySWQiOiIxMDc1NDEyMTE5In0=</vt:lpwstr>
  </property>
</Properties>
</file>