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tabs>
          <w:tab w:val="left" w:pos="4264" w:leader="none"/>
        </w:tabs>
        <w:rPr>
          <w:rFonts w:ascii="宋体" w:hAnsi="宋体" w:cs="宋体"/>
          <w:b/>
          <w:color w:val="auto"/>
          <w:sz w:val="72"/>
          <w:highlight w:val="none"/>
        </w:rPr>
      </w:pPr>
      <w:r>
        <w:rPr>
          <w:rFonts w:ascii="宋体" w:hAnsi="宋体" w:cs="宋体"/>
          <w:b/>
          <w:color w:val="auto"/>
          <w:sz w:val="72"/>
          <w:highlight w:val="none"/>
        </w:rPr>
      </w:r>
      <w:r/>
    </w:p>
    <w:p>
      <w:pPr>
        <w:jc w:val="left"/>
        <w:spacing w:line="360" w:lineRule="auto"/>
        <w:tabs>
          <w:tab w:val="left" w:pos="4264" w:leader="none"/>
        </w:tabs>
        <w:rPr>
          <w:rFonts w:ascii="宋体" w:hAnsi="宋体" w:cs="宋体"/>
          <w:b/>
          <w:color w:val="auto"/>
          <w:sz w:val="72"/>
          <w:highlight w:val="none"/>
        </w:rPr>
      </w:pPr>
      <w:r>
        <w:rPr>
          <w:rFonts w:ascii="宋体" w:hAnsi="宋体" w:cs="宋体"/>
          <w:b/>
          <w:color w:val="auto"/>
          <w:sz w:val="72"/>
          <w:highlight w:val="none"/>
        </w:rPr>
      </w:r>
      <w:r/>
    </w:p>
    <w:p>
      <w:pPr>
        <w:jc w:val="center"/>
        <w:spacing w:line="360" w:lineRule="auto"/>
        <w:rPr>
          <w:rFonts w:ascii="宋体" w:hAnsi="宋体" w:cs="宋体"/>
          <w:b/>
          <w:color w:val="auto"/>
          <w:sz w:val="72"/>
          <w:highlight w:val="none"/>
        </w:rPr>
      </w:pPr>
      <w:r>
        <w:rPr>
          <w:rFonts w:hint="eastAsia" w:ascii="宋体" w:hAnsi="宋体" w:cs="宋体"/>
          <w:b/>
          <w:color w:val="auto"/>
          <w:sz w:val="72"/>
          <w:highlight w:val="none"/>
        </w:rPr>
        <w:t xml:space="preserve">苏州市吴江区政府采购</w:t>
      </w:r>
      <w:r/>
    </w:p>
    <w:p>
      <w:pP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72"/>
          <w:highlight w:val="none"/>
        </w:rPr>
      </w:pPr>
      <w:r>
        <w:rPr>
          <w:rFonts w:hint="eastAsia" w:ascii="宋体" w:hAnsi="宋体" w:cs="宋体"/>
          <w:b/>
          <w:color w:val="auto"/>
          <w:sz w:val="72"/>
          <w:highlight w:val="none"/>
        </w:rPr>
        <w:t xml:space="preserve">招    标    文    件</w:t>
      </w:r>
      <w:r/>
    </w:p>
    <w:p>
      <w:pPr>
        <w:spacing w:line="360" w:lineRule="auto"/>
        <w:rPr>
          <w:rFonts w:ascii="宋体" w:hAnsi="宋体" w:cs="宋体"/>
          <w:b/>
          <w:bCs/>
          <w:color w:val="auto"/>
          <w:sz w:val="52"/>
          <w:szCs w:val="52"/>
          <w:highlight w:val="none"/>
          <w:lang w:val="zh-CN"/>
        </w:rPr>
      </w:pPr>
      <w:r>
        <w:rPr>
          <w:rFonts w:ascii="宋体" w:hAnsi="宋体" w:cs="宋体"/>
          <w:b/>
          <w:bCs/>
          <w:color w:val="auto"/>
          <w:sz w:val="52"/>
          <w:szCs w:val="52"/>
          <w:highlight w:val="none"/>
          <w:lang w:val="zh-CN"/>
        </w:rPr>
      </w:r>
      <w:r/>
    </w:p>
    <w:p>
      <w:pPr>
        <w:spacing w:line="360" w:lineRule="auto"/>
        <w:rPr>
          <w:rFonts w:ascii="宋体" w:hAnsi="宋体" w:cs="宋体"/>
          <w:b/>
          <w:bCs/>
          <w:color w:val="auto"/>
          <w:sz w:val="52"/>
          <w:szCs w:val="52"/>
          <w:highlight w:val="none"/>
          <w:lang w:val="zh-CN"/>
        </w:rPr>
      </w:pPr>
      <w:r>
        <w:rPr>
          <w:rFonts w:ascii="宋体" w:hAnsi="宋体" w:cs="宋体"/>
          <w:b/>
          <w:bCs/>
          <w:color w:val="auto"/>
          <w:sz w:val="52"/>
          <w:szCs w:val="52"/>
          <w:highlight w:val="none"/>
          <w:lang w:val="zh-CN"/>
        </w:rPr>
      </w:r>
      <w:r/>
    </w:p>
    <w:p>
      <w:pPr>
        <w:spacing w:line="360" w:lineRule="auto"/>
        <w:rPr>
          <w:rFonts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t xml:space="preserve">  </w:t>
      </w:r>
      <w:r>
        <w:rPr>
          <w:rFonts w:hint="eastAsia" w:ascii="宋体" w:hAnsi="宋体" w:cs="宋体"/>
          <w:b/>
          <w:bCs/>
          <w:color w:val="auto"/>
          <w:sz w:val="32"/>
          <w:szCs w:val="32"/>
          <w:highlight w:val="none"/>
        </w:rPr>
        <w:t xml:space="preserve">  </w:t>
      </w:r>
      <w:r>
        <w:rPr>
          <w:rFonts w:hint="eastAsia" w:ascii="宋体" w:hAnsi="宋体" w:cs="宋体"/>
          <w:b/>
          <w:bCs/>
          <w:color w:val="auto"/>
          <w:sz w:val="32"/>
          <w:szCs w:val="32"/>
          <w:highlight w:val="none"/>
          <w:lang w:val="zh-CN"/>
        </w:rPr>
        <w:t xml:space="preserve">编    号：JSZC-320509-SZZS-G</w:t>
      </w:r>
      <w:bookmarkStart w:id="40" w:name="_GoBack"/>
      <w:r/>
      <w:bookmarkEnd w:id="40"/>
      <w:r>
        <w:rPr>
          <w:rFonts w:hint="eastAsia" w:ascii="宋体" w:hAnsi="宋体" w:cs="宋体"/>
          <w:b/>
          <w:bCs/>
          <w:color w:val="auto"/>
          <w:sz w:val="32"/>
          <w:szCs w:val="32"/>
          <w:highlight w:val="none"/>
          <w:lang w:val="zh-CN"/>
        </w:rPr>
        <w:t xml:space="preserve">2026-0024</w:t>
      </w:r>
      <w:r/>
    </w:p>
    <w:p>
      <w:pPr>
        <w:spacing w:line="360" w:lineRule="auto"/>
        <w:rPr>
          <w:rFonts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t xml:space="preserve"> </w:t>
      </w:r>
      <w:r>
        <w:rPr>
          <w:rFonts w:hint="eastAsia" w:ascii="宋体" w:hAnsi="宋体" w:cs="宋体"/>
          <w:b/>
          <w:bCs/>
          <w:color w:val="auto"/>
          <w:sz w:val="32"/>
          <w:szCs w:val="32"/>
          <w:highlight w:val="none"/>
        </w:rPr>
        <w:t xml:space="preserve">  </w:t>
      </w:r>
      <w:r>
        <w:rPr>
          <w:rFonts w:hint="eastAsia" w:ascii="宋体" w:hAnsi="宋体" w:cs="宋体"/>
          <w:b/>
          <w:bCs/>
          <w:color w:val="auto"/>
          <w:sz w:val="32"/>
          <w:szCs w:val="32"/>
          <w:highlight w:val="none"/>
          <w:lang w:val="zh-CN"/>
        </w:rPr>
        <w:t xml:space="preserve"> 项目名称：吴江区农村生活污水治理PPP项目竣工结算审计服务</w:t>
      </w:r>
      <w:r/>
    </w:p>
    <w:p>
      <w:pPr>
        <w:spacing w:line="360" w:lineRule="auto"/>
        <w:rPr>
          <w:rFonts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t xml:space="preserve">  </w:t>
      </w:r>
      <w:r>
        <w:rPr>
          <w:rFonts w:hint="eastAsia" w:ascii="宋体" w:hAnsi="宋体" w:cs="宋体"/>
          <w:b/>
          <w:bCs/>
          <w:color w:val="auto"/>
          <w:sz w:val="32"/>
          <w:szCs w:val="32"/>
          <w:highlight w:val="none"/>
        </w:rPr>
        <w:t xml:space="preserve">  </w:t>
      </w:r>
      <w:r>
        <w:rPr>
          <w:rFonts w:hint="eastAsia" w:ascii="宋体" w:hAnsi="宋体" w:cs="宋体"/>
          <w:b/>
          <w:bCs/>
          <w:color w:val="auto"/>
          <w:sz w:val="32"/>
          <w:szCs w:val="32"/>
          <w:highlight w:val="none"/>
          <w:lang w:val="zh-CN"/>
        </w:rPr>
        <w:t xml:space="preserve">采购单位：苏州市吴江区水务局</w:t>
      </w:r>
      <w:r/>
    </w:p>
    <w:p>
      <w:pPr>
        <w:spacing w:line="360" w:lineRule="auto"/>
        <w:rPr>
          <w:rFonts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t xml:space="preserve">  </w:t>
      </w:r>
      <w:r>
        <w:rPr>
          <w:rFonts w:hint="eastAsia" w:ascii="宋体" w:hAnsi="宋体" w:cs="宋体"/>
          <w:b/>
          <w:bCs/>
          <w:color w:val="auto"/>
          <w:sz w:val="32"/>
          <w:szCs w:val="32"/>
          <w:highlight w:val="none"/>
        </w:rPr>
        <w:t xml:space="preserve">  </w:t>
      </w:r>
      <w:r>
        <w:rPr>
          <w:rFonts w:hint="eastAsia" w:ascii="宋体" w:hAnsi="宋体" w:cs="宋体"/>
          <w:b/>
          <w:bCs/>
          <w:color w:val="auto"/>
          <w:sz w:val="32"/>
          <w:szCs w:val="32"/>
          <w:highlight w:val="none"/>
          <w:lang w:val="zh-CN"/>
        </w:rPr>
        <w:t xml:space="preserve">采购类别：服务类</w:t>
      </w:r>
      <w:r/>
    </w:p>
    <w:p>
      <w:pPr>
        <w:spacing w:line="360" w:lineRule="auto"/>
        <w:rPr>
          <w:rFonts w:ascii="宋体" w:hAnsi="宋体" w:cs="宋体"/>
          <w:b/>
          <w:bCs/>
          <w:color w:val="auto"/>
          <w:sz w:val="32"/>
          <w:szCs w:val="32"/>
          <w:highlight w:val="none"/>
          <w:lang w:val="zh-CN"/>
        </w:rPr>
      </w:pPr>
      <w:r>
        <w:rPr>
          <w:rFonts w:ascii="宋体" w:hAnsi="宋体" w:cs="宋体"/>
          <w:b/>
          <w:bCs/>
          <w:color w:val="auto"/>
          <w:sz w:val="32"/>
          <w:szCs w:val="32"/>
          <w:highlight w:val="none"/>
          <w:lang w:val="zh-CN"/>
        </w:rPr>
      </w:r>
      <w:r/>
    </w:p>
    <w:p>
      <w:pPr>
        <w:spacing w:line="360" w:lineRule="auto"/>
        <w:rPr>
          <w:rFonts w:ascii="宋体" w:hAnsi="宋体" w:cs="宋体"/>
          <w:b/>
          <w:bCs/>
          <w:color w:val="auto"/>
          <w:sz w:val="44"/>
          <w:szCs w:val="44"/>
          <w:highlight w:val="none"/>
          <w:lang w:val="zh-CN"/>
        </w:rPr>
        <w:outlineLvl w:val="0"/>
      </w:pPr>
      <w:r>
        <w:rPr>
          <w:rFonts w:ascii="宋体" w:hAnsi="宋体" w:cs="宋体"/>
          <w:b/>
          <w:bCs/>
          <w:color w:val="auto"/>
          <w:sz w:val="44"/>
          <w:szCs w:val="44"/>
          <w:highlight w:val="none"/>
          <w:lang w:val="zh-CN"/>
        </w:rPr>
      </w:r>
      <w:r/>
    </w:p>
    <w:p>
      <w:pPr>
        <w:pStyle w:val="948"/>
        <w:rPr>
          <w:rFonts w:ascii="宋体" w:hAnsi="宋体" w:cs="宋体"/>
          <w:color w:val="auto"/>
          <w:highlight w:val="none"/>
          <w:lang w:val="zh-CN"/>
        </w:rPr>
      </w:pPr>
      <w:r>
        <w:rPr>
          <w:rFonts w:ascii="宋体" w:hAnsi="宋体" w:cs="宋体"/>
          <w:color w:val="auto"/>
          <w:highlight w:val="none"/>
          <w:lang w:val="zh-CN"/>
        </w:rPr>
      </w:r>
      <w:r/>
    </w:p>
    <w:p>
      <w:pPr>
        <w:jc w:val="center"/>
        <w:spacing w:line="360" w:lineRule="auto"/>
        <w:rPr>
          <w:rFonts w:ascii="宋体" w:hAnsi="宋体" w:cs="宋体"/>
          <w:b/>
          <w:bCs/>
          <w:color w:val="auto"/>
          <w:sz w:val="32"/>
          <w:szCs w:val="32"/>
          <w:highlight w:val="none"/>
          <w:lang w:val="zh-CN"/>
        </w:rPr>
      </w:pPr>
      <w:r>
        <w:rPr>
          <w:rFonts w:hint="eastAsia" w:ascii="宋体" w:hAnsi="宋体" w:cs="宋体"/>
          <w:b/>
          <w:bCs/>
          <w:color w:val="auto"/>
          <w:sz w:val="32"/>
          <w:szCs w:val="32"/>
          <w:highlight w:val="none"/>
        </w:rPr>
        <w:t xml:space="preserve">中思项目管理咨询有限公司</w:t>
      </w:r>
      <w:r/>
    </w:p>
    <w:p>
      <w:pPr>
        <w:jc w:val="center"/>
        <w:spacing w:line="360" w:lineRule="auto"/>
        <w:rPr>
          <w:rFonts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t xml:space="preserve">二○二</w:t>
      </w:r>
      <w:r>
        <w:rPr>
          <w:rFonts w:hint="eastAsia" w:ascii="宋体" w:hAnsi="宋体" w:cs="宋体"/>
          <w:b/>
          <w:bCs/>
          <w:color w:val="auto"/>
          <w:sz w:val="32"/>
          <w:szCs w:val="32"/>
          <w:highlight w:val="none"/>
        </w:rPr>
        <w:t xml:space="preserve">六</w:t>
      </w:r>
      <w:r>
        <w:rPr>
          <w:rFonts w:hint="eastAsia" w:ascii="宋体" w:hAnsi="宋体" w:cs="宋体"/>
          <w:b/>
          <w:bCs/>
          <w:color w:val="auto"/>
          <w:sz w:val="32"/>
          <w:szCs w:val="32"/>
          <w:highlight w:val="none"/>
          <w:lang w:val="zh-CN"/>
        </w:rPr>
        <w:t xml:space="preserve">年</w:t>
      </w:r>
      <w:r>
        <w:rPr>
          <w:rFonts w:hint="eastAsia" w:ascii="宋体" w:hAnsi="宋体" w:cs="宋体"/>
          <w:b/>
          <w:bCs/>
          <w:color w:val="auto"/>
          <w:sz w:val="32"/>
          <w:szCs w:val="32"/>
          <w:highlight w:val="none"/>
        </w:rPr>
        <w:t xml:space="preserve">七</w:t>
      </w:r>
      <w:r>
        <w:rPr>
          <w:rFonts w:hint="eastAsia" w:ascii="宋体" w:hAnsi="宋体" w:cs="宋体"/>
          <w:b/>
          <w:bCs/>
          <w:color w:val="auto"/>
          <w:sz w:val="32"/>
          <w:szCs w:val="32"/>
          <w:highlight w:val="none"/>
          <w:lang w:val="zh-CN"/>
        </w:rPr>
        <w:t xml:space="preserve">月</w:t>
      </w:r>
      <w:r/>
    </w:p>
    <w:p>
      <w:pPr>
        <w:jc w:val="center"/>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前附表</w:t>
      </w:r>
      <w:r/>
    </w:p>
    <w:tbl>
      <w:tblPr>
        <w:tblStyle w:val="761"/>
        <w:tblW w:w="1029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1"/>
        <w:gridCol w:w="9531"/>
      </w:tblGrid>
      <w:tr>
        <w:trPr>
          <w:jc w:val="center"/>
          <w:trHeight w:val="596"/>
        </w:trPr>
        <w:tc>
          <w:tcPr>
            <w:tcW w:w="761" w:type="dxa"/>
            <w:vAlign w:val="center"/>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项号</w:t>
            </w:r>
            <w:r/>
          </w:p>
        </w:tc>
        <w:tc>
          <w:tcPr>
            <w:tcW w:w="9531" w:type="dxa"/>
            <w:vAlign w:val="center"/>
            <w:textDirection w:val="lrTb"/>
            <w:noWrap w:val="false"/>
          </w:tcPr>
          <w:p>
            <w:pPr>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内容规定</w:t>
            </w:r>
            <w:r/>
          </w:p>
        </w:tc>
      </w:tr>
      <w:tr>
        <w:trPr>
          <w:jc w:val="center"/>
          <w:trHeight w:val="738"/>
        </w:trPr>
        <w:tc>
          <w:tcPr>
            <w:tcW w:w="76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9531" w:type="dxa"/>
            <w:vAlign w:val="center"/>
            <w:textDirection w:val="lrTb"/>
            <w:noWrap w:val="false"/>
          </w:tcPr>
          <w:p>
            <w:pPr>
              <w:jc w:val="left"/>
              <w:spacing w:line="360" w:lineRule="auto"/>
              <w:rPr>
                <w:rFonts w:ascii="宋体" w:hAnsi="宋体" w:cs="宋体"/>
                <w:color w:val="auto"/>
                <w:highlight w:val="none"/>
              </w:rPr>
            </w:pPr>
            <w:r>
              <w:rPr>
                <w:rFonts w:hint="eastAsia" w:ascii="宋体" w:hAnsi="宋体" w:cs="宋体"/>
                <w:color w:val="auto"/>
                <w:sz w:val="24"/>
                <w:szCs w:val="24"/>
                <w:highlight w:val="none"/>
              </w:rPr>
              <w:t xml:space="preserve">招标内容：吴江区农村生活污水治理PPP项目竣工结算审计服务</w:t>
            </w:r>
            <w:r/>
          </w:p>
        </w:tc>
      </w:tr>
      <w:tr>
        <w:trPr>
          <w:jc w:val="center"/>
          <w:trHeight w:val="415"/>
        </w:trPr>
        <w:tc>
          <w:tcPr>
            <w:tcW w:w="76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9531" w:type="dxa"/>
            <w:vAlign w:val="center"/>
            <w:textDirection w:val="lrTb"/>
            <w:noWrap w:val="false"/>
          </w:tcPr>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招标人：苏州市吴江区水务局</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联系人：袁明娟         联系电话：0512-63031062</w:t>
            </w:r>
            <w:r/>
          </w:p>
        </w:tc>
      </w:tr>
      <w:tr>
        <w:trPr>
          <w:jc w:val="center"/>
          <w:trHeight w:val="415"/>
        </w:trPr>
        <w:tc>
          <w:tcPr>
            <w:tcW w:w="76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9531" w:type="dxa"/>
            <w:vAlign w:val="center"/>
            <w:textDirection w:val="lrTb"/>
            <w:noWrap w:val="false"/>
          </w:tcPr>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代理机构：中思项目管理咨询有限公司</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电话：0512-68832715    </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地址：苏州市西环路902号（双桥868创意文化产业园）629室</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 系 人：符美婷、范万红、岳楠</w:t>
            </w:r>
            <w:r/>
          </w:p>
        </w:tc>
      </w:tr>
      <w:tr>
        <w:trPr>
          <w:jc w:val="center"/>
          <w:trHeight w:val="579"/>
        </w:trPr>
        <w:tc>
          <w:tcPr>
            <w:tcW w:w="76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9531"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招标文件有效期为九十天（日历日）</w:t>
            </w:r>
            <w:r/>
          </w:p>
        </w:tc>
      </w:tr>
      <w:tr>
        <w:trPr>
          <w:jc w:val="center"/>
          <w:trHeight w:val="437"/>
        </w:trPr>
        <w:tc>
          <w:tcPr>
            <w:tcW w:w="76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9531" w:type="dxa"/>
            <w:vAlign w:val="center"/>
            <w:textDirection w:val="lrTb"/>
            <w:noWrap w:val="false"/>
          </w:tcPr>
          <w:p>
            <w:pPr>
              <w:pStyle w:val="991"/>
              <w:spacing w:line="360" w:lineRule="auto"/>
              <w:rPr>
                <w:rFonts w:eastAsia="宋体" w:cs="宋体"/>
                <w:color w:val="auto"/>
                <w:highlight w:val="none"/>
              </w:rPr>
            </w:pPr>
            <w:r>
              <w:rPr>
                <w:rFonts w:hint="eastAsia" w:eastAsia="宋体" w:cs="宋体"/>
                <w:color w:val="auto"/>
                <w:highlight w:val="none"/>
              </w:rPr>
              <w:t xml:space="preserve">投标保证金数额：人民币/元整</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本文件中涉及的投标保证金条款均不适用。</w:t>
            </w:r>
            <w:r/>
          </w:p>
        </w:tc>
      </w:tr>
      <w:tr>
        <w:trPr>
          <w:jc w:val="center"/>
          <w:trHeight w:val="980"/>
        </w:trPr>
        <w:tc>
          <w:tcPr>
            <w:tcW w:w="76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9531"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投标文件份数：</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本次采购开标过程采用电子化招投标模式，投标人须网上提交投标文件，无需递交纸质投标文件。（中标后，中标单位需提供三套纸质投标文件）</w:t>
            </w:r>
            <w:r/>
          </w:p>
        </w:tc>
      </w:tr>
      <w:tr>
        <w:trPr>
          <w:jc w:val="center"/>
          <w:trHeight w:val="1216"/>
        </w:trPr>
        <w:tc>
          <w:tcPr>
            <w:tcW w:w="76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9531" w:type="dxa"/>
            <w:vAlign w:val="center"/>
            <w:textDirection w:val="lrTb"/>
            <w:noWrap w:val="false"/>
          </w:tcPr>
          <w:p>
            <w:pPr>
              <w:pStyle w:val="110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报名成功的供应商在下载招标文件后，对招标文件有疑问的</w:t>
            </w:r>
            <w:r>
              <w:rPr>
                <w:rFonts w:hint="eastAsia" w:ascii="宋体" w:hAnsi="宋体" w:eastAsia="宋体" w:cs="宋体"/>
                <w:color w:val="auto"/>
                <w:sz w:val="24"/>
                <w:szCs w:val="24"/>
                <w:highlight w:val="none"/>
                <w:lang w:eastAsia="en-US"/>
              </w:rPr>
              <w:t xml:space="preserve">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      </w:t>
            </w:r>
            <w:r/>
          </w:p>
          <w:p>
            <w:pPr>
              <w:pStyle w:val="110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质疑递交地点：中思项目管理咨询有限公司（联系地址：</w:t>
            </w:r>
            <w:r>
              <w:rPr>
                <w:rFonts w:hint="eastAsia" w:ascii="宋体" w:hAnsi="宋体" w:eastAsia="宋体" w:cs="宋体"/>
                <w:color w:val="auto"/>
                <w:sz w:val="24"/>
                <w:szCs w:val="24"/>
                <w:highlight w:val="none"/>
              </w:rPr>
              <w:t xml:space="preserve">苏州市西环路902号（双桥868创意文化产业园）629室</w:t>
            </w:r>
            <w:r>
              <w:rPr>
                <w:rFonts w:hint="eastAsia" w:ascii="宋体" w:hAnsi="宋体" w:eastAsia="宋体" w:cs="宋体"/>
                <w:color w:val="auto"/>
                <w:sz w:val="24"/>
                <w:szCs w:val="24"/>
                <w:highlight w:val="none"/>
                <w:lang w:eastAsia="en-US"/>
              </w:rPr>
              <w:t xml:space="preserve">；电话（传真）：</w:t>
            </w:r>
            <w:r>
              <w:rPr>
                <w:rFonts w:hint="eastAsia" w:ascii="宋体" w:hAnsi="宋体" w:eastAsia="宋体" w:cs="宋体"/>
                <w:color w:val="auto"/>
                <w:sz w:val="24"/>
                <w:szCs w:val="24"/>
                <w:highlight w:val="none"/>
              </w:rPr>
              <w:t xml:space="preserve">0512-68832715 </w:t>
            </w:r>
            <w:r>
              <w:rPr>
                <w:rFonts w:hint="eastAsia" w:ascii="宋体" w:hAnsi="宋体" w:eastAsia="宋体" w:cs="宋体"/>
                <w:color w:val="auto"/>
                <w:sz w:val="24"/>
                <w:szCs w:val="24"/>
                <w:highlight w:val="none"/>
                <w:lang w:eastAsia="en-US"/>
              </w:rPr>
              <w:t xml:space="preserve">联系人：</w:t>
            </w:r>
            <w:r>
              <w:rPr>
                <w:rFonts w:hint="eastAsia" w:ascii="宋体" w:hAnsi="宋体" w:eastAsia="宋体" w:cs="宋体"/>
                <w:color w:val="auto"/>
                <w:sz w:val="24"/>
                <w:szCs w:val="24"/>
                <w:highlight w:val="none"/>
              </w:rPr>
              <w:t xml:space="preserve">符美婷、范万红、岳楠</w:t>
            </w:r>
            <w:r>
              <w:rPr>
                <w:rFonts w:hint="eastAsia" w:ascii="宋体" w:hAnsi="宋体" w:eastAsia="宋体" w:cs="宋体"/>
                <w:color w:val="auto"/>
                <w:sz w:val="24"/>
                <w:szCs w:val="24"/>
                <w:highlight w:val="none"/>
                <w:lang w:eastAsia="en-US"/>
              </w:rPr>
              <w:t xml:space="preserve">）。</w:t>
            </w:r>
            <w:r/>
          </w:p>
        </w:tc>
      </w:tr>
      <w:tr>
        <w:trPr>
          <w:jc w:val="center"/>
          <w:trHeight w:val="339"/>
        </w:trPr>
        <w:tc>
          <w:tcPr>
            <w:tcW w:w="76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9531"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投标文件递交截止时间：2026年0</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rPr>
              <w:t xml:space="preserve">20日13：30整</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开标时间：2026年0</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rPr>
              <w:t xml:space="preserve">20日13：30整</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开标地点：“苏采云”系统（网址：http://jszfcg.jsczt.cn/） </w:t>
            </w:r>
            <w:r/>
          </w:p>
        </w:tc>
      </w:tr>
      <w:tr>
        <w:trPr>
          <w:jc w:val="center"/>
          <w:trHeight w:val="711"/>
        </w:trPr>
        <w:tc>
          <w:tcPr>
            <w:tcW w:w="76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9531" w:type="dxa"/>
            <w:vAlign w:val="center"/>
            <w:textDirection w:val="lrTb"/>
            <w:noWrap w:val="false"/>
          </w:tcPr>
          <w:p>
            <w:pPr>
              <w:pStyle w:val="110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代理服务费： </w:t>
            </w:r>
            <w:r>
              <w:rPr>
                <w:rFonts w:hint="eastAsia" w:ascii="宋体" w:hAnsi="宋体" w:eastAsia="宋体" w:cs="宋体"/>
                <w:color w:val="auto"/>
                <w:sz w:val="24"/>
                <w:szCs w:val="24"/>
                <w:highlight w:val="none"/>
              </w:rPr>
              <w:t xml:space="preserve">本项目代理服务费由采购人支付。</w:t>
            </w:r>
            <w:r/>
          </w:p>
        </w:tc>
      </w:tr>
      <w:tr>
        <w:trPr>
          <w:jc w:val="center"/>
          <w:trHeight w:val="435"/>
        </w:trPr>
        <w:tc>
          <w:tcPr>
            <w:tcW w:w="761"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10</w:t>
            </w:r>
            <w:r/>
          </w:p>
        </w:tc>
        <w:tc>
          <w:tcPr>
            <w:tcW w:w="9531" w:type="dxa"/>
            <w:vAlign w:val="center"/>
            <w:textDirection w:val="lrTb"/>
            <w:noWrap w:val="false"/>
          </w:tcPr>
          <w:p>
            <w:pPr>
              <w:pStyle w:val="1108"/>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政府采购监督电话：0512-63982393</w:t>
            </w:r>
            <w:r/>
          </w:p>
        </w:tc>
      </w:tr>
      <w:tr>
        <w:trPr>
          <w:jc w:val="center"/>
          <w:trHeight w:val="435"/>
        </w:trPr>
        <w:tc>
          <w:tcPr>
            <w:tcW w:w="76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W w:w="9531" w:type="dxa"/>
            <w:vAlign w:val="center"/>
            <w:textDirection w:val="lrTb"/>
            <w:noWrap w:val="false"/>
          </w:tcPr>
          <w:p>
            <w:pPr>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导致废标因素：</w:t>
            </w:r>
            <w:r/>
          </w:p>
          <w:p>
            <w:pPr>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出现下列情形之一的，为废标： </w:t>
            </w:r>
            <w:r/>
          </w:p>
          <w:p>
            <w:pPr>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（一）符合专业条件的供应商或者对招标文件作实质响应的供应商不足三家的； </w:t>
            </w:r>
            <w:r/>
          </w:p>
          <w:p>
            <w:pPr>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（二）出现影响采购公正的违法、违规行为的； </w:t>
            </w:r>
            <w:r/>
          </w:p>
          <w:p>
            <w:pPr>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（三）投标人的报价均超过了采购预算或者最高限价，招标人不能支付的；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（四）因重大变故，采购任务取消的。</w:t>
            </w:r>
            <w:r/>
          </w:p>
        </w:tc>
      </w:tr>
      <w:tr>
        <w:trPr>
          <w:jc w:val="center"/>
          <w:trHeight w:val="435"/>
        </w:trPr>
        <w:tc>
          <w:tcPr>
            <w:tcW w:w="76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W w:w="9531" w:type="dxa"/>
            <w:vAlign w:val="center"/>
            <w:textDirection w:val="lrTb"/>
            <w:noWrap w:val="false"/>
          </w:tcPr>
          <w:p>
            <w:pPr>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导致无效标因素：</w:t>
            </w:r>
            <w:r/>
          </w:p>
          <w:p>
            <w:pPr>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投标文件属下列情况之一的，在资格性、符合性检查时按照无效投标处理：</w:t>
            </w:r>
            <w:r/>
          </w:p>
          <w:p>
            <w:pPr>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（一）投标文件未按招标文件要求签署、盖章的；</w:t>
            </w:r>
            <w:r/>
          </w:p>
          <w:p>
            <w:pPr>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（二）不具备招标文件中规定的资格要求的；</w:t>
            </w:r>
            <w:r/>
          </w:p>
          <w:p>
            <w:pPr>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（三）报价超过招标文件中规定的预算金额或者最高限价的；</w:t>
            </w:r>
            <w:r/>
          </w:p>
          <w:p>
            <w:pPr>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（四）投标文件含有招标人不能接受的附加条件的;</w:t>
            </w:r>
            <w:r/>
          </w:p>
          <w:p>
            <w:pPr>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（五）因</w:t>
            </w:r>
            <w:r>
              <w:rPr>
                <w:rFonts w:hint="eastAsia" w:ascii="宋体" w:hAnsi="宋体" w:cs="宋体"/>
                <w:color w:val="auto"/>
                <w:sz w:val="24"/>
                <w:szCs w:val="24"/>
                <w:highlight w:val="none"/>
              </w:rPr>
              <w:t xml:space="preserve">投标单位</w:t>
            </w:r>
            <w:r>
              <w:rPr>
                <w:rFonts w:hint="eastAsia" w:ascii="宋体" w:hAnsi="宋体" w:cs="宋体"/>
                <w:color w:val="auto"/>
                <w:sz w:val="24"/>
                <w:szCs w:val="24"/>
                <w:highlight w:val="none"/>
                <w:lang w:val="zh-CN"/>
              </w:rPr>
              <w:t xml:space="preserve">自身原因导致网上投标文件无法递交的其他情况；</w:t>
            </w:r>
            <w:r/>
          </w:p>
          <w:p>
            <w:pPr>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六</w:t>
            </w:r>
            <w:r>
              <w:rPr>
                <w:rFonts w:hint="eastAsia" w:ascii="宋体" w:hAnsi="宋体" w:cs="宋体"/>
                <w:color w:val="auto"/>
                <w:sz w:val="24"/>
                <w:szCs w:val="24"/>
                <w:highlight w:val="none"/>
                <w:lang w:val="zh-CN"/>
              </w:rPr>
              <w:t xml:space="preserve">）不同投标（响应）文件制作机器码一致。</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七</w:t>
            </w:r>
            <w:r>
              <w:rPr>
                <w:rFonts w:hint="eastAsia" w:ascii="宋体" w:hAnsi="宋体" w:cs="宋体"/>
                <w:color w:val="auto"/>
                <w:sz w:val="24"/>
                <w:szCs w:val="24"/>
                <w:highlight w:val="none"/>
                <w:lang w:val="zh-CN"/>
              </w:rPr>
              <w:t xml:space="preserve">）法律、法规和招标文件规定的其他无效情形。</w:t>
            </w:r>
            <w:r/>
          </w:p>
        </w:tc>
      </w:tr>
    </w:tbl>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pStyle w:val="789"/>
        <w:rPr>
          <w:rFonts w:ascii="宋体" w:hAnsi="宋体" w:cs="宋体"/>
          <w:b/>
          <w:color w:val="auto"/>
          <w:sz w:val="36"/>
          <w:highlight w:val="none"/>
        </w:rPr>
      </w:pPr>
      <w:r>
        <w:rPr>
          <w:rFonts w:ascii="宋体" w:hAnsi="宋体" w:cs="宋体"/>
          <w:b/>
          <w:color w:val="auto"/>
          <w:sz w:val="36"/>
          <w:highlight w:val="none"/>
        </w:rPr>
      </w:r>
      <w:r/>
    </w:p>
    <w:p>
      <w:pPr>
        <w:pStyle w:val="789"/>
        <w:rPr>
          <w:rFonts w:ascii="宋体" w:hAnsi="宋体" w:cs="宋体"/>
          <w:b/>
          <w:color w:val="auto"/>
          <w:sz w:val="36"/>
          <w:highlight w:val="none"/>
        </w:rPr>
      </w:pPr>
      <w:r>
        <w:rPr>
          <w:rFonts w:ascii="宋体" w:hAnsi="宋体" w:cs="宋体"/>
          <w:b/>
          <w:color w:val="auto"/>
          <w:sz w:val="36"/>
          <w:highlight w:val="none"/>
        </w:rPr>
      </w:r>
      <w:r/>
    </w:p>
    <w:p>
      <w:pPr>
        <w:pStyle w:val="789"/>
        <w:rPr>
          <w:rFonts w:ascii="宋体" w:hAnsi="宋体" w:cs="宋体"/>
          <w:b/>
          <w:color w:val="auto"/>
          <w:sz w:val="36"/>
          <w:highlight w:val="none"/>
        </w:rPr>
      </w:pPr>
      <w:r>
        <w:rPr>
          <w:rFonts w:ascii="宋体" w:hAnsi="宋体" w:cs="宋体"/>
          <w:b/>
          <w:color w:val="auto"/>
          <w:sz w:val="36"/>
          <w:highlight w:val="none"/>
        </w:rPr>
      </w:r>
      <w:r/>
    </w:p>
    <w:p>
      <w:pPr>
        <w:pStyle w:val="789"/>
        <w:rPr>
          <w:rFonts w:ascii="宋体" w:hAnsi="宋体" w:cs="宋体"/>
          <w:b/>
          <w:color w:val="auto"/>
          <w:sz w:val="36"/>
          <w:highlight w:val="none"/>
        </w:rPr>
      </w:pPr>
      <w:r>
        <w:rPr>
          <w:rFonts w:ascii="宋体" w:hAnsi="宋体" w:cs="宋体"/>
          <w:b/>
          <w:color w:val="auto"/>
          <w:sz w:val="36"/>
          <w:highlight w:val="none"/>
        </w:rPr>
      </w:r>
      <w:r/>
    </w:p>
    <w:p>
      <w:pPr>
        <w:pStyle w:val="789"/>
        <w:rPr>
          <w:rFonts w:ascii="宋体" w:hAnsi="宋体" w:cs="宋体"/>
          <w:b/>
          <w:color w:val="auto"/>
          <w:sz w:val="36"/>
          <w:highlight w:val="none"/>
        </w:rPr>
      </w:pPr>
      <w:r>
        <w:rPr>
          <w:rFonts w:ascii="宋体" w:hAnsi="宋体" w:cs="宋体"/>
          <w:b/>
          <w:color w:val="auto"/>
          <w:sz w:val="36"/>
          <w:highlight w:val="none"/>
        </w:rPr>
      </w:r>
      <w:r/>
    </w:p>
    <w:p>
      <w:pPr>
        <w:pStyle w:val="789"/>
        <w:rPr>
          <w:rFonts w:ascii="宋体" w:hAnsi="宋体" w:cs="宋体"/>
          <w:b/>
          <w:color w:val="auto"/>
          <w:sz w:val="36"/>
          <w:highlight w:val="none"/>
        </w:rPr>
      </w:pPr>
      <w:r>
        <w:rPr>
          <w:rFonts w:ascii="宋体" w:hAnsi="宋体" w:cs="宋体"/>
          <w:b/>
          <w:color w:val="auto"/>
          <w:sz w:val="36"/>
          <w:highlight w:val="none"/>
        </w:rPr>
      </w:r>
      <w:r/>
    </w:p>
    <w:p>
      <w:pPr>
        <w:pStyle w:val="789"/>
        <w:rPr>
          <w:rFonts w:ascii="宋体" w:hAnsi="宋体" w:cs="宋体"/>
          <w:b/>
          <w:color w:val="auto"/>
          <w:sz w:val="36"/>
          <w:highlight w:val="none"/>
        </w:rPr>
      </w:pPr>
      <w:r>
        <w:rPr>
          <w:rFonts w:ascii="宋体" w:hAnsi="宋体" w:cs="宋体"/>
          <w:b/>
          <w:color w:val="auto"/>
          <w:sz w:val="36"/>
          <w:highlight w:val="none"/>
        </w:rPr>
      </w:r>
      <w:r/>
    </w:p>
    <w:p>
      <w:pPr>
        <w:pStyle w:val="789"/>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bCs/>
          <w:color w:val="auto"/>
          <w:sz w:val="52"/>
          <w:szCs w:val="52"/>
          <w:highlight w:val="none"/>
          <w:lang w:val="zh-CN"/>
        </w:rPr>
        <w:outlineLvl w:val="0"/>
      </w:pPr>
      <w:r>
        <w:rPr>
          <w:rFonts w:hint="eastAsia" w:ascii="宋体" w:hAnsi="宋体" w:cs="宋体"/>
          <w:b/>
          <w:bCs/>
          <w:color w:val="auto"/>
          <w:sz w:val="52"/>
          <w:szCs w:val="52"/>
          <w:highlight w:val="none"/>
          <w:lang w:val="zh-CN"/>
        </w:rPr>
        <w:t xml:space="preserve">目 录</w:t>
      </w:r>
      <w:r/>
    </w:p>
    <w:p>
      <w:pPr>
        <w:pStyle w:val="1000"/>
        <w:spacing w:line="360" w:lineRule="auto"/>
        <w:tabs>
          <w:tab w:val="right" w:pos="8810" w:leader="dot"/>
        </w:tabs>
        <w:rPr>
          <w:rFonts w:ascii="宋体" w:hAnsi="宋体" w:eastAsia="宋体" w:cs="宋体"/>
          <w:color w:val="auto"/>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"1-1" </w:instrText>
      </w:r>
      <w:r>
        <w:rPr>
          <w:rFonts w:hint="eastAsia" w:ascii="宋体" w:hAnsi="宋体" w:eastAsia="宋体" w:cs="宋体"/>
          <w:color w:val="auto"/>
          <w:sz w:val="28"/>
          <w:szCs w:val="28"/>
          <w:highlight w:val="none"/>
        </w:rPr>
        <w:fldChar w:fldCharType="separate"/>
      </w:r>
      <w:r/>
    </w:p>
    <w:p>
      <w:pPr>
        <w:pStyle w:val="1000"/>
        <w:spacing w:line="360" w:lineRule="auto"/>
        <w:tabs>
          <w:tab w:val="right" w:pos="9895"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第一章 投标邀请函</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_Toc77258035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5</w:t>
      </w:r>
      <w:r>
        <w:rPr>
          <w:rFonts w:hint="eastAsia" w:ascii="宋体" w:hAnsi="宋体" w:eastAsia="宋体" w:cs="宋体"/>
          <w:color w:val="auto"/>
          <w:sz w:val="32"/>
          <w:szCs w:val="32"/>
          <w:highlight w:val="none"/>
        </w:rPr>
        <w:fldChar w:fldCharType="end"/>
      </w:r>
      <w:r/>
    </w:p>
    <w:p>
      <w:pPr>
        <w:pStyle w:val="1000"/>
        <w:spacing w:line="360" w:lineRule="auto"/>
        <w:tabs>
          <w:tab w:val="right" w:pos="9895"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第二章 投标人须知</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_Toc77258036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8</w:t>
      </w:r>
      <w:r>
        <w:rPr>
          <w:rFonts w:hint="eastAsia" w:ascii="宋体" w:hAnsi="宋体" w:eastAsia="宋体" w:cs="宋体"/>
          <w:color w:val="auto"/>
          <w:sz w:val="32"/>
          <w:szCs w:val="32"/>
          <w:highlight w:val="none"/>
        </w:rPr>
        <w:fldChar w:fldCharType="end"/>
      </w:r>
      <w:r/>
    </w:p>
    <w:p>
      <w:pPr>
        <w:pStyle w:val="1000"/>
        <w:spacing w:line="360" w:lineRule="auto"/>
        <w:tabs>
          <w:tab w:val="right" w:pos="9895"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第三章 投标文件格式</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_Toc77258037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19</w:t>
      </w:r>
      <w:r>
        <w:rPr>
          <w:rFonts w:hint="eastAsia" w:ascii="宋体" w:hAnsi="宋体" w:eastAsia="宋体" w:cs="宋体"/>
          <w:color w:val="auto"/>
          <w:sz w:val="32"/>
          <w:szCs w:val="32"/>
          <w:highlight w:val="none"/>
        </w:rPr>
        <w:fldChar w:fldCharType="end"/>
      </w:r>
      <w:r/>
    </w:p>
    <w:p>
      <w:pPr>
        <w:pStyle w:val="1000"/>
        <w:spacing w:line="360" w:lineRule="auto"/>
        <w:tabs>
          <w:tab w:val="right" w:pos="9895"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第四章 招标书</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_Toc77258038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31</w:t>
      </w:r>
      <w:r>
        <w:rPr>
          <w:rFonts w:hint="eastAsia" w:ascii="宋体" w:hAnsi="宋体" w:eastAsia="宋体" w:cs="宋体"/>
          <w:color w:val="auto"/>
          <w:sz w:val="32"/>
          <w:szCs w:val="32"/>
          <w:highlight w:val="none"/>
        </w:rPr>
        <w:fldChar w:fldCharType="end"/>
      </w:r>
      <w:r/>
    </w:p>
    <w:p>
      <w:pPr>
        <w:pStyle w:val="1000"/>
        <w:spacing w:line="360" w:lineRule="auto"/>
        <w:tabs>
          <w:tab w:val="right" w:pos="9895"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第五章 合同条款</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_Toc77258039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39</w:t>
      </w:r>
      <w:r>
        <w:rPr>
          <w:rFonts w:hint="eastAsia" w:ascii="宋体" w:hAnsi="宋体" w:eastAsia="宋体" w:cs="宋体"/>
          <w:color w:val="auto"/>
          <w:sz w:val="32"/>
          <w:szCs w:val="32"/>
          <w:highlight w:val="none"/>
        </w:rPr>
        <w:fldChar w:fldCharType="end"/>
      </w:r>
      <w:r/>
    </w:p>
    <w:p>
      <w:pPr>
        <w:pStyle w:val="1000"/>
        <w:spacing w:line="360" w:lineRule="auto"/>
        <w:tabs>
          <w:tab w:val="right" w:pos="9895" w:leader="dot"/>
        </w:tabs>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第六章 评分标准</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_Toc77258040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47</w:t>
      </w:r>
      <w:r>
        <w:rPr>
          <w:rFonts w:hint="eastAsia" w:ascii="宋体" w:hAnsi="宋体" w:eastAsia="宋体" w:cs="宋体"/>
          <w:color w:val="auto"/>
          <w:sz w:val="32"/>
          <w:szCs w:val="32"/>
          <w:highlight w:val="none"/>
        </w:rPr>
        <w:fldChar w:fldCharType="end"/>
      </w:r>
      <w:r/>
    </w:p>
    <w:p>
      <w:pPr>
        <w:pStyle w:val="1000"/>
        <w:spacing w:line="360" w:lineRule="auto"/>
        <w:tabs>
          <w:tab w:val="right" w:pos="9026" w:leader="dot"/>
        </w:tabs>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end"/>
      </w:r>
      <w:bookmarkStart w:id="0" w:name="_Toc397699336"/>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789"/>
        <w:rPr>
          <w:rFonts w:ascii="宋体" w:hAnsi="宋体" w:cs="宋体"/>
          <w:color w:val="auto"/>
          <w:sz w:val="24"/>
          <w:szCs w:val="24"/>
          <w:highlight w:val="none"/>
        </w:rPr>
      </w:pPr>
      <w:r>
        <w:rPr>
          <w:rFonts w:ascii="宋体" w:hAnsi="宋体" w:cs="宋体"/>
          <w:color w:val="auto"/>
          <w:sz w:val="24"/>
          <w:szCs w:val="24"/>
          <w:highlight w:val="none"/>
        </w:rPr>
      </w:r>
      <w:r/>
    </w:p>
    <w:p>
      <w:pPr>
        <w:pStyle w:val="789"/>
        <w:rPr>
          <w:rFonts w:ascii="宋体" w:hAnsi="宋体" w:cs="宋体"/>
          <w:color w:val="auto"/>
          <w:sz w:val="24"/>
          <w:szCs w:val="24"/>
          <w:highlight w:val="none"/>
        </w:rPr>
      </w:pPr>
      <w:r>
        <w:rPr>
          <w:rFonts w:ascii="宋体" w:hAnsi="宋体" w:cs="宋体"/>
          <w:color w:val="auto"/>
          <w:sz w:val="24"/>
          <w:szCs w:val="24"/>
          <w:highlight w:val="none"/>
        </w:rPr>
      </w:r>
      <w:r/>
    </w:p>
    <w:p>
      <w:pPr>
        <w:pStyle w:val="789"/>
        <w:rPr>
          <w:rFonts w:ascii="宋体" w:hAnsi="宋体" w:cs="宋体"/>
          <w:color w:val="auto"/>
          <w:sz w:val="24"/>
          <w:szCs w:val="24"/>
          <w:highlight w:val="none"/>
        </w:rPr>
      </w:pPr>
      <w:r>
        <w:rPr>
          <w:rFonts w:ascii="宋体" w:hAnsi="宋体" w:cs="宋体"/>
          <w:color w:val="auto"/>
          <w:sz w:val="24"/>
          <w:szCs w:val="24"/>
          <w:highlight w:val="none"/>
        </w:rPr>
      </w:r>
      <w:r/>
    </w:p>
    <w:p>
      <w:pPr>
        <w:pStyle w:val="789"/>
        <w:rPr>
          <w:rFonts w:ascii="宋体" w:hAnsi="宋体" w:cs="宋体"/>
          <w:color w:val="auto"/>
          <w:sz w:val="24"/>
          <w:szCs w:val="24"/>
          <w:highlight w:val="none"/>
        </w:rPr>
      </w:pPr>
      <w:r>
        <w:rPr>
          <w:rFonts w:ascii="宋体" w:hAnsi="宋体" w:cs="宋体"/>
          <w:color w:val="auto"/>
          <w:sz w:val="24"/>
          <w:szCs w:val="24"/>
          <w:highlight w:val="none"/>
        </w:rPr>
      </w:r>
      <w:r/>
    </w:p>
    <w:p>
      <w:pPr>
        <w:pStyle w:val="789"/>
        <w:rPr>
          <w:rFonts w:ascii="宋体" w:hAnsi="宋体" w:cs="宋体"/>
          <w:color w:val="auto"/>
          <w:sz w:val="24"/>
          <w:szCs w:val="24"/>
          <w:highlight w:val="none"/>
        </w:rPr>
      </w:pPr>
      <w:r>
        <w:rPr>
          <w:rFonts w:ascii="宋体" w:hAnsi="宋体" w:cs="宋体"/>
          <w:color w:val="auto"/>
          <w:sz w:val="24"/>
          <w:szCs w:val="24"/>
          <w:highlight w:val="none"/>
        </w:rPr>
      </w:r>
      <w:r/>
    </w:p>
    <w:p>
      <w:pPr>
        <w:pStyle w:val="789"/>
        <w:rPr>
          <w:rFonts w:ascii="宋体" w:hAnsi="宋体" w:cs="宋体"/>
          <w:color w:val="auto"/>
          <w:sz w:val="24"/>
          <w:szCs w:val="24"/>
          <w:highlight w:val="none"/>
        </w:rPr>
      </w:pPr>
      <w:r>
        <w:rPr>
          <w:rFonts w:ascii="宋体" w:hAnsi="宋体" w:cs="宋体"/>
          <w:color w:val="auto"/>
          <w:sz w:val="24"/>
          <w:szCs w:val="24"/>
          <w:highlight w:val="none"/>
        </w:rPr>
      </w:r>
      <w:r/>
    </w:p>
    <w:p>
      <w:pPr>
        <w:pStyle w:val="789"/>
        <w:rPr>
          <w:rFonts w:ascii="宋体" w:hAnsi="宋体" w:cs="宋体"/>
          <w:color w:val="auto"/>
          <w:sz w:val="24"/>
          <w:szCs w:val="24"/>
          <w:highlight w:val="none"/>
        </w:rPr>
      </w:pPr>
      <w:r>
        <w:rPr>
          <w:rFonts w:ascii="宋体" w:hAnsi="宋体" w:cs="宋体"/>
          <w:color w:val="auto"/>
          <w:sz w:val="24"/>
          <w:szCs w:val="24"/>
          <w:highlight w:val="none"/>
        </w:rPr>
      </w:r>
      <w:r/>
    </w:p>
    <w:p>
      <w:pPr>
        <w:pStyle w:val="789"/>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37"/>
        <w:jc w:val="center"/>
        <w:spacing w:line="360" w:lineRule="auto"/>
        <w:rPr>
          <w:rFonts w:ascii="宋体" w:hAnsi="宋体" w:eastAsia="宋体" w:cs="宋体"/>
          <w:color w:val="auto"/>
          <w:sz w:val="52"/>
          <w:highlight w:val="none"/>
        </w:rPr>
      </w:pPr>
      <w:r/>
      <w:bookmarkStart w:id="1" w:name="_Toc77258035"/>
      <w:r>
        <w:rPr>
          <w:rFonts w:hint="eastAsia" w:ascii="宋体" w:hAnsi="宋体" w:eastAsia="宋体" w:cs="宋体"/>
          <w:color w:val="auto"/>
          <w:sz w:val="52"/>
          <w:highlight w:val="none"/>
        </w:rPr>
        <w:t xml:space="preserve">第一章 投标邀请函</w:t>
      </w:r>
      <w:bookmarkEnd w:id="0"/>
      <w:r/>
      <w:bookmarkEnd w:id="1"/>
      <w:r/>
      <w:r/>
    </w:p>
    <w:tbl>
      <w:tblPr>
        <w:tblStyle w:val="761"/>
        <w:tblW w:w="4957"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76"/>
      </w:tblGrid>
      <w:tr>
        <w:trPr>
          <w:jc w:val="center"/>
          <w:trHeight w:val="1288"/>
        </w:trPr>
        <w:tc>
          <w:tcPr>
            <w:tcW w:w="10034" w:type="dxa"/>
            <w:textDirection w:val="lrTb"/>
            <w:noWrap w:val="false"/>
          </w:tcPr>
          <w:p>
            <w:pPr>
              <w:ind w:firstLine="120"/>
              <w:jc w:val="left"/>
              <w:spacing w:line="360" w:lineRule="auto"/>
              <w:widowControl/>
              <w:rPr>
                <w:rFonts w:ascii="宋体" w:hAnsi="宋体" w:cs="宋体"/>
                <w:color w:val="auto"/>
                <w:sz w:val="24"/>
                <w:szCs w:val="24"/>
                <w:highlight w:val="none"/>
              </w:rPr>
            </w:pPr>
            <w:r/>
            <w:bookmarkStart w:id="2" w:name="OLE_LINK1"/>
            <w:r>
              <w:rPr>
                <w:rFonts w:hint="eastAsia" w:ascii="宋体" w:hAnsi="宋体" w:cs="宋体"/>
                <w:color w:val="auto"/>
                <w:sz w:val="24"/>
                <w:szCs w:val="24"/>
                <w:highlight w:val="none"/>
              </w:rPr>
              <w:t xml:space="preserve">项目概况 </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吴江区农村生活污水治理PPP项目竣工结算审计服务</w:t>
            </w:r>
            <w:r>
              <w:rPr>
                <w:rFonts w:hint="eastAsia" w:ascii="宋体" w:hAnsi="宋体" w:cs="宋体"/>
                <w:color w:val="auto"/>
                <w:sz w:val="24"/>
                <w:szCs w:val="24"/>
                <w:highlight w:val="none"/>
              </w:rPr>
              <w:t xml:space="preserve">的潜在投标人应在“苏采云”系统获取招标文件，并于2026年0</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rPr>
              <w:t xml:space="preserve">20日</w:t>
            </w:r>
            <w:r>
              <w:rPr>
                <w:rFonts w:hint="eastAsia" w:ascii="宋体" w:hAnsi="宋体" w:cs="宋体"/>
                <w:color w:val="auto"/>
                <w:sz w:val="24"/>
                <w:szCs w:val="24"/>
                <w:highlight w:val="none"/>
                <w:u w:val="single"/>
              </w:rPr>
              <w:t xml:space="preserve">13点30分（北京时间）</w:t>
            </w:r>
            <w:r>
              <w:rPr>
                <w:rFonts w:hint="eastAsia" w:ascii="宋体" w:hAnsi="宋体" w:cs="宋体"/>
                <w:color w:val="auto"/>
                <w:sz w:val="24"/>
                <w:szCs w:val="24"/>
                <w:highlight w:val="none"/>
              </w:rPr>
              <w:t xml:space="preserve">前递交投标文件。 </w:t>
            </w:r>
            <w:r/>
          </w:p>
        </w:tc>
      </w:tr>
    </w:tbl>
    <w:p>
      <w:pPr>
        <w:pStyle w:val="1108"/>
        <w:spacing w:line="360" w:lineRule="auto"/>
        <w:rPr>
          <w:rFonts w:ascii="宋体" w:hAnsi="宋体" w:eastAsia="宋体" w:cs="宋体"/>
          <w:b/>
          <w:color w:val="auto"/>
          <w:sz w:val="24"/>
          <w:szCs w:val="24"/>
          <w:highlight w:val="none"/>
        </w:rPr>
      </w:pPr>
      <w:r/>
      <w:bookmarkStart w:id="3" w:name="_Hlk61261720"/>
      <w:r>
        <w:rPr>
          <w:rFonts w:hint="eastAsia" w:ascii="宋体" w:hAnsi="宋体" w:eastAsia="宋体" w:cs="宋体"/>
          <w:b/>
          <w:color w:val="auto"/>
          <w:sz w:val="24"/>
          <w:szCs w:val="24"/>
          <w:highlight w:val="none"/>
          <w:lang w:eastAsia="en-US"/>
        </w:rPr>
        <w:t xml:space="preserve">一、项目基本情况</w:t>
      </w:r>
      <w:r>
        <w:rPr>
          <w:rFonts w:hint="eastAsia" w:ascii="宋体" w:hAnsi="宋体" w:eastAsia="宋体" w:cs="宋体"/>
          <w:b/>
          <w:color w:val="auto"/>
          <w:sz w:val="24"/>
          <w:szCs w:val="24"/>
          <w:highlight w:val="none"/>
        </w:rPr>
        <w:t xml:space="preserve">：</w:t>
      </w:r>
      <w:r/>
    </w:p>
    <w:p>
      <w:pPr>
        <w:pStyle w:val="1108"/>
        <w:ind w:firstLine="48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en-US"/>
        </w:rPr>
        <w:t xml:space="preserve">项目编号：</w:t>
      </w:r>
      <w:bookmarkStart w:id="4" w:name="XMBH_1"/>
      <w:r>
        <w:rPr>
          <w:rFonts w:hint="eastAsia" w:ascii="宋体" w:hAnsi="宋体" w:eastAsia="宋体" w:cs="宋体"/>
          <w:color w:val="auto"/>
          <w:sz w:val="24"/>
          <w:szCs w:val="24"/>
          <w:highlight w:val="none"/>
          <w:lang w:eastAsia="zh-CN"/>
        </w:rPr>
        <w:t xml:space="preserve">JSZC-320509-SZZS-G2026-0024</w:t>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en-US"/>
        </w:rPr>
        <w:t xml:space="preserve">项目名称：</w:t>
      </w:r>
      <w:r>
        <w:rPr>
          <w:rFonts w:hint="eastAsia" w:ascii="宋体" w:hAnsi="宋体" w:eastAsia="宋体" w:cs="宋体"/>
          <w:color w:val="auto"/>
          <w:sz w:val="24"/>
          <w:szCs w:val="24"/>
          <w:highlight w:val="none"/>
        </w:rPr>
        <w:t xml:space="preserve">吴江区农村生活污水治理PPP项目竣工结算审计服务</w:t>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3、采购方式：公开招标</w:t>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4、预算金额</w:t>
      </w:r>
      <w:bookmarkEnd w:id="4"/>
      <w:r/>
      <w:bookmarkStart w:id="5" w:name="XMCGYS_1"/>
      <w:r>
        <w:rPr>
          <w:rFonts w:hint="eastAsia" w:ascii="宋体" w:hAnsi="宋体" w:eastAsia="宋体" w:cs="宋体"/>
          <w:color w:val="auto"/>
          <w:sz w:val="24"/>
          <w:szCs w:val="24"/>
          <w:highlight w:val="none"/>
        </w:rPr>
        <w:t xml:space="preserve">：675.5万元</w:t>
      </w:r>
      <w:r/>
    </w:p>
    <w:p>
      <w:pPr>
        <w:pStyle w:val="1108"/>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5、采购需求：对吴江区农村生活污水治理PPP项目的工程费用部分开展竣工结算审计工作，工程内容主要包括管网的施工和主材、设备及安装、信息化平台建设、电控柜改造等。</w:t>
      </w:r>
      <w:r/>
    </w:p>
    <w:p>
      <w:pPr>
        <w:pStyle w:val="1108"/>
        <w:ind w:firstLine="48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6、合同履行期限：</w:t>
      </w:r>
      <w:bookmarkEnd w:id="5"/>
      <w:r>
        <w:rPr>
          <w:rFonts w:hint="eastAsia" w:ascii="宋体" w:hAnsi="宋体" w:eastAsia="宋体" w:cs="宋体"/>
          <w:color w:val="auto"/>
          <w:sz w:val="24"/>
          <w:szCs w:val="24"/>
          <w:highlight w:val="none"/>
          <w:lang w:eastAsia="zh-CN"/>
        </w:rPr>
        <w:t xml:space="preserve">自审计单位收到完整、齐全的竣工资料之日起至</w:t>
      </w:r>
      <w:r>
        <w:rPr>
          <w:rFonts w:hint="eastAsia" w:ascii="宋体" w:hAnsi="宋体" w:eastAsia="宋体" w:cs="宋体"/>
          <w:color w:val="auto"/>
          <w:sz w:val="24"/>
          <w:szCs w:val="24"/>
          <w:highlight w:val="none"/>
          <w:lang w:val="en-US" w:eastAsia="zh-CN"/>
        </w:rPr>
        <w:t xml:space="preserve">向采购单位</w:t>
      </w:r>
      <w:r>
        <w:rPr>
          <w:rFonts w:hint="eastAsia" w:ascii="宋体" w:hAnsi="宋体" w:eastAsia="宋体" w:cs="宋体"/>
          <w:color w:val="auto"/>
          <w:sz w:val="24"/>
          <w:szCs w:val="24"/>
          <w:highlight w:val="none"/>
          <w:lang w:eastAsia="zh-CN"/>
        </w:rPr>
        <w:t xml:space="preserve">提交</w:t>
      </w:r>
      <w:r>
        <w:rPr>
          <w:rFonts w:hint="eastAsia" w:ascii="宋体" w:hAnsi="宋体" w:eastAsia="宋体" w:cs="宋体"/>
          <w:color w:val="auto"/>
          <w:sz w:val="24"/>
          <w:szCs w:val="24"/>
          <w:highlight w:val="none"/>
          <w:lang w:val="en-US" w:eastAsia="zh-CN"/>
        </w:rPr>
        <w:t xml:space="preserve">最终</w:t>
      </w:r>
      <w:r>
        <w:rPr>
          <w:rFonts w:hint="eastAsia" w:ascii="宋体" w:hAnsi="宋体" w:eastAsia="宋体" w:cs="宋体"/>
          <w:color w:val="auto"/>
          <w:sz w:val="24"/>
          <w:szCs w:val="24"/>
          <w:highlight w:val="none"/>
          <w:lang w:eastAsia="zh-CN"/>
        </w:rPr>
        <w:t xml:space="preserve">结算审计报告为止，</w:t>
      </w:r>
      <w:r>
        <w:rPr>
          <w:rFonts w:hint="eastAsia" w:ascii="宋体" w:hAnsi="宋体" w:eastAsia="宋体" w:cs="宋体"/>
          <w:color w:val="auto"/>
          <w:sz w:val="24"/>
          <w:szCs w:val="24"/>
          <w:highlight w:val="none"/>
          <w:lang w:val="en-US" w:eastAsia="zh-CN"/>
        </w:rPr>
        <w:t xml:space="preserve">审计单位应当在</w:t>
      </w:r>
      <w:r>
        <w:rPr>
          <w:rFonts w:hint="eastAsia" w:ascii="宋体" w:hAnsi="宋体" w:eastAsia="宋体" w:cs="宋体"/>
          <w:color w:val="auto"/>
          <w:sz w:val="24"/>
          <w:szCs w:val="24"/>
          <w:highlight w:val="none"/>
          <w:lang w:eastAsia="zh-CN"/>
        </w:rPr>
        <w:t xml:space="preserve">90天内完成。  </w:t>
      </w:r>
      <w:r/>
    </w:p>
    <w:p>
      <w:pPr>
        <w:ind w:firstLine="48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7、本项目不接受联合体投标。</w:t>
      </w:r>
      <w:r/>
    </w:p>
    <w:p>
      <w:pPr>
        <w:pStyle w:val="1108"/>
        <w:spacing w:line="360" w:lineRule="auto"/>
        <w:rPr>
          <w:rFonts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lang w:eastAsia="en-US"/>
        </w:rPr>
        <w:t xml:space="preserve">二、申请人的资格要求： </w:t>
      </w:r>
      <w:bookmarkEnd w:id="3"/>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w:t>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pStyle w:val="1108"/>
        <w:ind w:firstLine="480"/>
        <w:spacing w:line="360" w:lineRule="auto"/>
        <w:rPr>
          <w:rFonts w:ascii="宋体" w:hAnsi="宋体" w:eastAsia="宋体" w:cs="宋体"/>
          <w:color w:val="auto"/>
          <w:sz w:val="24"/>
          <w:szCs w:val="24"/>
          <w:highlight w:val="none"/>
        </w:rPr>
      </w:pPr>
      <w:r/>
      <w:bookmarkStart w:id="6" w:name="_Toc28359014"/>
      <w:r>
        <w:rPr>
          <w:rFonts w:hint="eastAsia" w:ascii="宋体" w:hAnsi="宋体" w:eastAsia="宋体" w:cs="宋体"/>
          <w:color w:val="auto"/>
          <w:sz w:val="24"/>
          <w:szCs w:val="24"/>
          <w:highlight w:val="none"/>
        </w:rPr>
        <w:t xml:space="preserve">2、落实政府采购政策需满足的资格要求：根据《政府采购促进中小企业发展管理办法》的相关规定，本项目专门面向中小企业，承接服务的供应商应为中小微企业、监狱企业、残疾人福利性单位，所属行业为租赁和商务服务业。</w:t>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3、本项目的特定资格要求：无。</w:t>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注：①单位负责人为同一人或者存在直接控股、管理关系的不同供应商，不得参加同一合同项下的政府采购活动。</w:t>
      </w:r>
      <w:bookmarkEnd w:id="6"/>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p>
    <w:p>
      <w:pPr>
        <w:pStyle w:val="1108"/>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t xml:space="preserve">本项目参建单位、前期造价咨询及审计单位不得参与本采购活动。</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三、获取招标文件 </w:t>
      </w:r>
      <w:r/>
    </w:p>
    <w:p>
      <w:pPr>
        <w:pStyle w:val="1108"/>
        <w:ind w:firstLine="480"/>
        <w:spacing w:line="360" w:lineRule="auto"/>
        <w:rPr>
          <w:rFonts w:ascii="宋体" w:hAnsi="宋体" w:eastAsia="宋体" w:cs="宋体"/>
          <w:color w:val="auto"/>
          <w:sz w:val="24"/>
          <w:szCs w:val="24"/>
          <w:highlight w:val="none"/>
        </w:rPr>
      </w:pPr>
      <w:r/>
      <w:bookmarkStart w:id="7" w:name="_Toc28359005"/>
      <w:r/>
      <w:bookmarkStart w:id="8" w:name="_Toc38985266"/>
      <w:r/>
      <w:bookmarkStart w:id="9" w:name="_Toc35393793"/>
      <w:r/>
      <w:bookmarkStart w:id="10" w:name="_Toc28359082"/>
      <w:r/>
      <w:bookmarkStart w:id="11" w:name="_Toc35393624"/>
      <w:r>
        <w:rPr>
          <w:rFonts w:hint="eastAsia" w:ascii="宋体" w:hAnsi="宋体" w:eastAsia="宋体" w:cs="宋体"/>
          <w:color w:val="auto"/>
          <w:sz w:val="24"/>
          <w:szCs w:val="24"/>
          <w:highlight w:val="none"/>
        </w:rPr>
        <w:t xml:space="preserve">1、时间：自公告发布之日起至五个工作日</w:t>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2、地点：“苏采云”系统（网址：http://jszfcg.jsczt.cn/） </w:t>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3、方式：“苏采云”系统（网址：http://jszfcg.jsczt.cn/） </w:t>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4、售价：0.00元</w:t>
      </w:r>
      <w:bookmarkEnd w:id="7"/>
      <w:r/>
      <w:bookmarkEnd w:id="8"/>
      <w:r/>
      <w:bookmarkEnd w:id="9"/>
      <w:r/>
      <w:bookmarkEnd w:id="10"/>
      <w:r/>
      <w:bookmarkEnd w:id="11"/>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四、提交投标文件截止时间、开标时间和地点</w:t>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1、截止时间：2026年0</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rPr>
        <w:t xml:space="preserve">20日</w:t>
      </w:r>
      <w:r>
        <w:rPr>
          <w:rFonts w:hint="eastAsia" w:ascii="宋体" w:hAnsi="宋体" w:eastAsia="宋体" w:cs="宋体"/>
          <w:color w:val="auto"/>
          <w:sz w:val="24"/>
          <w:szCs w:val="24"/>
          <w:highlight w:val="none"/>
        </w:rPr>
        <w:t xml:space="preserve">13:30（北京时间） </w:t>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2、地点：“苏采云”系统（网址：http://jszfcg.jsczt.cn/） </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五、公告期限：</w:t>
      </w:r>
      <w:r/>
    </w:p>
    <w:p>
      <w:pPr>
        <w:pStyle w:val="1108"/>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六、其他补充事宜： </w:t>
      </w:r>
      <w:r/>
    </w:p>
    <w:p>
      <w:pPr>
        <w:ind w:firstLine="480"/>
        <w:spacing w:line="360" w:lineRule="auto"/>
        <w:rPr>
          <w:rFonts w:ascii="宋体" w:hAnsi="宋体" w:cs="宋体"/>
          <w:color w:val="auto"/>
          <w:sz w:val="24"/>
          <w:szCs w:val="24"/>
          <w:highlight w:val="none"/>
        </w:rPr>
      </w:pPr>
      <w:r/>
      <w:bookmarkStart w:id="12" w:name="_Toc28359084"/>
      <w:r>
        <w:rPr>
          <w:rFonts w:hint="eastAsia" w:ascii="宋体" w:hAnsi="宋体" w:cs="宋体"/>
          <w:color w:val="auto"/>
          <w:sz w:val="24"/>
          <w:szCs w:val="24"/>
          <w:highlight w:val="none"/>
        </w:rPr>
        <w:t xml:space="preserve">1、线上参加开标（开启）会方式：投标单位登录“苏采云”系统在平台首页点击“开标大厅”，进入江苏省政府采购一体化不见面开标（采购）大厅，在今日项目列表，点击项目，进入不见面开标系统。本项目为不见面开标项目，开启阶段投标单位在【供应商解密】环节必须使用CA证书解密电子投标文件，如在系统规定的解密时间（投标文件提交截止时间后30分钟)内未能完成解密的视为放弃参与本项目。</w:t>
      </w:r>
      <w:r/>
    </w:p>
    <w:p>
      <w:pPr>
        <w:ind w:firstLine="480"/>
        <w:spacing w:line="360" w:lineRule="auto"/>
        <w:tabs>
          <w:tab w:val="left" w:pos="640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请投标单位确保电脑、系统及其他设备（视频输入输出设备等）无误，且开启直至项目结束始终保持系统在线状态。</w:t>
      </w:r>
      <w:r>
        <w:rPr>
          <w:rFonts w:hint="eastAsia" w:ascii="宋体" w:hAnsi="宋体" w:cs="宋体"/>
          <w:color w:val="auto"/>
          <w:szCs w:val="21"/>
          <w:highlight w:val="none"/>
        </w:rPr>
        <w:tab/>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质疑按《中华人民共和国财政部令第94号—政府采购质疑和投诉办法》中相关规定提出，投标单位应在法定质疑期内一次性提出针对同一采购程序环节的质疑，质疑函（必须附政府采购投标报名确认单）现场提交或邮寄至本公司（不接收到付快递）。接收质疑函的联系信息如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采购代理机构：中思项目管理咨询有限公司</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地址：苏州市西环路902号（双桥868创意文化产业园）629室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邮编：215000</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联系人：符美婷、范万红、岳楠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联系电话：0512-68832715  提交方式：书面形式原件（邮寄或当面递交）</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投标单位提出书面质疑必须有理、有据，不得恶意质疑或提交虚假质疑。否则，一经查实，招标采购人有权依据政府采购的有关规定，报请政府采购监管部门对该投标单位进行相应的行政处罚。</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3、本次招标的相关信息刊登在苏州市政府采购网、江苏政府采购网、中国政府采购网。</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4、请投标单位报名领取本次招标文件后，认真阅读各项内容，并按招标文件的要求详细制作投标文件，并按以上确定的时间、地点准时参加投标。 </w:t>
      </w:r>
      <w:bookmarkEnd w:id="12"/>
      <w:r/>
      <w:r/>
    </w:p>
    <w:p>
      <w:pP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七、</w:t>
      </w:r>
      <w:r>
        <w:rPr>
          <w:rFonts w:hint="eastAsia" w:ascii="宋体" w:hAnsi="宋体" w:cs="宋体"/>
          <w:b/>
          <w:bCs/>
          <w:color w:val="auto"/>
          <w:sz w:val="24"/>
          <w:szCs w:val="24"/>
          <w:highlight w:val="none"/>
        </w:rPr>
        <w:t xml:space="preserve">对本次招标提出询问，请按以下方式联系：</w:t>
      </w:r>
      <w:r/>
    </w:p>
    <w:p>
      <w:pPr>
        <w:ind w:firstLine="47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1、招标人信息</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名    称：苏州市吴江区水务局</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址：苏州市吴江区开平路1000号吴江大厦20层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 系 人：袁明娟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联系方式：0512-63031062</w:t>
      </w:r>
      <w:r/>
    </w:p>
    <w:p>
      <w:pPr>
        <w:ind w:firstLine="47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2、采购代理机构信息</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名    称：中思项目管理咨询有限公司</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址：苏州市西环路902号（双桥868创意文化产业园）629室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联系方式：0512-68832715</w:t>
      </w:r>
      <w:r/>
    </w:p>
    <w:p>
      <w:pPr>
        <w:ind w:firstLine="48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3、项目联系方式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项目联系人：符美婷、范万红、岳楠</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电话：0512-68832715</w:t>
      </w:r>
      <w:r/>
    </w:p>
    <w:p>
      <w:pPr>
        <w:ind w:firstLine="480"/>
        <w:jc w:val="righ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789"/>
        <w:rPr>
          <w:rFonts w:ascii="宋体" w:hAnsi="宋体" w:cs="宋体"/>
          <w:color w:val="auto"/>
          <w:sz w:val="24"/>
          <w:szCs w:val="24"/>
          <w:highlight w:val="none"/>
        </w:rPr>
      </w:pPr>
      <w:r>
        <w:rPr>
          <w:rFonts w:ascii="宋体" w:hAnsi="宋体" w:cs="宋体"/>
          <w:color w:val="auto"/>
          <w:sz w:val="24"/>
          <w:szCs w:val="24"/>
          <w:highlight w:val="none"/>
        </w:rPr>
      </w:r>
      <w:r/>
    </w:p>
    <w:p>
      <w:pPr>
        <w:pStyle w:val="789"/>
        <w:rPr>
          <w:rFonts w:ascii="宋体" w:hAnsi="宋体" w:cs="宋体"/>
          <w:color w:val="auto"/>
          <w:sz w:val="24"/>
          <w:szCs w:val="24"/>
          <w:highlight w:val="none"/>
        </w:rPr>
      </w:pPr>
      <w:r>
        <w:rPr>
          <w:rFonts w:ascii="宋体" w:hAnsi="宋体" w:cs="宋体"/>
          <w:color w:val="auto"/>
          <w:sz w:val="24"/>
          <w:szCs w:val="24"/>
          <w:highlight w:val="none"/>
        </w:rPr>
      </w:r>
      <w:r/>
    </w:p>
    <w:p>
      <w:pPr>
        <w:pStyle w:val="789"/>
        <w:rPr>
          <w:rFonts w:ascii="宋体" w:hAnsi="宋体" w:cs="宋体"/>
          <w:color w:val="auto"/>
          <w:sz w:val="24"/>
          <w:szCs w:val="24"/>
          <w:highlight w:val="none"/>
        </w:rPr>
      </w:pPr>
      <w:r>
        <w:rPr>
          <w:rFonts w:ascii="宋体" w:hAnsi="宋体" w:cs="宋体"/>
          <w:color w:val="auto"/>
          <w:sz w:val="24"/>
          <w:szCs w:val="24"/>
          <w:highlight w:val="none"/>
        </w:rPr>
      </w:r>
      <w:r/>
    </w:p>
    <w:p>
      <w:pPr>
        <w:pStyle w:val="789"/>
        <w:rPr>
          <w:rFonts w:ascii="宋体" w:hAnsi="宋体" w:cs="宋体"/>
          <w:color w:val="auto"/>
          <w:sz w:val="24"/>
          <w:szCs w:val="24"/>
          <w:highlight w:val="none"/>
        </w:rPr>
      </w:pPr>
      <w:r>
        <w:rPr>
          <w:rFonts w:ascii="宋体" w:hAnsi="宋体" w:cs="宋体"/>
          <w:color w:val="auto"/>
          <w:sz w:val="24"/>
          <w:szCs w:val="24"/>
          <w:highlight w:val="none"/>
        </w:rPr>
      </w:r>
      <w:r/>
    </w:p>
    <w:p>
      <w:pPr>
        <w:pStyle w:val="789"/>
        <w:rPr>
          <w:rFonts w:ascii="宋体" w:hAnsi="宋体" w:cs="宋体"/>
          <w:color w:val="auto"/>
          <w:sz w:val="24"/>
          <w:szCs w:val="24"/>
          <w:highlight w:val="none"/>
        </w:rPr>
      </w:pPr>
      <w:r>
        <w:rPr>
          <w:rFonts w:ascii="宋体" w:hAnsi="宋体" w:cs="宋体"/>
          <w:color w:val="auto"/>
          <w:sz w:val="24"/>
          <w:szCs w:val="24"/>
          <w:highlight w:val="none"/>
        </w:rPr>
      </w:r>
      <w:r/>
    </w:p>
    <w:p>
      <w:pPr>
        <w:pStyle w:val="789"/>
        <w:rPr>
          <w:rFonts w:ascii="宋体" w:hAnsi="宋体" w:cs="宋体"/>
          <w:color w:val="auto"/>
          <w:sz w:val="24"/>
          <w:szCs w:val="24"/>
          <w:highlight w:val="none"/>
        </w:rPr>
      </w:pPr>
      <w:r>
        <w:rPr>
          <w:rFonts w:ascii="宋体" w:hAnsi="宋体" w:cs="宋体"/>
          <w:color w:val="auto"/>
          <w:sz w:val="24"/>
          <w:szCs w:val="24"/>
          <w:highlight w:val="none"/>
        </w:rPr>
      </w:r>
      <w:r/>
    </w:p>
    <w:p>
      <w:pPr>
        <w:pStyle w:val="789"/>
        <w:rPr>
          <w:rFonts w:ascii="宋体" w:hAnsi="宋体" w:cs="宋体"/>
          <w:color w:val="auto"/>
          <w:sz w:val="24"/>
          <w:szCs w:val="24"/>
          <w:highlight w:val="none"/>
        </w:rPr>
      </w:pPr>
      <w:r>
        <w:rPr>
          <w:rFonts w:ascii="宋体" w:hAnsi="宋体" w:cs="宋体"/>
          <w:color w:val="auto"/>
          <w:sz w:val="24"/>
          <w:szCs w:val="24"/>
          <w:highlight w:val="none"/>
        </w:rPr>
      </w:r>
      <w:r/>
    </w:p>
    <w:p>
      <w:pPr>
        <w:pStyle w:val="789"/>
        <w:rPr>
          <w:rFonts w:ascii="宋体" w:hAnsi="宋体" w:cs="宋体"/>
          <w:color w:val="auto"/>
          <w:sz w:val="24"/>
          <w:szCs w:val="24"/>
          <w:highlight w:val="none"/>
        </w:rPr>
      </w:pPr>
      <w:r>
        <w:rPr>
          <w:rFonts w:ascii="宋体" w:hAnsi="宋体" w:cs="宋体"/>
          <w:color w:val="auto"/>
          <w:sz w:val="24"/>
          <w:szCs w:val="24"/>
          <w:highlight w:val="none"/>
        </w:rPr>
      </w:r>
      <w:r/>
    </w:p>
    <w:p>
      <w:pPr>
        <w:pStyle w:val="789"/>
        <w:rPr>
          <w:rFonts w:ascii="宋体" w:hAnsi="宋体" w:cs="宋体"/>
          <w:color w:val="auto"/>
          <w:sz w:val="24"/>
          <w:szCs w:val="24"/>
          <w:highlight w:val="none"/>
        </w:rPr>
      </w:pPr>
      <w:r>
        <w:rPr>
          <w:rFonts w:ascii="宋体" w:hAnsi="宋体" w:cs="宋体"/>
          <w:color w:val="auto"/>
          <w:sz w:val="24"/>
          <w:szCs w:val="24"/>
          <w:highlight w:val="none"/>
        </w:rPr>
      </w:r>
      <w:r/>
    </w:p>
    <w:p>
      <w:pPr>
        <w:pStyle w:val="789"/>
        <w:rPr>
          <w:rFonts w:ascii="宋体" w:hAnsi="宋体" w:cs="宋体"/>
          <w:color w:val="auto"/>
          <w:sz w:val="24"/>
          <w:szCs w:val="24"/>
          <w:highlight w:val="none"/>
        </w:rPr>
      </w:pPr>
      <w:r>
        <w:rPr>
          <w:rFonts w:ascii="宋体" w:hAnsi="宋体" w:cs="宋体"/>
          <w:color w:val="auto"/>
          <w:sz w:val="24"/>
          <w:szCs w:val="24"/>
          <w:highlight w:val="none"/>
        </w:rPr>
      </w:r>
      <w:r/>
    </w:p>
    <w:p>
      <w:pPr>
        <w:pStyle w:val="789"/>
        <w:rPr>
          <w:rFonts w:ascii="宋体" w:hAnsi="宋体" w:cs="宋体"/>
          <w:color w:val="auto"/>
          <w:sz w:val="24"/>
          <w:szCs w:val="24"/>
          <w:highlight w:val="none"/>
        </w:rPr>
      </w:pPr>
      <w:r>
        <w:rPr>
          <w:rFonts w:ascii="宋体" w:hAnsi="宋体" w:cs="宋体"/>
          <w:color w:val="auto"/>
          <w:sz w:val="24"/>
          <w:szCs w:val="24"/>
          <w:highlight w:val="none"/>
        </w:rPr>
      </w:r>
      <w:bookmarkEnd w:id="2"/>
      <w:r/>
      <w:r/>
    </w:p>
    <w:p>
      <w:pPr>
        <w:pStyle w:val="937"/>
        <w:jc w:val="center"/>
        <w:spacing w:line="360" w:lineRule="auto"/>
        <w:rPr>
          <w:rFonts w:ascii="宋体" w:hAnsi="宋体" w:eastAsia="宋体" w:cs="宋体"/>
          <w:color w:val="auto"/>
          <w:sz w:val="52"/>
          <w:highlight w:val="none"/>
        </w:rPr>
      </w:pPr>
      <w:r/>
      <w:bookmarkStart w:id="13" w:name="_Toc397699337"/>
      <w:r/>
      <w:bookmarkStart w:id="14" w:name="_Toc268175873"/>
      <w:r/>
      <w:bookmarkStart w:id="15" w:name="_Toc77258036"/>
      <w:r>
        <w:rPr>
          <w:rFonts w:hint="eastAsia" w:ascii="宋体" w:hAnsi="宋体" w:eastAsia="宋体" w:cs="宋体"/>
          <w:color w:val="auto"/>
          <w:sz w:val="52"/>
          <w:highlight w:val="none"/>
        </w:rPr>
        <w:t xml:space="preserve">第二章 投标人须知</w:t>
      </w:r>
      <w:bookmarkEnd w:id="13"/>
      <w:r/>
      <w:bookmarkEnd w:id="14"/>
      <w:r/>
      <w:bookmarkEnd w:id="15"/>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一、说明和释义</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 说明</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1.1本招标文件仅适用于中思项目管理咨询有限公司组织的招标活动。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1.2本次招标活动及因本次招标产生的合同受中国法律制约和保护。</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1.3本招标文件的解释权属于中思项目管理咨询有限公司。</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2. 词语释义</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2.1招标人：指依法进行政府采购的国家机关、事业单位、团体组织。</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 供应商：指向招标人提供货物、工程或服务的法人、其他组织或者自然人。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2.3投标人：指参加政府采购货物服务投标活动的供应商。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2.4采购代理机构：指依法接受招标人委托，从事货物、工程和服务等政府采购招标代理业务的社会中介机构。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2.5招标采购单位：招标人及采购代理机构的统称。</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2.6评标委员会：是指在招标投标和政府采购活动中，依法由招标人代表和有关技术、经济等方面的专家组建，负责对投标文件进行评审并提出评审意见的临时性权威机构。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2.7响应：投标人根据招标人或采购代理机构发售的招标文件，编制投标文件并按规定投标的行为。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2.8服务：系指本次招标文件规定乙方应承担的吴江区农村生活污水治理PPP项目竣工结算审计服务及合同中规定乙方应承担的其它义务。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2.9知识产权：指专利权、商标权、著作权等无形财产专有权的统称。</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2.10知识产权：指专利权、商标权、著作权等无形财产专有权的统称。</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2.11天：日历日。</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2.12服务地点：合同中明确约定的乙方服务地点。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2.13不可抗力：不能预见、不能避免并且不能克服的客观情况。</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2.14 实质性响应：满足有关本次采购标的、数量、质量、价款或者报酬、履行期限、履行地点和方式、违约责任和解决争议方法等要求。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2.15书面形式：指书面文字、合同书、信件和传真等可以有形地表现所载内容的形式。</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 投标人</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3. 合格投标人的基本条件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3.1具有独立承担民事责任的能力；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3.2具有良好的商业信誉和健全的财务会计制度；</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3.3具有履行合同所必需的设备和专业技术能力；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3.4有依法缴纳税收和社会保障资金的良好记录；</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3.5参加政府采购活动前三年内，在经营活动中没有重大违法记录；</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3.6法律、行政法规规定的其他条件。</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4．合格投标人的特定条件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5. 投标人代表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5.1指全权代表投标人参加投标活动并签署投标文件的人，如果投标人代表不是法定代表人（负责人），须持有授权委托书（详见统一格式）。</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6. 联合投标</w:t>
      </w:r>
      <w:r/>
    </w:p>
    <w:p>
      <w:pPr>
        <w:ind w:firstLine="426"/>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本项目不接受联合投标。</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7. 投标费用 </w:t>
      </w:r>
      <w:r/>
    </w:p>
    <w:p>
      <w:pPr>
        <w:ind w:firstLine="50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7.1投标人应自行承担所有准备及参加投标的相关费用。不论投标结果如何，招标人和采购代理机构在任何情况下均无义务也无责任承担这些费用。</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三、 招标文件说明</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8. 招标文件</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8.2 招标文件及其更正文件不是直接从苏州市政府采购网获得的，招标采购单位对招标文件及其补遗的真实性、完整性不承担任何责任。</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9.现场考察 </w:t>
      </w:r>
      <w:r/>
    </w:p>
    <w:p>
      <w:pPr>
        <w:ind w:firstLine="60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9.1投标人自行考察，以获取编制投标文件和签署合同所需的信息。考察现场所发生的费用由投标人自己承担。</w:t>
      </w:r>
      <w:r/>
    </w:p>
    <w:p>
      <w:pPr>
        <w:pStyle w:val="964"/>
        <w:ind w:firstLine="60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964"/>
        <w:ind w:firstLine="600"/>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10.3 经招标采购单位允许，投标人可为考察目的进入招标采购单位的项目现场，但投标人不得因此使招标采购单位承担有关的责任和蒙受损失。投标人应承担考察现场的责任和风险。</w:t>
      </w:r>
      <w:r/>
    </w:p>
    <w:p>
      <w:pPr>
        <w:ind w:firstLine="600"/>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10. 招标文件的澄清和修改</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10.1 投标人在获得招标文件后，若有问题需要询问和澄清，应于前附表规定提出，采购代理机构将按规定予以解答。</w:t>
      </w:r>
      <w:r/>
    </w:p>
    <w:p>
      <w:pPr>
        <w:ind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10.2如需召开投标答疑会的，招标采购单位将按前附表规定的时间、地点召开招标答疑会。</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10.3未按前附表规定时间的询问和提交的疑问，招标人和采购代理机构有权拒绝回答，也不承担由此带来的对投标人投标结果的影响。</w:t>
      </w:r>
      <w:r/>
    </w:p>
    <w:p>
      <w:pPr>
        <w:ind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10.4招标采购单位无论出于自己的考虑，还是出于对投标人提问的澄清，均可对已发出的招标文件按规定进行必要澄清或者修改。</w:t>
      </w:r>
      <w:r/>
    </w:p>
    <w:p>
      <w:pPr>
        <w:ind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10.5为使投标人有足够的时间按招标文件的修改要求考虑修正投标文件，或出于其他原因，招标采购单位有权推迟投标截止日期和开标日期，将此变更通知在苏州市政府采购网上公告。</w:t>
      </w:r>
      <w:r/>
    </w:p>
    <w:p>
      <w:pPr>
        <w:ind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10.6招标文件的更正（含澄清、修改等）内容与原招标文件在同一内容上表述不一致时，以发出日期最接近开标时间的公告为准。</w:t>
      </w:r>
      <w:r/>
    </w:p>
    <w:p>
      <w:pPr>
        <w:ind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10.7招标文件的更正（含澄清、修改等）内容将在财政部门指定的政府采购信息发布媒体上发布，作为招标文件的组成部分，对投标人起约束作用。</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11、质疑</w:t>
      </w:r>
      <w:r/>
    </w:p>
    <w:p>
      <w:pPr>
        <w:ind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供应商认为招标文件、采购过程和中标使自己的权益受到损害的，可以在知道或者应知其权益受到损害之日起七个工作日内，根据《政府采购质疑和投诉办法》（中华人民共和国财政部令第94号）向代理机构提出质疑。凡是对招标文件提出质疑的供应商，请按本招标公告供应商应当具备的资格条件要求提供材料，并将本项目政府采购网上报名确认单与质疑函一同递交，报名时间视为获取招标文件时间。</w:t>
      </w:r>
      <w:r/>
    </w:p>
    <w:p>
      <w:pPr>
        <w:ind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11.1接受质疑函的方式：当场送达或邮寄方式，拒收到付件。</w:t>
      </w:r>
      <w:r/>
    </w:p>
    <w:p>
      <w:pPr>
        <w:ind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11.2联系单位：中思项目管理咨询有限公司</w:t>
      </w:r>
      <w:r/>
    </w:p>
    <w:p>
      <w:pPr>
        <w:ind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11.3联系电话：0512-68832715</w:t>
      </w:r>
      <w:r/>
    </w:p>
    <w:p>
      <w:pPr>
        <w:ind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11.4通讯地址：苏州市西环路902号（双桥868创意文化产业园）629室  </w:t>
      </w:r>
      <w:r/>
    </w:p>
    <w:p>
      <w:pPr>
        <w:ind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11.5供应商如对本项目提出质疑须在法定质疑期内一次性提出针对同一采购程序环节的质疑。</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四、 投标文件说明</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12. 投标文件计量单位和使用文字</w:t>
      </w:r>
      <w:r/>
    </w:p>
    <w:p>
      <w:pPr>
        <w:pStyle w:val="964"/>
        <w:ind w:firstLine="501"/>
        <w:jc w:val="both"/>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12.1投标文件中所使用的计量单位，除招标文件中有特殊要求外，均应使用中华人民共和国法定计量单位。</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w:t>
      </w:r>
      <w:bookmarkStart w:id="16" w:name="_Toc217446047"/>
      <w:r>
        <w:rPr>
          <w:rFonts w:hint="eastAsia" w:ascii="宋体" w:hAnsi="宋体" w:cs="宋体"/>
          <w:b/>
          <w:color w:val="auto"/>
          <w:sz w:val="24"/>
          <w:szCs w:val="24"/>
          <w:highlight w:val="none"/>
        </w:rPr>
        <w:t xml:space="preserve">3. 知识产权</w:t>
      </w:r>
      <w:bookmarkEnd w:id="16"/>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tabs>
          <w:tab w:val="left" w:pos="2925" w:leader="none"/>
        </w:tabs>
        <w:rPr>
          <w:rFonts w:ascii="宋体" w:hAnsi="宋体" w:cs="宋体"/>
          <w:b/>
          <w:color w:val="auto"/>
          <w:sz w:val="24"/>
          <w:szCs w:val="24"/>
          <w:highlight w:val="none"/>
        </w:rPr>
      </w:pPr>
      <w:r>
        <w:rPr>
          <w:rFonts w:hint="eastAsia" w:ascii="宋体" w:hAnsi="宋体" w:cs="宋体"/>
          <w:b/>
          <w:color w:val="auto"/>
          <w:sz w:val="24"/>
          <w:szCs w:val="24"/>
          <w:highlight w:val="none"/>
        </w:rPr>
        <w:t xml:space="preserve">14. 投标文件的组成</w:t>
      </w:r>
      <w:r>
        <w:rPr>
          <w:rFonts w:hint="eastAsia" w:ascii="宋体" w:hAnsi="宋体" w:cs="宋体"/>
          <w:b/>
          <w:color w:val="auto"/>
          <w:sz w:val="24"/>
          <w:szCs w:val="24"/>
          <w:highlight w:val="none"/>
        </w:rPr>
        <w:tab/>
      </w:r>
      <w:r/>
    </w:p>
    <w:p>
      <w:pPr>
        <w:ind w:firstLine="504"/>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14.1封面</w:t>
      </w:r>
      <w:r/>
    </w:p>
    <w:p>
      <w:pPr>
        <w:ind w:firstLine="504"/>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14.2开标一览表</w:t>
      </w:r>
      <w:r/>
    </w:p>
    <w:p>
      <w:pPr>
        <w:ind w:firstLine="504"/>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14.3资格审查文件</w:t>
      </w:r>
      <w:r/>
    </w:p>
    <w:p>
      <w:pPr>
        <w:ind w:firstLine="480"/>
        <w:spacing w:line="360" w:lineRule="auto"/>
        <w:rPr>
          <w:rFonts w:ascii="宋体" w:hAnsi="宋体" w:cs="宋体"/>
          <w:b/>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zh-CN"/>
        </w:rPr>
        <w:t xml:space="preserve">具有独立承担民事责任的能力证明。</w:t>
      </w:r>
      <w:r>
        <w:rPr>
          <w:rFonts w:hint="eastAsia" w:ascii="宋体" w:hAnsi="宋体" w:cs="宋体"/>
          <w:b/>
          <w:color w:val="auto"/>
          <w:sz w:val="24"/>
          <w:szCs w:val="24"/>
          <w:highlight w:val="none"/>
          <w:lang w:val="zh-CN"/>
        </w:rPr>
        <w:t xml:space="preserve">包括法人或者其他组织的营业执照等证明文件，自然人的身份证明；</w:t>
      </w:r>
      <w:r/>
    </w:p>
    <w:p>
      <w:pPr>
        <w:ind w:firstLine="480"/>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zh-CN"/>
        </w:rPr>
        <w:t xml:space="preserve">具有良好的商业信誉和健全的财务会计制度证明。</w:t>
      </w:r>
      <w:r>
        <w:rPr>
          <w:rFonts w:hint="eastAsia" w:ascii="宋体" w:hAnsi="宋体" w:cs="宋体"/>
          <w:b/>
          <w:color w:val="auto"/>
          <w:sz w:val="24"/>
          <w:szCs w:val="24"/>
          <w:highlight w:val="none"/>
          <w:lang w:val="zh-CN"/>
        </w:rPr>
        <w:t xml:space="preserve">包括但不限于提供最近一期的经审计的财务审计报告或最近一期财务报表（资产负债表、利润表），其他组织、自然人及成立未满一年的法人应提供银行出具的资信证明；</w:t>
      </w:r>
      <w:r/>
    </w:p>
    <w:p>
      <w:pPr>
        <w:ind w:firstLine="480"/>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（3）具有</w:t>
      </w:r>
      <w:r>
        <w:rPr>
          <w:rFonts w:hint="eastAsia" w:ascii="宋体" w:hAnsi="宋体" w:cs="宋体"/>
          <w:bCs/>
          <w:color w:val="auto"/>
          <w:sz w:val="24"/>
          <w:szCs w:val="24"/>
          <w:highlight w:val="none"/>
          <w:lang w:val="zh-CN"/>
        </w:rPr>
        <w:t xml:space="preserve">履行合同所</w:t>
      </w:r>
      <w:r>
        <w:rPr>
          <w:rFonts w:hint="eastAsia" w:ascii="宋体" w:hAnsi="宋体" w:cs="宋体"/>
          <w:bCs/>
          <w:color w:val="auto"/>
          <w:sz w:val="24"/>
          <w:szCs w:val="24"/>
          <w:highlight w:val="none"/>
        </w:rPr>
        <w:t xml:space="preserve">必需</w:t>
      </w:r>
      <w:r>
        <w:rPr>
          <w:rFonts w:hint="eastAsia" w:ascii="宋体" w:hAnsi="宋体" w:cs="宋体"/>
          <w:bCs/>
          <w:color w:val="auto"/>
          <w:sz w:val="24"/>
          <w:szCs w:val="24"/>
          <w:highlight w:val="none"/>
          <w:lang w:val="zh-CN"/>
        </w:rPr>
        <w:t xml:space="preserve">的设备和专业技术能力的证明材料；</w:t>
      </w:r>
      <w:r/>
    </w:p>
    <w:p>
      <w:pPr>
        <w:pStyle w:val="964"/>
        <w:ind w:firstLine="480"/>
        <w:spacing w:line="360" w:lineRule="auto"/>
        <w:rPr>
          <w:rFonts w:ascii="宋体" w:hAnsi="宋体" w:eastAsia="宋体" w:cs="宋体"/>
          <w:b/>
          <w:color w:val="auto"/>
          <w:szCs w:val="24"/>
          <w:highlight w:val="none"/>
          <w:lang w:val="zh-CN"/>
        </w:rPr>
      </w:pPr>
      <w:r>
        <w:rPr>
          <w:rFonts w:hint="eastAsia" w:ascii="宋体" w:hAnsi="宋体" w:eastAsia="宋体" w:cs="宋体"/>
          <w:bCs/>
          <w:color w:val="auto"/>
          <w:szCs w:val="24"/>
          <w:highlight w:val="none"/>
        </w:rPr>
        <w:t xml:space="preserve">（4）</w:t>
      </w:r>
      <w:r>
        <w:rPr>
          <w:rFonts w:hint="eastAsia" w:ascii="宋体" w:hAnsi="宋体" w:eastAsia="宋体" w:cs="宋体"/>
          <w:bCs/>
          <w:color w:val="auto"/>
          <w:szCs w:val="24"/>
          <w:highlight w:val="none"/>
          <w:lang w:val="zh-CN"/>
        </w:rPr>
        <w:t xml:space="preserve">有依法缴纳税收和社会保障资金的良好记录。</w:t>
      </w:r>
      <w:r>
        <w:rPr>
          <w:rFonts w:hint="eastAsia" w:ascii="宋体" w:hAnsi="宋体" w:eastAsia="宋体" w:cs="宋体"/>
          <w:b/>
          <w:color w:val="auto"/>
          <w:szCs w:val="24"/>
          <w:highlight w:val="none"/>
        </w:rPr>
        <w:t xml:space="preserve">提供</w:t>
      </w:r>
      <w:r>
        <w:rPr>
          <w:rFonts w:hint="eastAsia" w:ascii="宋体" w:hAnsi="宋体" w:eastAsia="宋体" w:cs="宋体"/>
          <w:b/>
          <w:color w:val="auto"/>
          <w:szCs w:val="24"/>
          <w:highlight w:val="none"/>
          <w:lang w:val="zh-CN"/>
        </w:rPr>
        <w:t xml:space="preserve">近</w:t>
      </w:r>
      <w:r>
        <w:rPr>
          <w:rFonts w:hint="eastAsia" w:ascii="宋体" w:hAnsi="宋体" w:eastAsia="宋体" w:cs="宋体"/>
          <w:b/>
          <w:color w:val="auto"/>
          <w:szCs w:val="24"/>
          <w:highlight w:val="none"/>
        </w:rPr>
        <w:t xml:space="preserve">6</w:t>
      </w:r>
      <w:r>
        <w:rPr>
          <w:rFonts w:hint="eastAsia" w:ascii="宋体" w:hAnsi="宋体" w:eastAsia="宋体" w:cs="宋体"/>
          <w:b/>
          <w:color w:val="auto"/>
          <w:szCs w:val="24"/>
          <w:highlight w:val="none"/>
          <w:lang w:val="zh-CN"/>
        </w:rPr>
        <w:t xml:space="preserve">个月中任意一个月的依法缴纳税收</w:t>
      </w:r>
      <w:r>
        <w:rPr>
          <w:rFonts w:hint="eastAsia" w:ascii="宋体" w:hAnsi="宋体" w:eastAsia="宋体" w:cs="宋体"/>
          <w:b/>
          <w:color w:val="auto"/>
          <w:szCs w:val="24"/>
          <w:highlight w:val="none"/>
        </w:rPr>
        <w:t xml:space="preserve">和</w:t>
      </w:r>
      <w:r>
        <w:rPr>
          <w:rFonts w:hint="eastAsia" w:ascii="宋体" w:hAnsi="宋体" w:eastAsia="宋体" w:cs="宋体"/>
          <w:b/>
          <w:color w:val="auto"/>
          <w:szCs w:val="24"/>
          <w:highlight w:val="none"/>
          <w:lang w:val="zh-CN"/>
        </w:rPr>
        <w:t xml:space="preserve">社会保障资金的相关材料（提供相关主管部门证明或银行代扣证明）；</w:t>
      </w:r>
      <w:r/>
    </w:p>
    <w:p>
      <w:pPr>
        <w:ind w:firstLine="480"/>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5</w:t>
      </w:r>
      <w:r>
        <w:rPr>
          <w:rFonts w:hint="eastAsia" w:ascii="宋体" w:hAnsi="宋体" w:cs="宋体"/>
          <w:bCs/>
          <w:color w:val="auto"/>
          <w:sz w:val="24"/>
          <w:szCs w:val="24"/>
          <w:highlight w:val="none"/>
          <w:lang w:val="zh-CN"/>
        </w:rPr>
        <w:t xml:space="preserve">）参加政府采购活动前三年内在经营活动中没有重大违法记录的书面声明函；</w:t>
      </w:r>
      <w:r/>
    </w:p>
    <w:p>
      <w:pPr>
        <w:ind w:firstLine="480"/>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6</w:t>
      </w:r>
      <w:r>
        <w:rPr>
          <w:rFonts w:hint="eastAsia" w:ascii="宋体" w:hAnsi="宋体" w:cs="宋体"/>
          <w:bCs/>
          <w:color w:val="auto"/>
          <w:sz w:val="24"/>
          <w:szCs w:val="24"/>
          <w:highlight w:val="none"/>
          <w:lang w:val="zh-CN"/>
        </w:rPr>
        <w:t xml:space="preserve">）《中小微企业声明函》、《残疾人福利性单位声明函》（如有）、《监狱企业证明文件》（如有）。</w:t>
      </w:r>
      <w:r/>
    </w:p>
    <w:p>
      <w:pPr>
        <w:ind w:firstLine="504"/>
        <w:spacing w:line="360" w:lineRule="auto"/>
        <w:rPr>
          <w:rFonts w:ascii="宋体" w:hAnsi="宋体" w:cs="宋体"/>
          <w:bCs/>
          <w:color w:val="auto"/>
          <w:sz w:val="24"/>
          <w:szCs w:val="24"/>
          <w:highlight w:val="none"/>
          <w:lang w:val="zh-CN"/>
        </w:rPr>
      </w:pPr>
      <w:r>
        <w:rPr>
          <w:rFonts w:hint="eastAsia" w:ascii="宋体" w:hAnsi="宋体" w:cs="宋体"/>
          <w:b/>
          <w:bCs/>
          <w:color w:val="auto"/>
          <w:sz w:val="24"/>
          <w:szCs w:val="24"/>
          <w:highlight w:val="none"/>
        </w:rPr>
        <w:t xml:space="preserve">14.4符合性审查文件</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zh-CN"/>
        </w:rPr>
        <w:t xml:space="preserve">）关于资格文件的声明函；</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（2）投标函； </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（3）法定代表人身份证扫描件；</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（4）授权委托书（如有授权）；</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（5）投标单位委托代理人身份证扫描件（如有授权）；</w:t>
      </w:r>
      <w:r/>
    </w:p>
    <w:p>
      <w:pPr>
        <w:ind w:firstLine="480"/>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（6）</w:t>
      </w:r>
      <w:r>
        <w:rPr>
          <w:rFonts w:hint="eastAsia" w:ascii="宋体" w:hAnsi="宋体" w:cs="宋体"/>
          <w:bCs/>
          <w:color w:val="auto"/>
          <w:sz w:val="24"/>
          <w:szCs w:val="24"/>
          <w:highlight w:val="none"/>
          <w:lang w:val="zh-CN"/>
        </w:rPr>
        <w:t xml:space="preserve">偏离表（商务条款偏离表、服务条款偏离表）；</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（7）实质性条款（如有）；</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（8）其他有关符合性证明的文件（投标（响应）保证承诺书等）；</w:t>
      </w:r>
      <w:r/>
    </w:p>
    <w:p>
      <w:pPr>
        <w:ind w:firstLine="504"/>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14.5综合评审文件</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（1）评分标准中所涉及到针对本项目的相关理解说明，服务方案，相关制度、证书、业绩、承诺函及其他材料、证明等。</w:t>
      </w:r>
      <w:r/>
    </w:p>
    <w:p>
      <w:pPr>
        <w:ind w:firstLine="480"/>
        <w:spacing w:line="360" w:lineRule="auto"/>
        <w:rPr>
          <w:rFonts w:ascii="宋体" w:hAnsi="宋体" w:cs="宋体"/>
          <w:bCs/>
          <w:color w:val="auto"/>
          <w:sz w:val="24"/>
          <w:szCs w:val="24"/>
          <w:highlight w:val="none"/>
        </w:rPr>
      </w:pPr>
      <w:r/>
      <w:bookmarkStart w:id="17" w:name="_Toc5835"/>
      <w:r>
        <w:rPr>
          <w:rFonts w:hint="eastAsia" w:ascii="宋体" w:hAnsi="宋体" w:cs="宋体"/>
          <w:bCs/>
          <w:color w:val="auto"/>
          <w:sz w:val="24"/>
          <w:szCs w:val="24"/>
          <w:highlight w:val="none"/>
        </w:rPr>
        <w:t xml:space="preserve">（2）本次采购有关的其他综合评审文件。</w:t>
      </w:r>
      <w:bookmarkEnd w:id="17"/>
      <w:r/>
      <w:r/>
    </w:p>
    <w:p>
      <w:pPr>
        <w:ind w:firstLine="504"/>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14.6企业报价折扣证明</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14.6.1《中小企业声明函》或《残疾人福利性单位声明函》或由省级以上监狱管理局、戒毒管理局（含新疆生产建设兵团）出具的属于监狱企业的证明文件。</w:t>
      </w:r>
      <w:r/>
    </w:p>
    <w:p>
      <w:pPr>
        <w:ind w:firstLine="504"/>
        <w:spacing w:line="360" w:lineRule="auto"/>
        <w:rPr>
          <w:rFonts w:ascii="宋体" w:hAnsi="宋体" w:cs="宋体"/>
          <w:b/>
          <w:bCs/>
          <w:color w:val="auto"/>
          <w:sz w:val="24"/>
          <w:szCs w:val="24"/>
          <w:highlight w:val="none"/>
        </w:rPr>
      </w:pPr>
      <w:r/>
      <w:bookmarkStart w:id="18" w:name="_Hlk158131259"/>
      <w:r>
        <w:rPr>
          <w:rFonts w:hint="eastAsia" w:ascii="宋体" w:hAnsi="宋体" w:cs="宋体"/>
          <w:b/>
          <w:bCs/>
          <w:color w:val="auto"/>
          <w:sz w:val="24"/>
          <w:szCs w:val="24"/>
          <w:highlight w:val="none"/>
        </w:rPr>
        <w:t xml:space="preserve">注：本项目投标文件由14.1-14.6款规定的内容组成并按要求加盖电子公章。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ind w:firstLine="504"/>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投标人必须保证全部投标资料的真实性，如有虚假或对招标文件所要求说明的情况故意隐瞒或虚报，视为不实质性响应招标文件，投标无效。</w:t>
      </w:r>
      <w:r/>
    </w:p>
    <w:p>
      <w:pPr>
        <w:ind w:firstLine="504"/>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如投标人投标文件中某些条款不响应招标文件提出的全部服务内容与要求，须在偏离表中逐条列出。</w:t>
      </w:r>
      <w:bookmarkEnd w:id="18"/>
      <w:r/>
      <w:r/>
    </w:p>
    <w:p>
      <w:pPr>
        <w:spacing w:line="360" w:lineRule="auto"/>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15.报价（编制）要求的说明</w:t>
      </w:r>
      <w:r/>
    </w:p>
    <w:p>
      <w:pPr>
        <w:ind w:firstLine="50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除非合同中另有规定，投标报价应包含的本次采购项目的全部结算审计服务的报价，包括但不限于人工、耗材、工具、设备、交通费、食宿费、咨询服务、加班费、保险、补贴、各种税费、管理费、利润等一切为本项目服务的所有费用。</w:t>
      </w:r>
      <w:r/>
    </w:p>
    <w:p>
      <w:pPr>
        <w:ind w:firstLine="501"/>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15.2最终结算审计服务费按实结算，总额不超过合同金额。结算方式详见采购合同。</w:t>
      </w:r>
      <w:r/>
    </w:p>
    <w:p>
      <w:pPr>
        <w:ind w:firstLine="501"/>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ind w:firstLine="50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一项投标内容只允许一个报价，招标人不接受任何有选择性的投标报价，并由法定代表人或其授权人签署。</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投标文件报价采用人民币（元）表示，除非合同的特殊条款另有规定。</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最低报价（折扣）不能作为中标的保证。</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16.投标文件的制作、签署、上传</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16.1本项目采用电子招投标形式，请供应商按照《苏采云系统供应商操作手册》进行制作、上传电子投标文件。</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16.2制作电子投标文件时，应按要求加盖投标人电子公章</w:t>
      </w:r>
      <w:r>
        <w:rPr>
          <w:rFonts w:hint="eastAsia" w:ascii="宋体" w:hAnsi="宋体" w:cs="宋体"/>
          <w:color w:val="auto"/>
          <w:sz w:val="24"/>
          <w:szCs w:val="24"/>
          <w:highlight w:val="none"/>
          <w:lang w:val="zh-CN"/>
        </w:rPr>
        <w:t xml:space="preserve">，需要法定代表人或代理人盖章或签名的文件必须按要求</w:t>
      </w:r>
      <w:r>
        <w:rPr>
          <w:rFonts w:hint="eastAsia" w:ascii="宋体" w:hAnsi="宋体" w:cs="宋体"/>
          <w:color w:val="auto"/>
          <w:sz w:val="24"/>
          <w:szCs w:val="24"/>
          <w:highlight w:val="none"/>
        </w:rPr>
        <w:t xml:space="preserve">进行</w:t>
      </w:r>
      <w:r>
        <w:rPr>
          <w:rFonts w:hint="eastAsia" w:ascii="宋体" w:hAnsi="宋体" w:cs="宋体"/>
          <w:color w:val="auto"/>
          <w:sz w:val="24"/>
          <w:szCs w:val="24"/>
          <w:highlight w:val="none"/>
          <w:lang w:val="zh-CN"/>
        </w:rPr>
        <w:t xml:space="preserve">电子签章或签名，若未按上述要求签署</w:t>
      </w:r>
      <w:r>
        <w:rPr>
          <w:rFonts w:hint="eastAsia" w:ascii="宋体" w:hAnsi="宋体" w:cs="宋体"/>
          <w:color w:val="auto"/>
          <w:sz w:val="24"/>
          <w:szCs w:val="24"/>
          <w:highlight w:val="none"/>
        </w:rPr>
        <w:t xml:space="preserve">或盖章</w:t>
      </w:r>
      <w:r>
        <w:rPr>
          <w:rFonts w:hint="eastAsia" w:ascii="宋体" w:hAnsi="宋体" w:cs="宋体"/>
          <w:color w:val="auto"/>
          <w:sz w:val="24"/>
          <w:szCs w:val="24"/>
          <w:highlight w:val="none"/>
          <w:lang w:val="zh-CN"/>
        </w:rPr>
        <w:t xml:space="preserve">的电子投标文件为无效投标。</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16.3电子投标文件制作完成后请于投标文件网上提交截止时间前成功上传至“苏采云”系统，否则视为放弃参加该采购项目。</w:t>
      </w:r>
      <w:bookmarkStart w:id="19" w:name="_Toc31150"/>
      <w:r/>
      <w:bookmarkStart w:id="20" w:name="_Toc25608"/>
      <w:r>
        <w:rPr>
          <w:rFonts w:hint="eastAsia" w:ascii="宋体" w:hAnsi="宋体" w:cs="宋体"/>
          <w:color w:val="auto"/>
          <w:sz w:val="24"/>
          <w:szCs w:val="24"/>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16.4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16.5如本项目在政府采购信息发布媒体上发布了更正（补充）公告，请投标单位务必在“苏采云”系统中下载更正（补充）资料，根据更正后的招标文件重新编制电子投标（响应）文件并递交，否则可能无法解密，因此导致的响应失败等不利后果由投标人自行承担。</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17、</w:t>
      </w:r>
      <w:r>
        <w:rPr>
          <w:rFonts w:hint="eastAsia" w:ascii="宋体" w:hAnsi="宋体" w:cs="宋体"/>
          <w:b/>
          <w:bCs/>
          <w:color w:val="auto"/>
          <w:sz w:val="24"/>
          <w:szCs w:val="24"/>
          <w:highlight w:val="none"/>
          <w:lang w:val="zh-CN"/>
        </w:rPr>
        <w:t xml:space="preserve">投标文件的修改和撤回</w:t>
      </w:r>
      <w:r/>
    </w:p>
    <w:p>
      <w:pPr>
        <w:ind w:firstLine="501"/>
        <w:spacing w:line="360" w:lineRule="auto"/>
        <w:rPr>
          <w:rFonts w:ascii="宋体" w:hAnsi="宋体" w:cs="宋体"/>
          <w:color w:val="auto"/>
          <w:highlight w:val="none"/>
        </w:rPr>
      </w:pPr>
      <w:r>
        <w:rPr>
          <w:rFonts w:hint="eastAsia" w:ascii="宋体" w:hAnsi="宋体" w:cs="宋体"/>
          <w:color w:val="auto"/>
          <w:sz w:val="24"/>
          <w:szCs w:val="24"/>
          <w:highlight w:val="none"/>
        </w:rPr>
        <w:t xml:space="preserve">17.1</w:t>
      </w:r>
      <w:r>
        <w:rPr>
          <w:rFonts w:hint="eastAsia" w:ascii="宋体" w:hAnsi="宋体" w:cs="宋体"/>
          <w:color w:val="auto"/>
          <w:sz w:val="24"/>
          <w:szCs w:val="24"/>
          <w:highlight w:val="none"/>
          <w:lang w:val="zh-CN"/>
        </w:rPr>
        <w:t xml:space="preserve">投标人在投标截止时间前，</w:t>
      </w:r>
      <w:r>
        <w:rPr>
          <w:rFonts w:hint="eastAsia" w:ascii="宋体" w:hAnsi="宋体" w:cs="宋体"/>
          <w:color w:val="auto"/>
          <w:sz w:val="24"/>
          <w:szCs w:val="24"/>
          <w:highlight w:val="none"/>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ascii="宋体" w:hAnsi="宋体" w:cs="宋体"/>
          <w:color w:val="auto"/>
          <w:sz w:val="24"/>
          <w:szCs w:val="24"/>
          <w:highlight w:val="none"/>
          <w:lang w:val="zh-CN"/>
        </w:rPr>
        <w:t xml:space="preserve">。</w:t>
      </w:r>
      <w:bookmarkEnd w:id="19"/>
      <w:r/>
      <w:bookmarkEnd w:id="20"/>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18. 投标保证金</w:t>
      </w:r>
      <w:r/>
    </w:p>
    <w:p>
      <w:pPr>
        <w:ind w:firstLine="50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本项目无需缴纳投标保证金</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19. 投标文件的有效期</w:t>
      </w:r>
      <w:r/>
    </w:p>
    <w:p>
      <w:pPr>
        <w:ind w:firstLine="50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19.1自开标日起90天内，投标书应保持有效。有效期短于这个规定期限的投标，将被拒绝。</w:t>
      </w:r>
      <w:r/>
    </w:p>
    <w:p>
      <w:pPr>
        <w:ind w:firstLine="50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19.2在特殊情况下，招标人可与投标人协商延长投标书的有效期。这种要求和答复都应以书面、传真、或电报的形式进行。 同意延长有效期的投标人不能修改投标文件，按本须知第17条规定的投标保证金的有效期也相应延长。拒绝接受延期要求的投标人的投标将被拒绝，但投标保证金不会被没收。</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五、开标和评标</w:t>
      </w:r>
      <w:r/>
    </w:p>
    <w:p>
      <w:pPr>
        <w:spacing w:line="360" w:lineRule="auto"/>
        <w:rPr>
          <w:rFonts w:ascii="宋体" w:hAnsi="宋体" w:cs="宋体"/>
          <w:b/>
          <w:bCs/>
          <w:color w:val="auto"/>
          <w:sz w:val="24"/>
          <w:szCs w:val="24"/>
          <w:highlight w:val="none"/>
          <w:lang w:val="zh-CN"/>
        </w:rPr>
      </w:pPr>
      <w:r/>
      <w:bookmarkStart w:id="21" w:name="_Toc268175874"/>
      <w:r/>
      <w:bookmarkStart w:id="22" w:name="_Toc397699338"/>
      <w:r>
        <w:rPr>
          <w:rFonts w:hint="eastAsia" w:ascii="宋体" w:hAnsi="宋体" w:cs="宋体"/>
          <w:b/>
          <w:bCs/>
          <w:color w:val="auto"/>
          <w:sz w:val="24"/>
          <w:szCs w:val="24"/>
          <w:highlight w:val="none"/>
        </w:rPr>
        <w:t xml:space="preserve">20.</w:t>
      </w:r>
      <w:r>
        <w:rPr>
          <w:rFonts w:hint="eastAsia" w:ascii="宋体" w:hAnsi="宋体" w:cs="宋体"/>
          <w:b/>
          <w:bCs/>
          <w:color w:val="auto"/>
          <w:sz w:val="24"/>
          <w:szCs w:val="24"/>
          <w:highlight w:val="none"/>
          <w:lang w:val="zh-CN"/>
        </w:rPr>
        <w:t xml:space="preserve">投标截止</w:t>
      </w:r>
      <w:r/>
    </w:p>
    <w:p>
      <w:pPr>
        <w:ind w:firstLine="501"/>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20.1</w:t>
      </w:r>
      <w:r>
        <w:rPr>
          <w:rFonts w:hint="eastAsia" w:ascii="宋体" w:hAnsi="宋体" w:cs="宋体"/>
          <w:color w:val="auto"/>
          <w:sz w:val="24"/>
          <w:szCs w:val="24"/>
          <w:highlight w:val="none"/>
          <w:lang w:val="zh-CN"/>
        </w:rPr>
        <w:t xml:space="preserve">投标人上传电子投标文件的时间不得迟于招标公告中规定的投标截止时间。</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20.2在投标截止时间收到的投标文件少于三份或完成解密的供应商不足三家的，本次招标失败。</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21.开标</w:t>
      </w:r>
      <w:r/>
    </w:p>
    <w:p>
      <w:pPr>
        <w:ind w:firstLine="501"/>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21.1</w:t>
      </w:r>
      <w:r>
        <w:rPr>
          <w:rFonts w:hint="eastAsia" w:ascii="宋体" w:hAnsi="宋体" w:cs="宋体"/>
          <w:color w:val="auto"/>
          <w:sz w:val="24"/>
          <w:szCs w:val="24"/>
          <w:highlight w:val="none"/>
          <w:lang w:val="zh-CN"/>
        </w:rPr>
        <w:t xml:space="preserve">开标由采购代理机构</w:t>
      </w:r>
      <w:r>
        <w:rPr>
          <w:rFonts w:hint="eastAsia" w:ascii="宋体" w:hAnsi="宋体" w:cs="宋体"/>
          <w:color w:val="auto"/>
          <w:sz w:val="24"/>
          <w:szCs w:val="24"/>
          <w:highlight w:val="none"/>
        </w:rPr>
        <w:t xml:space="preserve">在</w:t>
      </w:r>
      <w:r>
        <w:rPr>
          <w:rFonts w:hint="eastAsia" w:ascii="宋体" w:hAnsi="宋体" w:cs="宋体"/>
          <w:color w:val="auto"/>
          <w:sz w:val="24"/>
          <w:szCs w:val="24"/>
          <w:highlight w:val="none"/>
          <w:lang w:val="zh-CN"/>
        </w:rPr>
        <w:t xml:space="preserve">“苏采云”系统“开标大厅”主持，投标人</w:t>
      </w:r>
      <w:r>
        <w:rPr>
          <w:rFonts w:hint="eastAsia" w:ascii="宋体" w:hAnsi="宋体" w:cs="宋体"/>
          <w:color w:val="auto"/>
          <w:sz w:val="24"/>
          <w:szCs w:val="24"/>
          <w:highlight w:val="none"/>
        </w:rPr>
        <w:t xml:space="preserve">在线</w:t>
      </w:r>
      <w:r>
        <w:rPr>
          <w:rFonts w:hint="eastAsia" w:ascii="宋体" w:hAnsi="宋体" w:cs="宋体"/>
          <w:color w:val="auto"/>
          <w:sz w:val="24"/>
          <w:szCs w:val="24"/>
          <w:highlight w:val="none"/>
          <w:lang w:val="zh-CN"/>
        </w:rPr>
        <w:t xml:space="preserve">参加。投标人应当按照《苏采云系统供应商操作手册》规定，参加开标活动，在系统规定的时间内对投标文件进行解密，评标委员会成员不得参加开标活动。</w:t>
      </w:r>
      <w:r/>
    </w:p>
    <w:p>
      <w:pPr>
        <w:ind w:firstLine="501"/>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21.2</w:t>
      </w:r>
      <w:r>
        <w:rPr>
          <w:rFonts w:hint="eastAsia" w:ascii="宋体" w:hAnsi="宋体" w:cs="宋体"/>
          <w:color w:val="auto"/>
          <w:sz w:val="24"/>
          <w:szCs w:val="24"/>
          <w:highlight w:val="none"/>
          <w:lang w:val="zh-CN"/>
        </w:rPr>
        <w:t xml:space="preserve">开标时，由采购代理机构</w:t>
      </w:r>
      <w:r>
        <w:rPr>
          <w:rFonts w:hint="eastAsia" w:ascii="宋体" w:hAnsi="宋体" w:cs="宋体"/>
          <w:color w:val="auto"/>
          <w:sz w:val="24"/>
          <w:szCs w:val="24"/>
          <w:highlight w:val="none"/>
        </w:rPr>
        <w:t xml:space="preserve">通过“苏采云”系统在线</w:t>
      </w:r>
      <w:r>
        <w:rPr>
          <w:rFonts w:hint="eastAsia" w:ascii="宋体" w:hAnsi="宋体" w:cs="宋体"/>
          <w:color w:val="auto"/>
          <w:sz w:val="24"/>
          <w:szCs w:val="24"/>
          <w:highlight w:val="none"/>
          <w:lang w:val="zh-CN"/>
        </w:rPr>
        <w:t xml:space="preserve">宣布投标人名称、投标价格和招标文件规定的需要宣布的其他内容。</w:t>
      </w:r>
      <w:r>
        <w:rPr>
          <w:rFonts w:hint="eastAsia" w:ascii="宋体" w:hAnsi="宋体" w:cs="宋体"/>
          <w:color w:val="auto"/>
          <w:sz w:val="24"/>
          <w:szCs w:val="24"/>
          <w:highlight w:val="none"/>
        </w:rPr>
        <w:t xml:space="preserve">投标人在不见面开标系统中确认投标价格，如</w:t>
      </w:r>
      <w:r>
        <w:rPr>
          <w:rFonts w:hint="eastAsia" w:ascii="宋体" w:hAnsi="宋体" w:cs="宋体"/>
          <w:color w:val="auto"/>
          <w:sz w:val="24"/>
          <w:szCs w:val="24"/>
          <w:highlight w:val="none"/>
          <w:lang w:val="zh-CN"/>
        </w:rPr>
        <w:t xml:space="preserve">投标人未</w:t>
      </w:r>
      <w:r>
        <w:rPr>
          <w:rFonts w:hint="eastAsia" w:ascii="宋体" w:hAnsi="宋体" w:cs="宋体"/>
          <w:color w:val="auto"/>
          <w:sz w:val="24"/>
          <w:szCs w:val="24"/>
          <w:highlight w:val="none"/>
        </w:rPr>
        <w:t xml:space="preserve">在线</w:t>
      </w:r>
      <w:r>
        <w:rPr>
          <w:rFonts w:hint="eastAsia" w:ascii="宋体" w:hAnsi="宋体" w:cs="宋体"/>
          <w:color w:val="auto"/>
          <w:sz w:val="24"/>
          <w:szCs w:val="24"/>
          <w:highlight w:val="none"/>
          <w:lang w:val="zh-CN"/>
        </w:rPr>
        <w:t xml:space="preserve">参加开标</w:t>
      </w:r>
      <w:r>
        <w:rPr>
          <w:rFonts w:hint="eastAsia" w:ascii="宋体" w:hAnsi="宋体" w:cs="宋体"/>
          <w:color w:val="auto"/>
          <w:sz w:val="24"/>
          <w:szCs w:val="24"/>
          <w:highlight w:val="none"/>
        </w:rPr>
        <w:t xml:space="preserve">或未在规定时间内确认价格</w:t>
      </w:r>
      <w:r>
        <w:rPr>
          <w:rFonts w:hint="eastAsia" w:ascii="宋体" w:hAnsi="宋体" w:cs="宋体"/>
          <w:color w:val="auto"/>
          <w:sz w:val="24"/>
          <w:szCs w:val="24"/>
          <w:highlight w:val="none"/>
          <w:lang w:val="zh-CN"/>
        </w:rPr>
        <w:t xml:space="preserve">的，视同认可开标结果。</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21.3</w:t>
      </w:r>
      <w:r>
        <w:rPr>
          <w:rFonts w:hint="eastAsia" w:ascii="宋体" w:hAnsi="宋体" w:cs="宋体"/>
          <w:color w:val="auto"/>
          <w:sz w:val="24"/>
          <w:szCs w:val="24"/>
          <w:highlight w:val="none"/>
          <w:lang w:val="zh-CN"/>
        </w:rPr>
        <w:t xml:space="preserve">投标人在开标过程中应按照“开标大厅”</w:t>
      </w:r>
      <w:r>
        <w:rPr>
          <w:rFonts w:hint="eastAsia" w:ascii="宋体" w:hAnsi="宋体" w:cs="宋体"/>
          <w:color w:val="auto"/>
          <w:sz w:val="24"/>
          <w:szCs w:val="24"/>
          <w:highlight w:val="none"/>
        </w:rPr>
        <w:t xml:space="preserve">相关要求进行其他相关系统操作</w:t>
      </w:r>
      <w:r>
        <w:rPr>
          <w:rFonts w:hint="eastAsia" w:ascii="宋体" w:hAnsi="宋体" w:cs="宋体"/>
          <w:color w:val="auto"/>
          <w:sz w:val="24"/>
          <w:szCs w:val="24"/>
          <w:highlight w:val="none"/>
          <w:lang w:val="zh-CN"/>
        </w:rPr>
        <w:t xml:space="preserve">。</w:t>
      </w:r>
      <w:r/>
    </w:p>
    <w:p>
      <w:pPr>
        <w:ind w:firstLine="501"/>
        <w:spacing w:line="360" w:lineRule="auto"/>
        <w:rPr>
          <w:rFonts w:ascii="宋体" w:hAnsi="宋体" w:cs="宋体"/>
          <w:color w:val="auto"/>
          <w:sz w:val="24"/>
          <w:szCs w:val="24"/>
          <w:highlight w:val="none"/>
          <w:lang w:val="zh-CN"/>
        </w:rPr>
      </w:pPr>
      <w:r/>
      <w:bookmarkStart w:id="23" w:name="_Hlk92794076"/>
      <w:r/>
      <w:bookmarkStart w:id="24" w:name="_Hlk90652960"/>
      <w:r>
        <w:rPr>
          <w:rFonts w:hint="eastAsia" w:ascii="宋体" w:hAnsi="宋体" w:cs="宋体"/>
          <w:color w:val="auto"/>
          <w:sz w:val="24"/>
          <w:szCs w:val="24"/>
          <w:highlight w:val="none"/>
        </w:rPr>
        <w:t xml:space="preserve">21.4</w:t>
      </w:r>
      <w:r>
        <w:rPr>
          <w:rFonts w:hint="eastAsia" w:ascii="宋体" w:hAnsi="宋体" w:cs="宋体"/>
          <w:color w:val="auto"/>
          <w:sz w:val="24"/>
          <w:szCs w:val="24"/>
          <w:highlight w:val="none"/>
          <w:lang w:val="zh-CN"/>
        </w:rPr>
        <w:t xml:space="preserve">为了保证开标秩序，请不要在互动交流中发表与开标无关的言论。开标中出现异常情况时，将通过“公告栏”栏目发布相关信息</w:t>
      </w:r>
      <w:r>
        <w:rPr>
          <w:rFonts w:hint="eastAsia" w:ascii="宋体" w:hAnsi="宋体" w:cs="宋体"/>
          <w:color w:val="auto"/>
          <w:sz w:val="24"/>
          <w:szCs w:val="24"/>
          <w:highlight w:val="none"/>
        </w:rPr>
        <w:t xml:space="preserve">或</w:t>
      </w:r>
      <w:r>
        <w:rPr>
          <w:rFonts w:hint="eastAsia" w:ascii="宋体" w:hAnsi="宋体" w:cs="宋体"/>
          <w:color w:val="auto"/>
          <w:sz w:val="24"/>
          <w:szCs w:val="24"/>
          <w:highlight w:val="none"/>
          <w:lang w:val="zh-CN"/>
        </w:rPr>
        <w:t xml:space="preserve">通过《投标供应商确认函》留存的手机号与供应商联系，请投标人及时关注，否则导致的不利后果由供应商自行承担。</w:t>
      </w:r>
      <w:bookmarkEnd w:id="23"/>
      <w:r/>
      <w:bookmarkEnd w:id="24"/>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22.资格审查</w:t>
      </w:r>
      <w:r/>
    </w:p>
    <w:p>
      <w:pPr>
        <w:ind w:firstLine="501"/>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22.1</w:t>
      </w:r>
      <w:r>
        <w:rPr>
          <w:rFonts w:hint="eastAsia" w:ascii="宋体" w:hAnsi="宋体" w:cs="宋体"/>
          <w:color w:val="auto"/>
          <w:sz w:val="24"/>
          <w:szCs w:val="24"/>
          <w:highlight w:val="none"/>
          <w:lang w:val="zh-CN"/>
        </w:rPr>
        <w:t xml:space="preserve">开标结束后，招标人</w:t>
      </w:r>
      <w:r>
        <w:rPr>
          <w:rFonts w:hint="eastAsia" w:ascii="宋体" w:hAnsi="宋体" w:cs="宋体"/>
          <w:color w:val="auto"/>
          <w:sz w:val="24"/>
          <w:szCs w:val="24"/>
          <w:highlight w:val="none"/>
        </w:rPr>
        <w:t xml:space="preserve">代表</w:t>
      </w:r>
      <w:r>
        <w:rPr>
          <w:rFonts w:hint="eastAsia" w:ascii="宋体" w:hAnsi="宋体" w:cs="宋体"/>
          <w:color w:val="auto"/>
          <w:sz w:val="24"/>
          <w:szCs w:val="24"/>
          <w:highlight w:val="none"/>
          <w:lang w:val="zh-CN"/>
        </w:rPr>
        <w:t xml:space="preserve">应当依法对投标人的资格进行审查，未通过资格审查的视为无效投标。</w:t>
      </w:r>
      <w:r/>
    </w:p>
    <w:p>
      <w:pPr>
        <w:ind w:firstLine="501"/>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22.2</w:t>
      </w:r>
      <w:r>
        <w:rPr>
          <w:rFonts w:hint="eastAsia" w:ascii="宋体" w:hAnsi="宋体" w:cs="宋体"/>
          <w:color w:val="auto"/>
          <w:sz w:val="24"/>
          <w:szCs w:val="24"/>
          <w:highlight w:val="none"/>
          <w:lang w:val="zh-CN"/>
        </w:rPr>
        <w:t xml:space="preserve">信用查询：根据政府采购法及相关法规，以及苏州市财政局《关于印发苏州市市级政府采购信用记录查询和使用工作试行办法的通知》（苏财购（2017）11号）文件的规定，招标人、采购代理机构对供应商进行信用查询。</w:t>
      </w:r>
      <w:r/>
    </w:p>
    <w:p>
      <w:pPr>
        <w:ind w:firstLine="501"/>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22.3</w:t>
      </w:r>
      <w:r>
        <w:rPr>
          <w:rFonts w:hint="eastAsia" w:ascii="宋体" w:hAnsi="宋体" w:cs="宋体"/>
          <w:color w:val="auto"/>
          <w:sz w:val="24"/>
          <w:szCs w:val="24"/>
          <w:highlight w:val="none"/>
          <w:lang w:val="zh-CN"/>
        </w:rPr>
        <w:t xml:space="preserve">查询时间：投标文件提交截止时间。</w:t>
      </w:r>
      <w:r/>
    </w:p>
    <w:p>
      <w:pPr>
        <w:ind w:firstLine="501"/>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22.4</w:t>
      </w:r>
      <w:r>
        <w:rPr>
          <w:rFonts w:hint="eastAsia" w:ascii="宋体" w:hAnsi="宋体" w:cs="宋体"/>
          <w:color w:val="auto"/>
          <w:sz w:val="24"/>
          <w:szCs w:val="24"/>
          <w:highlight w:val="none"/>
          <w:lang w:val="zh-CN"/>
        </w:rPr>
        <w:t xml:space="preserve">查询渠道：通过“信用中国”网站查询</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val="zh-CN"/>
        </w:rPr>
        <w:t xml:space="preserve">的信用记录，以确定投标人是否具备投标资格。</w:t>
      </w:r>
      <w:bookmarkStart w:id="25" w:name="_Hlk92794284"/>
      <w:r/>
      <w:r/>
    </w:p>
    <w:p>
      <w:pPr>
        <w:ind w:firstLine="501"/>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22.5</w:t>
      </w:r>
      <w:r>
        <w:rPr>
          <w:rFonts w:hint="eastAsia" w:ascii="宋体" w:hAnsi="宋体" w:cs="宋体"/>
          <w:color w:val="auto"/>
          <w:sz w:val="24"/>
          <w:szCs w:val="24"/>
          <w:highlight w:val="none"/>
          <w:lang w:val="zh-CN"/>
        </w:rPr>
        <w:t xml:space="preserve">查询证据留存方式：</w:t>
      </w:r>
      <w:bookmarkEnd w:id="25"/>
      <w:r>
        <w:rPr>
          <w:rFonts w:hint="eastAsia" w:ascii="宋体" w:hAnsi="宋体" w:cs="宋体"/>
          <w:color w:val="auto"/>
          <w:sz w:val="24"/>
          <w:szCs w:val="24"/>
          <w:highlight w:val="none"/>
          <w:lang w:val="zh-CN"/>
        </w:rPr>
        <w:t xml:space="preserve">招标人、采购代理机构工作人员等应按照相关管理办法查询相关主体的信用记录，并保存好相关证据材料，信用查询记录及相关证据应当归入采购档案妥善保管。</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22.6</w:t>
      </w:r>
      <w:r>
        <w:rPr>
          <w:rFonts w:hint="eastAsia" w:ascii="宋体" w:hAnsi="宋体" w:cs="宋体"/>
          <w:color w:val="auto"/>
          <w:sz w:val="24"/>
          <w:szCs w:val="24"/>
          <w:highlight w:val="none"/>
          <w:lang w:val="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23.评标委员会</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23.1评标委员会依法组建，负责本项目的评标事务。</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23.2评标委员会独立履行下列职责：</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23.2.1审查、评价投标文件是否符合招标文件的商务、技术等实质性要求；</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23.2.2要求投标人对投标文件有关事项作出澄清或者说明；</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23.2.3对投标文件进行比较和评价；</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23.2.4确定中标候选人名单，或者根据招标人委托直接确定中标人；</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23.2.5向招标人、采购代理机构或者有关部门报告评标中发现的违法行为。</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23.3评标委员会成员应当履行下列义务：</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23.3.1遵纪守法，客观、公正、廉洁地履行职责；</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23.3.2按照招标文件规定的评标办法和评标标准进行评标，对评审意见承担个人责任；</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23.3.3对评标过程和结果，以及投标人的商业秘密保密；</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23.3.4根据全体评标成员签字的原始评标记录和评标结果编写评标报告；</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23.3.5配合相关部门的投诉处理工作；</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23.3.6配合招标人或采购代理机构答复投标供应商提出的质疑。</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24.评标内容的保密</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24.1公开开标后，直到宣布授予中标供应商合同为止，凡属于审查、澄清、评价和比较投标的所有资料，有关授予合同的信息都不应向投标人或与评标无关的其他人泄露。</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24.2在投标文件的审查、澄清、评价和比较以及授予合同的过程中，投标人对招标人或采购代理机构和评标委员会成员施加影响的任何行为，都将取消其投标资格。</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24.3在评标期间，采购代理机构将通过指定联络人与投标人进行联系。</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25.对投标文件审查</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25.1评标委员会应当对符合资格的投标人的投标文件进行符合性审查，以确定是否对招标文件的实质性要求作响应。</w:t>
      </w:r>
      <w:r/>
    </w:p>
    <w:p>
      <w:pPr>
        <w:ind w:firstLine="480"/>
        <w:jc w:val="left"/>
        <w:spacing w:line="360" w:lineRule="auto"/>
        <w:rPr>
          <w:rFonts w:ascii="宋体" w:hAnsi="宋体" w:cs="宋体"/>
          <w:b/>
          <w:color w:val="auto"/>
          <w:sz w:val="24"/>
          <w:szCs w:val="24"/>
          <w:highlight w:val="none"/>
        </w:rPr>
      </w:pPr>
      <w:r>
        <w:rPr>
          <w:rFonts w:hint="eastAsia" w:ascii="宋体" w:hAnsi="宋体" w:cs="宋体"/>
          <w:b/>
          <w:bCs/>
          <w:color w:val="auto"/>
          <w:sz w:val="24"/>
          <w:szCs w:val="24"/>
          <w:highlight w:val="none"/>
        </w:rPr>
        <w:t xml:space="preserve">25.2</w:t>
      </w:r>
      <w:r>
        <w:rPr>
          <w:rFonts w:hint="eastAsia" w:ascii="宋体" w:hAnsi="宋体" w:cs="宋体"/>
          <w:b/>
          <w:color w:val="auto"/>
          <w:sz w:val="24"/>
          <w:szCs w:val="24"/>
          <w:highlight w:val="none"/>
        </w:rPr>
        <w:t xml:space="preserve">根据财政部《关于推动解决政府采购异常低价问题的通知》（财库〔2026〕2号）的通知，评审过程中出现下列情形之一的，评审委员会应当启动异常低价投标（响应）审查程序： </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（4）评审委员会基于专业判断，认为供应商报价过低，有可能影响产品质量或者不能诚信履约的其他情形。</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启动异常低价投标（响应）审查后，属于上述4项情形的，评审委员会应当要求相关供应商在评审现场</w:t>
      </w:r>
      <w:r>
        <w:rPr>
          <w:rFonts w:hint="eastAsia" w:ascii="宋体" w:hAnsi="宋体" w:cs="宋体"/>
          <w:b/>
          <w:color w:val="auto"/>
          <w:sz w:val="24"/>
          <w:szCs w:val="24"/>
          <w:highlight w:val="none"/>
        </w:rPr>
        <w:t xml:space="preserve">30分钟内</w:t>
      </w:r>
      <w:r>
        <w:rPr>
          <w:rFonts w:hint="eastAsia" w:ascii="宋体" w:hAnsi="宋体" w:cs="宋体"/>
          <w:bCs/>
          <w:color w:val="auto"/>
          <w:sz w:val="24"/>
          <w:szCs w:val="24"/>
          <w:highlight w:val="none"/>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2"/>
        <w:jc w:val="left"/>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tabs>
          <w:tab w:val="left" w:pos="4200" w:leader="none"/>
        </w:tabs>
        <w:rPr>
          <w:rFonts w:ascii="宋体" w:hAnsi="宋体" w:cs="宋体"/>
          <w:color w:val="auto"/>
          <w:sz w:val="24"/>
          <w:szCs w:val="24"/>
          <w:highlight w:val="none"/>
        </w:rPr>
      </w:pPr>
      <w:r>
        <w:rPr>
          <w:rFonts w:hint="eastAsia" w:ascii="宋体" w:hAnsi="宋体" w:cs="宋体"/>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25.3评标委员会应当按照招标文件中规定的评标方法和标准，对符合性审查合格的投标文件进行商务和技术评估，综合比较与评价。</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25.4投标文件属下列情况之一的，将按无效投标处理：</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25.4.1与招标文件有重大偏离；</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25.4.2投标人拒绝修正错误；</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25.4.3投标人的报价是选择性的；</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25.4.4投标人的报价只响应了部分招标内容；</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25.4.5法律法规或招标文件规定的其他认定无效的情况。</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25.5对于投标文件中含义不明确、同类问题表述不一致或者有明显文字和计算错误的内容，评标委员会可要求投标人作必要的澄清、说明或者补正。投标人的澄清、说明或者补正不得超出投标文件的范围或者改变投标文件的实质性内容。</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25.6本项目投标人的澄清、说明或者补正采用线上澄清。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具体规定时间以系统中评标小组设定的倒计时间为准。供应商应随时保持系统在线，如因供应商自身原因未在规定时间内提交澄清确认资料的，导致的不利后果由供应商自行承担。</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25.7评标委员会将对确定为实质性响应的投标进行审查，投标文件报价出现前后不一致的，除招标文件另有规定外，按照下列规定修正：</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25.7.1投标文件中开标一览表（报价表）内容与投标文件中相应内容不一致时的，以开标一览表（报价表）为准；</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25.7.2大写金额和小写金额不一致的，以大写金额为准；</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25.7.3单价金额小数点或者百分比有明显错位的，以开标一览表为准，并修改单价；</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25.7.4总价金额与按单价汇总金额不一致的，以单价金额计算结果为准。</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同时出现两种以上不一致的，按照前款规定的顺序修正。修正后的报价按照《中华人民共和国财政部令第87号》第五十一条第二款的规定经投标人确认后产生约束力，投标人不确认的，其投标无效。</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25.8评标委员会认为投标人的报价明显低于其他通过符合性审查投标人的报价，有可能影响产品质量或者不能诚信履约的，应当要求其在评标现场规定时间内提供书面说明，必要时提交相关证明材料；投标人不能证明其报价合理性的，评标委员会应当将其作为无效投标处理。</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25.9招标人或采购代理机构将拒绝被确定为非实质性响应的投标，投标人不能通过修正或撤销不符之处而使其投标成为实质性响应的投标。</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25.10评价和比较采用的办法具体内容详见招标文件第六章。</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25.11最低的投标报价或最高的折扣比例是中标的重要条件，但不是唯一条件。</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26.废标</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26.1在招标采购中，出现下列情形之一的，应予废标：</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26.1.1符合专业条件的供应商或者对招标文件作实质响应的供应商不足三家的；</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26.1.2出现影响采购公正的违法、违规行为的；</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26.1.3投标人的报价均超过了采购预算，招标人不能支付的；</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26.1.4因重大变故，采购任务取消的。</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26.2废标后，招标人将废标的理由通知所有投标人。</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六、授予合同</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27.中标人的确认</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27.1评标委员会按招标文件规定的评标方法和标准进行详细评审后，按招标人或采购代理机构的委托向招标人推荐中标候选单位或根据招标人授权直接确定中标人。</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27.2采购代理机构在规定的时间内将中标结果在相应媒体上予以公示。</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28.合同授予标准</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28.1招标人或采购代理机构将把合同授予其投标文件在实质上响应招标文件要求和按本须知规定评选出的投标人。确定为中标的投标人必须具有实施本合同的能力和资源。</w:t>
      </w:r>
      <w:r/>
    </w:p>
    <w:p>
      <w:pPr>
        <w:ind w:firstLine="501"/>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28.2</w:t>
      </w:r>
      <w:r>
        <w:rPr>
          <w:rFonts w:hint="eastAsia" w:ascii="宋体" w:hAnsi="宋体" w:cs="宋体"/>
          <w:color w:val="auto"/>
          <w:sz w:val="24"/>
          <w:szCs w:val="24"/>
          <w:highlight w:val="none"/>
          <w:lang w:val="en-US" w:eastAsia="zh-CN"/>
        </w:rPr>
        <w:t xml:space="preserve">本项目不接受任何形式的转包或分包。</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29.中标通知书</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29.1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29.2中标通知书将成为合同的组成部分，对招标人和中标人具有同等法律效力。</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29.3中标通知书发出后，招标人不得违法改变中标结果，中标人无正当理由不得放弃中标。</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30.合同的签订</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30.1中标人应按政府采购的相关规定，在规定的时间内与招标人签订合同。未在规定时间内与招标人签订合同的，将根据政府采购的相关规定承担相应的法律责任。</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30.2招标人与中标人应当根据合同的约定依法履行合同义务。</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七、其他事项</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31.中标服务费</w:t>
      </w:r>
      <w:r/>
    </w:p>
    <w:p>
      <w:pPr>
        <w:ind w:firstLine="50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本项目代理服务费由采购人支付。</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32.监督</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32.1有关监督部门将对招投标全过程进行监督。</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33.未尽事宜</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33.1按《中华人民共和国政府采购法》《中华人民共和国政府采购法实施条例》及其他有关法律法规的规定执行。</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65"/>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965"/>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37"/>
        <w:jc w:val="center"/>
        <w:spacing w:line="360" w:lineRule="auto"/>
        <w:rPr>
          <w:rFonts w:ascii="宋体" w:hAnsi="宋体" w:eastAsia="宋体" w:cs="宋体"/>
          <w:color w:val="auto"/>
          <w:sz w:val="52"/>
          <w:highlight w:val="none"/>
        </w:rPr>
      </w:pPr>
      <w:r/>
      <w:bookmarkStart w:id="26" w:name="_Toc77258037"/>
      <w:r>
        <w:rPr>
          <w:rFonts w:hint="eastAsia" w:ascii="宋体" w:hAnsi="宋体" w:eastAsia="宋体" w:cs="宋体"/>
          <w:color w:val="auto"/>
          <w:sz w:val="52"/>
          <w:highlight w:val="none"/>
        </w:rPr>
        <w:t xml:space="preserve">第三章 投标文件格式</w:t>
      </w:r>
      <w:bookmarkEnd w:id="21"/>
      <w:r/>
      <w:bookmarkEnd w:id="22"/>
      <w:r/>
      <w:bookmarkEnd w:id="26"/>
      <w:r/>
      <w:r/>
    </w:p>
    <w:p>
      <w:pPr>
        <w:pStyle w:val="964"/>
        <w:ind w:firstLine="0"/>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说明：</w:t>
      </w:r>
      <w:r/>
    </w:p>
    <w:p>
      <w:pPr>
        <w:pStyle w:val="964"/>
        <w:ind w:firstLine="0"/>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    对本章所有的投标书格式 ，投标人可根据自身情况进行补充和修改，但补充和修改不得造成与本格式内容有实质性的违背。</w:t>
      </w:r>
      <w:r/>
    </w:p>
    <w:p>
      <w:pPr>
        <w:jc w:val="left"/>
        <w:spacing w:line="360" w:lineRule="auto"/>
        <w:rPr>
          <w:rFonts w:ascii="宋体" w:hAnsi="宋体" w:cs="宋体"/>
          <w:b/>
          <w:bCs/>
          <w:color w:val="auto"/>
          <w:sz w:val="24"/>
          <w:highlight w:val="none"/>
          <w:lang w:val="zh-CN"/>
        </w:rPr>
      </w:pPr>
      <w:r>
        <w:rPr>
          <w:rFonts w:hint="eastAsia" w:ascii="宋体" w:hAnsi="宋体" w:cs="宋体"/>
          <w:b/>
          <w:color w:val="auto"/>
          <w:sz w:val="24"/>
          <w:highlight w:val="none"/>
        </w:rPr>
        <w:t xml:space="preserve">附件1：（供应方）法定代表人（负责人）授权委托书</w:t>
      </w:r>
      <w:r/>
    </w:p>
    <w:p>
      <w:pPr>
        <w:jc w:val="left"/>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jc w:val="left"/>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jc w:val="left"/>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pStyle w:val="964"/>
        <w:jc w:val="center"/>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授权委托书</w:t>
      </w:r>
      <w:r/>
    </w:p>
    <w:p>
      <w:pPr>
        <w:pStyle w:val="964"/>
        <w:jc w:val="both"/>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64"/>
        <w:jc w:val="both"/>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ind w:firstLine="48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本授权委托书声明：  我</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（姓名）系</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（投标单位名称）的法定代表人（负责人），现授权委托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（单位名称）的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（姓名）为我公司代理人，以本公司的名义参加中思项目管理咨询有限公司组织实施的编号为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号的招投标活动。代理人在招投标活动过程中所签署的一切文件和处理与之有关的一切事务，我均予以承认。</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代理人在授权委托书有效期内签署的所有文件不因授权委托的撤销而失效，除非有撤销授权委托的书面通知，本授权委托书自招投标活动开始至合同履行完毕止。</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代理人无转委托权。特此委托。</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投标人：（盖章）</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代理人：（签字或盖章）</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64"/>
        <w:jc w:val="cente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年　　  月　　  日</w:t>
      </w:r>
      <w:r/>
    </w:p>
    <w:p>
      <w:pPr>
        <w:jc w:val="left"/>
        <w:spacing w:line="360" w:lineRule="auto"/>
        <w:rPr>
          <w:rFonts w:ascii="宋体" w:hAnsi="宋体" w:cs="宋体"/>
          <w:color w:val="auto"/>
          <w:highlight w:val="none"/>
        </w:rPr>
      </w:pPr>
      <w:r>
        <w:rPr>
          <w:rFonts w:ascii="宋体" w:hAnsi="宋体" w:cs="宋体"/>
          <w:color w:val="auto"/>
          <w:highlight w:val="none"/>
        </w:rPr>
      </w:r>
      <w:r/>
    </w:p>
    <w:p>
      <w:pPr>
        <w:pStyle w:val="768"/>
        <w:spacing w:line="360" w:lineRule="auto"/>
        <w:rPr>
          <w:rFonts w:hAnsi="宋体" w:eastAsia="宋体" w:cs="宋体"/>
          <w:b/>
          <w:color w:val="auto"/>
          <w:sz w:val="24"/>
          <w:highlight w:val="none"/>
        </w:rPr>
      </w:pPr>
      <w:r>
        <w:rPr>
          <w:rFonts w:hint="eastAsia" w:hAnsi="宋体" w:eastAsia="宋体" w:cs="宋体"/>
          <w:color w:val="auto"/>
          <w:sz w:val="24"/>
          <w:highlight w:val="none"/>
        </w:rPr>
        <w:br w:type="page" w:clear="all"/>
      </w:r>
      <w:r>
        <w:rPr>
          <w:rFonts w:hint="eastAsia" w:hAnsi="宋体" w:eastAsia="宋体" w:cs="宋体"/>
          <w:b/>
          <w:bCs/>
          <w:color w:val="auto"/>
          <w:sz w:val="24"/>
          <w:highlight w:val="none"/>
        </w:rPr>
        <w:t xml:space="preserve">附件</w:t>
      </w:r>
      <w:r>
        <w:rPr>
          <w:rFonts w:hint="eastAsia" w:hAnsi="宋体" w:eastAsia="宋体" w:cs="宋体"/>
          <w:b/>
          <w:color w:val="auto"/>
          <w:sz w:val="24"/>
          <w:highlight w:val="none"/>
        </w:rPr>
        <w:t xml:space="preserve">2:投标函</w:t>
      </w:r>
      <w:r/>
    </w:p>
    <w:p>
      <w:pPr>
        <w:pStyle w:val="768"/>
        <w:jc w:val="center"/>
        <w:spacing w:line="360" w:lineRule="auto"/>
        <w:rPr>
          <w:rFonts w:hAnsi="宋体" w:eastAsia="宋体" w:cs="宋体"/>
          <w:b/>
          <w:color w:val="auto"/>
          <w:sz w:val="24"/>
          <w:szCs w:val="24"/>
          <w:highlight w:val="none"/>
        </w:rPr>
      </w:pPr>
      <w:r>
        <w:rPr>
          <w:rFonts w:hint="eastAsia" w:hAnsi="宋体" w:eastAsia="宋体" w:cs="宋体"/>
          <w:b/>
          <w:color w:val="auto"/>
          <w:sz w:val="24"/>
          <w:szCs w:val="24"/>
          <w:highlight w:val="none"/>
        </w:rPr>
        <w:t xml:space="preserve">投标函</w:t>
      </w:r>
      <w:r/>
    </w:p>
    <w:p>
      <w:pPr>
        <w:pStyle w:val="993"/>
        <w:ind w:left="0"/>
        <w:spacing w:after="0" w:line="360" w:lineRule="auto"/>
        <w:rPr>
          <w:rFonts w:ascii="宋体" w:hAnsi="宋体" w:cs="宋体"/>
          <w:bCs/>
          <w:color w:val="auto"/>
          <w:highlight w:val="none"/>
        </w:rPr>
      </w:pPr>
      <w:r>
        <w:rPr>
          <w:rFonts w:hint="eastAsia" w:ascii="宋体" w:hAnsi="宋体" w:cs="宋体"/>
          <w:bCs/>
          <w:color w:val="auto"/>
          <w:highlight w:val="none"/>
          <w:u w:val="single"/>
        </w:rPr>
        <w:t xml:space="preserve">（采购代理机构名称）</w:t>
      </w:r>
      <w:r>
        <w:rPr>
          <w:rFonts w:hint="eastAsia" w:ascii="宋体" w:hAnsi="宋体" w:cs="宋体"/>
          <w:bCs/>
          <w:color w:val="auto"/>
          <w:highlight w:val="none"/>
        </w:rPr>
        <w:t xml:space="preserve">：</w:t>
      </w:r>
      <w:r/>
    </w:p>
    <w:p>
      <w:pPr>
        <w:pStyle w:val="993"/>
        <w:ind w:left="0" w:firstLine="600"/>
        <w:spacing w:after="0" w:line="360" w:lineRule="auto"/>
        <w:rPr>
          <w:rFonts w:ascii="宋体" w:hAnsi="宋体" w:cs="宋体"/>
          <w:bCs/>
          <w:color w:val="auto"/>
          <w:highlight w:val="none"/>
        </w:rPr>
      </w:pPr>
      <w:r>
        <w:rPr>
          <w:rFonts w:hint="eastAsia" w:ascii="宋体" w:hAnsi="宋体" w:cs="宋体"/>
          <w:bCs/>
          <w:color w:val="auto"/>
          <w:highlight w:val="none"/>
        </w:rPr>
        <w:t xml:space="preserve">我方全面研究了 </w:t>
      </w:r>
      <w:r>
        <w:rPr>
          <w:rFonts w:hint="eastAsia" w:ascii="宋体" w:hAnsi="宋体" w:cs="宋体"/>
          <w:bCs/>
          <w:color w:val="auto"/>
          <w:highlight w:val="none"/>
          <w:u w:val="single"/>
        </w:rPr>
        <w:t xml:space="preserve"> </w:t>
      </w:r>
      <w:r>
        <w:rPr>
          <w:rFonts w:hint="eastAsia" w:ascii="宋体" w:hAnsi="宋体" w:cs="宋体"/>
          <w:b/>
          <w:bCs/>
          <w:iCs/>
          <w:color w:val="auto"/>
          <w:highlight w:val="none"/>
          <w:u w:val="single"/>
        </w:rPr>
        <w:t xml:space="preserve">（招标编号）</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项目招标文件，决定参加贵单位组织的本项目投标。</w:t>
      </w:r>
      <w:r/>
    </w:p>
    <w:p>
      <w:pPr>
        <w:pStyle w:val="993"/>
        <w:ind w:left="0" w:firstLine="600"/>
        <w:spacing w:after="0" w:line="360" w:lineRule="auto"/>
        <w:rPr>
          <w:rFonts w:ascii="宋体" w:hAnsi="宋体" w:cs="宋体"/>
          <w:bCs/>
          <w:color w:val="auto"/>
          <w:highlight w:val="none"/>
        </w:rPr>
      </w:pPr>
      <w:r>
        <w:rPr>
          <w:rFonts w:hint="eastAsia" w:ascii="宋体" w:hAnsi="宋体" w:cs="宋体"/>
          <w:bCs/>
          <w:color w:val="auto"/>
          <w:highlight w:val="none"/>
        </w:rPr>
        <w:t xml:space="preserve">1、我方自愿按照招标文件规定的各项要求向招标人提供所需服务。</w:t>
      </w:r>
      <w:r/>
    </w:p>
    <w:p>
      <w:pPr>
        <w:pStyle w:val="993"/>
        <w:ind w:left="0" w:firstLine="600"/>
        <w:spacing w:after="0" w:line="360" w:lineRule="auto"/>
        <w:rPr>
          <w:rFonts w:ascii="宋体" w:hAnsi="宋体" w:cs="宋体"/>
          <w:color w:val="auto"/>
          <w:highlight w:val="none"/>
        </w:rPr>
      </w:pPr>
      <w:r>
        <w:rPr>
          <w:rFonts w:hint="eastAsia" w:ascii="宋体" w:hAnsi="宋体" w:cs="宋体"/>
          <w:bCs/>
          <w:color w:val="auto"/>
          <w:highlight w:val="none"/>
        </w:rPr>
        <w:t xml:space="preserve">2、一旦我方中标，</w:t>
      </w:r>
      <w:r>
        <w:rPr>
          <w:rFonts w:hint="eastAsia" w:ascii="宋体" w:hAnsi="宋体" w:cs="宋体"/>
          <w:color w:val="auto"/>
          <w:highlight w:val="none"/>
        </w:rPr>
        <w:t xml:space="preserve">我们将严格履行招标文件中规定的每一项要求，按期、按质、按量履行合同的义务。</w:t>
      </w:r>
      <w:r/>
    </w:p>
    <w:p>
      <w:pPr>
        <w:pStyle w:val="1212"/>
        <w:ind w:firstLine="60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3．我们已详细审查全部招标文件，包括更正文件(如有)，对招标文件及更正公告(如有)无任何异议。</w:t>
      </w:r>
      <w:r/>
    </w:p>
    <w:p>
      <w:pPr>
        <w:pStyle w:val="1212"/>
        <w:ind w:firstLine="60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4、我们同意按招标文件中的规定，本投标书的有效期限为自投标截止之日起</w:t>
      </w:r>
      <w:r>
        <w:rPr>
          <w:rFonts w:hint="eastAsia" w:hAnsi="宋体" w:eastAsia="宋体" w:cs="宋体"/>
          <w:color w:val="auto"/>
          <w:sz w:val="24"/>
          <w:szCs w:val="24"/>
          <w:highlight w:val="none"/>
          <w:u w:val="single"/>
        </w:rPr>
        <w:t xml:space="preserve"> 90 </w:t>
      </w:r>
      <w:r>
        <w:rPr>
          <w:rFonts w:hint="eastAsia" w:hAnsi="宋体" w:eastAsia="宋体" w:cs="宋体"/>
          <w:color w:val="auto"/>
          <w:sz w:val="24"/>
          <w:szCs w:val="24"/>
          <w:highlight w:val="none"/>
        </w:rPr>
        <w:t xml:space="preserve">天。</w:t>
      </w:r>
      <w:r/>
    </w:p>
    <w:p>
      <w:pPr>
        <w:pStyle w:val="1212"/>
        <w:ind w:firstLine="60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5、我们愿意提供招标采购单位在招标文件中要求的所有资料，也同意向贵方提供贵方可能另外要求的与我方投标有关的任何证据或资料。并保证所提供的资料全部是真实的、有效的，若有虚假，我方愿承担一切责任。</w:t>
      </w:r>
      <w:r/>
    </w:p>
    <w:p>
      <w:pPr>
        <w:pStyle w:val="1212"/>
        <w:ind w:firstLine="60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6、我们声明：我们在参加本次政府采购活动前3年内在经营活动中没有重大违法记录。</w:t>
      </w:r>
      <w:r/>
    </w:p>
    <w:p>
      <w:pPr>
        <w:pStyle w:val="1212"/>
        <w:ind w:firstLine="60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7、我们承诺我公司符合招标文件投标人须知中“合格投标人的资格条件”的要求，若与真实情况不符，我公司愿意承担由此而产生的一切后果。</w:t>
      </w:r>
      <w:r/>
    </w:p>
    <w:p>
      <w:pPr>
        <w:pStyle w:val="1212"/>
        <w:ind w:firstLine="60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8、我们愿意遵守招标公告及招标文件中所列的收费标准。</w:t>
      </w:r>
      <w:r/>
    </w:p>
    <w:p>
      <w:pPr>
        <w:pStyle w:val="1212"/>
        <w:ind w:firstLine="60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9、我们愿意按招标文件的规定交纳投标保证金，并同意遵守招标文件中投标保证金的有关规定。</w:t>
      </w:r>
      <w:r/>
    </w:p>
    <w:p>
      <w:pPr>
        <w:pStyle w:val="1212"/>
        <w:ind w:firstLine="60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10、我们承诺该项投标在开标后的全过程中保持有效，不作任何更改和变动。</w:t>
      </w:r>
      <w:r/>
    </w:p>
    <w:p>
      <w:pPr>
        <w:pStyle w:val="1212"/>
        <w:ind w:firstLine="60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11、我方同意若无法按约定条款履行合同等行为，招标人有权按照程序取消我方的中标资格。</w:t>
      </w:r>
      <w:r/>
    </w:p>
    <w:p>
      <w:pPr>
        <w:pStyle w:val="993"/>
        <w:ind w:left="0" w:firstLine="600"/>
        <w:spacing w:after="0" w:line="360" w:lineRule="auto"/>
        <w:rPr>
          <w:rFonts w:ascii="宋体" w:hAnsi="宋体" w:cs="宋体"/>
          <w:bCs/>
          <w:color w:val="auto"/>
          <w:highlight w:val="none"/>
        </w:rPr>
      </w:pPr>
      <w:r>
        <w:rPr>
          <w:rFonts w:hint="eastAsia" w:ascii="宋体" w:hAnsi="宋体" w:cs="宋体"/>
          <w:bCs/>
          <w:color w:val="auto"/>
          <w:highlight w:val="none"/>
        </w:rPr>
        <w:t xml:space="preserve">12、我方愿意提供贵单位可能另外要求的，与投标有关的文件资料，并保证我方已提供和将要提供的文件资料是真实、准确的。</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    位：                                 联 系 人：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    址：                                 邮政编码：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                                 传    真：                   </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投标人：（公章）</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法定代表人或代理人：（签字或签章）                           年     月     日</w:t>
      </w:r>
      <w:r/>
    </w:p>
    <w:p>
      <w:pPr>
        <w:pStyle w:val="789"/>
        <w:rPr>
          <w:color w:val="auto"/>
          <w:highlight w:val="none"/>
        </w:rPr>
      </w:pPr>
      <w:r>
        <w:rPr>
          <w:color w:val="auto"/>
          <w:highlight w:val="none"/>
        </w:rPr>
      </w:r>
      <w:r/>
    </w:p>
    <w:p>
      <w:pPr>
        <w:spacing w:line="360" w:lineRule="auto"/>
        <w:rPr>
          <w:rFonts w:ascii="宋体" w:hAnsi="宋体" w:cs="宋体"/>
          <w:b/>
          <w:color w:val="auto"/>
          <w:sz w:val="24"/>
          <w:highlight w:val="none"/>
        </w:rPr>
      </w:pPr>
      <w:r>
        <w:rPr>
          <w:rFonts w:hint="eastAsia" w:ascii="宋体" w:hAnsi="宋体" w:cs="宋体"/>
          <w:b/>
          <w:bCs/>
          <w:color w:val="auto"/>
          <w:sz w:val="24"/>
          <w:highlight w:val="none"/>
        </w:rPr>
        <w:t xml:space="preserve">附件3：</w:t>
      </w:r>
      <w:r>
        <w:rPr>
          <w:rFonts w:hint="eastAsia" w:ascii="宋体" w:hAnsi="宋体" w:cs="宋体"/>
          <w:b/>
          <w:color w:val="auto"/>
          <w:sz w:val="24"/>
          <w:highlight w:val="none"/>
        </w:rPr>
        <w:t xml:space="preserve">开标一览表</w:t>
      </w:r>
      <w:r/>
    </w:p>
    <w:p>
      <w:pPr>
        <w:pStyle w:val="965"/>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pStyle w:val="768"/>
        <w:jc w:val="left"/>
        <w:spacing w:line="360" w:lineRule="auto"/>
        <w:rPr>
          <w:rFonts w:hAnsi="宋体" w:eastAsia="宋体" w:cs="宋体"/>
          <w:b/>
          <w:color w:val="auto"/>
          <w:sz w:val="24"/>
          <w:highlight w:val="none"/>
        </w:rPr>
      </w:pPr>
      <w:r>
        <w:rPr>
          <w:rFonts w:hint="eastAsia" w:hAnsi="宋体" w:eastAsia="宋体" w:cs="宋体"/>
          <w:b/>
          <w:color w:val="auto"/>
          <w:sz w:val="24"/>
          <w:highlight w:val="none"/>
        </w:rPr>
        <w:t xml:space="preserve">按电子文件固定模式填写总价即可。</w:t>
      </w:r>
      <w:r/>
    </w:p>
    <w:p>
      <w:pPr>
        <w:pStyle w:val="768"/>
        <w:spacing w:line="360" w:lineRule="auto"/>
        <w:rPr>
          <w:rFonts w:hAnsi="宋体" w:eastAsia="宋体" w:cs="宋体"/>
          <w:b/>
          <w:color w:val="auto"/>
          <w:sz w:val="24"/>
          <w:highlight w:val="none"/>
        </w:rPr>
      </w:pPr>
      <w:r>
        <w:rPr>
          <w:rFonts w:hAnsi="宋体" w:eastAsia="宋体" w:cs="宋体"/>
          <w:b/>
          <w:color w:val="auto"/>
          <w:sz w:val="24"/>
          <w:highlight w:val="none"/>
        </w:rPr>
      </w:r>
      <w:r/>
    </w:p>
    <w:p>
      <w:pPr>
        <w:pStyle w:val="768"/>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768"/>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768"/>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768"/>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768"/>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768"/>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768"/>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768"/>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768"/>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768"/>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768"/>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768"/>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768"/>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768"/>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768"/>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768"/>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768"/>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768"/>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768"/>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768"/>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768"/>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768"/>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768"/>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768"/>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768"/>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964"/>
        <w:ind w:firstLine="0"/>
        <w:spacing w:line="360" w:lineRule="auto"/>
        <w:rPr>
          <w:rFonts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附件4：偏离表</w:t>
      </w:r>
      <w:r/>
    </w:p>
    <w:p>
      <w:pPr>
        <w:pStyle w:val="964"/>
        <w:ind w:firstLine="0"/>
        <w:spacing w:line="360" w:lineRule="auto"/>
        <w:rPr>
          <w:rFonts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（1）服务要求偏离表</w:t>
      </w:r>
      <w:r/>
    </w:p>
    <w:p>
      <w:pPr>
        <w:jc w:val="center"/>
        <w:spacing w:line="360" w:lineRule="auto"/>
        <w:rPr>
          <w:rFonts w:ascii="宋体" w:hAnsi="宋体" w:cs="宋体"/>
          <w:b/>
          <w:color w:val="auto"/>
          <w:sz w:val="26"/>
          <w:szCs w:val="24"/>
          <w:highlight w:val="none"/>
        </w:rPr>
      </w:pPr>
      <w:r>
        <w:rPr>
          <w:rFonts w:hint="eastAsia" w:ascii="宋体" w:hAnsi="宋体" w:cs="宋体"/>
          <w:b/>
          <w:color w:val="auto"/>
          <w:sz w:val="26"/>
          <w:szCs w:val="24"/>
          <w:highlight w:val="none"/>
        </w:rPr>
        <w:t xml:space="preserve">服务要求偏离表</w:t>
      </w:r>
      <w:r/>
    </w:p>
    <w:p>
      <w:pPr>
        <w:spacing w:line="360" w:lineRule="auto"/>
        <w:tabs>
          <w:tab w:val="left" w:pos="7560" w:leader="none"/>
        </w:tabs>
        <w:rPr>
          <w:rFonts w:ascii="宋体" w:hAnsi="宋体" w:cs="宋体"/>
          <w:color w:val="auto"/>
          <w:highlight w:val="none"/>
        </w:rPr>
      </w:pPr>
      <w:r>
        <w:rPr>
          <w:rFonts w:hint="eastAsia" w:ascii="宋体" w:hAnsi="宋体" w:cs="宋体"/>
          <w:bCs/>
          <w:color w:val="auto"/>
          <w:sz w:val="24"/>
          <w:szCs w:val="24"/>
          <w:highlight w:val="none"/>
        </w:rPr>
        <w:t xml:space="preserve">招标编号：                         </w:t>
      </w:r>
      <w:r/>
    </w:p>
    <w:tbl>
      <w:tblPr>
        <w:tblStyle w:val="761"/>
        <w:tblW w:w="10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2011"/>
        <w:gridCol w:w="1810"/>
        <w:gridCol w:w="1609"/>
        <w:gridCol w:w="1898"/>
        <w:gridCol w:w="1963"/>
      </w:tblGrid>
      <w:tr>
        <w:trPr>
          <w:jc w:val="center"/>
          <w:trHeight w:val="643"/>
        </w:trPr>
        <w:tc>
          <w:tcPr>
            <w:tcW w:w="926" w:type="dxa"/>
            <w:vAlign w:val="center"/>
            <w:textDirection w:val="lrTb"/>
            <w:noWrap w:val="false"/>
          </w:tcPr>
          <w:p>
            <w:pPr>
              <w:jc w:val="center"/>
              <w:spacing w:before="240" w:after="24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201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服务内容</w:t>
            </w:r>
            <w:r/>
          </w:p>
        </w:tc>
        <w:tc>
          <w:tcPr>
            <w:tcW w:w="1810"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招标要求</w:t>
            </w:r>
            <w:r/>
          </w:p>
        </w:tc>
        <w:tc>
          <w:tcPr>
            <w:tcW w:w="1609"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投标要求</w:t>
            </w:r>
            <w:r/>
          </w:p>
        </w:tc>
        <w:tc>
          <w:tcPr>
            <w:tcW w:w="1898"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偏离/响应</w:t>
            </w:r>
            <w:r/>
          </w:p>
        </w:tc>
        <w:tc>
          <w:tcPr>
            <w:tcW w:w="1963"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说明</w:t>
            </w:r>
            <w:r/>
          </w:p>
        </w:tc>
      </w:tr>
      <w:tr>
        <w:trPr>
          <w:jc w:val="center"/>
          <w:trHeight w:val="643"/>
        </w:trPr>
        <w:tc>
          <w:tcPr>
            <w:tcW w:w="926" w:type="dxa"/>
            <w:textDirection w:val="lrTb"/>
            <w:noWrap w:val="false"/>
          </w:tcPr>
          <w:p>
            <w:pPr>
              <w:spacing w:before="240" w:after="24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1"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10"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609"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98"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63"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43"/>
        </w:trPr>
        <w:tc>
          <w:tcPr>
            <w:tcW w:w="926" w:type="dxa"/>
            <w:textDirection w:val="lrTb"/>
            <w:noWrap w:val="false"/>
          </w:tcPr>
          <w:p>
            <w:pPr>
              <w:spacing w:before="240" w:after="24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1"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10"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609"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98"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63"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56"/>
        </w:trPr>
        <w:tc>
          <w:tcPr>
            <w:tcW w:w="926" w:type="dxa"/>
            <w:textDirection w:val="lrTb"/>
            <w:noWrap w:val="false"/>
          </w:tcPr>
          <w:p>
            <w:pPr>
              <w:spacing w:before="240" w:after="24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1"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10"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609"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98"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63"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43"/>
        </w:trPr>
        <w:tc>
          <w:tcPr>
            <w:tcW w:w="926" w:type="dxa"/>
            <w:textDirection w:val="lrTb"/>
            <w:noWrap w:val="false"/>
          </w:tcPr>
          <w:p>
            <w:pPr>
              <w:spacing w:before="240" w:after="24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1"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10"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609"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98"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63"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43"/>
        </w:trPr>
        <w:tc>
          <w:tcPr>
            <w:tcW w:w="926" w:type="dxa"/>
            <w:textDirection w:val="lrTb"/>
            <w:noWrap w:val="false"/>
          </w:tcPr>
          <w:p>
            <w:pPr>
              <w:spacing w:before="240" w:after="24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1"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10"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609"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98"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63"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43"/>
        </w:trPr>
        <w:tc>
          <w:tcPr>
            <w:tcW w:w="926" w:type="dxa"/>
            <w:textDirection w:val="lrTb"/>
            <w:noWrap w:val="false"/>
          </w:tcPr>
          <w:p>
            <w:pPr>
              <w:spacing w:before="240" w:after="24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011"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10"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609"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898"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963" w:type="dxa"/>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注：1、投标人应对照招标文件技术要求等要求，所投标的物与招标文件的规定有偏离的，应在此表中申明与技术要求条文的偏差和例外。</w:t>
      </w:r>
      <w:r/>
    </w:p>
    <w:p>
      <w:pPr>
        <w:ind w:firstLine="36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投标人：（单位盖章）</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spacing w:line="360" w:lineRule="auto"/>
        <w:rPr>
          <w:rFonts w:ascii="宋体" w:hAnsi="宋体" w:cs="宋体"/>
          <w:color w:val="auto"/>
          <w:szCs w:val="24"/>
          <w:highlight w:val="none"/>
        </w:rPr>
      </w:pPr>
      <w:r>
        <w:rPr>
          <w:rFonts w:hint="eastAsia" w:ascii="宋体" w:hAnsi="宋体" w:cs="宋体"/>
          <w:color w:val="auto"/>
          <w:sz w:val="24"/>
          <w:szCs w:val="24"/>
          <w:highlight w:val="none"/>
        </w:rPr>
        <w:t xml:space="preserve">日期：         年         月       日</w:t>
      </w:r>
      <w:r/>
    </w:p>
    <w:p>
      <w:pPr>
        <w:pStyle w:val="964"/>
        <w:ind w:firstLine="0"/>
        <w:spacing w:line="360" w:lineRule="auto"/>
        <w:rPr>
          <w:rFonts w:ascii="宋体" w:hAnsi="宋体" w:eastAsia="宋体" w:cs="宋体"/>
          <w:color w:val="auto"/>
          <w:szCs w:val="24"/>
          <w:highlight w:val="none"/>
        </w:rPr>
        <w:outlineLvl w:val="1"/>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rPr>
        <w:t xml:space="preserve">（2）商务条款偏离表</w:t>
      </w:r>
      <w:r/>
    </w:p>
    <w:p>
      <w:pPr>
        <w:pStyle w:val="964"/>
        <w:ind w:firstLine="0"/>
        <w:jc w:val="center"/>
        <w:spacing w:line="360" w:lineRule="auto"/>
        <w:rPr>
          <w:rFonts w:ascii="宋体" w:hAnsi="宋体" w:eastAsia="宋体" w:cs="宋体"/>
          <w:b/>
          <w:color w:val="auto"/>
          <w:sz w:val="26"/>
          <w:szCs w:val="24"/>
          <w:highlight w:val="none"/>
        </w:rPr>
      </w:pPr>
      <w:r>
        <w:rPr>
          <w:rFonts w:hint="eastAsia" w:ascii="宋体" w:hAnsi="宋体" w:eastAsia="宋体" w:cs="宋体"/>
          <w:b/>
          <w:color w:val="auto"/>
          <w:sz w:val="26"/>
          <w:szCs w:val="24"/>
          <w:highlight w:val="none"/>
        </w:rPr>
        <w:t xml:space="preserve">商务条款偏离表</w:t>
      </w:r>
      <w:r/>
    </w:p>
    <w:p>
      <w:pPr>
        <w:spacing w:line="360" w:lineRule="auto"/>
        <w:tabs>
          <w:tab w:val="left" w:pos="7560" w:leader="none"/>
        </w:tabs>
        <w:rPr>
          <w:rFonts w:ascii="宋体" w:hAnsi="宋体" w:cs="宋体"/>
          <w:color w:val="auto"/>
          <w:highlight w:val="none"/>
        </w:rPr>
      </w:pPr>
      <w:r>
        <w:rPr>
          <w:rFonts w:hint="eastAsia" w:ascii="宋体" w:hAnsi="宋体" w:cs="宋体"/>
          <w:bCs/>
          <w:color w:val="auto"/>
          <w:sz w:val="24"/>
          <w:szCs w:val="24"/>
          <w:highlight w:val="none"/>
        </w:rPr>
        <w:t xml:space="preserve">招标编号：                        </w:t>
      </w:r>
      <w:r/>
    </w:p>
    <w:tbl>
      <w:tblPr>
        <w:tblStyle w:val="7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2187"/>
        <w:gridCol w:w="2734"/>
        <w:gridCol w:w="2734"/>
        <w:gridCol w:w="1250"/>
      </w:tblGrid>
      <w:tr>
        <w:trPr>
          <w:jc w:val="center"/>
          <w:trHeight w:val="780"/>
        </w:trPr>
        <w:tc>
          <w:tcPr>
            <w:tcW w:w="806" w:type="dxa"/>
            <w:textDirection w:val="lrTb"/>
            <w:noWrap w:val="false"/>
          </w:tcPr>
          <w:p>
            <w:pPr>
              <w:jc w:val="center"/>
              <w:spacing w:before="240" w:after="24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2187" w:type="dxa"/>
            <w:textDirection w:val="lrTb"/>
            <w:noWrap w:val="false"/>
          </w:tcPr>
          <w:p>
            <w:pPr>
              <w:jc w:val="center"/>
              <w:spacing w:before="240" w:after="24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招标文件条目号</w:t>
            </w:r>
            <w:r/>
          </w:p>
        </w:tc>
        <w:tc>
          <w:tcPr>
            <w:tcW w:w="2734" w:type="dxa"/>
            <w:textDirection w:val="lrTb"/>
            <w:noWrap w:val="false"/>
          </w:tcPr>
          <w:p>
            <w:pPr>
              <w:jc w:val="center"/>
              <w:spacing w:before="240" w:after="24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招标文件的商务条款</w:t>
            </w:r>
            <w:r/>
          </w:p>
        </w:tc>
        <w:tc>
          <w:tcPr>
            <w:tcW w:w="2734" w:type="dxa"/>
            <w:textDirection w:val="lrTb"/>
            <w:noWrap w:val="false"/>
          </w:tcPr>
          <w:p>
            <w:pPr>
              <w:jc w:val="center"/>
              <w:spacing w:before="240" w:after="24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投标文件的商务条款</w:t>
            </w:r>
            <w:r/>
          </w:p>
        </w:tc>
        <w:tc>
          <w:tcPr>
            <w:tcW w:w="1250" w:type="dxa"/>
            <w:textDirection w:val="lrTb"/>
            <w:noWrap w:val="false"/>
          </w:tcPr>
          <w:p>
            <w:pPr>
              <w:jc w:val="center"/>
              <w:spacing w:before="240" w:after="24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说明</w:t>
            </w:r>
            <w:r/>
          </w:p>
        </w:tc>
      </w:tr>
      <w:tr>
        <w:trPr>
          <w:jc w:val="center"/>
          <w:trHeight w:val="780"/>
        </w:trPr>
        <w:tc>
          <w:tcPr>
            <w:tcW w:w="806" w:type="dxa"/>
            <w:textDirection w:val="lrTb"/>
            <w:noWrap w:val="false"/>
          </w:tcPr>
          <w:p>
            <w:pPr>
              <w:jc w:val="center"/>
              <w:spacing w:before="240" w:after="24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auto"/>
            <w:tcW w:w="2187" w:type="dxa"/>
            <w:vAlign w:val="center"/>
            <w:textDirection w:val="lrTb"/>
            <w:noWrap w:val="false"/>
          </w:tcPr>
          <w:p>
            <w:pPr>
              <w:jc w:val="center"/>
              <w:spacing w:before="240" w:after="24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p>
        </w:tc>
        <w:tc>
          <w:tcPr>
            <w:tcW w:w="2734" w:type="dxa"/>
            <w:textDirection w:val="lrTb"/>
            <w:noWrap w:val="false"/>
          </w:tcPr>
          <w:p>
            <w:pPr>
              <w:spacing w:before="240" w:after="24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34" w:type="dxa"/>
            <w:textDirection w:val="lrTb"/>
            <w:noWrap w:val="false"/>
          </w:tcPr>
          <w:p>
            <w:pPr>
              <w:spacing w:before="240" w:after="24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50" w:type="dxa"/>
            <w:textDirection w:val="lrTb"/>
            <w:noWrap w:val="false"/>
          </w:tcPr>
          <w:p>
            <w:pPr>
              <w:spacing w:before="240" w:after="240"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780"/>
        </w:trPr>
        <w:tc>
          <w:tcPr>
            <w:tcW w:w="806" w:type="dxa"/>
            <w:textDirection w:val="lrTb"/>
            <w:noWrap w:val="false"/>
          </w:tcPr>
          <w:p>
            <w:pPr>
              <w:jc w:val="center"/>
              <w:spacing w:before="240" w:after="24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shd w:val="clear" w:color="auto" w:fill="auto"/>
            <w:tcW w:w="2187" w:type="dxa"/>
            <w:vAlign w:val="center"/>
            <w:textDirection w:val="lrTb"/>
            <w:noWrap w:val="false"/>
          </w:tcPr>
          <w:p>
            <w:pPr>
              <w:jc w:val="center"/>
              <w:spacing w:before="240" w:after="24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审计费用结算</w:t>
            </w:r>
            <w:r/>
          </w:p>
        </w:tc>
        <w:tc>
          <w:tcPr>
            <w:tcW w:w="2734" w:type="dxa"/>
            <w:textDirection w:val="lrTb"/>
            <w:noWrap w:val="false"/>
          </w:tcPr>
          <w:p>
            <w:pPr>
              <w:spacing w:before="240" w:after="24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34" w:type="dxa"/>
            <w:textDirection w:val="lrTb"/>
            <w:noWrap w:val="false"/>
          </w:tcPr>
          <w:p>
            <w:pPr>
              <w:spacing w:before="240" w:after="24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50" w:type="dxa"/>
            <w:textDirection w:val="lrTb"/>
            <w:noWrap w:val="false"/>
          </w:tcPr>
          <w:p>
            <w:pPr>
              <w:spacing w:before="240" w:after="240"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795"/>
        </w:trPr>
        <w:tc>
          <w:tcPr>
            <w:tcW w:w="806" w:type="dxa"/>
            <w:textDirection w:val="lrTb"/>
            <w:noWrap w:val="false"/>
          </w:tcPr>
          <w:p>
            <w:pPr>
              <w:jc w:val="center"/>
              <w:spacing w:before="240" w:after="24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shd w:val="clear" w:color="auto" w:fill="auto"/>
            <w:tcW w:w="2187" w:type="dxa"/>
            <w:vAlign w:val="center"/>
            <w:textDirection w:val="lrTb"/>
            <w:noWrap w:val="false"/>
          </w:tcPr>
          <w:p>
            <w:pPr>
              <w:jc w:val="center"/>
              <w:spacing w:before="240" w:after="24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合同其他条款</w:t>
            </w:r>
            <w:r/>
          </w:p>
        </w:tc>
        <w:tc>
          <w:tcPr>
            <w:tcW w:w="2734" w:type="dxa"/>
            <w:textDirection w:val="lrTb"/>
            <w:noWrap w:val="false"/>
          </w:tcPr>
          <w:p>
            <w:pPr>
              <w:spacing w:before="240" w:after="24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34" w:type="dxa"/>
            <w:textDirection w:val="lrTb"/>
            <w:noWrap w:val="false"/>
          </w:tcPr>
          <w:p>
            <w:pPr>
              <w:spacing w:before="240" w:after="24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50" w:type="dxa"/>
            <w:textDirection w:val="lrTb"/>
            <w:noWrap w:val="false"/>
          </w:tcPr>
          <w:p>
            <w:pPr>
              <w:spacing w:before="240" w:after="240"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780"/>
        </w:trPr>
        <w:tc>
          <w:tcPr>
            <w:tcW w:w="806" w:type="dxa"/>
            <w:textDirection w:val="lrTb"/>
            <w:noWrap w:val="false"/>
          </w:tcPr>
          <w:p>
            <w:pPr>
              <w:jc w:val="center"/>
              <w:spacing w:before="240" w:after="24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187" w:type="dxa"/>
            <w:textDirection w:val="lrTb"/>
            <w:noWrap w:val="false"/>
          </w:tcPr>
          <w:p>
            <w:pPr>
              <w:jc w:val="center"/>
              <w:spacing w:before="240" w:after="24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2734" w:type="dxa"/>
            <w:textDirection w:val="lrTb"/>
            <w:noWrap w:val="false"/>
          </w:tcPr>
          <w:p>
            <w:pPr>
              <w:spacing w:before="240" w:after="24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34" w:type="dxa"/>
            <w:textDirection w:val="lrTb"/>
            <w:noWrap w:val="false"/>
          </w:tcPr>
          <w:p>
            <w:pPr>
              <w:spacing w:before="240" w:after="240"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50" w:type="dxa"/>
            <w:textDirection w:val="lrTb"/>
            <w:noWrap w:val="false"/>
          </w:tcPr>
          <w:p>
            <w:pPr>
              <w:spacing w:before="240" w:after="240" w:line="36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投标人：（单位盖章）</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spacing w:line="360" w:lineRule="auto"/>
        <w:rPr>
          <w:rFonts w:ascii="宋体" w:hAnsi="宋体" w:cs="宋体"/>
          <w:color w:val="auto"/>
          <w:szCs w:val="24"/>
          <w:highlight w:val="none"/>
        </w:rPr>
      </w:pPr>
      <w:r>
        <w:rPr>
          <w:rFonts w:hint="eastAsia" w:ascii="宋体" w:hAnsi="宋体" w:cs="宋体"/>
          <w:color w:val="auto"/>
          <w:sz w:val="24"/>
          <w:szCs w:val="24"/>
          <w:highlight w:val="none"/>
        </w:rPr>
        <w:t xml:space="preserve">日期：         年         月       日</w:t>
      </w:r>
      <w:r/>
    </w:p>
    <w:p>
      <w:pPr>
        <w:pStyle w:val="964"/>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64"/>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64"/>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64"/>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65"/>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64"/>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65"/>
        <w:spacing w:line="360" w:lineRule="auto"/>
        <w:rPr>
          <w:rFonts w:ascii="宋体" w:hAnsi="宋体" w:eastAsia="宋体" w:cs="宋体"/>
          <w:color w:val="auto"/>
          <w:highlight w:val="none"/>
        </w:rPr>
      </w:pPr>
      <w:r>
        <w:rPr>
          <w:rFonts w:ascii="宋体" w:hAnsi="宋体" w:eastAsia="宋体" w:cs="宋体"/>
          <w:color w:val="auto"/>
          <w:highlight w:val="none"/>
        </w:rPr>
      </w:r>
      <w:r/>
    </w:p>
    <w:p>
      <w:pPr>
        <w:jc w:val="left"/>
        <w:spacing w:line="440" w:lineRule="exact"/>
        <w:rPr>
          <w:b/>
          <w:bCs/>
          <w:color w:val="auto"/>
          <w:sz w:val="24"/>
          <w:szCs w:val="24"/>
          <w:highlight w:val="none"/>
        </w:rPr>
        <w:outlineLvl w:val="1"/>
      </w:pPr>
      <w:r>
        <w:rPr>
          <w:rFonts w:hint="eastAsia" w:ascii="宋体" w:hAnsi="宋体" w:cs="宋体"/>
          <w:b/>
          <w:bCs/>
          <w:color w:val="auto"/>
          <w:sz w:val="26"/>
          <w:szCs w:val="26"/>
          <w:highlight w:val="none"/>
        </w:rPr>
        <w:t xml:space="preserve">附件5</w:t>
      </w:r>
      <w:r>
        <w:rPr>
          <w:rFonts w:hint="eastAsia" w:ascii="宋体" w:hAnsi="宋体" w:cs="宋体"/>
          <w:b/>
          <w:color w:val="auto"/>
          <w:szCs w:val="24"/>
          <w:highlight w:val="none"/>
        </w:rPr>
        <w:t xml:space="preserve">、</w:t>
      </w:r>
      <w:r>
        <w:rPr>
          <w:rFonts w:hint="eastAsia"/>
          <w:b/>
          <w:color w:val="auto"/>
          <w:sz w:val="24"/>
          <w:szCs w:val="24"/>
          <w:highlight w:val="none"/>
        </w:rPr>
        <w:t xml:space="preserve">项目配备人员一览表</w:t>
      </w:r>
      <w:r/>
    </w:p>
    <w:p>
      <w:pPr>
        <w:jc w:val="center"/>
        <w:spacing w:line="360" w:lineRule="auto"/>
        <w:rPr>
          <w:b/>
          <w:bCs/>
          <w:color w:val="auto"/>
          <w:spacing w:val="20"/>
          <w:sz w:val="24"/>
          <w:szCs w:val="24"/>
          <w:highlight w:val="none"/>
        </w:rPr>
      </w:pPr>
      <w:r>
        <w:rPr>
          <w:rFonts w:hint="eastAsia"/>
          <w:b/>
          <w:bCs/>
          <w:color w:val="auto"/>
          <w:spacing w:val="20"/>
          <w:sz w:val="24"/>
          <w:szCs w:val="24"/>
          <w:highlight w:val="none"/>
        </w:rPr>
        <w:t xml:space="preserve">项目配备人员一览表</w:t>
      </w:r>
      <w:r/>
    </w:p>
    <w:tbl>
      <w:tblPr>
        <w:tblStyle w:val="761"/>
        <w:tblW w:w="105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1019"/>
        <w:gridCol w:w="798"/>
        <w:gridCol w:w="787"/>
        <w:gridCol w:w="756"/>
        <w:gridCol w:w="1599"/>
        <w:gridCol w:w="2725"/>
        <w:gridCol w:w="1179"/>
        <w:gridCol w:w="873"/>
      </w:tblGrid>
      <w:tr>
        <w:trPr>
          <w:jc w:val="center"/>
          <w:trHeight w:val="1816"/>
        </w:trPr>
        <w:tc>
          <w:tcPr>
            <w:tcW w:w="811" w:type="dxa"/>
            <w:vAlign w:val="center"/>
            <w:textDirection w:val="lrTb"/>
            <w:noWrap w:val="false"/>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1019" w:type="dxa"/>
            <w:vAlign w:val="center"/>
            <w:textDirection w:val="lrTb"/>
            <w:noWrap w:val="false"/>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姓名</w:t>
            </w:r>
            <w:r/>
          </w:p>
        </w:tc>
        <w:tc>
          <w:tcPr>
            <w:tcW w:w="798" w:type="dxa"/>
            <w:vAlign w:val="center"/>
            <w:textDirection w:val="lrTb"/>
            <w:noWrap w:val="false"/>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年龄</w:t>
            </w:r>
            <w:r/>
          </w:p>
        </w:tc>
        <w:tc>
          <w:tcPr>
            <w:tcW w:w="787" w:type="dxa"/>
            <w:vAlign w:val="center"/>
            <w:textDirection w:val="lrTb"/>
            <w:noWrap w:val="false"/>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专业</w:t>
            </w:r>
            <w:r/>
          </w:p>
        </w:tc>
        <w:tc>
          <w:tcPr>
            <w:tcW w:w="756" w:type="dxa"/>
            <w:vAlign w:val="center"/>
            <w:textDirection w:val="lrTb"/>
            <w:noWrap w:val="false"/>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职称</w:t>
            </w:r>
            <w:r/>
          </w:p>
        </w:tc>
        <w:tc>
          <w:tcPr>
            <w:tcW w:w="1599" w:type="dxa"/>
            <w:vAlign w:val="center"/>
            <w:textDirection w:val="lrTb"/>
            <w:noWrap w:val="false"/>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执业资格注册证书号</w:t>
            </w:r>
            <w:r/>
          </w:p>
        </w:tc>
        <w:tc>
          <w:tcPr>
            <w:tcW w:w="2725"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社保序号（填写所在对应社保证明中的序号）</w:t>
            </w:r>
            <w:r/>
          </w:p>
        </w:tc>
        <w:tc>
          <w:tcPr>
            <w:tcW w:w="1179" w:type="dxa"/>
            <w:vAlign w:val="center"/>
            <w:textDirection w:val="lrTb"/>
            <w:noWrap w:val="false"/>
          </w:tcPr>
          <w:p>
            <w:pPr>
              <w:jc w:val="center"/>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执业印章</w:t>
            </w:r>
            <w:r/>
          </w:p>
          <w:p>
            <w:pPr>
              <w:jc w:val="center"/>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（如有）</w:t>
            </w:r>
            <w:r/>
          </w:p>
        </w:tc>
        <w:tc>
          <w:tcPr>
            <w:tcW w:w="873" w:type="dxa"/>
            <w:vAlign w:val="center"/>
            <w:textDirection w:val="lrTb"/>
            <w:noWrap w:val="false"/>
          </w:tcPr>
          <w:p>
            <w:pPr>
              <w:jc w:val="center"/>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备注</w:t>
            </w:r>
            <w:r/>
          </w:p>
        </w:tc>
      </w:tr>
      <w:tr>
        <w:trPr>
          <w:jc w:val="center"/>
          <w:trHeight w:val="549"/>
        </w:trPr>
        <w:tc>
          <w:tcPr>
            <w:gridSpan w:val="9"/>
            <w:tcW w:w="10547"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项目负责人</w:t>
            </w:r>
            <w:r/>
          </w:p>
        </w:tc>
      </w:tr>
      <w:tr>
        <w:trPr>
          <w:jc w:val="center"/>
          <w:trHeight w:val="549"/>
        </w:trPr>
        <w:tc>
          <w:tcPr>
            <w:tcW w:w="81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19"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98"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87"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56"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99"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5"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79"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873"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9"/>
        </w:trPr>
        <w:tc>
          <w:tcPr>
            <w:gridSpan w:val="9"/>
            <w:tcW w:w="10547"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一级注册造价工程师</w:t>
            </w:r>
            <w:r/>
          </w:p>
        </w:tc>
      </w:tr>
      <w:tr>
        <w:trPr>
          <w:jc w:val="center"/>
          <w:trHeight w:val="549"/>
        </w:trPr>
        <w:tc>
          <w:tcPr>
            <w:tcW w:w="81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19"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98"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87"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56"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99"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5"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79"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873"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9"/>
        </w:trPr>
        <w:tc>
          <w:tcPr>
            <w:tcW w:w="81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19"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98"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87"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56"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99"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5"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79"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873"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9"/>
        </w:trPr>
        <w:tc>
          <w:tcPr>
            <w:tcW w:w="81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019"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98"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87"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56"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99"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5"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79"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873"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9"/>
        </w:trPr>
        <w:tc>
          <w:tcPr>
            <w:tcW w:w="81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019"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98"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87"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56"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99"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5"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79"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873"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9"/>
        </w:trPr>
        <w:tc>
          <w:tcPr>
            <w:gridSpan w:val="9"/>
            <w:tcW w:w="10547"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其他造价从业人员</w:t>
            </w:r>
            <w:r/>
          </w:p>
        </w:tc>
      </w:tr>
      <w:tr>
        <w:trPr>
          <w:jc w:val="center"/>
          <w:trHeight w:val="549"/>
        </w:trPr>
        <w:tc>
          <w:tcPr>
            <w:tcW w:w="81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019"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98"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87"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56"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99"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5"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79"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873"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9"/>
        </w:trPr>
        <w:tc>
          <w:tcPr>
            <w:tcW w:w="81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019"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98"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87"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56"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99"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5"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79"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873"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49"/>
        </w:trPr>
        <w:tc>
          <w:tcPr>
            <w:tcW w:w="81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019"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98"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87"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56"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99"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5"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79"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873"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59"/>
        </w:trPr>
        <w:tc>
          <w:tcPr>
            <w:tcW w:w="811"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019"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98"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87"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756"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599"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725"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179"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873" w:type="dxa"/>
            <w:vAlign w:val="center"/>
            <w:textDirection w:val="lrTb"/>
            <w:noWrap w:val="false"/>
          </w:tcPr>
          <w:p>
            <w:pPr>
              <w:ind w:firstLine="20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注：请按以上格式自制表格填写。</w:t>
      </w:r>
      <w:r/>
    </w:p>
    <w:p>
      <w:pPr>
        <w:spacing w:line="440" w:lineRule="exact"/>
        <w:rPr>
          <w:color w:val="auto"/>
          <w:sz w:val="24"/>
          <w:szCs w:val="24"/>
          <w:highlight w:val="none"/>
        </w:rPr>
      </w:pPr>
      <w:r>
        <w:rPr>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投标人：（单位盖章）</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jc w:val="left"/>
        <w:widowControl/>
        <w:rPr>
          <w:b/>
          <w:bCs/>
          <w:color w:val="auto"/>
          <w:sz w:val="24"/>
          <w:szCs w:val="24"/>
          <w:highlight w:val="none"/>
        </w:rPr>
      </w:pPr>
      <w:r>
        <w:rPr>
          <w:b/>
          <w:bCs/>
          <w:color w:val="auto"/>
          <w:sz w:val="24"/>
          <w:szCs w:val="24"/>
          <w:highlight w:val="none"/>
        </w:rPr>
      </w:r>
      <w:r/>
    </w:p>
    <w:p>
      <w:pPr>
        <w:pStyle w:val="964"/>
        <w:ind w:firstLine="0"/>
        <w:jc w:val="both"/>
        <w:spacing w:line="360" w:lineRule="auto"/>
        <w:rPr>
          <w:rFonts w:ascii="宋体" w:hAnsi="宋体" w:eastAsia="宋体" w:cs="宋体"/>
          <w:b/>
          <w:color w:val="auto"/>
          <w:szCs w:val="24"/>
          <w:highlight w:val="none"/>
        </w:rPr>
        <w:outlineLvl w:val="1"/>
      </w:pPr>
      <w:r>
        <w:rPr>
          <w:rFonts w:ascii="宋体" w:hAnsi="宋体" w:eastAsia="宋体" w:cs="宋体"/>
          <w:b/>
          <w:color w:val="auto"/>
          <w:szCs w:val="24"/>
          <w:highlight w:val="none"/>
        </w:rPr>
      </w:r>
      <w:r/>
    </w:p>
    <w:p>
      <w:pPr>
        <w:pStyle w:val="965"/>
        <w:rPr>
          <w:rFonts w:ascii="宋体" w:hAnsi="宋体" w:eastAsia="宋体" w:cs="宋体"/>
          <w:b/>
          <w:color w:val="auto"/>
          <w:sz w:val="24"/>
          <w:highlight w:val="none"/>
        </w:rPr>
      </w:pPr>
      <w:r>
        <w:rPr>
          <w:rFonts w:ascii="宋体" w:hAnsi="宋体" w:eastAsia="宋体" w:cs="宋体"/>
          <w:b/>
          <w:color w:val="auto"/>
          <w:sz w:val="24"/>
          <w:highlight w:val="none"/>
        </w:rPr>
      </w:r>
      <w:r/>
    </w:p>
    <w:p>
      <w:pPr>
        <w:pStyle w:val="768"/>
        <w:jc w:val="left"/>
        <w:spacing w:line="440" w:lineRule="exact"/>
        <w:rPr>
          <w:rFonts w:hAnsi="宋体" w:eastAsia="宋体" w:cs="宋体"/>
          <w:b/>
          <w:color w:val="auto"/>
          <w:sz w:val="24"/>
          <w:szCs w:val="24"/>
          <w:highlight w:val="none"/>
        </w:rPr>
        <w:outlineLvl w:val="1"/>
      </w:pPr>
      <w:r>
        <w:rPr>
          <w:rFonts w:hint="eastAsia" w:hAnsi="宋体" w:eastAsia="宋体" w:cs="宋体"/>
          <w:b/>
          <w:bCs/>
          <w:color w:val="auto"/>
          <w:szCs w:val="26"/>
          <w:highlight w:val="none"/>
        </w:rPr>
        <w:t xml:space="preserve">附件6</w:t>
      </w:r>
      <w:r>
        <w:rPr>
          <w:rFonts w:hint="eastAsia" w:hAnsi="宋体" w:eastAsia="宋体" w:cs="宋体"/>
          <w:b/>
          <w:color w:val="auto"/>
          <w:sz w:val="24"/>
          <w:szCs w:val="24"/>
          <w:highlight w:val="none"/>
        </w:rPr>
        <w:t xml:space="preserve">、</w:t>
      </w:r>
      <w:r>
        <w:rPr>
          <w:rFonts w:hint="eastAsia" w:hAnsi="宋体" w:eastAsia="宋体" w:cs="宋体"/>
          <w:b/>
          <w:color w:val="auto"/>
          <w:sz w:val="24"/>
          <w:szCs w:val="24"/>
          <w:highlight w:val="none"/>
        </w:rPr>
        <w:t xml:space="preserve">企业类似业绩一览表</w:t>
      </w:r>
      <w:r/>
    </w:p>
    <w:p>
      <w:pPr>
        <w:jc w:val="center"/>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企业类似业绩一览表</w:t>
      </w:r>
      <w:r/>
    </w:p>
    <w:tbl>
      <w:tblPr>
        <w:tblStyle w:val="761"/>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40"/>
        <w:gridCol w:w="1843"/>
        <w:gridCol w:w="1527"/>
        <w:gridCol w:w="1630"/>
        <w:gridCol w:w="1747"/>
        <w:gridCol w:w="1915"/>
      </w:tblGrid>
      <w:tr>
        <w:trPr>
          <w:cantSplit/>
          <w:jc w:val="center"/>
          <w:trHeight w:val="680"/>
        </w:trPr>
        <w:tc>
          <w:tcPr>
            <w:tcW w:w="106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716"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42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业主单位</w:t>
            </w:r>
            <w:r/>
          </w:p>
        </w:tc>
        <w:tc>
          <w:tcPr>
            <w:tcBorders>
              <w:right w:val="single" w:color="auto" w:sz="4" w:space="0"/>
            </w:tcBorders>
            <w:tcW w:w="1518"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bCs/>
                <w:color w:val="auto"/>
                <w:szCs w:val="21"/>
                <w:highlight w:val="none"/>
              </w:rPr>
              <w:t xml:space="preserve">审计报告时间</w:t>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项目内容</w:t>
            </w:r>
            <w:r/>
          </w:p>
        </w:tc>
        <w:tc>
          <w:tcPr>
            <w:tcW w:w="1783"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审定金额（万元）</w:t>
            </w:r>
            <w:r/>
          </w:p>
        </w:tc>
      </w:tr>
      <w:tr>
        <w:trPr>
          <w:cantSplit/>
          <w:jc w:val="center"/>
          <w:trHeight w:val="680"/>
        </w:trPr>
        <w:tc>
          <w:tcPr>
            <w:tcW w:w="106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716" w:type="dxa"/>
            <w:vAlign w:val="center"/>
            <w:textDirection w:val="lrTb"/>
            <w:noWrap/>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518" w:type="dxa"/>
            <w:vAlign w:val="center"/>
            <w:textDirection w:val="lrTb"/>
            <w:noWrap/>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3" w:type="dxa"/>
            <w:vAlign w:val="center"/>
            <w:textDirection w:val="lrTb"/>
            <w:noWrap/>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106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716" w:type="dxa"/>
            <w:vAlign w:val="center"/>
            <w:textDirection w:val="lrTb"/>
            <w:noWrap/>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518" w:type="dxa"/>
            <w:vAlign w:val="center"/>
            <w:textDirection w:val="lrTb"/>
            <w:noWrap/>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3" w:type="dxa"/>
            <w:vAlign w:val="center"/>
            <w:textDirection w:val="lrTb"/>
            <w:noWrap/>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106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716" w:type="dxa"/>
            <w:vAlign w:val="center"/>
            <w:textDirection w:val="lrTb"/>
            <w:noWrap/>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518" w:type="dxa"/>
            <w:vAlign w:val="center"/>
            <w:textDirection w:val="lrTb"/>
            <w:noWrap/>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3" w:type="dxa"/>
            <w:vAlign w:val="center"/>
            <w:textDirection w:val="lrTb"/>
            <w:noWrap/>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106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716" w:type="dxa"/>
            <w:vAlign w:val="center"/>
            <w:textDirection w:val="lrTb"/>
            <w:noWrap/>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518" w:type="dxa"/>
            <w:vAlign w:val="center"/>
            <w:textDirection w:val="lrTb"/>
            <w:noWrap/>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3" w:type="dxa"/>
            <w:vAlign w:val="center"/>
            <w:textDirection w:val="lrTb"/>
            <w:noWrap/>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106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716" w:type="dxa"/>
            <w:vAlign w:val="center"/>
            <w:textDirection w:val="lrTb"/>
            <w:noWrap/>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518" w:type="dxa"/>
            <w:vAlign w:val="center"/>
            <w:textDirection w:val="lrTb"/>
            <w:noWrap/>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3" w:type="dxa"/>
            <w:vAlign w:val="center"/>
            <w:textDirection w:val="lrTb"/>
            <w:noWrap/>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106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1716" w:type="dxa"/>
            <w:vAlign w:val="center"/>
            <w:textDirection w:val="lrTb"/>
            <w:noWrap/>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518" w:type="dxa"/>
            <w:vAlign w:val="center"/>
            <w:textDirection w:val="lrTb"/>
            <w:noWrap/>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627" w:type="dxa"/>
            <w:vAlign w:val="center"/>
            <w:textDirection w:val="lrTb"/>
            <w:noWrap/>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3" w:type="dxa"/>
            <w:vAlign w:val="center"/>
            <w:textDirection w:val="lrTb"/>
            <w:noWrap/>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106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1716"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518"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3"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680"/>
        </w:trPr>
        <w:tc>
          <w:tcPr>
            <w:tcW w:w="1062"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716"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22"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518"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627"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783" w:type="dxa"/>
            <w:vAlign w:val="center"/>
            <w:textDirection w:val="lrTb"/>
            <w:noWrap/>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jc w:val="left"/>
        <w:spacing w:line="440" w:lineRule="exact"/>
        <w:rPr>
          <w:rFonts w:ascii="宋体" w:hAnsi="宋体" w:cs="宋体"/>
          <w:b/>
          <w:color w:val="auto"/>
          <w:sz w:val="24"/>
          <w:szCs w:val="24"/>
          <w:highlight w:val="none"/>
        </w:rPr>
      </w:pPr>
      <w:r>
        <w:rPr>
          <w:rFonts w:ascii="宋体" w:hAnsi="宋体" w:cs="宋体"/>
          <w:b/>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投标人：（单位盖章）</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pStyle w:val="964"/>
        <w:ind w:firstLine="0"/>
        <w:jc w:val="both"/>
        <w:spacing w:line="360" w:lineRule="auto"/>
        <w:rPr>
          <w:rFonts w:ascii="宋体" w:hAnsi="宋体" w:eastAsia="宋体" w:cs="宋体"/>
          <w:b/>
          <w:color w:val="auto"/>
          <w:szCs w:val="24"/>
          <w:highlight w:val="none"/>
        </w:rPr>
        <w:outlineLvl w:val="1"/>
      </w:pPr>
      <w:r>
        <w:rPr>
          <w:rFonts w:ascii="宋体" w:hAnsi="宋体" w:eastAsia="宋体" w:cs="宋体"/>
          <w:b/>
          <w:color w:val="auto"/>
          <w:szCs w:val="24"/>
          <w:highlight w:val="none"/>
        </w:rPr>
      </w:r>
      <w:r/>
    </w:p>
    <w:p>
      <w:pPr>
        <w:pStyle w:val="965"/>
        <w:rPr>
          <w:rFonts w:ascii="宋体" w:hAnsi="宋体" w:eastAsia="宋体" w:cs="宋体"/>
          <w:b/>
          <w:color w:val="auto"/>
          <w:highlight w:val="none"/>
        </w:rPr>
      </w:pPr>
      <w:r>
        <w:rPr>
          <w:rFonts w:ascii="宋体" w:hAnsi="宋体" w:eastAsia="宋体" w:cs="宋体"/>
          <w:b/>
          <w:color w:val="auto"/>
          <w:highlight w:val="none"/>
        </w:rPr>
      </w:r>
      <w:r/>
    </w:p>
    <w:p>
      <w:pPr>
        <w:rPr>
          <w:rFonts w:ascii="宋体" w:hAnsi="宋体" w:cs="宋体"/>
          <w:b/>
          <w:color w:val="auto"/>
          <w:szCs w:val="24"/>
          <w:highlight w:val="none"/>
        </w:rPr>
      </w:pPr>
      <w:r>
        <w:rPr>
          <w:rFonts w:ascii="宋体" w:hAnsi="宋体" w:cs="宋体"/>
          <w:b/>
          <w:color w:val="auto"/>
          <w:szCs w:val="24"/>
          <w:highlight w:val="none"/>
        </w:rPr>
      </w:r>
      <w:r/>
    </w:p>
    <w:p>
      <w:pPr>
        <w:pStyle w:val="789"/>
        <w:rPr>
          <w:rFonts w:ascii="宋体" w:hAnsi="宋体" w:cs="宋体"/>
          <w:b/>
          <w:color w:val="auto"/>
          <w:szCs w:val="24"/>
          <w:highlight w:val="none"/>
        </w:rPr>
      </w:pPr>
      <w:r>
        <w:rPr>
          <w:rFonts w:ascii="宋体" w:hAnsi="宋体" w:cs="宋体"/>
          <w:b/>
          <w:color w:val="auto"/>
          <w:szCs w:val="24"/>
          <w:highlight w:val="none"/>
        </w:rPr>
      </w:r>
      <w:r/>
    </w:p>
    <w:p>
      <w:pPr>
        <w:pStyle w:val="789"/>
        <w:rPr>
          <w:rFonts w:ascii="宋体" w:hAnsi="宋体" w:cs="宋体"/>
          <w:b/>
          <w:color w:val="auto"/>
          <w:szCs w:val="24"/>
          <w:highlight w:val="none"/>
        </w:rPr>
      </w:pPr>
      <w:r>
        <w:rPr>
          <w:rFonts w:ascii="宋体" w:hAnsi="宋体" w:cs="宋体"/>
          <w:b/>
          <w:color w:val="auto"/>
          <w:szCs w:val="24"/>
          <w:highlight w:val="none"/>
        </w:rPr>
      </w:r>
      <w:r/>
    </w:p>
    <w:p>
      <w:pPr>
        <w:pStyle w:val="789"/>
        <w:rPr>
          <w:rFonts w:ascii="宋体" w:hAnsi="宋体" w:cs="宋体"/>
          <w:b/>
          <w:color w:val="auto"/>
          <w:szCs w:val="24"/>
          <w:highlight w:val="none"/>
        </w:rPr>
      </w:pPr>
      <w:r>
        <w:rPr>
          <w:rFonts w:ascii="宋体" w:hAnsi="宋体" w:cs="宋体"/>
          <w:b/>
          <w:color w:val="auto"/>
          <w:szCs w:val="24"/>
          <w:highlight w:val="none"/>
        </w:rPr>
      </w:r>
      <w:r/>
    </w:p>
    <w:p>
      <w:pPr>
        <w:pStyle w:val="789"/>
        <w:rPr>
          <w:rFonts w:ascii="宋体" w:hAnsi="宋体" w:cs="宋体"/>
          <w:b/>
          <w:color w:val="auto"/>
          <w:szCs w:val="24"/>
          <w:highlight w:val="none"/>
        </w:rPr>
      </w:pPr>
      <w:r>
        <w:rPr>
          <w:rFonts w:ascii="宋体" w:hAnsi="宋体" w:cs="宋体"/>
          <w:b/>
          <w:color w:val="auto"/>
          <w:szCs w:val="24"/>
          <w:highlight w:val="none"/>
        </w:rPr>
      </w:r>
      <w:r/>
    </w:p>
    <w:p>
      <w:pPr>
        <w:pStyle w:val="789"/>
        <w:rPr>
          <w:rFonts w:ascii="宋体" w:hAnsi="宋体" w:cs="宋体"/>
          <w:b/>
          <w:color w:val="auto"/>
          <w:szCs w:val="24"/>
          <w:highlight w:val="none"/>
        </w:rPr>
      </w:pPr>
      <w:r>
        <w:rPr>
          <w:rFonts w:ascii="宋体" w:hAnsi="宋体" w:cs="宋体"/>
          <w:b/>
          <w:color w:val="auto"/>
          <w:szCs w:val="24"/>
          <w:highlight w:val="none"/>
        </w:rPr>
      </w:r>
      <w:r/>
    </w:p>
    <w:p>
      <w:pPr>
        <w:pStyle w:val="789"/>
        <w:rPr>
          <w:rFonts w:ascii="宋体" w:hAnsi="宋体" w:cs="宋体"/>
          <w:b/>
          <w:color w:val="auto"/>
          <w:szCs w:val="24"/>
          <w:highlight w:val="none"/>
        </w:rPr>
      </w:pPr>
      <w:r>
        <w:rPr>
          <w:rFonts w:ascii="宋体" w:hAnsi="宋体" w:cs="宋体"/>
          <w:b/>
          <w:color w:val="auto"/>
          <w:szCs w:val="24"/>
          <w:highlight w:val="none"/>
        </w:rPr>
      </w:r>
      <w:r/>
    </w:p>
    <w:p>
      <w:pPr>
        <w:pStyle w:val="789"/>
        <w:rPr>
          <w:rFonts w:ascii="宋体" w:hAnsi="宋体" w:cs="宋体"/>
          <w:b/>
          <w:bCs/>
          <w:color w:val="auto"/>
          <w:highlight w:val="none"/>
        </w:rPr>
      </w:pPr>
      <w:r>
        <w:rPr>
          <w:rFonts w:ascii="宋体" w:hAnsi="宋体" w:cs="宋体"/>
          <w:b/>
          <w:color w:val="auto"/>
          <w:szCs w:val="24"/>
          <w:highlight w:val="none"/>
        </w:rPr>
      </w:r>
      <w:r>
        <w:rPr>
          <w:rFonts w:ascii="宋体" w:hAnsi="宋体" w:cs="宋体"/>
          <w:b/>
          <w:color w:val="auto"/>
          <w:szCs w:val="24"/>
          <w:highlight w:val="none"/>
        </w:rPr>
      </w:r>
    </w:p>
    <w:p>
      <w:pPr>
        <w:pStyle w:val="789"/>
        <w:rPr>
          <w:rFonts w:ascii="宋体" w:hAnsi="宋体" w:cs="宋体"/>
          <w:b/>
          <w:bCs/>
          <w:color w:val="auto"/>
          <w:highlight w:val="none"/>
        </w:rPr>
      </w:pPr>
      <w:r>
        <w:rPr>
          <w:rFonts w:ascii="宋体" w:hAnsi="宋体" w:cs="宋体"/>
          <w:b/>
          <w:bCs/>
          <w:color w:val="auto"/>
          <w:highlight w:val="none"/>
        </w:rPr>
      </w:r>
      <w:r>
        <w:rPr>
          <w:rFonts w:ascii="宋体" w:hAnsi="宋体" w:cs="宋体"/>
          <w:b/>
          <w:bCs/>
          <w:color w:val="auto"/>
          <w:highlight w:val="none"/>
        </w:rPr>
      </w:r>
    </w:p>
    <w:p>
      <w:pPr>
        <w:pStyle w:val="789"/>
        <w:rPr>
          <w:rFonts w:ascii="宋体" w:hAnsi="宋体" w:cs="宋体"/>
          <w:b/>
          <w:bCs/>
          <w:color w:val="auto"/>
          <w:highlight w:val="none"/>
        </w:rPr>
      </w:pPr>
      <w:r>
        <w:rPr>
          <w:rFonts w:ascii="宋体" w:hAnsi="宋体" w:cs="宋体"/>
          <w:b/>
          <w:color w:val="auto"/>
          <w:szCs w:val="24"/>
          <w:highlight w:val="none"/>
        </w:rPr>
      </w:r>
      <w:r/>
    </w:p>
    <w:p>
      <w:pPr>
        <w:pStyle w:val="789"/>
        <w:rPr>
          <w:rFonts w:ascii="宋体" w:hAnsi="宋体" w:cs="宋体"/>
          <w:b/>
          <w:color w:val="auto"/>
          <w:szCs w:val="24"/>
          <w:highlight w:val="none"/>
        </w:rPr>
      </w:pPr>
      <w:r>
        <w:rPr>
          <w:rFonts w:ascii="宋体" w:hAnsi="宋体" w:cs="宋体"/>
          <w:b/>
          <w:color w:val="auto"/>
          <w:szCs w:val="24"/>
          <w:highlight w:val="none"/>
        </w:rPr>
      </w:r>
      <w:r/>
    </w:p>
    <w:p>
      <w:pPr>
        <w:pStyle w:val="789"/>
        <w:rPr>
          <w:rFonts w:ascii="宋体" w:hAnsi="宋体" w:cs="宋体"/>
          <w:b/>
          <w:color w:val="auto"/>
          <w:szCs w:val="24"/>
          <w:highlight w:val="none"/>
        </w:rPr>
      </w:pPr>
      <w:r>
        <w:rPr>
          <w:rFonts w:ascii="宋体" w:hAnsi="宋体" w:cs="宋体"/>
          <w:b/>
          <w:color w:val="auto"/>
          <w:szCs w:val="24"/>
          <w:highlight w:val="none"/>
        </w:rPr>
      </w:r>
      <w:r/>
    </w:p>
    <w:p>
      <w:pPr>
        <w:pStyle w:val="789"/>
        <w:rPr>
          <w:rFonts w:ascii="宋体" w:hAnsi="宋体" w:cs="宋体"/>
          <w:b/>
          <w:color w:val="auto"/>
          <w:szCs w:val="24"/>
          <w:highlight w:val="none"/>
        </w:rPr>
      </w:pPr>
      <w:r>
        <w:rPr>
          <w:rFonts w:ascii="宋体" w:hAnsi="宋体" w:cs="宋体"/>
          <w:b/>
          <w:color w:val="auto"/>
          <w:szCs w:val="24"/>
          <w:highlight w:val="none"/>
        </w:rPr>
      </w:r>
      <w:r/>
    </w:p>
    <w:p>
      <w:pPr>
        <w:pStyle w:val="789"/>
        <w:rPr>
          <w:rFonts w:ascii="宋体" w:hAnsi="宋体" w:cs="宋体"/>
          <w:b/>
          <w:color w:val="auto"/>
          <w:szCs w:val="24"/>
          <w:highlight w:val="none"/>
        </w:rPr>
      </w:pPr>
      <w:r>
        <w:rPr>
          <w:rFonts w:ascii="宋体" w:hAnsi="宋体" w:cs="宋体"/>
          <w:b/>
          <w:color w:val="auto"/>
          <w:szCs w:val="24"/>
          <w:highlight w:val="none"/>
        </w:rPr>
      </w:r>
      <w:r/>
    </w:p>
    <w:p>
      <w:pPr>
        <w:pStyle w:val="789"/>
        <w:rPr>
          <w:rFonts w:ascii="宋体" w:hAnsi="宋体" w:cs="宋体"/>
          <w:b/>
          <w:color w:val="auto"/>
          <w:szCs w:val="24"/>
          <w:highlight w:val="none"/>
        </w:rPr>
      </w:pPr>
      <w:r>
        <w:rPr>
          <w:rFonts w:ascii="宋体" w:hAnsi="宋体" w:cs="宋体"/>
          <w:b/>
          <w:color w:val="auto"/>
          <w:szCs w:val="24"/>
          <w:highlight w:val="none"/>
        </w:rPr>
      </w:r>
      <w:r/>
    </w:p>
    <w:p>
      <w:pPr>
        <w:pStyle w:val="789"/>
        <w:rPr>
          <w:rFonts w:ascii="宋体" w:hAnsi="宋体" w:cs="宋体"/>
          <w:b/>
          <w:color w:val="auto"/>
          <w:szCs w:val="24"/>
          <w:highlight w:val="none"/>
        </w:rPr>
      </w:pPr>
      <w:r>
        <w:rPr>
          <w:rFonts w:ascii="宋体" w:hAnsi="宋体" w:cs="宋体"/>
          <w:b/>
          <w:color w:val="auto"/>
          <w:szCs w:val="24"/>
          <w:highlight w:val="none"/>
        </w:rPr>
      </w:r>
      <w:r/>
    </w:p>
    <w:p>
      <w:pPr>
        <w:pStyle w:val="964"/>
        <w:ind w:firstLine="0"/>
        <w:jc w:val="both"/>
        <w:spacing w:line="360" w:lineRule="auto"/>
        <w:rPr>
          <w:rFonts w:ascii="宋体" w:hAnsi="宋体" w:eastAsia="宋体" w:cs="宋体"/>
          <w:b/>
          <w:color w:val="auto"/>
          <w:szCs w:val="24"/>
          <w:highlight w:val="none"/>
        </w:rPr>
        <w:outlineLvl w:val="1"/>
      </w:pPr>
      <w:r>
        <w:rPr>
          <w:rFonts w:hint="eastAsia" w:ascii="宋体" w:hAnsi="宋体" w:eastAsia="宋体" w:cs="宋体"/>
          <w:b/>
          <w:bCs/>
          <w:color w:val="auto"/>
          <w:sz w:val="26"/>
          <w:szCs w:val="26"/>
          <w:highlight w:val="none"/>
        </w:rPr>
        <w:t xml:space="preserve">附件7</w:t>
      </w:r>
      <w:r>
        <w:rPr>
          <w:rFonts w:hint="eastAsia" w:ascii="宋体" w:hAnsi="宋体" w:eastAsia="宋体" w:cs="宋体"/>
          <w:b/>
          <w:color w:val="auto"/>
          <w:szCs w:val="24"/>
          <w:highlight w:val="none"/>
        </w:rPr>
        <w:t xml:space="preserve">、资格证明文件</w:t>
      </w:r>
      <w:r/>
    </w:p>
    <w:p>
      <w:pPr>
        <w:pStyle w:val="964"/>
        <w:ind w:firstLine="0"/>
        <w:jc w:val="both"/>
        <w:spacing w:line="360" w:lineRule="auto"/>
        <w:rPr>
          <w:rFonts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（1）关于资格文件的声明函</w:t>
      </w:r>
      <w:r/>
    </w:p>
    <w:p>
      <w:pPr>
        <w:pStyle w:val="964"/>
        <w:ind w:firstLine="0"/>
        <w:jc w:val="both"/>
        <w:spacing w:line="360" w:lineRule="auto"/>
        <w:rPr>
          <w:rFonts w:ascii="宋体" w:hAnsi="宋体" w:eastAsia="宋体" w:cs="宋体"/>
          <w:b/>
          <w:color w:val="auto"/>
          <w:szCs w:val="24"/>
          <w:highlight w:val="none"/>
        </w:rPr>
        <w:outlineLvl w:val="1"/>
      </w:pPr>
      <w:r>
        <w:rPr>
          <w:rFonts w:ascii="宋体" w:hAnsi="宋体" w:eastAsia="宋体" w:cs="宋体"/>
          <w:b/>
          <w:color w:val="auto"/>
          <w:szCs w:val="24"/>
          <w:highlight w:val="none"/>
        </w:rPr>
      </w:r>
      <w:r/>
    </w:p>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关于资格文件的声明函</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66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本公司愿就由贵公司组织实施的编号为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号第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标段的采购活动进行投标。本公司所提交的投标文件中所有关于投标资格的文件、证明和陈述均是真实的、准确的。本公司承诺本公司符合招标文件投标人须知中关于合格投标人一般条件的资格要求。若与真实情况不符，本公司愿意承担由此而产生的一切后果。</w:t>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                  投标人：（单位盖章）</w:t>
      </w:r>
      <w:r/>
    </w:p>
    <w:p>
      <w:pPr>
        <w:ind w:firstLine="38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ind w:firstLine="3840"/>
        <w:spacing w:line="360" w:lineRule="auto"/>
        <w:rPr>
          <w:rFonts w:ascii="宋体" w:hAnsi="宋体" w:cs="宋体"/>
          <w:color w:val="auto"/>
          <w:szCs w:val="24"/>
          <w:highlight w:val="none"/>
        </w:rPr>
      </w:pPr>
      <w:r>
        <w:rPr>
          <w:rFonts w:hint="eastAsia" w:ascii="宋体" w:hAnsi="宋体" w:cs="宋体"/>
          <w:color w:val="auto"/>
          <w:sz w:val="24"/>
          <w:szCs w:val="24"/>
          <w:highlight w:val="none"/>
        </w:rPr>
        <w:t xml:space="preserve">日期：         年         月       日</w:t>
      </w:r>
      <w:r/>
    </w:p>
    <w:p>
      <w:pPr>
        <w:ind w:firstLine="336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left"/>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（2）供应商情况表</w:t>
      </w:r>
      <w:r/>
    </w:p>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供应商情况表</w:t>
      </w:r>
      <w:r/>
    </w:p>
    <w:p>
      <w:pPr>
        <w:ind w:firstLine="42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单位名称：（公章）</w:t>
      </w:r>
      <w:r/>
    </w:p>
    <w:tbl>
      <w:tblPr>
        <w:tblStyle w:val="761"/>
        <w:tblW w:w="105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76"/>
        <w:gridCol w:w="2094"/>
        <w:gridCol w:w="2304"/>
        <w:gridCol w:w="2724"/>
      </w:tblGrid>
      <w:tr>
        <w:trPr>
          <w:cantSplit/>
          <w:jc w:val="center"/>
          <w:trHeight w:val="457"/>
        </w:trPr>
        <w:tc>
          <w:tcPr>
            <w:tcW w:w="347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tc>
        <w:tc>
          <w:tcPr>
            <w:tcW w:w="2094"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304"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成立日期</w:t>
            </w:r>
            <w:r/>
          </w:p>
        </w:tc>
        <w:tc>
          <w:tcPr>
            <w:tcW w:w="2724"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457"/>
        </w:trPr>
        <w:tc>
          <w:tcPr>
            <w:tcW w:w="347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企业地址</w:t>
            </w:r>
            <w:r/>
          </w:p>
        </w:tc>
        <w:tc>
          <w:tcPr>
            <w:tcW w:w="2094"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304"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注册资本</w:t>
            </w:r>
            <w:r/>
          </w:p>
        </w:tc>
        <w:tc>
          <w:tcPr>
            <w:tcW w:w="2724" w:type="dxa"/>
            <w:vAlign w:val="center"/>
            <w:textDirection w:val="lrTb"/>
            <w:noWrap w:val="false"/>
          </w:tcPr>
          <w:p>
            <w:pPr>
              <w:ind w:firstLine="3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w:t>
            </w:r>
            <w:r/>
          </w:p>
        </w:tc>
      </w:tr>
      <w:tr>
        <w:trPr>
          <w:cantSplit/>
          <w:jc w:val="center"/>
          <w:trHeight w:val="457"/>
        </w:trPr>
        <w:tc>
          <w:tcPr>
            <w:tcW w:w="347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经营范围</w:t>
            </w:r>
            <w:r/>
          </w:p>
        </w:tc>
        <w:tc>
          <w:tcPr>
            <w:gridSpan w:val="3"/>
            <w:tcW w:w="7122"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906"/>
        </w:trPr>
        <w:tc>
          <w:tcPr>
            <w:tcW w:w="347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职工人数</w:t>
            </w:r>
            <w:r/>
          </w:p>
        </w:tc>
        <w:tc>
          <w:tcPr>
            <w:tcW w:w="2094"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2304"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其中：中高级</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以上职称的人数</w:t>
            </w:r>
            <w:r/>
          </w:p>
        </w:tc>
        <w:tc>
          <w:tcPr>
            <w:tcW w:w="2724"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457"/>
        </w:trPr>
        <w:tc>
          <w:tcPr>
            <w:tcW w:w="347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资产总计</w:t>
            </w:r>
            <w:r/>
          </w:p>
        </w:tc>
        <w:tc>
          <w:tcPr>
            <w:tcW w:w="2094"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w:t>
            </w:r>
            <w:r/>
          </w:p>
        </w:tc>
        <w:tc>
          <w:tcPr>
            <w:tcW w:w="2304"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净资产</w:t>
            </w:r>
            <w:r/>
          </w:p>
        </w:tc>
        <w:tc>
          <w:tcPr>
            <w:tcW w:w="2724" w:type="dxa"/>
            <w:vAlign w:val="center"/>
            <w:textDirection w:val="lrTb"/>
            <w:noWrap w:val="false"/>
          </w:tcPr>
          <w:p>
            <w:pPr>
              <w:ind w:right="2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w:t>
            </w:r>
            <w:r/>
          </w:p>
        </w:tc>
      </w:tr>
      <w:tr>
        <w:trPr>
          <w:cantSplit/>
          <w:jc w:val="center"/>
          <w:trHeight w:val="457"/>
        </w:trPr>
        <w:tc>
          <w:tcPr>
            <w:tcW w:w="347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股东权益</w:t>
            </w:r>
            <w:r/>
          </w:p>
        </w:tc>
        <w:tc>
          <w:tcPr>
            <w:tcW w:w="2094"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w:t>
            </w:r>
            <w:r/>
          </w:p>
        </w:tc>
        <w:tc>
          <w:tcPr>
            <w:tcW w:w="2304"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销售收入</w:t>
            </w:r>
            <w:r/>
          </w:p>
        </w:tc>
        <w:tc>
          <w:tcPr>
            <w:tcW w:w="2724" w:type="dxa"/>
            <w:vAlign w:val="center"/>
            <w:textDirection w:val="lrTb"/>
            <w:noWrap w:val="false"/>
          </w:tcPr>
          <w:p>
            <w:pPr>
              <w:ind w:firstLine="7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w:t>
            </w:r>
            <w:r/>
          </w:p>
        </w:tc>
      </w:tr>
      <w:tr>
        <w:trPr>
          <w:cantSplit/>
          <w:jc w:val="center"/>
          <w:trHeight w:val="457"/>
        </w:trPr>
        <w:tc>
          <w:tcPr>
            <w:tcW w:w="347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实现利润</w:t>
            </w:r>
            <w:r/>
          </w:p>
        </w:tc>
        <w:tc>
          <w:tcPr>
            <w:gridSpan w:val="3"/>
            <w:tcW w:w="7122"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w:t>
            </w:r>
            <w:r/>
          </w:p>
        </w:tc>
      </w:tr>
      <w:tr>
        <w:trPr>
          <w:cantSplit/>
          <w:jc w:val="center"/>
          <w:trHeight w:val="90"/>
        </w:trPr>
        <w:tc>
          <w:tcPr>
            <w:tcW w:w="347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营业面积(含厂房面积)</w:t>
            </w:r>
            <w:r/>
          </w:p>
        </w:tc>
        <w:tc>
          <w:tcPr>
            <w:tcW w:w="2094"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平方米</w:t>
            </w:r>
            <w:r/>
          </w:p>
        </w:tc>
        <w:tc>
          <w:tcPr>
            <w:tcW w:w="2304"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其中：</w:t>
            </w:r>
            <w:r/>
          </w:p>
        </w:tc>
        <w:tc>
          <w:tcPr>
            <w:tcW w:w="2724"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自有面积</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平方米</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承租面积</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平方米</w:t>
            </w:r>
            <w:r/>
          </w:p>
        </w:tc>
      </w:tr>
      <w:tr>
        <w:trPr>
          <w:cantSplit/>
          <w:jc w:val="center"/>
          <w:trHeight w:val="480"/>
        </w:trPr>
        <w:tc>
          <w:tcPr>
            <w:tcW w:w="347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单位简历及内设机构情况</w:t>
            </w:r>
            <w:r/>
          </w:p>
        </w:tc>
        <w:tc>
          <w:tcPr>
            <w:gridSpan w:val="3"/>
            <w:tcW w:w="7122"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457"/>
        </w:trPr>
        <w:tc>
          <w:tcPr>
            <w:tcW w:w="347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单位优势及特长</w:t>
            </w:r>
            <w:r/>
          </w:p>
        </w:tc>
        <w:tc>
          <w:tcPr>
            <w:gridSpan w:val="3"/>
            <w:tcW w:w="7122"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906"/>
        </w:trPr>
        <w:tc>
          <w:tcPr>
            <w:tcW w:w="347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近三年来完成或正在履行的重大合同情况</w:t>
            </w:r>
            <w:r/>
          </w:p>
        </w:tc>
        <w:tc>
          <w:tcPr>
            <w:gridSpan w:val="3"/>
            <w:tcW w:w="7122"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906"/>
        </w:trPr>
        <w:tc>
          <w:tcPr>
            <w:tcW w:w="347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最近2年内在经营过程中受到何种奖励或处分</w:t>
            </w:r>
            <w:r/>
          </w:p>
        </w:tc>
        <w:tc>
          <w:tcPr>
            <w:gridSpan w:val="3"/>
            <w:tcW w:w="7122"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（包括财政、工商、税务、物价、技监部门稽查情况、结果）</w:t>
            </w:r>
            <w:r/>
          </w:p>
        </w:tc>
      </w:tr>
      <w:tr>
        <w:trPr>
          <w:cantSplit/>
          <w:jc w:val="center"/>
          <w:trHeight w:val="1354"/>
        </w:trPr>
        <w:tc>
          <w:tcPr>
            <w:tcW w:w="347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最近3年内有无因售假、售劣或是其他原因被消费者投诉或起诉的情况及说明</w:t>
            </w:r>
            <w:r/>
          </w:p>
        </w:tc>
        <w:tc>
          <w:tcPr>
            <w:gridSpan w:val="3"/>
            <w:tcW w:w="7122"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（包括解决方式和结果）</w:t>
            </w:r>
            <w:r/>
          </w:p>
        </w:tc>
      </w:tr>
      <w:tr>
        <w:trPr>
          <w:cantSplit/>
          <w:jc w:val="center"/>
          <w:trHeight w:val="1354"/>
        </w:trPr>
        <w:tc>
          <w:tcPr>
            <w:tcW w:w="347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最近3年内主要负责人有无经济犯罪被司法机关追究的情况及说明</w:t>
            </w:r>
            <w:r/>
          </w:p>
        </w:tc>
        <w:tc>
          <w:tcPr>
            <w:gridSpan w:val="3"/>
            <w:tcW w:w="7122"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457"/>
        </w:trPr>
        <w:tc>
          <w:tcPr>
            <w:tcW w:w="347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获得技术认证的工程师及简介</w:t>
            </w:r>
            <w:r/>
          </w:p>
        </w:tc>
        <w:tc>
          <w:tcPr>
            <w:gridSpan w:val="3"/>
            <w:tcW w:w="7122"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cantSplit/>
          <w:jc w:val="center"/>
          <w:trHeight w:val="467"/>
        </w:trPr>
        <w:tc>
          <w:tcPr>
            <w:tcW w:w="347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其他需要说明的情况</w:t>
            </w:r>
            <w:r/>
          </w:p>
        </w:tc>
        <w:tc>
          <w:tcPr>
            <w:gridSpan w:val="3"/>
            <w:tcW w:w="7122"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pStyle w:val="964"/>
        <w:ind w:firstLine="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spacing w:line="360" w:lineRule="auto"/>
        <w:rPr>
          <w:rFonts w:ascii="宋体" w:hAnsi="宋体" w:cs="宋体"/>
          <w:b/>
          <w:color w:val="auto"/>
          <w:sz w:val="24"/>
          <w:szCs w:val="24"/>
          <w:highlight w:val="none"/>
        </w:rPr>
        <w:outlineLvl w:val="2"/>
      </w:pPr>
      <w:r>
        <w:rPr>
          <w:rFonts w:hint="eastAsia" w:ascii="宋体" w:hAnsi="宋体" w:cs="宋体"/>
          <w:b/>
          <w:color w:val="auto"/>
          <w:sz w:val="24"/>
          <w:szCs w:val="24"/>
          <w:highlight w:val="none"/>
        </w:rPr>
        <w:t xml:space="preserve">附件8、中小企业声明函</w:t>
      </w:r>
      <w:r/>
    </w:p>
    <w:p>
      <w:pPr>
        <w:jc w:val="center"/>
        <w:spacing w:line="360" w:lineRule="auto"/>
        <w:rPr>
          <w:rFonts w:ascii="宋体" w:hAnsi="宋体" w:cs="宋体"/>
          <w:b/>
          <w:bCs/>
          <w:color w:val="auto"/>
          <w:sz w:val="24"/>
          <w:szCs w:val="24"/>
          <w:highlight w:val="none"/>
          <w:lang w:eastAsia="en-US"/>
        </w:rPr>
      </w:pPr>
      <w:r>
        <w:rPr>
          <w:rFonts w:hint="eastAsia" w:ascii="宋体" w:hAnsi="宋体" w:cs="宋体"/>
          <w:b/>
          <w:bCs/>
          <w:color w:val="auto"/>
          <w:sz w:val="24"/>
          <w:szCs w:val="24"/>
          <w:highlight w:val="none"/>
          <w:lang w:eastAsia="en-US"/>
        </w:rPr>
        <w:t xml:space="preserve">中小企业声明函</w:t>
      </w:r>
      <w:r>
        <w:rPr>
          <w:rFonts w:hint="eastAsia" w:ascii="宋体" w:hAnsi="宋体" w:cs="宋体"/>
          <w:b/>
          <w:bCs/>
          <w:color w:val="auto"/>
          <w:sz w:val="24"/>
          <w:szCs w:val="24"/>
          <w:highlight w:val="none"/>
          <w:lang w:val="zh-CN" w:eastAsia="en-US"/>
        </w:rPr>
        <w:t xml:space="preserve">（服务）</w:t>
      </w:r>
      <w:r/>
    </w:p>
    <w:p>
      <w:pPr>
        <w:spacing w:line="360" w:lineRule="auto"/>
        <w:rPr>
          <w:rFonts w:ascii="宋体" w:hAnsi="宋体" w:cs="宋体"/>
          <w:color w:val="auto"/>
          <w:sz w:val="24"/>
          <w:szCs w:val="24"/>
          <w:highlight w:val="none"/>
          <w:lang w:val="zh-TW" w:eastAsia="en-US"/>
        </w:rPr>
      </w:pPr>
      <w:r>
        <w:rPr>
          <w:rFonts w:ascii="宋体" w:hAnsi="宋体" w:cs="宋体"/>
          <w:color w:val="auto"/>
          <w:sz w:val="24"/>
          <w:szCs w:val="24"/>
          <w:highlight w:val="none"/>
          <w:lang w:val="zh-TW" w:eastAsia="en-US"/>
        </w:rPr>
      </w:r>
      <w:r/>
    </w:p>
    <w:p>
      <w:pPr>
        <w:ind w:firstLine="424"/>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本公司（或联合体）郑重声明，根据《政府采购促进中小企业发展管理办法》（财库﹝2020﹞46 号）的规定，本公司 （或联合体）参加</w:t>
      </w:r>
      <w:r>
        <w:rPr>
          <w:rFonts w:hint="eastAsia" w:ascii="宋体" w:hAnsi="宋体" w:cs="宋体"/>
          <w:bCs/>
          <w:color w:val="auto"/>
          <w:sz w:val="24"/>
          <w:szCs w:val="24"/>
          <w:highlight w:val="none"/>
          <w:u w:val="single"/>
        </w:rPr>
        <w:t xml:space="preserve">（单位名称）</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（项目名称）</w:t>
      </w:r>
      <w:r>
        <w:rPr>
          <w:rFonts w:hint="eastAsia" w:ascii="宋体" w:hAnsi="宋体" w:cs="宋体"/>
          <w:color w:val="auto"/>
          <w:sz w:val="24"/>
          <w:szCs w:val="24"/>
          <w:highlight w:val="none"/>
        </w:rPr>
        <w:t xml:space="preserve">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标段</w:t>
      </w:r>
      <w:r>
        <w:rPr>
          <w:rFonts w:hint="eastAsia" w:ascii="宋体" w:hAnsi="宋体" w:cs="宋体"/>
          <w:bCs/>
          <w:color w:val="auto"/>
          <w:sz w:val="24"/>
          <w:szCs w:val="24"/>
          <w:highlight w:val="none"/>
        </w:rPr>
        <w:t xml:space="preserve">采购活动，服务全部由符合政策要求的中小企业承接。相关企业（含联合体中的中小企业、签订分包意向协议的中小企业）的具体情 况如下： </w:t>
      </w:r>
      <w:r/>
    </w:p>
    <w:p>
      <w:pPr>
        <w:ind w:firstLine="424"/>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 </w:t>
      </w:r>
      <w:r>
        <w:rPr>
          <w:rFonts w:hint="eastAsia" w:ascii="宋体" w:hAnsi="宋体" w:cs="宋体"/>
          <w:bCs/>
          <w:color w:val="auto"/>
          <w:sz w:val="24"/>
          <w:szCs w:val="24"/>
          <w:highlight w:val="none"/>
          <w:u w:val="single"/>
        </w:rPr>
        <w:t xml:space="preserve">（标的名称） </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（所属行业为租赁和商务服务业）</w:t>
      </w:r>
      <w:r>
        <w:rPr>
          <w:rFonts w:hint="eastAsia" w:ascii="宋体" w:hAnsi="宋体" w:cs="宋体"/>
          <w:bCs/>
          <w:color w:val="auto"/>
          <w:sz w:val="24"/>
          <w:szCs w:val="24"/>
          <w:highlight w:val="none"/>
        </w:rPr>
        <w:t xml:space="preserve">； 承建（承接）企业为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w:t>
      </w:r>
      <w:r>
        <w:rPr>
          <w:rFonts w:hint="eastAsia" w:ascii="宋体" w:hAnsi="宋体" w:cs="宋体"/>
          <w:bCs/>
          <w:color w:val="auto"/>
          <w:sz w:val="24"/>
          <w:szCs w:val="24"/>
          <w:highlight w:val="none"/>
          <w:vertAlign w:val="superscript"/>
        </w:rPr>
        <w:t xml:space="preserve">1</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 </w:t>
      </w:r>
      <w:r/>
    </w:p>
    <w:p>
      <w:pPr>
        <w:ind w:firstLine="424"/>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 </w:t>
      </w:r>
      <w:r>
        <w:rPr>
          <w:rFonts w:hint="eastAsia" w:ascii="宋体" w:hAnsi="宋体" w:cs="宋体"/>
          <w:bCs/>
          <w:color w:val="auto"/>
          <w:sz w:val="24"/>
          <w:szCs w:val="24"/>
          <w:highlight w:val="none"/>
          <w:u w:val="single"/>
        </w:rPr>
        <w:t xml:space="preserve">（标的名称） </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（所属行业为租赁和商务服务业）</w:t>
      </w:r>
      <w:r>
        <w:rPr>
          <w:rFonts w:hint="eastAsia" w:ascii="宋体" w:hAnsi="宋体" w:cs="宋体"/>
          <w:bCs/>
          <w:color w:val="auto"/>
          <w:sz w:val="24"/>
          <w:szCs w:val="24"/>
          <w:highlight w:val="none"/>
        </w:rPr>
        <w:t xml:space="preserve">； 承建（承接）企业为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w:t>
      </w:r>
      <w:r>
        <w:rPr>
          <w:rFonts w:hint="eastAsia" w:ascii="宋体" w:hAnsi="宋体" w:cs="宋体"/>
          <w:bCs/>
          <w:color w:val="auto"/>
          <w:sz w:val="24"/>
          <w:szCs w:val="24"/>
          <w:highlight w:val="none"/>
          <w:vertAlign w:val="superscript"/>
        </w:rPr>
        <w:t xml:space="preserve">1</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 …… </w:t>
      </w:r>
      <w:r/>
    </w:p>
    <w:p>
      <w:pPr>
        <w:ind w:firstLine="424"/>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62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企业名称（盖章）： </w:t>
      </w:r>
      <w:r/>
    </w:p>
    <w:p>
      <w:pPr>
        <w:ind w:firstLine="6240"/>
        <w:spacing w:line="360" w:lineRule="auto"/>
        <w:rPr>
          <w:rFonts w:ascii="宋体" w:hAnsi="宋体" w:cs="宋体"/>
          <w:color w:val="auto"/>
          <w:sz w:val="24"/>
          <w:szCs w:val="24"/>
          <w:highlight w:val="none"/>
          <w:lang w:val="zh-TW" w:eastAsia="zh-TW"/>
        </w:rPr>
      </w:pPr>
      <w:r>
        <w:rPr>
          <w:rFonts w:hint="eastAsia" w:ascii="宋体" w:hAnsi="宋体" w:cs="宋体"/>
          <w:color w:val="auto"/>
          <w:sz w:val="24"/>
          <w:szCs w:val="24"/>
          <w:highlight w:val="none"/>
        </w:rPr>
        <w:t xml:space="preserve">日 期：</w:t>
      </w:r>
      <w:r/>
    </w:p>
    <w:p>
      <w:pPr>
        <w:pStyle w:val="987"/>
        <w:ind w:firstLine="480"/>
        <w:spacing w:line="360" w:lineRule="auto"/>
        <w:rPr>
          <w:rFonts w:hAnsi="宋体" w:eastAsia="宋体" w:cs="宋体"/>
          <w:color w:val="auto"/>
          <w:sz w:val="24"/>
          <w:szCs w:val="24"/>
          <w:highlight w:val="none"/>
          <w:lang w:eastAsia="zh-TW"/>
        </w:rPr>
        <w:outlineLvl w:val="2"/>
      </w:pPr>
      <w:r>
        <w:rPr>
          <w:rFonts w:hAnsi="宋体" w:eastAsia="宋体" w:cs="宋体"/>
          <w:color w:val="auto"/>
          <w:sz w:val="24"/>
          <w:szCs w:val="24"/>
          <w:highlight w:val="none"/>
          <w:lang w:eastAsia="zh-TW"/>
        </w:rPr>
      </w:r>
      <w:r/>
    </w:p>
    <w:p>
      <w:pPr>
        <w:pStyle w:val="987"/>
        <w:ind w:firstLine="480"/>
        <w:spacing w:line="360" w:lineRule="auto"/>
        <w:rPr>
          <w:rFonts w:hAnsi="宋体" w:eastAsia="宋体" w:cs="宋体"/>
          <w:color w:val="auto"/>
          <w:sz w:val="24"/>
          <w:szCs w:val="24"/>
          <w:highlight w:val="none"/>
          <w:lang w:eastAsia="zh-TW"/>
        </w:rPr>
        <w:outlineLvl w:val="2"/>
      </w:pPr>
      <w:r>
        <w:rPr>
          <w:rFonts w:hAnsi="宋体" w:eastAsia="宋体" w:cs="宋体"/>
          <w:color w:val="auto"/>
          <w:sz w:val="24"/>
          <w:szCs w:val="24"/>
          <w:highlight w:val="none"/>
          <w:lang w:eastAsia="zh-TW"/>
        </w:rPr>
      </w:r>
      <w:r/>
    </w:p>
    <w:p>
      <w:pPr>
        <w:pStyle w:val="987"/>
        <w:ind w:firstLine="480"/>
        <w:spacing w:line="360" w:lineRule="auto"/>
        <w:rPr>
          <w:rFonts w:hAnsi="宋体" w:eastAsia="宋体" w:cs="宋体"/>
          <w:color w:val="auto"/>
          <w:sz w:val="24"/>
          <w:szCs w:val="24"/>
          <w:highlight w:val="none"/>
        </w:rPr>
        <w:outlineLvl w:val="2"/>
      </w:pPr>
      <w:r>
        <w:rPr>
          <w:rFonts w:hAnsi="宋体" w:eastAsia="宋体" w:cs="宋体"/>
          <w:color w:val="auto"/>
          <w:sz w:val="24"/>
          <w:szCs w:val="24"/>
          <w:highlight w:val="none"/>
        </w:rPr>
      </w:r>
      <w:r/>
    </w:p>
    <w:p>
      <w:pPr>
        <w:pStyle w:val="964"/>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64"/>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64"/>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64"/>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64"/>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64"/>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64"/>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cs="宋体"/>
          <w:b/>
          <w:color w:val="auto"/>
          <w:sz w:val="24"/>
          <w:highlight w:val="none"/>
        </w:rPr>
        <w:outlineLvl w:val="2"/>
      </w:pPr>
      <w:r>
        <w:rPr>
          <w:rFonts w:hint="eastAsia" w:ascii="宋体" w:hAnsi="宋体" w:cs="宋体"/>
          <w:b/>
          <w:color w:val="auto"/>
          <w:sz w:val="24"/>
          <w:highlight w:val="none"/>
        </w:rPr>
        <w:t xml:space="preserve">附件9、残疾人福利性单位声明函（如有）</w:t>
      </w:r>
      <w:r/>
    </w:p>
    <w:p>
      <w:pPr>
        <w:pStyle w:val="1225"/>
        <w:jc w:val="center"/>
        <w:spacing w:line="360" w:lineRule="auto"/>
        <w:rPr>
          <w:rFonts w:ascii="宋体" w:hAnsi="宋体" w:eastAsia="宋体" w:cs="宋体"/>
          <w:b/>
          <w:bCs/>
          <w:color w:val="auto"/>
          <w:highlight w:val="none"/>
          <w:lang w:eastAsia="en-US"/>
        </w:rPr>
      </w:pPr>
      <w:r/>
      <w:bookmarkStart w:id="27" w:name="OLE_LINK14"/>
      <w:r/>
      <w:bookmarkEnd w:id="27"/>
      <w:r/>
      <w:bookmarkStart w:id="28" w:name="OLE_LINK13"/>
      <w:r/>
      <w:bookmarkEnd w:id="28"/>
      <w:r>
        <w:rPr>
          <w:rFonts w:hint="eastAsia" w:ascii="宋体" w:hAnsi="宋体" w:eastAsia="宋体" w:cs="宋体"/>
          <w:b/>
          <w:bCs/>
          <w:color w:val="auto"/>
          <w:highlight w:val="none"/>
          <w:lang w:eastAsia="en-US"/>
        </w:rPr>
        <w:t xml:space="preserve">残疾人福利性单位声明函</w:t>
      </w:r>
      <w:r/>
    </w:p>
    <w:p>
      <w:pPr>
        <w:pStyle w:val="1225"/>
        <w:ind w:firstLine="450"/>
        <w:spacing w:line="360" w:lineRule="auto"/>
        <w:rPr>
          <w:rFonts w:ascii="宋体" w:hAnsi="宋体" w:eastAsia="宋体" w:cs="宋体"/>
          <w:color w:val="auto"/>
          <w:highlight w:val="none"/>
        </w:rPr>
      </w:pPr>
      <w:r>
        <w:rPr>
          <w:rFonts w:hint="eastAsia" w:ascii="宋体" w:hAnsi="宋体" w:eastAsia="宋体" w:cs="宋体"/>
          <w:color w:val="auto"/>
          <w:highlight w:val="none"/>
          <w:lang w:eastAsia="en-US"/>
        </w:rPr>
        <w:t xml:space="preserve">本单位郑重声明，根据《财政部</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eastAsia="en-US"/>
        </w:rPr>
        <w:t xml:space="preserve">民政部</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eastAsia="en-US"/>
        </w:rPr>
        <w:t xml:space="preserve">中国残疾人联合会关于促进残疾人就业政府采购政策的通知》（财库〔</w:t>
      </w:r>
      <w:r>
        <w:rPr>
          <w:rFonts w:hint="eastAsia" w:ascii="宋体" w:hAnsi="宋体" w:eastAsia="宋体" w:cs="宋体"/>
          <w:color w:val="auto"/>
          <w:highlight w:val="none"/>
        </w:rPr>
        <w:t xml:space="preserve">2017</w:t>
      </w:r>
      <w:r>
        <w:rPr>
          <w:rFonts w:hint="eastAsia" w:ascii="宋体" w:hAnsi="宋体" w:eastAsia="宋体" w:cs="宋体"/>
          <w:color w:val="auto"/>
          <w:highlight w:val="none"/>
          <w:lang w:eastAsia="en-US"/>
        </w:rPr>
        <w:t xml:space="preserve">〕</w:t>
      </w:r>
      <w:r>
        <w:rPr>
          <w:rFonts w:hint="eastAsia" w:ascii="宋体" w:hAnsi="宋体" w:eastAsia="宋体" w:cs="宋体"/>
          <w:color w:val="auto"/>
          <w:highlight w:val="none"/>
        </w:rPr>
        <w:t xml:space="preserve">141</w:t>
      </w:r>
      <w:r>
        <w:rPr>
          <w:rFonts w:hint="eastAsia" w:ascii="宋体" w:hAnsi="宋体" w:eastAsia="宋体" w:cs="宋体"/>
          <w:color w:val="auto"/>
          <w:highlight w:val="none"/>
          <w:lang w:eastAsia="en-US"/>
        </w:rPr>
        <w:t xml:space="preserve">号）的规定，本单位为符合条件的残疾人福利性单位，且本单位参加</w:t>
      </w:r>
      <w:r>
        <w:rPr>
          <w:rFonts w:hint="eastAsia" w:ascii="宋体" w:hAnsi="宋体" w:eastAsia="宋体" w:cs="宋体"/>
          <w:color w:val="auto"/>
          <w:highlight w:val="none"/>
        </w:rPr>
        <w:t xml:space="preserve">______</w:t>
      </w:r>
      <w:r>
        <w:rPr>
          <w:rFonts w:hint="eastAsia" w:ascii="宋体" w:hAnsi="宋体" w:eastAsia="宋体" w:cs="宋体"/>
          <w:color w:val="auto"/>
          <w:highlight w:val="none"/>
          <w:lang w:eastAsia="en-US"/>
        </w:rPr>
        <w:t xml:space="preserve">单位的</w:t>
      </w:r>
      <w:r>
        <w:rPr>
          <w:rFonts w:hint="eastAsia" w:ascii="宋体" w:hAnsi="宋体" w:eastAsia="宋体" w:cs="宋体"/>
          <w:color w:val="auto"/>
          <w:highlight w:val="none"/>
        </w:rPr>
        <w:t xml:space="preserve">______</w:t>
      </w:r>
      <w:r>
        <w:rPr>
          <w:rFonts w:hint="eastAsia" w:ascii="宋体" w:hAnsi="宋体" w:eastAsia="宋体" w:cs="宋体"/>
          <w:color w:val="auto"/>
          <w:highlight w:val="none"/>
          <w:lang w:eastAsia="en-US"/>
        </w:rPr>
        <w:t xml:space="preserve">项目</w:t>
      </w:r>
      <w:r>
        <w:rPr>
          <w:rFonts w:hint="eastAsia" w:ascii="宋体" w:hAnsi="宋体" w:eastAsia="宋体" w:cs="宋体"/>
          <w:color w:val="auto"/>
          <w:highlight w:val="none"/>
        </w:rPr>
        <w:t xml:space="preserve">第</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标段</w:t>
      </w:r>
      <w:r>
        <w:rPr>
          <w:rFonts w:hint="eastAsia" w:ascii="宋体" w:hAnsi="宋体" w:eastAsia="宋体" w:cs="宋体"/>
          <w:color w:val="auto"/>
          <w:highlight w:val="none"/>
          <w:lang w:eastAsia="en-US"/>
        </w:rPr>
        <w:t xml:space="preserve">采购活动提供本单位制造的货物（由本单位承担工程</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en-US"/>
        </w:rPr>
        <w:t xml:space="preserve">提供服务），或者提供其他残疾人福利性单位制造的货物（不包括使用非残疾人福利性单位注册商标的货物）。</w:t>
      </w:r>
      <w:r/>
    </w:p>
    <w:p>
      <w:pPr>
        <w:pStyle w:val="1225"/>
        <w:ind w:firstLine="450"/>
        <w:spacing w:line="360" w:lineRule="auto"/>
        <w:rPr>
          <w:rFonts w:ascii="宋体" w:hAnsi="宋体" w:eastAsia="宋体" w:cs="宋体"/>
          <w:color w:val="auto"/>
          <w:highlight w:val="none"/>
        </w:rPr>
      </w:pPr>
      <w:r>
        <w:rPr>
          <w:rFonts w:hint="eastAsia" w:ascii="宋体" w:hAnsi="宋体" w:eastAsia="宋体" w:cs="宋体"/>
          <w:color w:val="auto"/>
          <w:highlight w:val="none"/>
          <w:lang w:eastAsia="en-US"/>
        </w:rPr>
        <w:t xml:space="preserve">本单位对上述声明的真实性负责。如有虚假，将依法承担相应责任。</w:t>
      </w:r>
      <w:r/>
    </w:p>
    <w:p>
      <w:pPr>
        <w:pStyle w:val="1225"/>
        <w:ind w:firstLine="45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1225"/>
        <w:ind w:firstLine="450"/>
        <w:jc w:val="center"/>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eastAsia="en-US"/>
        </w:rPr>
        <w:t xml:space="preserve">单位名称（盖章）：</w:t>
      </w:r>
      <w:r/>
    </w:p>
    <w:p>
      <w:pPr>
        <w:pStyle w:val="1224"/>
        <w:ind w:firstLine="5940"/>
        <w:spacing w:line="360" w:lineRule="auto"/>
        <w:rPr>
          <w:rFonts w:ascii="宋体" w:hAnsi="宋体" w:eastAsia="宋体" w:cs="宋体"/>
          <w:color w:val="auto"/>
          <w:highlight w:val="none"/>
          <w:lang w:val="en-US" w:eastAsia="en-US"/>
        </w:rPr>
      </w:pPr>
      <w:r>
        <w:rPr>
          <w:rFonts w:hint="eastAsia" w:ascii="宋体" w:hAnsi="宋体" w:eastAsia="宋体" w:cs="宋体"/>
          <w:color w:val="auto"/>
          <w:highlight w:val="none"/>
          <w:lang w:val="en-US" w:eastAsia="en-US"/>
        </w:rPr>
        <w:t xml:space="preserve">日期：</w:t>
      </w:r>
      <w:r/>
    </w:p>
    <w:p>
      <w:pPr>
        <w:pStyle w:val="964"/>
        <w:ind w:firstLine="0"/>
        <w:spacing w:line="360" w:lineRule="auto"/>
        <w:rPr>
          <w:rFonts w:ascii="宋体" w:hAnsi="宋体" w:eastAsia="宋体" w:cs="宋体"/>
          <w:color w:val="auto"/>
          <w:szCs w:val="24"/>
          <w:highlight w:val="none"/>
          <w:lang w:eastAsia="en-US"/>
        </w:rPr>
      </w:pPr>
      <w:r>
        <w:rPr>
          <w:rFonts w:ascii="宋体" w:hAnsi="宋体" w:eastAsia="宋体" w:cs="宋体"/>
          <w:color w:val="auto"/>
          <w:szCs w:val="24"/>
          <w:highlight w:val="none"/>
          <w:lang w:eastAsia="en-US"/>
        </w:rPr>
      </w:r>
      <w:r/>
    </w:p>
    <w:p>
      <w:pPr>
        <w:pStyle w:val="964"/>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64"/>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64"/>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64"/>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64"/>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64"/>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64"/>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64"/>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64"/>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64"/>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64"/>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65"/>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pStyle w:val="948"/>
        <w:rPr>
          <w:rFonts w:ascii="宋体" w:hAnsi="宋体" w:cs="宋体"/>
          <w:color w:val="auto"/>
          <w:highlight w:val="none"/>
        </w:rPr>
      </w:pPr>
      <w:r>
        <w:rPr>
          <w:rFonts w:ascii="宋体" w:hAnsi="宋体" w:cs="宋体"/>
          <w:color w:val="auto"/>
          <w:highlight w:val="none"/>
        </w:rPr>
      </w:r>
      <w:r/>
    </w:p>
    <w:p>
      <w:pPr>
        <w:pStyle w:val="949"/>
        <w:spacing w:line="360" w:lineRule="auto"/>
        <w:rPr>
          <w:rFonts w:ascii="宋体" w:hAnsi="宋体" w:cs="宋体"/>
          <w:color w:val="auto"/>
          <w:highlight w:val="none"/>
        </w:rPr>
      </w:pPr>
      <w:r>
        <w:rPr>
          <w:rFonts w:ascii="宋体" w:hAnsi="宋体" w:cs="宋体"/>
          <w:color w:val="auto"/>
          <w:highlight w:val="none"/>
        </w:rPr>
      </w:r>
      <w:r/>
    </w:p>
    <w:p>
      <w:pPr>
        <w:pStyle w:val="949"/>
        <w:spacing w:line="360" w:lineRule="auto"/>
        <w:rPr>
          <w:rFonts w:ascii="宋体" w:hAnsi="宋体" w:cs="宋体"/>
          <w:color w:val="auto"/>
          <w:highlight w:val="none"/>
        </w:rPr>
      </w:pPr>
      <w:r>
        <w:rPr>
          <w:rFonts w:ascii="宋体" w:hAnsi="宋体" w:cs="宋体"/>
          <w:color w:val="auto"/>
          <w:highlight w:val="none"/>
        </w:rPr>
      </w:r>
      <w:r/>
    </w:p>
    <w:p>
      <w:pPr>
        <w:pStyle w:val="949"/>
        <w:spacing w:line="360" w:lineRule="auto"/>
        <w:rPr>
          <w:rFonts w:ascii="宋体" w:hAnsi="宋体" w:cs="宋体"/>
          <w:color w:val="auto"/>
          <w:highlight w:val="none"/>
        </w:rPr>
      </w:pPr>
      <w:r>
        <w:rPr>
          <w:rFonts w:ascii="宋体" w:hAnsi="宋体" w:cs="宋体"/>
          <w:color w:val="auto"/>
          <w:highlight w:val="none"/>
        </w:rPr>
      </w:r>
      <w:r/>
    </w:p>
    <w:p>
      <w:pPr>
        <w:pStyle w:val="949"/>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b/>
          <w:bCs/>
          <w:color w:val="auto"/>
          <w:szCs w:val="21"/>
          <w:highlight w:val="none"/>
        </w:rPr>
        <w:outlineLvl w:val="2"/>
      </w:pPr>
      <w:r/>
      <w:bookmarkStart w:id="29" w:name="_Toc26322"/>
      <w:r>
        <w:rPr>
          <w:rFonts w:hint="eastAsia" w:ascii="宋体" w:hAnsi="宋体" w:cs="宋体"/>
          <w:b/>
          <w:color w:val="auto"/>
          <w:sz w:val="24"/>
          <w:highlight w:val="none"/>
        </w:rPr>
        <w:t xml:space="preserve">附件10：</w:t>
      </w:r>
      <w:r>
        <w:rPr>
          <w:rFonts w:hint="eastAsia" w:ascii="宋体" w:hAnsi="宋体" w:cs="宋体"/>
          <w:b/>
          <w:color w:val="auto"/>
          <w:sz w:val="24"/>
          <w:highlight w:val="none"/>
          <w:lang w:val="zh-CN"/>
        </w:rPr>
        <w:t xml:space="preserve">监狱企业证明文件（如有）</w:t>
      </w:r>
      <w:bookmarkEnd w:id="29"/>
      <w:r/>
      <w:r/>
    </w:p>
    <w:p>
      <w:pPr>
        <w:pStyle w:val="1225"/>
        <w:jc w:val="center"/>
        <w:spacing w:line="360" w:lineRule="auto"/>
        <w:rPr>
          <w:rFonts w:ascii="宋体" w:hAnsi="宋体" w:eastAsia="宋体" w:cs="宋体"/>
          <w:color w:val="auto"/>
          <w:highlight w:val="none"/>
          <w:lang w:eastAsia="en-US"/>
        </w:rPr>
      </w:pPr>
      <w:r>
        <w:rPr>
          <w:rFonts w:hint="eastAsia" w:ascii="宋体" w:hAnsi="宋体" w:eastAsia="宋体" w:cs="宋体"/>
          <w:b/>
          <w:bCs/>
          <w:color w:val="auto"/>
          <w:highlight w:val="none"/>
          <w:lang w:val="zh-CN" w:eastAsia="en-US"/>
        </w:rPr>
        <w:t xml:space="preserve">监狱企业的证明文件</w:t>
      </w:r>
      <w:r/>
    </w:p>
    <w:p>
      <w:pPr>
        <w:pStyle w:val="1225"/>
        <w:ind w:firstLine="45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本企业（单位）郑重声明下列事项（按照实际情况勾选或填空）：</w:t>
      </w:r>
      <w:r/>
    </w:p>
    <w:p>
      <w:pPr>
        <w:pStyle w:val="1225"/>
        <w:ind w:firstLine="45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本企业（单位）为直接投标单位提供本企业（单位）的服务。</w:t>
      </w:r>
      <w:r/>
    </w:p>
    <w:p>
      <w:pPr>
        <w:pStyle w:val="1225"/>
        <w:ind w:firstLine="45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（1）本企业（单位）（请填写：是、不是）监狱企业。</w:t>
      </w:r>
      <w:r/>
    </w:p>
    <w:p>
      <w:pPr>
        <w:pStyle w:val="1225"/>
        <w:ind w:firstLine="45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（2）本企业（单位）（请填写：是、不是）为联合体一方，提供本企业（单位）的服务。本企业（单位）提供协议合同金额占到共同投标协议合同总金额的比例为。</w:t>
      </w:r>
      <w:r/>
    </w:p>
    <w:p>
      <w:pPr>
        <w:pStyle w:val="1225"/>
        <w:ind w:firstLine="45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　　本企业（单位）对上述声明的真实性负责。如有虚假，将依法承担相应责任。</w:t>
      </w:r>
      <w:r/>
    </w:p>
    <w:p>
      <w:pPr>
        <w:pStyle w:val="1225"/>
        <w:ind w:firstLine="45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1225"/>
        <w:ind w:firstLine="52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投标单位签章：         </w:t>
      </w:r>
      <w:r/>
    </w:p>
    <w:p>
      <w:pPr>
        <w:pStyle w:val="1225"/>
        <w:ind w:firstLine="5308"/>
        <w:spacing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年   月   日</w:t>
      </w:r>
      <w:r/>
    </w:p>
    <w:p>
      <w:pPr>
        <w:ind w:firstLine="440"/>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40"/>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40"/>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40"/>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40"/>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40"/>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40"/>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40"/>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40"/>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40"/>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40"/>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40"/>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40"/>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40"/>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spacing w:line="360" w:lineRule="auto"/>
        <w:rPr>
          <w:rFonts w:ascii="宋体" w:hAnsi="宋体" w:cs="宋体"/>
          <w:b/>
          <w:bCs/>
          <w:color w:val="auto"/>
          <w:szCs w:val="21"/>
          <w:highlight w:val="none"/>
          <w:lang w:val="zh-CN"/>
        </w:rPr>
        <w:outlineLvl w:val="2"/>
      </w:pPr>
      <w:r/>
      <w:bookmarkStart w:id="30" w:name="_Toc21078"/>
      <w:r>
        <w:rPr>
          <w:rFonts w:hint="eastAsia" w:ascii="宋体" w:hAnsi="宋体" w:cs="宋体"/>
          <w:b/>
          <w:color w:val="auto"/>
          <w:sz w:val="24"/>
          <w:highlight w:val="none"/>
        </w:rPr>
        <w:t xml:space="preserve">附件11：</w:t>
      </w:r>
      <w:bookmarkEnd w:id="30"/>
      <w:r>
        <w:rPr>
          <w:rFonts w:hint="eastAsia" w:ascii="宋体" w:hAnsi="宋体" w:cs="宋体"/>
          <w:b/>
          <w:color w:val="auto"/>
          <w:sz w:val="24"/>
          <w:highlight w:val="none"/>
          <w:lang w:val="zh-CN"/>
        </w:rPr>
        <w:t xml:space="preserve">投标（响应）保证承诺书</w:t>
      </w:r>
      <w:r/>
    </w:p>
    <w:p>
      <w:pPr>
        <w:pStyle w:val="1225"/>
        <w:jc w:val="center"/>
        <w:spacing w:line="360" w:lineRule="auto"/>
        <w:rPr>
          <w:rFonts w:ascii="宋体" w:hAnsi="宋体" w:eastAsia="宋体" w:cs="宋体"/>
          <w:b/>
          <w:bCs/>
          <w:color w:val="auto"/>
          <w:highlight w:val="none"/>
          <w:lang w:val="zh-CN" w:eastAsia="en-US"/>
        </w:rPr>
      </w:pPr>
      <w:r>
        <w:rPr>
          <w:rFonts w:hint="eastAsia" w:ascii="宋体" w:hAnsi="宋体" w:eastAsia="宋体" w:cs="宋体"/>
          <w:b/>
          <w:bCs/>
          <w:color w:val="auto"/>
          <w:highlight w:val="none"/>
          <w:lang w:val="zh-CN" w:eastAsia="en-US"/>
        </w:rPr>
        <w:t xml:space="preserve">投标（响应）保证承诺书</w:t>
      </w:r>
      <w:r/>
    </w:p>
    <w:p>
      <w:pPr>
        <w:pStyle w:val="1225"/>
        <w:ind w:firstLine="45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（采购代理机构名称）</w:t>
      </w:r>
      <w:r/>
    </w:p>
    <w:p>
      <w:pPr>
        <w:pStyle w:val="1225"/>
        <w:ind w:firstLine="45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我（单位/本人，以下统称我单位）自愿参加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（项目名称和采购编号）第</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标段的投标（响应）,并做出如下承诺：</w:t>
      </w:r>
      <w:r/>
    </w:p>
    <w:p>
      <w:pPr>
        <w:pStyle w:val="1225"/>
        <w:ind w:firstLine="45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1225"/>
        <w:ind w:firstLine="45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1.自投标（响应）截止时间至本项目发布中标（成交）公告为止，撤销投标（响应）；</w:t>
      </w:r>
      <w:r/>
    </w:p>
    <w:p>
      <w:pPr>
        <w:pStyle w:val="1225"/>
        <w:ind w:firstLine="45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2.中标（成交）后不依法与采购人签订合同；</w:t>
      </w:r>
      <w:r/>
    </w:p>
    <w:p>
      <w:pPr>
        <w:pStyle w:val="1225"/>
        <w:ind w:firstLine="45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3.中标（成交）后不按本采购文件规定向采购人提交履约保证金；</w:t>
      </w:r>
      <w:r/>
    </w:p>
    <w:p>
      <w:pPr>
        <w:pStyle w:val="1225"/>
        <w:ind w:firstLine="45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4.中标（成交）后不按本采购文件规定向贵方缴纳采购代理费。</w:t>
      </w:r>
      <w:r/>
    </w:p>
    <w:p>
      <w:pPr>
        <w:pStyle w:val="1225"/>
        <w:ind w:firstLine="45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二、我单位知晓上述行为的法律后果，承认本承诺书作为贵方（或采购人）要求我单位履行违约赔偿义务的依据作用。</w:t>
      </w:r>
      <w:r/>
    </w:p>
    <w:p>
      <w:pPr>
        <w:pStyle w:val="1225"/>
        <w:ind w:firstLine="45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1225"/>
        <w:ind w:firstLine="45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投标（响应）人：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（盖公章）</w:t>
      </w:r>
      <w:r/>
    </w:p>
    <w:p>
      <w:pPr>
        <w:pStyle w:val="1225"/>
        <w:ind w:firstLine="45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传真：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1225"/>
        <w:ind w:firstLine="45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电子邮件：</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1225"/>
        <w:ind w:firstLine="450"/>
        <w:spacing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法定代表人或委托代理人(签字或签章)：</w:t>
      </w:r>
      <w:r>
        <w:rPr>
          <w:rFonts w:hint="eastAsia" w:ascii="宋体" w:hAnsi="宋体" w:eastAsia="宋体" w:cs="宋体"/>
          <w:color w:val="auto"/>
          <w:highlight w:val="none"/>
          <w:u w:val="single"/>
        </w:rPr>
        <w:t xml:space="preserve">         </w:t>
      </w:r>
      <w:r/>
    </w:p>
    <w:p>
      <w:pPr>
        <w:pStyle w:val="1225"/>
        <w:ind w:firstLine="45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日期：</w:t>
      </w:r>
      <w:r>
        <w:rPr>
          <w:rFonts w:hint="eastAsia" w:ascii="宋体" w:hAnsi="宋体" w:eastAsia="宋体" w:cs="宋体"/>
          <w:color w:val="auto"/>
          <w:highlight w:val="none"/>
          <w:u w:val="single"/>
        </w:rPr>
        <w:t xml:space="preserve">            </w:t>
      </w:r>
      <w:r/>
    </w:p>
    <w:p>
      <w:pPr>
        <w:pStyle w:val="1225"/>
        <w:ind w:firstLine="45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1225"/>
        <w:ind w:firstLine="45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20"/>
        <w:jc w:val="left"/>
        <w:spacing w:line="360" w:lineRule="auto"/>
        <w:rPr>
          <w:rFonts w:ascii="宋体" w:hAnsi="宋体" w:cs="宋体"/>
          <w:b/>
          <w:color w:val="auto"/>
          <w:sz w:val="24"/>
          <w:szCs w:val="21"/>
          <w:highlight w:val="none"/>
        </w:rPr>
      </w:pPr>
      <w:r>
        <w:rPr>
          <w:rFonts w:ascii="宋体" w:hAnsi="宋体" w:cs="宋体"/>
          <w:b/>
          <w:color w:val="auto"/>
          <w:sz w:val="24"/>
          <w:szCs w:val="21"/>
          <w:highlight w:val="none"/>
        </w:rPr>
      </w:r>
      <w:r/>
    </w:p>
    <w:p>
      <w:pPr>
        <w:ind w:firstLine="420"/>
        <w:jc w:val="left"/>
        <w:spacing w:line="360" w:lineRule="auto"/>
        <w:rPr>
          <w:rFonts w:ascii="宋体" w:hAnsi="宋体" w:cs="宋体"/>
          <w:b/>
          <w:color w:val="auto"/>
          <w:sz w:val="24"/>
          <w:szCs w:val="21"/>
          <w:highlight w:val="none"/>
        </w:rPr>
      </w:pPr>
      <w:r>
        <w:rPr>
          <w:rFonts w:ascii="宋体" w:hAnsi="宋体" w:cs="宋体"/>
          <w:b/>
          <w:color w:val="auto"/>
          <w:sz w:val="24"/>
          <w:szCs w:val="21"/>
          <w:highlight w:val="none"/>
        </w:rPr>
      </w:r>
      <w:r/>
    </w:p>
    <w:p>
      <w:pPr>
        <w:pStyle w:val="964"/>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64"/>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964"/>
        <w:ind w:firstLine="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937"/>
        <w:jc w:val="center"/>
        <w:spacing w:line="360" w:lineRule="auto"/>
        <w:rPr>
          <w:rFonts w:ascii="宋体" w:hAnsi="宋体" w:eastAsia="宋体" w:cs="宋体"/>
          <w:color w:val="auto"/>
          <w:sz w:val="52"/>
          <w:highlight w:val="none"/>
        </w:rPr>
      </w:pPr>
      <w:r/>
      <w:bookmarkStart w:id="31" w:name="_Toc397699339"/>
      <w:r/>
      <w:bookmarkStart w:id="32" w:name="_Toc77258038"/>
      <w:r>
        <w:rPr>
          <w:rFonts w:hint="eastAsia" w:ascii="宋体" w:hAnsi="宋体" w:eastAsia="宋体" w:cs="宋体"/>
          <w:color w:val="auto"/>
          <w:sz w:val="52"/>
          <w:highlight w:val="none"/>
        </w:rPr>
        <w:t xml:space="preserve">第四章  招标书</w:t>
      </w:r>
      <w:bookmarkEnd w:id="31"/>
      <w:r/>
      <w:bookmarkEnd w:id="32"/>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中思项目管理咨询有限公司受苏州市吴江区水务局的委托，就其所需的吴江区农村生活污水治理PPP项目竣工结算审计服务采用公开招标方式进行采购，欢迎有资格的供应商前来参加投标。</w:t>
      </w:r>
      <w:r/>
    </w:p>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一、</w:t>
      </w:r>
      <w:r>
        <w:rPr>
          <w:rFonts w:hint="eastAsia" w:ascii="宋体" w:hAnsi="宋体" w:cs="宋体"/>
          <w:b/>
          <w:color w:val="auto"/>
          <w:sz w:val="24"/>
          <w:szCs w:val="24"/>
          <w:highlight w:val="none"/>
        </w:rPr>
        <w:t xml:space="preserve">招标项目编号</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JSZC-320509-SZZS-G2026-0024</w:t>
      </w:r>
      <w:r/>
    </w:p>
    <w:p>
      <w:pPr>
        <w:spacing w:line="360" w:lineRule="auto"/>
        <w:rPr>
          <w:rFonts w:ascii="宋体" w:hAnsi="宋体" w:cs="宋体"/>
          <w:bCs/>
          <w:color w:val="auto"/>
          <w:sz w:val="24"/>
          <w:szCs w:val="24"/>
          <w:highlight w:val="none"/>
        </w:rPr>
      </w:pPr>
      <w:r>
        <w:rPr>
          <w:rFonts w:hint="eastAsia" w:ascii="宋体" w:hAnsi="宋体" w:cs="宋体"/>
          <w:b/>
          <w:color w:val="auto"/>
          <w:sz w:val="24"/>
          <w:szCs w:val="24"/>
          <w:highlight w:val="none"/>
        </w:rPr>
        <w:t xml:space="preserve">二、采购内容：</w:t>
      </w:r>
      <w:r>
        <w:rPr>
          <w:rFonts w:hint="eastAsia" w:ascii="宋体" w:hAnsi="宋体" w:cs="宋体"/>
          <w:bCs/>
          <w:color w:val="auto"/>
          <w:sz w:val="24"/>
          <w:szCs w:val="24"/>
          <w:highlight w:val="none"/>
        </w:rPr>
        <w:t xml:space="preserve">吴江区农村生活污水治理PPP项目竣工结算审计服务</w:t>
      </w:r>
      <w:r/>
    </w:p>
    <w:p>
      <w:pPr>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三、采购预算：人民币陆佰柒拾伍万伍仟元整（¥6755000.00）</w:t>
      </w:r>
      <w:r/>
    </w:p>
    <w:p>
      <w:pPr>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 xml:space="preserve">四、</w:t>
      </w:r>
      <w:r>
        <w:rPr>
          <w:rFonts w:hint="eastAsia" w:ascii="宋体" w:hAnsi="宋体" w:cs="宋体"/>
          <w:b/>
          <w:color w:val="auto"/>
          <w:sz w:val="24"/>
          <w:highlight w:val="none"/>
        </w:rPr>
        <w:t xml:space="preserve">合同履行期限：</w:t>
      </w:r>
      <w:r>
        <w:rPr>
          <w:rFonts w:hint="eastAsia" w:ascii="宋体" w:hAnsi="宋体" w:eastAsia="宋体" w:cs="宋体"/>
          <w:b/>
          <w:color w:val="auto"/>
          <w:sz w:val="24"/>
          <w:highlight w:val="none"/>
          <w:lang w:eastAsia="zh-CN"/>
        </w:rPr>
        <w:t xml:space="preserve">自审计单位收到完整、齐全的竣工资料之日起至</w:t>
      </w:r>
      <w:r>
        <w:rPr>
          <w:rFonts w:hint="eastAsia" w:ascii="宋体" w:hAnsi="宋体" w:cs="宋体"/>
          <w:b/>
          <w:color w:val="auto"/>
          <w:sz w:val="24"/>
          <w:highlight w:val="none"/>
          <w:lang w:val="en-US" w:eastAsia="zh-CN"/>
        </w:rPr>
        <w:t xml:space="preserve">向采购单位</w:t>
      </w:r>
      <w:r>
        <w:rPr>
          <w:rFonts w:hint="eastAsia" w:ascii="宋体" w:hAnsi="宋体" w:eastAsia="宋体" w:cs="宋体"/>
          <w:b/>
          <w:color w:val="auto"/>
          <w:sz w:val="24"/>
          <w:highlight w:val="none"/>
          <w:lang w:eastAsia="zh-CN"/>
        </w:rPr>
        <w:t xml:space="preserve">提交</w:t>
      </w:r>
      <w:r>
        <w:rPr>
          <w:rFonts w:hint="eastAsia" w:ascii="宋体" w:hAnsi="宋体" w:eastAsia="宋体" w:cs="宋体"/>
          <w:b/>
          <w:color w:val="auto"/>
          <w:sz w:val="24"/>
          <w:highlight w:val="none"/>
          <w:lang w:val="en-US" w:eastAsia="zh-CN"/>
        </w:rPr>
        <w:t xml:space="preserve">最终</w:t>
      </w:r>
      <w:r>
        <w:rPr>
          <w:rFonts w:hint="eastAsia" w:ascii="宋体" w:hAnsi="宋体" w:eastAsia="宋体" w:cs="宋体"/>
          <w:b/>
          <w:color w:val="auto"/>
          <w:sz w:val="24"/>
          <w:highlight w:val="none"/>
          <w:lang w:eastAsia="zh-CN"/>
        </w:rPr>
        <w:t xml:space="preserve">结算审计报告为止，</w:t>
      </w:r>
      <w:r>
        <w:rPr>
          <w:rFonts w:hint="eastAsia" w:ascii="宋体" w:hAnsi="宋体" w:cs="宋体"/>
          <w:b/>
          <w:color w:val="auto"/>
          <w:sz w:val="24"/>
          <w:highlight w:val="none"/>
          <w:lang w:val="en-US" w:eastAsia="zh-CN"/>
        </w:rPr>
        <w:t xml:space="preserve">审计单位应当在</w:t>
      </w:r>
      <w:r>
        <w:rPr>
          <w:rFonts w:hint="eastAsia" w:ascii="宋体" w:hAnsi="宋体" w:eastAsia="宋体" w:cs="宋体"/>
          <w:b/>
          <w:color w:val="auto"/>
          <w:sz w:val="24"/>
          <w:highlight w:val="none"/>
          <w:lang w:eastAsia="zh-CN"/>
        </w:rPr>
        <w:t xml:space="preserve">90天内完成。 </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五、采购需求：</w:t>
      </w:r>
      <w:r/>
    </w:p>
    <w:p>
      <w:pPr>
        <w:ind w:right="-159" w:firstLine="482"/>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
          <w:bCs/>
          <w:color w:val="auto"/>
          <w:sz w:val="24"/>
          <w:szCs w:val="24"/>
          <w:highlight w:val="none"/>
        </w:rPr>
        <w:t xml:space="preserve">（一）项目概述：</w:t>
      </w:r>
      <w:r>
        <w:rPr>
          <w:rFonts w:hint="eastAsia" w:ascii="宋体" w:hAnsi="宋体" w:cs="宋体"/>
          <w:bCs/>
          <w:color w:val="auto"/>
          <w:sz w:val="24"/>
          <w:szCs w:val="24"/>
          <w:highlight w:val="none"/>
        </w:rPr>
        <w:t xml:space="preserve">吴江区农村生活污水治理PPP项目包含吴江区范围内</w:t>
      </w:r>
      <w:r>
        <w:rPr>
          <w:rFonts w:hint="eastAsia" w:ascii="宋体" w:hAnsi="宋体" w:cs="宋体"/>
          <w:bCs/>
          <w:color w:val="auto"/>
          <w:sz w:val="24"/>
          <w:szCs w:val="24"/>
          <w:highlight w:val="none"/>
          <w:lang w:val="en-US" w:eastAsia="zh-CN"/>
        </w:rPr>
        <w:t xml:space="preserve">8个区镇、街道656</w:t>
      </w:r>
      <w:r>
        <w:rPr>
          <w:rFonts w:hint="eastAsia" w:ascii="宋体" w:hAnsi="宋体" w:cs="宋体"/>
          <w:bCs/>
          <w:color w:val="auto"/>
          <w:sz w:val="24"/>
          <w:szCs w:val="24"/>
          <w:highlight w:val="none"/>
        </w:rPr>
        <w:t xml:space="preserve">个自然村的污水处理设施</w:t>
      </w:r>
      <w:r>
        <w:rPr>
          <w:rFonts w:hint="eastAsia" w:ascii="宋体" w:hAnsi="宋体" w:cs="宋体"/>
          <w:bCs/>
          <w:color w:val="auto"/>
          <w:sz w:val="24"/>
          <w:szCs w:val="24"/>
          <w:highlight w:val="none"/>
          <w:lang w:val="en-US" w:eastAsia="zh-CN"/>
        </w:rPr>
        <w:t xml:space="preserve">和管网</w:t>
      </w:r>
      <w:r>
        <w:rPr>
          <w:rFonts w:hint="eastAsia" w:ascii="宋体" w:hAnsi="宋体" w:cs="宋体"/>
          <w:bCs/>
          <w:color w:val="auto"/>
          <w:sz w:val="24"/>
          <w:szCs w:val="24"/>
          <w:highlight w:val="none"/>
        </w:rPr>
        <w:t xml:space="preserve">的新建及</w:t>
      </w:r>
      <w:r>
        <w:rPr>
          <w:rFonts w:hint="eastAsia" w:ascii="宋体" w:hAnsi="宋体" w:cs="宋体"/>
          <w:bCs/>
          <w:color w:val="auto"/>
          <w:sz w:val="24"/>
          <w:szCs w:val="24"/>
          <w:highlight w:val="none"/>
          <w:lang w:val="en-US" w:eastAsia="zh-CN"/>
        </w:rPr>
        <w:t xml:space="preserve">整改提升</w:t>
      </w:r>
      <w:r>
        <w:rPr>
          <w:rFonts w:hint="eastAsia" w:ascii="宋体" w:hAnsi="宋体" w:cs="宋体"/>
          <w:bCs/>
          <w:color w:val="auto"/>
          <w:sz w:val="24"/>
          <w:szCs w:val="24"/>
          <w:highlight w:val="none"/>
        </w:rPr>
        <w:t xml:space="preserve">，具体包括：</w:t>
      </w:r>
      <w:r>
        <w:rPr>
          <w:rFonts w:hint="eastAsia" w:ascii="宋体" w:hAnsi="宋体" w:cs="宋体"/>
          <w:bCs/>
          <w:color w:val="auto"/>
          <w:sz w:val="24"/>
          <w:szCs w:val="24"/>
          <w:highlight w:val="none"/>
          <w:lang w:val="en-US" w:eastAsia="zh-CN"/>
        </w:rPr>
        <w:t xml:space="preserve">管网施工及主材、设备及泵站、智慧化平台建设、电控柜改造等内容。本项目目前处于竣工验收阶段，初步估算送审价约10.7亿元，具体以实际送审金额为准。</w:t>
      </w:r>
      <w:r/>
    </w:p>
    <w:p>
      <w:pPr>
        <w:ind w:firstLine="47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（二）审计要求：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1、开展审计工作：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（1）审计单位根据采购单位的相关文件制度开展审计工作。审计单位完成项目咨询工作后，应按</w:t>
      </w:r>
      <w:r>
        <w:rPr>
          <w:rFonts w:hint="eastAsia" w:ascii="宋体" w:hAnsi="宋体" w:cs="宋体"/>
          <w:color w:val="auto"/>
          <w:sz w:val="24"/>
          <w:szCs w:val="24"/>
          <w:highlight w:val="none"/>
          <w:lang w:val="en-US" w:eastAsia="zh-CN"/>
        </w:rPr>
        <w:t xml:space="preserve">规范</w:t>
      </w:r>
      <w:r>
        <w:rPr>
          <w:rFonts w:hint="eastAsia" w:ascii="宋体" w:hAnsi="宋体" w:cs="宋体"/>
          <w:color w:val="auto"/>
          <w:sz w:val="24"/>
          <w:szCs w:val="24"/>
          <w:highlight w:val="none"/>
        </w:rPr>
        <w:t xml:space="preserve">格式出具书面报告，移交工程造价审计资料。</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（2）审计单位每次对账需要到采购单位进行并做好书面记录</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（3）在开展审计工作时，审计单位必须服从采购单位的内部管理规定，若审计中的争议需咨询专家的，所发生的专家咨询费由审计单位支付。</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（4）审计单位工程结算审计档案须按照《江苏省建设工程造价咨询业务指导规程》中的立卷规则归档。</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审计单位的责任：接受委托的审计单位应确保审计工作质量，严格遵守国家的有关法律、法规、制度规定，并按有关执业规范及合同要求完成审计工作。审计单位对审计意见的真实性、完整性、可靠性负责。审计单位的审计报告只向采购单位提供，不得自行提供给其他单位。对提供不实或内容虚假的审计意见以及自行对外提供审计报告的，除由审计单位自行承担责任外，采购单位可采取必要措施终止委托，情节严重的，依法提请有关部门追究审计单位和相关责任人的行政及法律责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3、审计工作质量考核：审计单位的工作必须接受采购单位的考核，考核结果与审计费用挂钩。</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4、审计工作的质量检查：采购单位有权随时组织人员对审计项目进行质量检查，检查结果与项目考核及审计服务费挂钩，被检查涉及的审计单位必须予以配合。</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5、服务期内，如果因政府政策或其它原因，项目中部分项目取消，则该部分项目自动作废，乙方不得向甲方索赔任何费用。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6、审计单位接收到采购人以书面形式通知后须在规定时间内完成以下内容：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在规定时间内完成现场踏勘、出具审计报告等各项审计工作</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收到资料后按服务要求及时梳理并向</w:t>
      </w:r>
      <w:r>
        <w:rPr>
          <w:rFonts w:hint="eastAsia" w:ascii="宋体" w:hAnsi="宋体" w:cs="宋体"/>
          <w:color w:val="auto"/>
          <w:sz w:val="24"/>
          <w:szCs w:val="24"/>
          <w:highlight w:val="none"/>
        </w:rPr>
        <w:t xml:space="preserve">采购人</w:t>
      </w:r>
      <w:r>
        <w:rPr>
          <w:rFonts w:ascii="宋体" w:hAnsi="宋体" w:cs="宋体"/>
          <w:color w:val="auto"/>
          <w:sz w:val="24"/>
          <w:szCs w:val="24"/>
          <w:highlight w:val="none"/>
        </w:rPr>
        <w:t xml:space="preserve">反馈资料完备情况</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服务过程中按照</w:t>
      </w:r>
      <w:r>
        <w:rPr>
          <w:rFonts w:hint="eastAsia" w:ascii="宋体" w:hAnsi="宋体" w:cs="宋体"/>
          <w:color w:val="auto"/>
          <w:sz w:val="24"/>
          <w:szCs w:val="24"/>
          <w:highlight w:val="none"/>
        </w:rPr>
        <w:t xml:space="preserve">采购人</w:t>
      </w:r>
      <w:r>
        <w:rPr>
          <w:rFonts w:ascii="宋体" w:hAnsi="宋体" w:cs="宋体"/>
          <w:color w:val="auto"/>
          <w:sz w:val="24"/>
          <w:szCs w:val="24"/>
          <w:highlight w:val="none"/>
        </w:rPr>
        <w:t xml:space="preserve">要求及时提供相关资料</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7、审计单位须在规定时间内及时响应或解决采购人提出的要求的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如未能在采购人规定时间内响应，采购人将根据合同条款进行处罚</w:t>
      </w:r>
      <w:r>
        <w:rPr>
          <w:rFonts w:hint="eastAsia" w:ascii="宋体" w:hAnsi="宋体" w:cs="宋体"/>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8、如采购人认为审计单位配备的审计人员不足或无法按时完成审计要求的，采购人可以要求审计单位加派人员。</w:t>
      </w:r>
      <w:r>
        <w:rPr>
          <w:rFonts w:hint="eastAsia" w:ascii="宋体" w:hAnsi="宋体" w:cs="宋体"/>
          <w:color w:val="auto"/>
          <w:sz w:val="24"/>
          <w:szCs w:val="24"/>
          <w:highlight w:val="none"/>
          <w:lang w:val="en-US" w:eastAsia="zh-CN"/>
        </w:rPr>
        <w:t xml:space="preserve">如因审计单位未在规定时间内加派人员的，采购人将根据合同条款进行处罚。</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rPr>
        <w:t xml:space="preserve">）工作职责：</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为保证审计工作效率和服务质量，保证审计工作响应时间符合采购单位要求，中标单位审计人员从接到采购单位工作指令起，到达采购单位或审计项目现场时间不超过60分钟。审计单位应根据响应工作需要就近安排工作场所，并提供合理的人员组织、交通组织等响应保障方案。</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2、中标单位的项目负责人</w:t>
      </w:r>
      <w:r>
        <w:rPr>
          <w:rFonts w:hint="eastAsia" w:ascii="宋体" w:hAnsi="宋体" w:cs="宋体"/>
          <w:color w:val="auto"/>
          <w:sz w:val="24"/>
          <w:szCs w:val="24"/>
          <w:highlight w:val="none"/>
          <w:lang w:val="en-US" w:eastAsia="zh-CN"/>
        </w:rPr>
        <w:t xml:space="preserve">及项目组成员</w:t>
      </w:r>
      <w:r>
        <w:rPr>
          <w:rFonts w:hint="eastAsia" w:ascii="宋体" w:hAnsi="宋体" w:cs="宋体"/>
          <w:color w:val="auto"/>
          <w:sz w:val="24"/>
          <w:szCs w:val="24"/>
          <w:highlight w:val="none"/>
        </w:rPr>
        <w:t xml:space="preserve">不得随意更换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发现随意更换</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采购人将根据合同条款进行处罚</w:t>
      </w:r>
      <w:r>
        <w:rPr>
          <w:rFonts w:hint="eastAsia" w:ascii="宋体" w:hAnsi="宋体" w:cs="宋体"/>
          <w:color w:val="auto"/>
          <w:sz w:val="24"/>
          <w:szCs w:val="24"/>
          <w:highlight w:val="none"/>
          <w:lang w:val="en-US" w:eastAsia="zh-CN"/>
        </w:rPr>
        <w:t xml:space="preserve">。</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rPr>
        <w:t xml:space="preserve">）服务团队配备要求：</w:t>
      </w:r>
      <w:r/>
    </w:p>
    <w:p>
      <w:p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投标单位</w:t>
      </w:r>
      <w:r>
        <w:rPr>
          <w:rFonts w:hint="eastAsia" w:ascii="宋体" w:hAnsi="宋体" w:cs="宋体"/>
          <w:b/>
          <w:bCs/>
          <w:color w:val="auto"/>
          <w:sz w:val="24"/>
          <w:szCs w:val="24"/>
          <w:highlight w:val="none"/>
        </w:rPr>
        <w:t xml:space="preserve">应根据项目专业情况至少配备一名项目负责人、</w:t>
      </w:r>
      <w:r>
        <w:rPr>
          <w:rFonts w:hint="eastAsia" w:ascii="宋体" w:hAnsi="宋体" w:cs="宋体"/>
          <w:b/>
          <w:bCs/>
          <w:color w:val="auto"/>
          <w:sz w:val="24"/>
          <w:szCs w:val="24"/>
          <w:highlight w:val="none"/>
          <w:lang w:val="en-US" w:eastAsia="zh-CN"/>
        </w:rPr>
        <w:t xml:space="preserve">十名</w:t>
      </w:r>
      <w:r>
        <w:rPr>
          <w:rFonts w:hint="eastAsia" w:ascii="宋体" w:hAnsi="宋体" w:cs="宋体"/>
          <w:b/>
          <w:bCs/>
          <w:color w:val="auto"/>
          <w:sz w:val="24"/>
          <w:szCs w:val="24"/>
          <w:highlight w:val="none"/>
        </w:rPr>
        <w:t xml:space="preserve">具有相应专业类别并符合行业要求的造价执业人员。造价人员应具有一级注册造价工程师或注册二级造价工程师资格。</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注：投标文件中需提供《项目配备人员一览表》和拟派人员的注册证书扫描件，未提供或提供不全不得分</w:t>
      </w:r>
      <w:r>
        <w:rPr>
          <w:rFonts w:hint="eastAsia" w:ascii="宋体" w:hAnsi="宋体" w:cs="宋体"/>
          <w:b/>
          <w:bCs/>
          <w:color w:val="auto"/>
          <w:sz w:val="24"/>
          <w:szCs w:val="24"/>
          <w:highlight w:val="none"/>
          <w:lang w:eastAsia="zh-CN"/>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本采购文件所指的一级注册造价工程师，是指根据《住房城乡建设部交通运输部水利部人力资源社会保障部关于印发《造价工程师职业资格制度规定》《造价工程师职业资格考试实施办法》的通知》（建人〔2018〕）67号）的规定，通过一级造价工程师考试取得一级造价工程师职业资格并注册、或根据《造价工程师执业资格制度暂行规定》（人发〔1996〕）77号）取得造价工程师执业资格证书并注册的造价从业人员。</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3、二级造价工程师是指在省级范围内有效执业的造价从业人员，通过二级造价工程师考试取得职业资格并注册的，按照《造价工程师职业资格制度规定》第三十条规定取得造价人员资格证书的造价从业人员。</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如中标单位实际投入的审计人员不满足承诺的数量、备案、考勤等要求，采购单位有权按照本采购文件的相关约定进行惩处。情节严重的，采购单位有权终止采购合同，并通报行业主管部门或其他相关部门进行处理，建议将其作为行业及政府采购管理和信用评价的依据之一。</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五</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结算及付款方式</w:t>
      </w:r>
      <w:r>
        <w:rPr>
          <w:rFonts w:hint="eastAsia" w:ascii="宋体" w:hAnsi="宋体" w:cs="宋体"/>
          <w:b/>
          <w:bCs/>
          <w:color w:val="auto"/>
          <w:sz w:val="24"/>
          <w:szCs w:val="24"/>
          <w:highlight w:val="none"/>
        </w:rPr>
        <w:t xml:space="preserve">：</w:t>
      </w:r>
      <w:r/>
    </w:p>
    <w:p>
      <w:pPr>
        <w:ind w:firstLine="420"/>
        <w:spacing w:line="360" w:lineRule="auto"/>
        <w:widowControl/>
        <w:rPr>
          <w:rFonts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1、付款方式：</w:t>
      </w:r>
      <w:r>
        <w:rPr>
          <w:rFonts w:hint="eastAsia" w:ascii="宋体" w:hAnsi="宋体" w:cs="宋体"/>
          <w:color w:val="auto"/>
          <w:sz w:val="24"/>
          <w:szCs w:val="24"/>
          <w:highlight w:val="none"/>
        </w:rPr>
        <w:t xml:space="preserve">项目审计结束（项目审计结束指经吴江区审计局抽查复审结束）30天内一次性支付审计</w:t>
      </w: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rPr>
        <w:t xml:space="preserve">费。</w:t>
      </w:r>
      <w:r/>
    </w:p>
    <w:p>
      <w:pPr>
        <w:ind w:firstLine="42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2、结算方式：结算</w:t>
      </w:r>
      <w:r>
        <w:rPr>
          <w:rFonts w:hint="eastAsia" w:ascii="宋体" w:hAnsi="宋体" w:eastAsia="宋体" w:cs="宋体"/>
          <w:b/>
          <w:bCs w:val="0"/>
          <w:color w:val="auto"/>
          <w:sz w:val="24"/>
          <w:szCs w:val="24"/>
          <w:highlight w:val="none"/>
          <w:lang w:val="en-US" w:eastAsia="zh-CN"/>
        </w:rPr>
        <w:t xml:space="preserve">审计服务费用=（基本收费+效益收费）*50%*（中标价/预算价）*考核系数-罚款和违约金</w:t>
      </w:r>
      <w:r>
        <w:rPr>
          <w:rFonts w:hint="eastAsia" w:ascii="宋体" w:hAnsi="宋体" w:cs="宋体"/>
          <w:b/>
          <w:bCs w:val="0"/>
          <w:color w:val="auto"/>
          <w:sz w:val="24"/>
          <w:szCs w:val="24"/>
          <w:highlight w:val="none"/>
          <w:lang w:val="en-US" w:eastAsia="zh-CN"/>
        </w:rPr>
        <w:t xml:space="preserve">；（预算价=675.5万元）</w:t>
      </w:r>
      <w:r/>
    </w:p>
    <w:p>
      <w:pPr>
        <w:ind w:firstLine="42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注：1.基本收费=实际送审造价*相应区间差额定率分档累进制费率</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详见苏价服【</w:t>
      </w:r>
      <w:r>
        <w:rPr>
          <w:rFonts w:hint="default" w:ascii="宋体" w:hAnsi="宋体" w:eastAsia="宋体" w:cs="宋体"/>
          <w:b w:val="0"/>
          <w:bCs/>
          <w:color w:val="auto"/>
          <w:sz w:val="24"/>
          <w:szCs w:val="24"/>
          <w:highlight w:val="none"/>
          <w:lang w:val="en-US" w:eastAsia="zh-CN"/>
        </w:rPr>
        <w:t xml:space="preserve">2014】383号</w:t>
      </w:r>
      <w:r>
        <w:rPr>
          <w:rFonts w:hint="eastAsia" w:ascii="宋体" w:hAnsi="宋体" w:cs="宋体"/>
          <w:b w:val="0"/>
          <w:bCs/>
          <w:color w:val="auto"/>
          <w:sz w:val="24"/>
          <w:szCs w:val="24"/>
          <w:highlight w:val="none"/>
          <w:lang w:val="en-US" w:eastAsia="zh-CN"/>
        </w:rPr>
        <w:t xml:space="preserve">文，附件1</w:t>
      </w:r>
      <w:r>
        <w:rPr>
          <w:rFonts w:hint="eastAsia" w:ascii="宋体" w:hAnsi="宋体" w:eastAsia="宋体" w:cs="宋体"/>
          <w:b w:val="0"/>
          <w:bCs/>
          <w:color w:val="auto"/>
          <w:sz w:val="24"/>
          <w:szCs w:val="24"/>
          <w:highlight w:val="none"/>
          <w:lang w:val="en-US" w:eastAsia="zh-CN"/>
        </w:rPr>
        <w:t xml:space="preserve">江苏省建设工程造价咨询服务收费标准</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w:t>
      </w:r>
      <w:r/>
    </w:p>
    <w:p>
      <w:pPr>
        <w:ind w:left="0" w:firstLine="84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2.效益收费=核增额加核减额*6%；</w:t>
      </w:r>
      <w:r/>
    </w:p>
    <w:p>
      <w:pPr>
        <w:ind w:left="0" w:firstLine="840"/>
        <w:jc w:val="left"/>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3.考核系数算法详见</w:t>
      </w:r>
      <w:r>
        <w:rPr>
          <w:rFonts w:hint="eastAsia" w:ascii="宋体" w:hAnsi="宋体" w:cs="宋体"/>
          <w:b w:val="0"/>
          <w:bCs/>
          <w:color w:val="auto"/>
          <w:sz w:val="24"/>
          <w:szCs w:val="24"/>
          <w:highlight w:val="none"/>
          <w:lang w:val="en-US" w:eastAsia="zh-CN"/>
        </w:rPr>
        <w:t xml:space="preserve">采购合同附件</w:t>
      </w:r>
      <w:r>
        <w:rPr>
          <w:rFonts w:hint="eastAsia" w:ascii="宋体" w:hAnsi="宋体" w:eastAsia="宋体" w:cs="宋体"/>
          <w:b w:val="0"/>
          <w:bCs/>
          <w:color w:val="auto"/>
          <w:sz w:val="24"/>
          <w:szCs w:val="24"/>
          <w:highlight w:val="none"/>
          <w:lang w:val="en-US" w:eastAsia="zh-CN"/>
        </w:rPr>
        <w:t xml:space="preserve">《工程结算审计</w:t>
      </w:r>
      <w:r>
        <w:rPr>
          <w:rFonts w:hint="eastAsia" w:ascii="宋体" w:hAnsi="宋体" w:cs="宋体"/>
          <w:b w:val="0"/>
          <w:bCs/>
          <w:color w:val="auto"/>
          <w:sz w:val="24"/>
          <w:szCs w:val="24"/>
          <w:highlight w:val="none"/>
          <w:lang w:val="en-US" w:eastAsia="zh-CN"/>
        </w:rPr>
        <w:t xml:space="preserve">服务质量</w:t>
      </w:r>
      <w:r>
        <w:rPr>
          <w:rFonts w:hint="eastAsia" w:ascii="宋体" w:hAnsi="宋体" w:eastAsia="宋体" w:cs="宋体"/>
          <w:b w:val="0"/>
          <w:bCs/>
          <w:color w:val="auto"/>
          <w:sz w:val="24"/>
          <w:szCs w:val="24"/>
          <w:highlight w:val="none"/>
          <w:lang w:val="en-US" w:eastAsia="zh-CN"/>
        </w:rPr>
        <w:t xml:space="preserve">考核表》</w:t>
      </w:r>
      <w:r>
        <w:rPr>
          <w:rFonts w:hint="eastAsia" w:ascii="宋体" w:hAnsi="宋体" w:cs="宋体"/>
          <w:b w:val="0"/>
          <w:bCs/>
          <w:color w:val="auto"/>
          <w:sz w:val="24"/>
          <w:szCs w:val="24"/>
          <w:highlight w:val="none"/>
          <w:lang w:val="en-US" w:eastAsia="zh-CN"/>
        </w:rPr>
        <w:t xml:space="preserve">；</w:t>
      </w:r>
      <w:r/>
    </w:p>
    <w:p>
      <w:pPr>
        <w:ind w:left="0" w:firstLine="84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4.罚款和违约金=触发合同中的处罚和违约条款的金额</w:t>
      </w:r>
      <w:r>
        <w:rPr>
          <w:rFonts w:hint="eastAsia" w:ascii="宋体" w:hAnsi="宋体" w:cs="宋体"/>
          <w:b w:val="0"/>
          <w:bCs/>
          <w:color w:val="auto"/>
          <w:sz w:val="24"/>
          <w:szCs w:val="24"/>
          <w:highlight w:val="none"/>
          <w:lang w:val="en-US" w:eastAsia="zh-CN"/>
        </w:rPr>
        <w:t xml:space="preserve">。</w:t>
      </w:r>
      <w:r/>
    </w:p>
    <w:p>
      <w:pPr>
        <w:spacing w:line="360" w:lineRule="auto"/>
        <w:rPr>
          <w:rFonts w:ascii="宋体" w:hAnsi="宋体"/>
          <w:b/>
          <w:bCs/>
          <w:color w:val="auto"/>
          <w:sz w:val="24"/>
          <w:szCs w:val="24"/>
          <w:highlight w:val="none"/>
        </w:rPr>
      </w:pPr>
      <w:r/>
      <w:bookmarkStart w:id="33" w:name="_Toc13815"/>
      <w:r/>
      <w:bookmarkStart w:id="34" w:name="_Toc17643"/>
      <w:r>
        <w:rPr>
          <w:rFonts w:hint="eastAsia" w:ascii="宋体" w:hAnsi="宋体" w:cs="宋体"/>
          <w:b/>
          <w:bCs/>
          <w:color w:val="auto"/>
          <w:sz w:val="24"/>
          <w:szCs w:val="24"/>
          <w:highlight w:val="none"/>
        </w:rPr>
        <w:t xml:space="preserve">五、</w:t>
      </w:r>
      <w:bookmarkEnd w:id="33"/>
      <w:r/>
      <w:bookmarkEnd w:id="34"/>
      <w:r>
        <w:rPr>
          <w:rFonts w:hint="eastAsia" w:ascii="宋体" w:hAnsi="宋体"/>
          <w:b/>
          <w:bCs/>
          <w:color w:val="auto"/>
          <w:sz w:val="24"/>
          <w:szCs w:val="24"/>
          <w:highlight w:val="none"/>
        </w:rPr>
        <w:t xml:space="preserve">综合说明：</w:t>
      </w:r>
      <w:r/>
    </w:p>
    <w:p>
      <w:pPr>
        <w:ind w:firstLine="47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投标单位所提供的相关服务应符合国家有关标准和规范，并遵循采购文件的要求，应达到或优于采购要求，并提供详细说明。投标文件必须如实进行实质性响应，量化指标必须列明具体数值。投标单位在其投标文件中对于采购文件已提供以及未提供的服务情况均须进行完整的阐述和说明，否则其投标文件将有被拒绝的可能。</w:t>
      </w:r>
      <w:r/>
    </w:p>
    <w:p>
      <w:pPr>
        <w:ind w:firstLine="47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投标单位提供的投标文件内容须真实、准确、有效，如提供虚假材料或对采购文件所要求说明的情况故意隐瞒或虚报，视为不实质性响应采购要求，其投标文件将被拒绝。已成交的将取消成交资格，并参照《中华人民共和国政府采购法》第七十七条的相关办法处理。</w:t>
      </w:r>
      <w:r/>
    </w:p>
    <w:p>
      <w:pPr>
        <w:ind w:firstLine="47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3、投标单位应保证</w:t>
      </w:r>
      <w:r>
        <w:rPr>
          <w:rFonts w:hint="eastAsia" w:ascii="宋体" w:hAnsi="宋体" w:cs="宋体"/>
          <w:color w:val="auto"/>
          <w:sz w:val="24"/>
          <w:szCs w:val="24"/>
          <w:highlight w:val="none"/>
          <w:lang w:val="zh-CN"/>
        </w:rPr>
        <w:t xml:space="preserve">对所提供服务等知识产权方面的一切产权关系负全部责任</w:t>
      </w:r>
      <w:r>
        <w:rPr>
          <w:rFonts w:hint="eastAsia" w:ascii="宋体" w:hAnsi="宋体" w:cs="宋体"/>
          <w:color w:val="auto"/>
          <w:sz w:val="24"/>
          <w:szCs w:val="24"/>
          <w:highlight w:val="none"/>
        </w:rPr>
        <w:t xml:space="preserve">，不会产生因第三方提出侵犯其专利权、商标权或其它知识产权而引起的法律和经济纠纷，如因专利权、商标权或其它知识产权而引起法律和经济纠纷，由投标单位承担所有相关责任。</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投标单位需编制本项目的技术方案，包括但不限于：项目需求和重点难点的说明；针对本项目结算审计服务方案的说明；投标单位企业内部管理制度的说明；针对本项目交通保障和服务响应能力措施的说明；项目审计效率及审计进度控制的说明；针对本项目保密措施的说明。</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5、投标单位拟投入本项目的团队需具有履约能力，有服务项目人员，便于项目实施。</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6、投标单位需有丰富的类似项目经验等内容。</w:t>
      </w:r>
      <w:r/>
    </w:p>
    <w:p>
      <w:p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7、投标单位在项目实施期间应无条件的接受采购人的监督管理，提出的质量问题要及时整改，整改完毕后通知采购人检查验收，合格后书面报送采购人备案。</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8、与本次采购项目有关的质量、安全问题均由中标单位终生负责，相关的人员、财产责任风险均由中标单位全部承担，与他人无涉。</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9、项目地点：采购人指定地点（吴江区）。</w:t>
      </w:r>
      <w:r/>
    </w:p>
    <w:p>
      <w:pPr>
        <w:jc w:val="left"/>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七、政府采购政策：</w:t>
      </w:r>
      <w:r/>
    </w:p>
    <w:p>
      <w:pPr>
        <w:ind w:firstLine="480"/>
        <w:spacing w:line="360" w:lineRule="auto"/>
        <w:rPr>
          <w:rFonts w:ascii="宋体" w:hAnsi="宋体" w:cs="宋体"/>
          <w:bCs/>
          <w:color w:val="auto"/>
          <w:sz w:val="24"/>
          <w:szCs w:val="24"/>
          <w:highlight w:val="none"/>
        </w:rPr>
        <w:outlineLvl w:val="2"/>
      </w:pPr>
      <w:r>
        <w:rPr>
          <w:rFonts w:hint="eastAsia" w:ascii="宋体" w:hAnsi="宋体" w:cs="宋体"/>
          <w:bCs/>
          <w:color w:val="auto"/>
          <w:sz w:val="24"/>
          <w:szCs w:val="24"/>
          <w:highlight w:val="none"/>
          <w:lang w:val="zh-TW"/>
        </w:rPr>
        <w:t xml:space="preserve">（</w:t>
      </w:r>
      <w:r>
        <w:rPr>
          <w:rFonts w:hint="eastAsia" w:ascii="宋体" w:hAnsi="宋体" w:cs="宋体"/>
          <w:bCs/>
          <w:color w:val="auto"/>
          <w:sz w:val="24"/>
          <w:szCs w:val="24"/>
          <w:highlight w:val="none"/>
        </w:rPr>
        <w:t xml:space="preserve">一</w:t>
      </w:r>
      <w:r>
        <w:rPr>
          <w:rFonts w:hint="eastAsia" w:ascii="宋体" w:hAnsi="宋体" w:cs="宋体"/>
          <w:bCs/>
          <w:color w:val="auto"/>
          <w:sz w:val="24"/>
          <w:szCs w:val="24"/>
          <w:highlight w:val="none"/>
          <w:lang w:val="zh-TW"/>
        </w:rPr>
        <w:t xml:space="preserve">）</w:t>
      </w:r>
      <w:r>
        <w:rPr>
          <w:rFonts w:hint="eastAsia" w:ascii="宋体" w:hAnsi="宋体" w:cs="宋体"/>
          <w:bCs/>
          <w:color w:val="auto"/>
          <w:sz w:val="24"/>
          <w:szCs w:val="24"/>
          <w:highlight w:val="none"/>
          <w:lang w:val="zh-TW" w:eastAsia="zh-TW"/>
        </w:rPr>
        <w:t xml:space="preserve">针对中小型企业的评审政策：</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2、残疾人福利性单位</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3、监狱企业</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）信用记录</w:t>
      </w:r>
      <w:r/>
    </w:p>
    <w:p>
      <w:pPr>
        <w:ind w:right="-161" w:firstLine="480"/>
        <w:jc w:val="left"/>
        <w:spacing w:line="360" w:lineRule="auto"/>
        <w:widowControl/>
        <w:rPr>
          <w:rFonts w:ascii="宋体" w:hAnsi="宋体" w:cs="宋体"/>
          <w:bCs/>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根据政府采购法及相关法规，以及苏州市财政局《关于印发苏州市市级政府采购信用记录查询和使用工作试行办法的通知》（苏财购（2017）11号）文件的规定，将对</w:t>
      </w:r>
      <w:r>
        <w:rPr>
          <w:rFonts w:hint="eastAsia" w:ascii="宋体" w:hAnsi="宋体" w:cs="宋体"/>
          <w:color w:val="auto"/>
          <w:sz w:val="24"/>
          <w:szCs w:val="24"/>
          <w:highlight w:val="none"/>
        </w:rPr>
        <w:t xml:space="preserve">投标单位</w:t>
      </w:r>
      <w:r>
        <w:rPr>
          <w:rFonts w:hint="eastAsia" w:ascii="宋体" w:hAnsi="宋体" w:cs="宋体"/>
          <w:color w:val="auto"/>
          <w:sz w:val="24"/>
          <w:szCs w:val="24"/>
          <w:highlight w:val="none"/>
          <w:lang w:val="zh-CN"/>
        </w:rPr>
        <w:t xml:space="preserve">进行信用查询。</w:t>
      </w:r>
      <w:r/>
    </w:p>
    <w:p>
      <w:pPr>
        <w:ind w:firstLine="501"/>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信用查询：根据政府采购法及相关法规，以及苏州市财政局《关于印发苏州市市级政府采购信用记录查询和使用工作试行办法的通知》（苏财购（2017）11号）文件的规定，招标人、采购代理机构对供应商进行信用查询。</w:t>
      </w:r>
      <w:r/>
    </w:p>
    <w:p>
      <w:pPr>
        <w:ind w:firstLine="501"/>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查询时间：投标文件提交截止时间。</w:t>
      </w:r>
      <w:r/>
    </w:p>
    <w:p>
      <w:pPr>
        <w:ind w:firstLine="501"/>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查询渠道：通过“信用中国”网站查询</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val="zh-CN"/>
        </w:rPr>
        <w:t xml:space="preserve">的信用记录，以确定投标人是否具备投标资格。</w:t>
      </w:r>
      <w:r/>
    </w:p>
    <w:p>
      <w:pPr>
        <w:ind w:firstLine="501"/>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查询证据留存方式：招标人、采购代理机构工作人员等应按照相关管理办法查询相关主体的信用记录，并保存好相关证据材料，信用查询记录及相关证据应当归入采购档案妥善保管。</w:t>
      </w:r>
      <w:r/>
    </w:p>
    <w:p>
      <w:pPr>
        <w:ind w:firstLine="501"/>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jc w:val="left"/>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八、凡涉及招标文件的补充说明和修改，均以苏州政府采购网上发布的通知为准。</w:t>
      </w:r>
      <w:r/>
    </w:p>
    <w:p>
      <w:pPr>
        <w:pStyle w:val="789"/>
        <w:spacing w:line="360" w:lineRule="auto"/>
        <w:rPr>
          <w:rFonts w:ascii="宋体" w:hAnsi="宋体" w:cs="宋体"/>
          <w:color w:val="auto"/>
          <w:highlight w:val="none"/>
        </w:rPr>
        <w:sectPr>
          <w:headerReference w:type="default" r:id="rId9"/>
          <w:footerReference w:type="default" r:id="rId11"/>
          <w:footnotePr/>
          <w:endnotePr/>
          <w:type w:val="nextPage"/>
          <w:pgSz w:w="11906" w:h="16838" w:orient="portrait"/>
          <w:pgMar w:top="1440" w:right="1080" w:bottom="1440" w:left="1080" w:header="851" w:footer="0" w:gutter="0"/>
          <w:rtlGutter/>
          <w:cols w:num="1" w:sep="0" w:space="1701" w:equalWidth="1"/>
          <w:docGrid w:linePitch="360"/>
          <w:titlePg/>
        </w:sectPr>
      </w:pPr>
      <w:r>
        <w:rPr>
          <w:rFonts w:ascii="宋体" w:hAnsi="宋体" w:cs="宋体"/>
          <w:color w:val="auto"/>
          <w:highlight w:val="none"/>
        </w:rPr>
      </w:r>
      <w:r/>
    </w:p>
    <w:p>
      <w:pPr>
        <w:pStyle w:val="937"/>
        <w:jc w:val="center"/>
        <w:spacing w:line="360" w:lineRule="auto"/>
        <w:rPr>
          <w:rFonts w:ascii="宋体" w:hAnsi="宋体" w:eastAsia="宋体" w:cs="宋体"/>
          <w:color w:val="auto"/>
          <w:sz w:val="52"/>
          <w:highlight w:val="none"/>
        </w:rPr>
      </w:pPr>
      <w:r/>
      <w:bookmarkStart w:id="35" w:name="_Toc77258039"/>
      <w:r/>
      <w:bookmarkStart w:id="36" w:name="_Toc397699340"/>
      <w:r>
        <w:rPr>
          <w:rFonts w:hint="eastAsia" w:ascii="宋体" w:hAnsi="宋体" w:eastAsia="宋体" w:cs="宋体"/>
          <w:color w:val="auto"/>
          <w:sz w:val="52"/>
          <w:highlight w:val="none"/>
        </w:rPr>
        <w:t xml:space="preserve">第五章 合同条款</w:t>
      </w:r>
      <w:bookmarkEnd w:id="35"/>
      <w:r/>
      <w:bookmarkEnd w:id="36"/>
      <w:r/>
      <w:r/>
    </w:p>
    <w:p>
      <w:pPr>
        <w:ind w:firstLine="518"/>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甲方：苏州市吴江区水务局（以下简称甲方）</w:t>
      </w:r>
      <w:r/>
    </w:p>
    <w:p>
      <w:pPr>
        <w:ind w:firstLine="518"/>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联系地址：苏州市吴江区开平路1000号吴江大厦20层</w:t>
      </w:r>
      <w:r/>
    </w:p>
    <w:p>
      <w:pPr>
        <w:ind w:firstLine="518"/>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联系人：袁明娟</w:t>
      </w:r>
      <w:r/>
    </w:p>
    <w:p>
      <w:pPr>
        <w:ind w:firstLine="518"/>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联系电话0512-63031062</w:t>
      </w:r>
      <w:r/>
    </w:p>
    <w:p>
      <w:pPr>
        <w:ind w:firstLine="518"/>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518"/>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乙方：</w:t>
      </w:r>
      <w:r/>
    </w:p>
    <w:p>
      <w:pPr>
        <w:ind w:firstLine="518"/>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联系地址：</w:t>
      </w:r>
      <w:r/>
    </w:p>
    <w:p>
      <w:pPr>
        <w:ind w:firstLine="518"/>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p>
    <w:p>
      <w:pPr>
        <w:ind w:firstLine="518"/>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ind w:firstLine="518"/>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5"/>
        <w:jc w:val="left"/>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根据苏州市吴江区政府采购编号</w:t>
      </w:r>
      <w:r>
        <w:rPr>
          <w:rFonts w:hint="eastAsia" w:ascii="宋体" w:hAnsi="宋体" w:cs="宋体"/>
          <w:bCs/>
          <w:color w:val="auto"/>
          <w:sz w:val="24"/>
          <w:szCs w:val="24"/>
          <w:highlight w:val="none"/>
          <w:lang w:eastAsia="zh-CN"/>
        </w:rPr>
        <w:t xml:space="preserve">JSZC-320509-SZZS-G2026-0024</w:t>
      </w:r>
      <w:r>
        <w:rPr>
          <w:rFonts w:hint="eastAsia" w:ascii="宋体" w:hAnsi="宋体" w:cs="宋体"/>
          <w:bCs/>
          <w:color w:val="auto"/>
          <w:sz w:val="24"/>
          <w:szCs w:val="24"/>
          <w:highlight w:val="none"/>
        </w:rPr>
        <w:t xml:space="preserve">号招标文件及乙方中标的投标文件和中标通知书，甲乙双方就此次中标的</w:t>
      </w:r>
      <w:r>
        <w:rPr>
          <w:rFonts w:hint="eastAsia" w:ascii="宋体" w:hAnsi="宋体" w:cs="宋体"/>
          <w:bCs/>
          <w:color w:val="auto"/>
          <w:sz w:val="24"/>
          <w:szCs w:val="24"/>
          <w:highlight w:val="none"/>
          <w:u w:val="single"/>
        </w:rPr>
        <w:t xml:space="preserve">吴江区农村生活污水治理PPP项目竣工结算审计服务</w:t>
      </w:r>
      <w:r>
        <w:rPr>
          <w:rFonts w:hint="eastAsia" w:ascii="宋体" w:hAnsi="宋体" w:cs="宋体"/>
          <w:bCs/>
          <w:color w:val="auto"/>
          <w:sz w:val="24"/>
          <w:szCs w:val="24"/>
          <w:highlight w:val="none"/>
        </w:rPr>
        <w:t xml:space="preserve">事宜，签订本合同书。</w:t>
      </w:r>
      <w:r/>
    </w:p>
    <w:p>
      <w:pPr>
        <w:ind w:firstLine="420"/>
        <w:spacing w:line="360" w:lineRule="auto"/>
        <w:widowControl/>
        <w:rPr>
          <w:rFonts w:ascii="宋体" w:hAnsi="宋体" w:cs="宋体"/>
          <w:b/>
          <w:color w:val="auto"/>
          <w:sz w:val="24"/>
          <w:szCs w:val="24"/>
          <w:highlight w:val="none"/>
        </w:rPr>
      </w:pPr>
      <w:r>
        <w:rPr>
          <w:rFonts w:hint="eastAsia" w:ascii="宋体" w:hAnsi="宋体" w:cs="宋体"/>
          <w:color w:val="auto"/>
          <w:sz w:val="24"/>
          <w:szCs w:val="24"/>
          <w:highlight w:val="none"/>
        </w:rPr>
        <w:t xml:space="preserve">一、</w:t>
      </w:r>
      <w:r>
        <w:rPr>
          <w:rFonts w:hint="eastAsia" w:ascii="宋体" w:hAnsi="宋体" w:cs="宋体"/>
          <w:b/>
          <w:color w:val="auto"/>
          <w:sz w:val="24"/>
          <w:szCs w:val="24"/>
          <w:highlight w:val="none"/>
        </w:rPr>
        <w:t xml:space="preserve">审计内容：</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1、依据国家和省、市建设行政主管部门的有关工程造价标准和规定，完成对</w:t>
      </w:r>
      <w:r>
        <w:rPr>
          <w:rFonts w:hint="eastAsia" w:ascii="宋体" w:hAnsi="宋体" w:cs="宋体"/>
          <w:bCs/>
          <w:color w:val="auto"/>
          <w:sz w:val="24"/>
          <w:szCs w:val="24"/>
          <w:highlight w:val="none"/>
          <w:u w:val="single"/>
        </w:rPr>
        <w:t xml:space="preserve">吴江区农村生活污水治理PPP项目</w:t>
      </w:r>
      <w:r>
        <w:rPr>
          <w:rFonts w:hint="eastAsia" w:ascii="宋体" w:hAnsi="宋体" w:cs="宋体"/>
          <w:color w:val="auto"/>
          <w:sz w:val="24"/>
          <w:szCs w:val="24"/>
          <w:highlight w:val="none"/>
        </w:rPr>
        <w:t xml:space="preserve">的结算审核任务，确定工程造价的真实性，并注意发现和反映项目建设管理中存在的问题，提出审核意见和建议。</w:t>
      </w:r>
      <w:r/>
    </w:p>
    <w:p>
      <w:pPr>
        <w:ind w:firstLine="48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2、合同金额：</w:t>
      </w:r>
      <w:r>
        <w:rPr>
          <w:rFonts w:hint="eastAsia" w:ascii="宋体" w:hAnsi="宋体" w:cs="宋体"/>
          <w:color w:val="auto"/>
          <w:sz w:val="24"/>
          <w:szCs w:val="24"/>
          <w:highlight w:val="none"/>
          <w:u w:val="single"/>
        </w:rPr>
        <w:t xml:space="preserve">大写：             （小写：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元），</w:t>
      </w:r>
      <w:r>
        <w:rPr>
          <w:rFonts w:hint="eastAsia" w:ascii="宋体" w:hAnsi="宋体" w:cs="宋体"/>
          <w:color w:val="auto"/>
          <w:sz w:val="24"/>
          <w:szCs w:val="24"/>
          <w:highlight w:val="none"/>
        </w:rPr>
        <w:t xml:space="preserve">合同金额包含本项目的全部结算审计服务的报价，包括但不限于人工、耗材、工具、设备、交通费、食宿费、咨询服务、加班费、保险、补贴、各种税费、管理费、利润等一切为本项目服务的所有费用。</w:t>
      </w:r>
      <w:r/>
    </w:p>
    <w:p>
      <w:pPr>
        <w:ind w:firstLine="480"/>
        <w:jc w:val="left"/>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3、最终结算审计服务费按实结算，总额不超过合同金额。</w:t>
      </w:r>
      <w:r/>
    </w:p>
    <w:p>
      <w:pPr>
        <w:ind w:firstLine="422"/>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二、工作要求：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1、开展审计工作：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（1）乙方根据甲方的相关文件制度开展审计工作。乙方完成项目咨询工作后，应按</w:t>
      </w:r>
      <w:r>
        <w:rPr>
          <w:rFonts w:hint="eastAsia" w:ascii="宋体" w:hAnsi="宋体" w:cs="宋体"/>
          <w:color w:val="auto"/>
          <w:sz w:val="24"/>
          <w:szCs w:val="24"/>
          <w:highlight w:val="none"/>
          <w:lang w:val="en-US" w:eastAsia="zh-CN"/>
        </w:rPr>
        <w:t xml:space="preserve">规范</w:t>
      </w:r>
      <w:r>
        <w:rPr>
          <w:rFonts w:hint="eastAsia" w:ascii="宋体" w:hAnsi="宋体" w:cs="宋体"/>
          <w:color w:val="auto"/>
          <w:sz w:val="24"/>
          <w:szCs w:val="24"/>
          <w:highlight w:val="none"/>
        </w:rPr>
        <w:t xml:space="preserve">格式出具书面报告，移交工程造价审计资料。</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（2）乙方每次对账需要到甲方进行并做好书面记录。</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（3）在开展审计工作时，乙方必须服从甲方的内部管理规定，若审计中的争议需咨询专家的，所发生的专家咨询费由乙方支付。</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（4）乙方工程结算审计档案须按照《江苏省建设工程造价咨询业务指导规程》中的立卷规则归档。</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乙方的责任：确保审计工作质量，严格遵守国家的有关法律、法规、制度规定，并按有关执业规范及合同要求完成审计工作。乙方对审计意见的真实性、完整性、可靠性负责。乙方的审计报告只向甲方提供，不得自行提供给其他单位。对提供不实或内容虚假的审计意见以及自行对外提供审计报告的，除由乙方自行承担责任外，甲方可采取必要措施终止委托，情节严重的，依法提请有关部门追究乙方和相关责任人的行政及法律责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3、审计工作质量考核：乙方的工作必须接受甲方的考核，考核结果与审计费用挂钩，考核表详见合同附件</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4、审计工作的质量检查：甲方有权随时组织人员对审计项目进行质量检查，检查结果与项目考核及审计服务费挂钩，被检查涉及的审计单位必须予以配合。</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5、服务期内，如果因政府政策或其它原因，项目中部分项目取消，则该部分项目自动作废，乙方不得向甲方索赔任何费用。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6、乙方接收到甲方以书面形式通知后须在规定时间内完成以下内容：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在规定时间内完成现场踏勘、出具审计报告等各项审计工作</w:t>
      </w:r>
      <w:r>
        <w:rPr>
          <w:rFonts w:hint="eastAsia" w:ascii="宋体" w:hAnsi="宋体" w:cs="宋体"/>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取得中标通知书后2天内提供本项目审计所需完整、齐全的材料清单；</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（3）乙方在收到审计所需的材料</w:t>
      </w:r>
      <w:r>
        <w:rPr>
          <w:rFonts w:hint="eastAsia" w:ascii="宋体" w:hAnsi="宋体" w:cs="宋体"/>
          <w:color w:val="auto"/>
          <w:sz w:val="24"/>
          <w:szCs w:val="24"/>
          <w:highlight w:val="none"/>
          <w:lang w:val="en-US" w:eastAsia="zh-CN"/>
        </w:rPr>
        <w:t xml:space="preserve">后，应在2天内审核并确认；</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收到资料后按服务要求及时梳理并向</w:t>
      </w:r>
      <w:r>
        <w:rPr>
          <w:rFonts w:hint="eastAsia" w:ascii="宋体" w:hAnsi="宋体" w:cs="宋体"/>
          <w:color w:val="auto"/>
          <w:sz w:val="24"/>
          <w:szCs w:val="24"/>
          <w:highlight w:val="none"/>
        </w:rPr>
        <w:t xml:space="preserve">采购人</w:t>
      </w:r>
      <w:r>
        <w:rPr>
          <w:rFonts w:ascii="宋体" w:hAnsi="宋体" w:cs="宋体"/>
          <w:color w:val="auto"/>
          <w:sz w:val="24"/>
          <w:szCs w:val="24"/>
          <w:highlight w:val="none"/>
        </w:rPr>
        <w:t xml:space="preserve">反馈资料完备情况</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服务过程中按照</w:t>
      </w:r>
      <w:r>
        <w:rPr>
          <w:rFonts w:hint="eastAsia" w:ascii="宋体" w:hAnsi="宋体" w:cs="宋体"/>
          <w:color w:val="auto"/>
          <w:sz w:val="24"/>
          <w:szCs w:val="24"/>
          <w:highlight w:val="none"/>
        </w:rPr>
        <w:t xml:space="preserve">采购人</w:t>
      </w:r>
      <w:r>
        <w:rPr>
          <w:rFonts w:ascii="宋体" w:hAnsi="宋体" w:cs="宋体"/>
          <w:color w:val="auto"/>
          <w:sz w:val="24"/>
          <w:szCs w:val="24"/>
          <w:highlight w:val="none"/>
        </w:rPr>
        <w:t xml:space="preserve">要求及时提供相关资料</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7、乙方须在规定时间内及时响应或解决甲方提出的要求的。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8、如甲方认为</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配备的</w:t>
      </w:r>
      <w:r>
        <w:rPr>
          <w:rFonts w:hint="eastAsia" w:ascii="宋体" w:hAnsi="宋体" w:cs="宋体"/>
          <w:color w:val="auto"/>
          <w:sz w:val="24"/>
          <w:szCs w:val="24"/>
          <w:highlight w:val="none"/>
          <w:lang w:val="en-US" w:eastAsia="zh-CN"/>
        </w:rPr>
        <w:t xml:space="preserve">专业人员</w:t>
      </w:r>
      <w:r>
        <w:rPr>
          <w:rFonts w:hint="eastAsia" w:ascii="宋体" w:hAnsi="宋体" w:cs="宋体"/>
          <w:color w:val="auto"/>
          <w:sz w:val="24"/>
          <w:szCs w:val="24"/>
          <w:highlight w:val="none"/>
        </w:rPr>
        <w:t xml:space="preserve">不足或无法按时完成审计要求的，甲方可以要求乙方加派人员</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乙方应无条件配合</w:t>
      </w:r>
      <w:r>
        <w:rPr>
          <w:rFonts w:hint="eastAsia" w:ascii="宋体" w:hAnsi="宋体" w:cs="宋体"/>
          <w:color w:val="auto"/>
          <w:sz w:val="24"/>
          <w:szCs w:val="24"/>
          <w:highlight w:val="none"/>
        </w:rPr>
        <w:t xml:space="preserve">。</w:t>
      </w:r>
      <w:r/>
    </w:p>
    <w:p>
      <w:pPr>
        <w:ind w:firstLine="420"/>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三、</w:t>
      </w:r>
      <w:r>
        <w:rPr>
          <w:rFonts w:hint="eastAsia" w:ascii="宋体" w:hAnsi="宋体" w:cs="宋体"/>
          <w:b/>
          <w:color w:val="auto"/>
          <w:sz w:val="24"/>
          <w:szCs w:val="24"/>
          <w:highlight w:val="none"/>
        </w:rPr>
        <w:t xml:space="preserve">乙方结算审计人员的资格条件：</w:t>
      </w:r>
      <w:r/>
    </w:p>
    <w:p>
      <w:pPr>
        <w:ind w:firstLine="42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1、具有良好的职业道德，在以往执业经历中无不良记录；</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2、乙方结算审计人员必须为乙方在册人员，不得临时招聘人员。乙方结算审计人员应具备造价行业审核项目的从业资格，精通造价知识，且从事本专业不少于3年；</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乙方项目负责人：</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乙方主要审计人员：</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、为保证审计工作效率和服务质量，乙方审计人员从接到甲方工作指令起，到达甲方或审计项目现场时间不超过60分钟。</w:t>
      </w:r>
      <w:r/>
    </w:p>
    <w:p>
      <w:pPr>
        <w:ind w:firstLine="42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四、相关责任：</w:t>
      </w:r>
      <w:r/>
    </w:p>
    <w:p>
      <w:pPr>
        <w:ind w:firstLine="42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1、甲乙双方均应全面履行本合同约定，如一方违约，应赔偿另一方造成的损失；</w:t>
      </w:r>
      <w:r/>
    </w:p>
    <w:p>
      <w:pPr>
        <w:ind w:firstLine="42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2、因不可抗力导致合同不能全部或部分履行，甲乙方均不承担责任；</w:t>
      </w:r>
      <w:r/>
    </w:p>
    <w:p>
      <w:pPr>
        <w:ind w:firstLine="420"/>
        <w:jc w:val="left"/>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本项目不接受任何形式的转包或分包，若查实乙方存在转包或分包情形，视为乙方违约，甲方有权单方解除合同，乙方承担全部违约责任，</w:t>
      </w:r>
      <w:r>
        <w:rPr>
          <w:rFonts w:hint="eastAsia" w:ascii="宋体" w:hAnsi="宋体" w:cs="宋体"/>
          <w:color w:val="auto"/>
          <w:sz w:val="24"/>
          <w:szCs w:val="24"/>
          <w:highlight w:val="none"/>
          <w:lang w:val="en-US" w:eastAsia="zh-CN"/>
        </w:rPr>
        <w:t xml:space="preserve">向甲方支付解约违约金（中标价的50%，下同）</w:t>
      </w:r>
      <w:r>
        <w:rPr>
          <w:rFonts w:hint="eastAsia" w:ascii="宋体" w:hAnsi="宋体" w:cs="宋体"/>
          <w:color w:val="auto"/>
          <w:sz w:val="24"/>
          <w:szCs w:val="24"/>
          <w:highlight w:val="none"/>
          <w:lang w:val="en-US" w:eastAsia="zh-CN"/>
        </w:rPr>
        <w:t xml:space="preserve">；甲方同时保留向相关主管部门报送情况的权利；</w:t>
      </w:r>
      <w:r/>
    </w:p>
    <w:p>
      <w:pPr>
        <w:ind w:firstLine="42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未经委托单位同意，乙方不得擅自与施工方接触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如有发现，</w:t>
      </w:r>
      <w:r>
        <w:rPr>
          <w:rFonts w:hint="eastAsia" w:ascii="宋体" w:hAnsi="宋体" w:cs="宋体"/>
          <w:color w:val="auto"/>
          <w:sz w:val="24"/>
          <w:szCs w:val="24"/>
          <w:highlight w:val="none"/>
          <w:lang w:val="en-US" w:eastAsia="zh-CN"/>
        </w:rPr>
        <w:t xml:space="preserve">每次扣减中标价的2%，累计2次或单次情节恶劣的，</w:t>
      </w:r>
      <w:r>
        <w:rPr>
          <w:rFonts w:hint="eastAsia" w:ascii="宋体" w:hAnsi="宋体" w:cs="宋体"/>
          <w:color w:val="auto"/>
          <w:sz w:val="24"/>
          <w:szCs w:val="24"/>
          <w:highlight w:val="none"/>
          <w:lang w:val="en-US" w:eastAsia="zh-CN"/>
        </w:rPr>
        <w:t xml:space="preserve">甲方有权</w:t>
      </w:r>
      <w:r>
        <w:rPr>
          <w:rFonts w:hint="eastAsia" w:ascii="宋体" w:hAnsi="宋体" w:cs="宋体"/>
          <w:color w:val="auto"/>
          <w:sz w:val="24"/>
          <w:szCs w:val="24"/>
          <w:highlight w:val="none"/>
          <w:lang w:val="en-US" w:eastAsia="zh-CN"/>
        </w:rPr>
        <w:t xml:space="preserve">解除</w:t>
      </w:r>
      <w:r>
        <w:rPr>
          <w:rFonts w:hint="eastAsia" w:ascii="宋体" w:hAnsi="宋体" w:cs="宋体"/>
          <w:color w:val="auto"/>
          <w:sz w:val="24"/>
          <w:szCs w:val="24"/>
          <w:highlight w:val="none"/>
          <w:lang w:val="en-US" w:eastAsia="zh-CN"/>
        </w:rPr>
        <w:t xml:space="preserve">合同，</w:t>
      </w:r>
      <w:r>
        <w:rPr>
          <w:rFonts w:hint="eastAsia" w:ascii="宋体" w:hAnsi="宋体" w:cs="宋体"/>
          <w:color w:val="auto"/>
          <w:sz w:val="24"/>
          <w:szCs w:val="24"/>
          <w:highlight w:val="none"/>
          <w:lang w:val="en-US" w:eastAsia="zh-CN"/>
        </w:rPr>
        <w:t xml:space="preserve">乙方按前款承担解约违约金</w:t>
      </w:r>
      <w:r>
        <w:rPr>
          <w:rFonts w:hint="eastAsia" w:ascii="宋体" w:hAnsi="宋体" w:cs="宋体"/>
          <w:color w:val="auto"/>
          <w:sz w:val="24"/>
          <w:szCs w:val="24"/>
          <w:highlight w:val="none"/>
          <w:lang w:val="en-US" w:eastAsia="zh-CN"/>
        </w:rPr>
        <w:t xml:space="preserve">。</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、乙方对出具的审核报告负责，对该报告存在的质量问题而引起的纠纷、诉讼等</w:t>
      </w:r>
      <w:r>
        <w:rPr>
          <w:rFonts w:hint="eastAsia" w:ascii="宋体" w:hAnsi="宋体" w:cs="宋体"/>
          <w:color w:val="auto"/>
          <w:sz w:val="24"/>
          <w:szCs w:val="24"/>
          <w:highlight w:val="none"/>
          <w:lang w:val="en-US" w:eastAsia="zh-CN"/>
        </w:rPr>
        <w:t xml:space="preserve">承担最终责任，造成</w:t>
      </w:r>
      <w:r>
        <w:rPr>
          <w:rFonts w:hint="eastAsia" w:ascii="宋体" w:hAnsi="宋体" w:cs="宋体"/>
          <w:color w:val="auto"/>
          <w:sz w:val="24"/>
          <w:szCs w:val="24"/>
          <w:highlight w:val="none"/>
        </w:rPr>
        <w:t xml:space="preserve">委托单位</w:t>
      </w:r>
      <w:r>
        <w:rPr>
          <w:rFonts w:hint="eastAsia" w:ascii="宋体" w:hAnsi="宋体" w:cs="宋体"/>
          <w:color w:val="auto"/>
          <w:sz w:val="24"/>
          <w:szCs w:val="24"/>
          <w:highlight w:val="none"/>
          <w:lang w:val="en-US" w:eastAsia="zh-CN"/>
        </w:rPr>
        <w:t xml:space="preserve">损失的，甲方有权向乙方追偿</w:t>
      </w:r>
      <w:r>
        <w:rPr>
          <w:rFonts w:hint="eastAsia" w:ascii="宋体" w:hAnsi="宋体" w:cs="宋体"/>
          <w:color w:val="auto"/>
          <w:sz w:val="24"/>
          <w:szCs w:val="24"/>
          <w:highlight w:val="none"/>
        </w:rPr>
        <w:t xml:space="preserve">；</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、乙方须妥善保管委托单位提供的工程造价审计资料，保守秘密。若有遗失或泄密行为将追究其责任，并视情节轻重给予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50万-200万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lang w:val="en-US" w:eastAsia="zh-CN"/>
        </w:rPr>
        <w:t xml:space="preserve">违约</w:t>
      </w:r>
      <w:r>
        <w:rPr>
          <w:rFonts w:hint="eastAsia" w:ascii="宋体" w:hAnsi="宋体" w:cs="宋体"/>
          <w:color w:val="auto"/>
          <w:sz w:val="24"/>
          <w:szCs w:val="24"/>
          <w:highlight w:val="none"/>
        </w:rPr>
        <w:t xml:space="preserve">处罚；</w:t>
      </w:r>
      <w:r/>
    </w:p>
    <w:p>
      <w:pPr>
        <w:ind w:firstLine="420"/>
        <w:jc w:val="left"/>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7、乙方应在规定时间内及时响应或解决甲方提出的要求的，如未能在甲方规定时间内响应或解决甲方提出的要求，按30000元/天/次扣除服务费。</w:t>
      </w:r>
      <w:r/>
    </w:p>
    <w:p>
      <w:pPr>
        <w:ind w:firstLine="42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、乙方应按本合同约定之时间完成工程项目的结算审计工作，如有延误，每延误一天，应按合同金额的1%支付违约金（非乙方原因除外）。</w:t>
      </w:r>
      <w:r>
        <w:rPr>
          <w:rFonts w:hint="eastAsia" w:ascii="宋体" w:hAnsi="宋体" w:cs="宋体"/>
          <w:color w:val="auto"/>
          <w:sz w:val="24"/>
          <w:szCs w:val="24"/>
          <w:highlight w:val="none"/>
          <w:lang w:val="en-US" w:eastAsia="zh-CN"/>
        </w:rPr>
        <w:t xml:space="preserve">经催告，逾期超过15天仍无法完成的，</w:t>
      </w:r>
      <w:r>
        <w:rPr>
          <w:rFonts w:hint="eastAsia" w:ascii="宋体" w:hAnsi="宋体" w:cs="宋体"/>
          <w:color w:val="auto"/>
          <w:sz w:val="24"/>
          <w:szCs w:val="24"/>
          <w:highlight w:val="none"/>
          <w:lang w:val="en-US" w:eastAsia="zh-CN"/>
        </w:rPr>
        <w:t xml:space="preserve">甲方有权</w:t>
      </w:r>
      <w:r>
        <w:rPr>
          <w:rFonts w:hint="eastAsia" w:ascii="宋体" w:hAnsi="宋体" w:cs="宋体"/>
          <w:color w:val="auto"/>
          <w:sz w:val="24"/>
          <w:szCs w:val="24"/>
          <w:highlight w:val="none"/>
          <w:lang w:val="en-US" w:eastAsia="zh-CN"/>
        </w:rPr>
        <w:t xml:space="preserve">解除</w:t>
      </w:r>
      <w:r>
        <w:rPr>
          <w:rFonts w:hint="eastAsia" w:ascii="宋体" w:hAnsi="宋体" w:cs="宋体"/>
          <w:color w:val="auto"/>
          <w:sz w:val="24"/>
          <w:szCs w:val="24"/>
          <w:highlight w:val="none"/>
          <w:lang w:val="en-US" w:eastAsia="zh-CN"/>
        </w:rPr>
        <w:t xml:space="preserve">合同，并要求乙方</w:t>
      </w:r>
      <w:r>
        <w:rPr>
          <w:rFonts w:hint="eastAsia" w:ascii="宋体" w:hAnsi="宋体" w:cs="宋体"/>
          <w:color w:val="auto"/>
          <w:sz w:val="24"/>
          <w:szCs w:val="24"/>
          <w:highlight w:val="none"/>
          <w:lang w:val="en-US" w:eastAsia="zh-CN"/>
        </w:rPr>
        <w:t xml:space="preserve">承担解约违约金</w:t>
      </w:r>
      <w:r>
        <w:rPr>
          <w:rFonts w:hint="eastAsia" w:ascii="宋体" w:hAnsi="宋体" w:cs="宋体"/>
          <w:color w:val="auto"/>
          <w:sz w:val="24"/>
          <w:szCs w:val="24"/>
          <w:highlight w:val="none"/>
          <w:lang w:val="en-US" w:eastAsia="zh-CN"/>
        </w:rPr>
        <w:t xml:space="preserve">。</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、乙方应确保工程结算审计质量，后期若经甲方复核或区审计局抽查复审，存在误差的，误差应≤</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%，若误差＞</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%的按《考核表》进行扣分；</w:t>
      </w:r>
      <w:r/>
    </w:p>
    <w:p>
      <w:pPr>
        <w:ind w:firstLine="42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、乙方不得擅自修改合同条款，对更改条款产生的后果由乙方承担</w:t>
      </w:r>
      <w:r>
        <w:rPr>
          <w:rFonts w:hint="eastAsia" w:ascii="宋体" w:hAnsi="宋体" w:cs="宋体"/>
          <w:color w:val="auto"/>
          <w:sz w:val="24"/>
          <w:szCs w:val="24"/>
          <w:highlight w:val="none"/>
          <w:lang w:eastAsia="zh-CN"/>
        </w:rPr>
        <w:t xml:space="preserve">。</w:t>
      </w:r>
      <w:r/>
    </w:p>
    <w:p>
      <w:pPr>
        <w:ind w:firstLine="42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、乙方应确保人员的到位和稳定，确定的项目负责人和其他审计人员未经甲方同意不得随意更换。</w:t>
      </w:r>
      <w:r/>
    </w:p>
    <w:p>
      <w:pPr>
        <w:ind w:firstLine="420"/>
        <w:jc w:val="left"/>
        <w:spacing w:line="360" w:lineRule="auto"/>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11.1</w:t>
      </w:r>
      <w:r>
        <w:rPr>
          <w:rFonts w:hint="eastAsia" w:ascii="宋体" w:hAnsi="宋体" w:cs="宋体"/>
          <w:color w:val="auto"/>
          <w:sz w:val="24"/>
          <w:szCs w:val="24"/>
          <w:highlight w:val="none"/>
          <w:lang w:val="en-US" w:eastAsia="zh-CN"/>
        </w:rPr>
        <w:t xml:space="preserve">如乙方未经甲方同意随意更换项目负责人的，按</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000</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lang w:val="en-US" w:eastAsia="zh-CN"/>
        </w:rPr>
        <w:t xml:space="preserve">人</w:t>
      </w:r>
      <w:r>
        <w:rPr>
          <w:rFonts w:hint="eastAsia" w:ascii="宋体" w:hAnsi="宋体" w:cs="宋体"/>
          <w:color w:val="auto"/>
          <w:sz w:val="24"/>
          <w:szCs w:val="24"/>
          <w:highlight w:val="none"/>
        </w:rPr>
        <w:t xml:space="preserve">次扣除服务费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且</w:t>
      </w:r>
      <w:r>
        <w:rPr>
          <w:rFonts w:hint="eastAsia" w:ascii="宋体" w:hAnsi="宋体" w:cs="宋体"/>
          <w:color w:val="auto"/>
          <w:sz w:val="24"/>
          <w:szCs w:val="24"/>
          <w:highlight w:val="none"/>
          <w:lang w:val="en-US" w:eastAsia="zh-CN"/>
        </w:rPr>
        <w:t xml:space="preserve">甲方有权</w:t>
      </w:r>
      <w:r>
        <w:rPr>
          <w:rFonts w:hint="eastAsia" w:ascii="宋体" w:hAnsi="宋体" w:cs="宋体"/>
          <w:color w:val="auto"/>
          <w:sz w:val="24"/>
          <w:szCs w:val="24"/>
          <w:highlight w:val="none"/>
          <w:lang w:val="en-US" w:eastAsia="zh-CN"/>
        </w:rPr>
        <w:t xml:space="preserve">解除</w:t>
      </w:r>
      <w:r>
        <w:rPr>
          <w:rFonts w:hint="eastAsia" w:ascii="宋体" w:hAnsi="宋体" w:cs="宋体"/>
          <w:color w:val="auto"/>
          <w:sz w:val="24"/>
          <w:szCs w:val="24"/>
          <w:highlight w:val="none"/>
          <w:lang w:val="en-US" w:eastAsia="zh-CN"/>
        </w:rPr>
        <w:t xml:space="preserve">合同，并要求乙方</w:t>
      </w:r>
      <w:r>
        <w:rPr>
          <w:rFonts w:hint="eastAsia" w:ascii="宋体" w:hAnsi="宋体" w:cs="宋体"/>
          <w:color w:val="auto"/>
          <w:sz w:val="24"/>
          <w:szCs w:val="24"/>
          <w:highlight w:val="none"/>
          <w:lang w:val="en-US" w:eastAsia="zh-CN"/>
        </w:rPr>
        <w:t xml:space="preserve">承担解约违约金</w:t>
      </w:r>
      <w:r>
        <w:rPr>
          <w:rFonts w:hint="eastAsia" w:ascii="宋体" w:hAnsi="宋体" w:cs="宋体"/>
          <w:color w:val="auto"/>
          <w:sz w:val="24"/>
          <w:szCs w:val="24"/>
          <w:highlight w:val="none"/>
          <w:lang w:val="en-US" w:eastAsia="zh-CN"/>
        </w:rPr>
        <w:t xml:space="preserve">。</w:t>
      </w:r>
      <w:r/>
    </w:p>
    <w:p>
      <w:pPr>
        <w:ind w:firstLine="420"/>
        <w:jc w:val="left"/>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11.2</w:t>
      </w:r>
      <w:r>
        <w:rPr>
          <w:rFonts w:hint="eastAsia" w:ascii="宋体" w:hAnsi="宋体" w:cs="宋体"/>
          <w:color w:val="auto"/>
          <w:sz w:val="24"/>
          <w:szCs w:val="24"/>
          <w:highlight w:val="none"/>
          <w:lang w:val="en-US" w:eastAsia="zh-CN"/>
        </w:rPr>
        <w:t xml:space="preserve">如乙方未经甲方同意随意更换</w:t>
      </w:r>
      <w:r>
        <w:rPr>
          <w:rFonts w:hint="eastAsia" w:ascii="宋体" w:hAnsi="宋体" w:cs="宋体"/>
          <w:color w:val="auto"/>
          <w:sz w:val="24"/>
          <w:szCs w:val="24"/>
          <w:highlight w:val="none"/>
          <w:lang w:val="en-US" w:eastAsia="zh-CN"/>
        </w:rPr>
        <w:t xml:space="preserve">其他审计人员</w:t>
      </w:r>
      <w:r>
        <w:rPr>
          <w:rFonts w:hint="eastAsia" w:ascii="宋体" w:hAnsi="宋体" w:cs="宋体"/>
          <w:color w:val="auto"/>
          <w:sz w:val="24"/>
          <w:szCs w:val="24"/>
          <w:highlight w:val="none"/>
          <w:lang w:val="en-US" w:eastAsia="zh-CN"/>
        </w:rPr>
        <w:t xml:space="preserve">的，按</w:t>
      </w:r>
      <w:r>
        <w:rPr>
          <w:rFonts w:hint="eastAsia" w:ascii="宋体" w:hAnsi="宋体" w:cs="宋体"/>
          <w:color w:val="auto"/>
          <w:sz w:val="24"/>
          <w:szCs w:val="24"/>
          <w:highlight w:val="none"/>
        </w:rPr>
        <w:t xml:space="preserve">5000</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元/</w:t>
      </w:r>
      <w:r>
        <w:rPr>
          <w:rFonts w:hint="eastAsia" w:ascii="宋体" w:hAnsi="宋体" w:cs="宋体"/>
          <w:color w:val="auto"/>
          <w:sz w:val="24"/>
          <w:szCs w:val="24"/>
          <w:highlight w:val="none"/>
          <w:lang w:val="en-US" w:eastAsia="zh-CN"/>
        </w:rPr>
        <w:t xml:space="preserve">人</w:t>
      </w:r>
      <w:r>
        <w:rPr>
          <w:rFonts w:hint="eastAsia" w:ascii="宋体" w:hAnsi="宋体" w:cs="宋体"/>
          <w:color w:val="auto"/>
          <w:sz w:val="24"/>
          <w:szCs w:val="24"/>
          <w:highlight w:val="none"/>
        </w:rPr>
        <w:t xml:space="preserve">次扣除服务费；</w:t>
      </w:r>
      <w:r>
        <w:rPr>
          <w:rFonts w:hint="eastAsia" w:ascii="宋体" w:hAnsi="宋体" w:cs="宋体"/>
          <w:color w:val="auto"/>
          <w:sz w:val="24"/>
          <w:szCs w:val="24"/>
          <w:highlight w:val="none"/>
          <w:lang w:val="en-US" w:eastAsia="zh-CN"/>
        </w:rPr>
        <w:t xml:space="preserve">乙方在服务期内随意更换人次达到3人次的，</w:t>
      </w:r>
      <w:r>
        <w:rPr>
          <w:rFonts w:hint="eastAsia" w:ascii="宋体" w:hAnsi="宋体" w:cs="宋体"/>
          <w:color w:val="auto"/>
          <w:sz w:val="24"/>
          <w:szCs w:val="24"/>
          <w:highlight w:val="none"/>
          <w:lang w:val="en-US" w:eastAsia="zh-CN"/>
        </w:rPr>
        <w:t xml:space="preserve">甲方有权</w:t>
      </w:r>
      <w:r>
        <w:rPr>
          <w:rFonts w:hint="eastAsia" w:ascii="宋体" w:hAnsi="宋体" w:cs="宋体"/>
          <w:color w:val="auto"/>
          <w:sz w:val="24"/>
          <w:szCs w:val="24"/>
          <w:highlight w:val="none"/>
          <w:lang w:val="en-US" w:eastAsia="zh-CN"/>
        </w:rPr>
        <w:t xml:space="preserve">解除</w:t>
      </w:r>
      <w:r>
        <w:rPr>
          <w:rFonts w:hint="eastAsia" w:ascii="宋体" w:hAnsi="宋体" w:cs="宋体"/>
          <w:color w:val="auto"/>
          <w:sz w:val="24"/>
          <w:szCs w:val="24"/>
          <w:highlight w:val="none"/>
          <w:lang w:val="en-US" w:eastAsia="zh-CN"/>
        </w:rPr>
        <w:t xml:space="preserve">合同，并要求乙方</w:t>
      </w:r>
      <w:r>
        <w:rPr>
          <w:rFonts w:hint="eastAsia" w:ascii="宋体" w:hAnsi="宋体" w:cs="宋体"/>
          <w:color w:val="auto"/>
          <w:sz w:val="24"/>
          <w:szCs w:val="24"/>
          <w:highlight w:val="none"/>
          <w:lang w:val="en-US" w:eastAsia="zh-CN"/>
        </w:rPr>
        <w:t xml:space="preserve">承担解约违约金</w:t>
      </w:r>
      <w:r>
        <w:rPr>
          <w:rFonts w:hint="eastAsia" w:ascii="宋体" w:hAnsi="宋体" w:cs="宋体"/>
          <w:color w:val="auto"/>
          <w:sz w:val="24"/>
          <w:szCs w:val="24"/>
          <w:highlight w:val="none"/>
          <w:lang w:val="en-US" w:eastAsia="zh-CN"/>
        </w:rPr>
        <w:t xml:space="preserve">。</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如</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认为</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配备的审计人员不足或无法按时完成审计要求的，</w:t>
      </w:r>
      <w:r>
        <w:rPr>
          <w:rFonts w:hint="eastAsia" w:ascii="宋体" w:hAnsi="宋体" w:cs="宋体"/>
          <w:color w:val="auto"/>
          <w:sz w:val="24"/>
          <w:szCs w:val="24"/>
          <w:highlight w:val="none"/>
          <w:lang w:val="en-US" w:eastAsia="zh-CN"/>
        </w:rPr>
        <w:t xml:space="preserve">甲方有权</w:t>
      </w:r>
      <w:r>
        <w:rPr>
          <w:rFonts w:hint="eastAsia" w:ascii="宋体" w:hAnsi="宋体" w:cs="宋体"/>
          <w:color w:val="auto"/>
          <w:sz w:val="24"/>
          <w:szCs w:val="24"/>
          <w:highlight w:val="none"/>
        </w:rPr>
        <w:t xml:space="preserve">要求</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加派人员</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乙方应无条件配合</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经甲方催告后，乙方仍未在规定时间内加派人员的</w:t>
      </w:r>
      <w:r>
        <w:rPr>
          <w:rFonts w:hint="eastAsia" w:ascii="宋体" w:hAnsi="宋体" w:cs="宋体"/>
          <w:color w:val="auto"/>
          <w:sz w:val="24"/>
          <w:szCs w:val="24"/>
          <w:highlight w:val="none"/>
          <w:lang w:val="en-US" w:eastAsia="zh-CN"/>
        </w:rPr>
        <w:t xml:space="preserve">，每延迟一天，按合同金额的1%支付违约金。</w:t>
      </w:r>
      <w:r>
        <w:rPr>
          <w:rFonts w:hint="eastAsia" w:ascii="宋体" w:hAnsi="宋体" w:cs="宋体"/>
          <w:color w:val="auto"/>
          <w:sz w:val="24"/>
          <w:szCs w:val="24"/>
          <w:highlight w:val="none"/>
          <w:lang w:val="en-US" w:eastAsia="zh-CN"/>
        </w:rPr>
        <w:t xml:space="preserve">情节严重的，构成预期违约，甲方有权提前解除合同，并要求乙方承担解约违约金</w:t>
      </w:r>
      <w:r>
        <w:rPr>
          <w:rFonts w:hint="eastAsia" w:ascii="宋体" w:hAnsi="宋体" w:cs="宋体"/>
          <w:color w:val="auto"/>
          <w:sz w:val="24"/>
          <w:szCs w:val="24"/>
          <w:highlight w:val="none"/>
          <w:lang w:val="en-US" w:eastAsia="zh-CN"/>
        </w:rPr>
        <w:t xml:space="preserve">。</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接受甲方相关考核制度（细则）的合理评价结果及运用。</w:t>
      </w:r>
      <w:r/>
    </w:p>
    <w:p>
      <w:pPr>
        <w:ind w:firstLine="422"/>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五、审计时限要求：</w:t>
      </w:r>
      <w:r/>
    </w:p>
    <w:p>
      <w:pPr>
        <w:ind w:firstLine="42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highlight w:val="none"/>
          <w:lang w:eastAsia="zh-CN"/>
        </w:rPr>
        <w:t xml:space="preserve">自</w:t>
      </w:r>
      <w:r>
        <w:rPr>
          <w:rFonts w:hint="eastAsia" w:ascii="宋体" w:hAnsi="宋体" w:cs="宋体"/>
          <w:b/>
          <w:color w:val="auto"/>
          <w:sz w:val="24"/>
          <w:highlight w:val="none"/>
          <w:lang w:val="en-US" w:eastAsia="zh-CN"/>
        </w:rPr>
        <w:t xml:space="preserve">乙方</w:t>
      </w:r>
      <w:r>
        <w:rPr>
          <w:rFonts w:hint="eastAsia" w:ascii="宋体" w:hAnsi="宋体" w:eastAsia="宋体" w:cs="宋体"/>
          <w:b/>
          <w:color w:val="auto"/>
          <w:sz w:val="24"/>
          <w:highlight w:val="none"/>
          <w:lang w:eastAsia="zh-CN"/>
        </w:rPr>
        <w:t xml:space="preserve">收到完整、齐全的竣工资料之日起至</w:t>
      </w:r>
      <w:r>
        <w:rPr>
          <w:rFonts w:hint="eastAsia" w:ascii="宋体" w:hAnsi="宋体" w:cs="宋体"/>
          <w:b/>
          <w:color w:val="auto"/>
          <w:sz w:val="24"/>
          <w:highlight w:val="none"/>
          <w:lang w:val="en-US" w:eastAsia="zh-CN"/>
        </w:rPr>
        <w:t xml:space="preserve">向甲方</w:t>
      </w:r>
      <w:r>
        <w:rPr>
          <w:rFonts w:hint="eastAsia" w:ascii="宋体" w:hAnsi="宋体" w:eastAsia="宋体" w:cs="宋体"/>
          <w:b/>
          <w:color w:val="auto"/>
          <w:sz w:val="24"/>
          <w:highlight w:val="none"/>
          <w:lang w:eastAsia="zh-CN"/>
        </w:rPr>
        <w:t xml:space="preserve">提交</w:t>
      </w:r>
      <w:r>
        <w:rPr>
          <w:rFonts w:hint="eastAsia" w:ascii="宋体" w:hAnsi="宋体" w:eastAsia="宋体" w:cs="宋体"/>
          <w:b/>
          <w:color w:val="auto"/>
          <w:sz w:val="24"/>
          <w:highlight w:val="none"/>
          <w:lang w:val="en-US" w:eastAsia="zh-CN"/>
        </w:rPr>
        <w:t xml:space="preserve">最终</w:t>
      </w:r>
      <w:r>
        <w:rPr>
          <w:rFonts w:hint="eastAsia" w:ascii="宋体" w:hAnsi="宋体" w:eastAsia="宋体" w:cs="宋体"/>
          <w:b/>
          <w:color w:val="auto"/>
          <w:sz w:val="24"/>
          <w:highlight w:val="none"/>
          <w:lang w:eastAsia="zh-CN"/>
        </w:rPr>
        <w:t xml:space="preserve">结算审计报告为止，</w:t>
      </w:r>
      <w:r>
        <w:rPr>
          <w:rFonts w:hint="eastAsia" w:ascii="宋体" w:hAnsi="宋体" w:cs="宋体"/>
          <w:b/>
          <w:color w:val="auto"/>
          <w:sz w:val="24"/>
          <w:highlight w:val="none"/>
          <w:lang w:val="en-US" w:eastAsia="zh-CN"/>
        </w:rPr>
        <w:t xml:space="preserve">乙</w:t>
      </w:r>
      <w:r>
        <w:rPr>
          <w:rFonts w:hint="eastAsia" w:ascii="宋体" w:hAnsi="宋体" w:cs="宋体"/>
          <w:b/>
          <w:color w:val="auto"/>
          <w:sz w:val="24"/>
          <w:highlight w:val="none"/>
          <w:lang w:val="en-US" w:eastAsia="zh-CN"/>
        </w:rPr>
        <w:t xml:space="preserve">方应当在</w:t>
      </w:r>
      <w:r>
        <w:rPr>
          <w:rFonts w:hint="eastAsia" w:ascii="宋体" w:hAnsi="宋体" w:eastAsia="宋体" w:cs="宋体"/>
          <w:b/>
          <w:color w:val="auto"/>
          <w:sz w:val="24"/>
          <w:highlight w:val="none"/>
          <w:lang w:eastAsia="zh-CN"/>
        </w:rPr>
        <w:t xml:space="preserve">90天内完成</w:t>
      </w:r>
      <w:r>
        <w:rPr>
          <w:rFonts w:hint="eastAsia" w:ascii="宋体" w:hAnsi="宋体" w:cs="宋体"/>
          <w:b/>
          <w:color w:val="auto"/>
          <w:sz w:val="24"/>
          <w:highlight w:val="none"/>
          <w:lang w:eastAsia="zh-CN"/>
        </w:rPr>
        <w:t xml:space="preserve">。</w:t>
      </w:r>
      <w:r/>
    </w:p>
    <w:p>
      <w:pPr>
        <w:spacing w:line="360" w:lineRule="auto"/>
        <w:widowControl/>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 xml:space="preserve">   六、审计费用结算</w:t>
      </w:r>
      <w:r>
        <w:rPr>
          <w:rFonts w:hint="eastAsia" w:ascii="宋体" w:hAnsi="宋体" w:cs="宋体"/>
          <w:b/>
          <w:color w:val="auto"/>
          <w:sz w:val="24"/>
          <w:szCs w:val="24"/>
          <w:highlight w:val="none"/>
          <w:lang w:eastAsia="zh-CN"/>
        </w:rPr>
        <w:t xml:space="preserve">：</w:t>
      </w:r>
      <w:r/>
    </w:p>
    <w:p>
      <w:pPr>
        <w:ind w:firstLine="420"/>
        <w:spacing w:line="360" w:lineRule="auto"/>
        <w:widowControl/>
        <w:rPr>
          <w:rFonts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1、付款方式：</w:t>
      </w:r>
      <w:r>
        <w:rPr>
          <w:rFonts w:hint="eastAsia" w:ascii="宋体" w:hAnsi="宋体" w:cs="宋体"/>
          <w:color w:val="auto"/>
          <w:sz w:val="24"/>
          <w:szCs w:val="24"/>
          <w:highlight w:val="none"/>
        </w:rPr>
        <w:t xml:space="preserve">项目审计结束（项目审计结束指经吴江区审计局抽查复审结束）30天内一次性支付审计</w:t>
      </w: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rPr>
        <w:t xml:space="preserve">费。</w:t>
      </w:r>
      <w:r/>
    </w:p>
    <w:p>
      <w:pPr>
        <w:ind w:firstLine="42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2、结算方式：结算</w:t>
      </w:r>
      <w:r>
        <w:rPr>
          <w:rFonts w:hint="eastAsia" w:ascii="宋体" w:hAnsi="宋体" w:eastAsia="宋体" w:cs="宋体"/>
          <w:b/>
          <w:bCs w:val="0"/>
          <w:color w:val="auto"/>
          <w:sz w:val="24"/>
          <w:szCs w:val="24"/>
          <w:highlight w:val="none"/>
          <w:lang w:val="en-US" w:eastAsia="zh-CN"/>
        </w:rPr>
        <w:t xml:space="preserve">审计服务费用=（基本收费+效益收费）*50%*（中标价/预算价）*考核系数-罚款和违约金</w:t>
      </w:r>
      <w:r>
        <w:rPr>
          <w:rFonts w:hint="eastAsia" w:ascii="宋体" w:hAnsi="宋体" w:cs="宋体"/>
          <w:b/>
          <w:bCs w:val="0"/>
          <w:color w:val="auto"/>
          <w:sz w:val="24"/>
          <w:szCs w:val="24"/>
          <w:highlight w:val="none"/>
          <w:lang w:val="en-US" w:eastAsia="zh-CN"/>
        </w:rPr>
        <w:t xml:space="preserve">；（预算价=675.5万元）</w:t>
      </w:r>
      <w:r/>
    </w:p>
    <w:p>
      <w:pPr>
        <w:ind w:firstLine="42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注：1.基本收费=实际送审造价*相应区间差额定率分档累进制费率</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详见苏价服【</w:t>
      </w:r>
      <w:r>
        <w:rPr>
          <w:rFonts w:hint="default" w:ascii="宋体" w:hAnsi="宋体" w:eastAsia="宋体" w:cs="宋体"/>
          <w:b w:val="0"/>
          <w:bCs/>
          <w:color w:val="auto"/>
          <w:sz w:val="24"/>
          <w:szCs w:val="24"/>
          <w:highlight w:val="none"/>
          <w:lang w:val="en-US" w:eastAsia="zh-CN"/>
        </w:rPr>
        <w:t xml:space="preserve">2014】383号</w:t>
      </w:r>
      <w:r>
        <w:rPr>
          <w:rFonts w:hint="eastAsia" w:ascii="宋体" w:hAnsi="宋体" w:cs="宋体"/>
          <w:b w:val="0"/>
          <w:bCs/>
          <w:color w:val="auto"/>
          <w:sz w:val="24"/>
          <w:szCs w:val="24"/>
          <w:highlight w:val="none"/>
          <w:lang w:val="en-US" w:eastAsia="zh-CN"/>
        </w:rPr>
        <w:t xml:space="preserve">文，附件1</w:t>
      </w:r>
      <w:r>
        <w:rPr>
          <w:rFonts w:hint="eastAsia" w:ascii="宋体" w:hAnsi="宋体" w:eastAsia="宋体" w:cs="宋体"/>
          <w:b w:val="0"/>
          <w:bCs/>
          <w:color w:val="auto"/>
          <w:sz w:val="24"/>
          <w:szCs w:val="24"/>
          <w:highlight w:val="none"/>
          <w:lang w:val="en-US" w:eastAsia="zh-CN"/>
        </w:rPr>
        <w:t xml:space="preserve">江苏省建设工程造价咨询服务收费标准</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w:t>
      </w:r>
      <w:r/>
    </w:p>
    <w:p>
      <w:pPr>
        <w:ind w:left="0" w:firstLine="84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2.效益收费=核增额加核减额*6%；</w:t>
      </w:r>
      <w:r/>
    </w:p>
    <w:p>
      <w:pPr>
        <w:ind w:left="0" w:firstLine="84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3.考核系数算法详见</w:t>
      </w:r>
      <w:r>
        <w:rPr>
          <w:rFonts w:hint="eastAsia" w:ascii="宋体" w:hAnsi="宋体" w:cs="宋体"/>
          <w:b w:val="0"/>
          <w:bCs/>
          <w:color w:val="auto"/>
          <w:sz w:val="24"/>
          <w:szCs w:val="24"/>
          <w:highlight w:val="none"/>
          <w:lang w:val="en-US" w:eastAsia="zh-CN"/>
        </w:rPr>
        <w:t xml:space="preserve">《</w:t>
      </w:r>
      <w:r>
        <w:rPr>
          <w:rFonts w:hint="eastAsia" w:ascii="宋体" w:hAnsi="宋体" w:cs="宋体"/>
          <w:color w:val="auto"/>
          <w:sz w:val="24"/>
          <w:szCs w:val="24"/>
          <w:highlight w:val="none"/>
        </w:rPr>
        <w:t xml:space="preserve">工程结算审计</w:t>
      </w:r>
      <w:r>
        <w:rPr>
          <w:rFonts w:hint="eastAsia" w:ascii="宋体" w:hAnsi="宋体" w:cs="宋体"/>
          <w:color w:val="auto"/>
          <w:sz w:val="24"/>
          <w:szCs w:val="24"/>
          <w:highlight w:val="none"/>
          <w:lang w:val="en-US" w:eastAsia="zh-CN"/>
        </w:rPr>
        <w:t xml:space="preserve">服务质量</w:t>
      </w:r>
      <w:r>
        <w:rPr>
          <w:rFonts w:hint="eastAsia" w:ascii="宋体" w:hAnsi="宋体" w:cs="宋体"/>
          <w:color w:val="auto"/>
          <w:sz w:val="24"/>
          <w:szCs w:val="24"/>
          <w:highlight w:val="none"/>
        </w:rPr>
        <w:t xml:space="preserve">考核表</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(附件2）</w:t>
      </w:r>
      <w:r/>
    </w:p>
    <w:p>
      <w:pPr>
        <w:ind w:left="0" w:firstLine="84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4.罚款和违约金=触发合同中的处罚和违约条款的金额；</w:t>
      </w:r>
      <w:r/>
    </w:p>
    <w:p>
      <w:pPr>
        <w:ind w:firstLine="422"/>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rPr>
        <w:t xml:space="preserve">七、履约保证金</w:t>
      </w:r>
      <w:r>
        <w:rPr>
          <w:rFonts w:hint="eastAsia" w:ascii="宋体" w:hAnsi="宋体" w:cs="宋体"/>
          <w:b/>
          <w:color w:val="auto"/>
          <w:sz w:val="24"/>
          <w:szCs w:val="24"/>
          <w:highlight w:val="none"/>
          <w:lang w:eastAsia="zh-CN"/>
        </w:rPr>
        <w:t xml:space="preserve">：</w:t>
      </w:r>
      <w:r/>
    </w:p>
    <w:p>
      <w:pPr>
        <w:ind w:firstLine="42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履约担保的金额为</w:t>
      </w:r>
      <w:r>
        <w:rPr>
          <w:rFonts w:hint="eastAsia" w:ascii="宋体" w:hAnsi="宋体" w:cs="宋体"/>
          <w:color w:val="auto"/>
          <w:sz w:val="24"/>
          <w:szCs w:val="24"/>
          <w:highlight w:val="none"/>
          <w:lang w:val="en-US" w:eastAsia="zh-CN"/>
        </w:rPr>
        <w:t xml:space="preserve">合同</w:t>
      </w:r>
      <w:r>
        <w:rPr>
          <w:rFonts w:hint="eastAsia" w:ascii="宋体" w:hAnsi="宋体" w:cs="宋体"/>
          <w:color w:val="auto"/>
          <w:sz w:val="24"/>
          <w:szCs w:val="24"/>
          <w:highlight w:val="none"/>
        </w:rPr>
        <w:t xml:space="preserve">金额的10%，</w:t>
      </w:r>
      <w:r/>
    </w:p>
    <w:p>
      <w:pPr>
        <w:ind w:firstLine="420"/>
        <w:jc w:val="left"/>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履约担保的</w:t>
      </w:r>
      <w:r>
        <w:rPr>
          <w:rFonts w:hint="eastAsia" w:ascii="宋体" w:hAnsi="宋体" w:cs="宋体"/>
          <w:color w:val="auto"/>
          <w:sz w:val="24"/>
          <w:szCs w:val="24"/>
          <w:highlight w:val="none"/>
          <w:lang w:val="en-US" w:eastAsia="zh-CN"/>
        </w:rPr>
        <w:t xml:space="preserve">形式：供应商可按照《关于在全省政府采购领域推行电子履约保函（保险）的通知》（苏财购〔2023〕150 号）规定，通过政府采购电子履约保函（保险）平台（</w:t>
      </w:r>
      <w:r>
        <w:rPr>
          <w:rFonts w:hint="eastAsia" w:ascii="宋体" w:hAnsi="宋体" w:cs="宋体"/>
          <w:color w:val="auto"/>
          <w:sz w:val="24"/>
          <w:szCs w:val="24"/>
          <w:highlight w:val="none"/>
          <w:lang w:val="en-US" w:eastAsia="zh-CN"/>
        </w:rPr>
        <w:fldChar w:fldCharType="begin"/>
      </w:r>
      <w:r>
        <w:rPr>
          <w:rFonts w:hint="eastAsia" w:ascii="宋体" w:hAnsi="宋体" w:cs="宋体"/>
          <w:color w:val="auto"/>
          <w:sz w:val="24"/>
          <w:szCs w:val="24"/>
          <w:highlight w:val="none"/>
          <w:lang w:val="en-US" w:eastAsia="zh-CN"/>
        </w:rPr>
        <w:instrText xml:space="preserve"> HYPERLINK "https://link.wtturl.cn/?target=https://www.jsdzbh.com&amp;scene=im&amp;aid=582478&amp;lang=zh" \o "autolink" \t "_blank" </w:instrText>
      </w:r>
      <w:r>
        <w:rPr>
          <w:rFonts w:hint="eastAsia" w:ascii="宋体" w:hAnsi="宋体" w:cs="宋体"/>
          <w:color w:val="auto"/>
          <w:sz w:val="24"/>
          <w:szCs w:val="24"/>
          <w:highlight w:val="none"/>
          <w:lang w:val="en-US" w:eastAsia="zh-CN"/>
        </w:rPr>
        <w:fldChar w:fldCharType="separate"/>
      </w:r>
      <w:r>
        <w:rPr>
          <w:rFonts w:hint="eastAsia" w:ascii="宋体" w:hAnsi="宋体" w:cs="宋体"/>
          <w:color w:val="auto"/>
          <w:sz w:val="24"/>
          <w:szCs w:val="24"/>
          <w:highlight w:val="none"/>
          <w:lang w:val="en-US" w:eastAsia="zh-CN"/>
        </w:rPr>
        <w:t xml:space="preserve">www.jsdzbh.com</w:t>
      </w:r>
      <w:r>
        <w:rPr>
          <w:rFonts w:hint="eastAsia" w:ascii="宋体" w:hAnsi="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）办理电子履约保函（保险）；同时接受符合要求的纸质银行保函、担保机构保函、履约保证保险。</w:t>
      </w:r>
      <w:r/>
    </w:p>
    <w:p>
      <w:pPr>
        <w:ind w:firstLine="42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乙方需在</w:t>
      </w:r>
      <w:r>
        <w:rPr>
          <w:rFonts w:hint="eastAsia" w:ascii="宋体" w:hAnsi="宋体" w:cs="宋体"/>
          <w:color w:val="auto"/>
          <w:sz w:val="24"/>
          <w:szCs w:val="24"/>
          <w:highlight w:val="none"/>
          <w:lang w:val="en-US" w:eastAsia="zh-CN"/>
        </w:rPr>
        <w:t xml:space="preserve">中标通知书发出之日起10天内</w:t>
      </w:r>
      <w:r>
        <w:rPr>
          <w:rFonts w:hint="eastAsia" w:ascii="宋体" w:hAnsi="宋体" w:cs="宋体"/>
          <w:color w:val="auto"/>
          <w:sz w:val="24"/>
          <w:szCs w:val="24"/>
          <w:highlight w:val="none"/>
        </w:rPr>
        <w:t xml:space="preserve">向甲方提供履约担保</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担保期为履约担保提交日至项目结算审计报告提交日</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如逾期提供履约担保的，逾期每天支付合同金额的</w:t>
      </w:r>
      <w:r>
        <w:rPr>
          <w:rFonts w:hint="eastAsia" w:ascii="宋体" w:hAnsi="宋体" w:cs="宋体"/>
          <w:color w:val="auto"/>
          <w:sz w:val="24"/>
          <w:szCs w:val="24"/>
          <w:highlight w:val="none"/>
          <w:lang w:val="en-US" w:eastAsia="zh-CN"/>
        </w:rPr>
        <w:t xml:space="preserve">千</w:t>
      </w:r>
      <w:r>
        <w:rPr>
          <w:rFonts w:hint="eastAsia" w:ascii="宋体" w:hAnsi="宋体" w:cs="宋体"/>
          <w:color w:val="auto"/>
          <w:sz w:val="24"/>
          <w:szCs w:val="24"/>
          <w:highlight w:val="none"/>
        </w:rPr>
        <w:t xml:space="preserve">分之</w:t>
      </w: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rPr>
        <w:t xml:space="preserve">的违约金，甲方有权从未付款中直接扣除</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经甲方书面催告，逾期超过10日仍未提交合格履约担保的，甲方有权单方取消乙方中标资格、重新组织招标，由乙方赔偿甲方全部损失（中标价的10%），并承担其他法律责任</w:t>
      </w:r>
      <w:r>
        <w:rPr>
          <w:rFonts w:hint="eastAsia" w:ascii="宋体" w:hAnsi="宋体" w:cs="宋体"/>
          <w:color w:val="auto"/>
          <w:sz w:val="24"/>
          <w:szCs w:val="24"/>
          <w:highlight w:val="none"/>
        </w:rPr>
        <w:t xml:space="preserve">。</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如因甲方原因造成的逾期，不予支付违约金。提供履约保函、履约保证保险凭证或融资担保公司提供的担保保函的，应提供满足以甲方为受益人或被保险人或担保权人，不可撤销的，凭甲方通知无条件赔付为条件，保函或保证保险凭证正本由甲方保存。</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履约担保返还：项目审计完成提交审计报告并经甲方确认后无息返还。</w:t>
      </w:r>
      <w:r/>
    </w:p>
    <w:p>
      <w:pPr>
        <w:ind w:firstLine="422"/>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八、下列</w:t>
      </w:r>
      <w:r>
        <w:rPr>
          <w:rFonts w:hint="eastAsia" w:ascii="宋体" w:hAnsi="宋体" w:cs="宋体"/>
          <w:b/>
          <w:color w:val="auto"/>
          <w:sz w:val="24"/>
          <w:szCs w:val="24"/>
          <w:highlight w:val="none"/>
          <w:lang w:val="zh-CN"/>
        </w:rPr>
        <w:t xml:space="preserve">文件为本合同不可分割部分，其中的条款与要求为本合同执行的依据：</w:t>
      </w:r>
      <w:r/>
    </w:p>
    <w:p>
      <w:pPr>
        <w:ind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1、中标通知书；</w:t>
      </w:r>
      <w:r/>
    </w:p>
    <w:p>
      <w:pPr>
        <w:ind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2、招标文件； </w:t>
      </w:r>
      <w:r/>
    </w:p>
    <w:p>
      <w:pPr>
        <w:ind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3、乙方的投标文件；</w:t>
      </w:r>
      <w:r/>
    </w:p>
    <w:p>
      <w:pPr>
        <w:ind w:firstLine="42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4、乙方在采购过程中所作的其他承诺、声明、书面澄清等。</w:t>
      </w:r>
      <w:r/>
    </w:p>
    <w:p>
      <w:pPr>
        <w:ind w:firstLine="422"/>
        <w:spacing w:line="360" w:lineRule="auto"/>
        <w:widowControl/>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 xml:space="preserve">九、验收</w:t>
      </w:r>
      <w:r>
        <w:rPr>
          <w:rFonts w:hint="eastAsia" w:ascii="宋体" w:hAnsi="宋体" w:cs="宋体"/>
          <w:b/>
          <w:color w:val="auto"/>
          <w:sz w:val="24"/>
          <w:szCs w:val="24"/>
          <w:highlight w:val="none"/>
          <w:lang w:eastAsia="zh-CN"/>
        </w:rPr>
        <w:t xml:space="preserve">：</w:t>
      </w:r>
      <w:r/>
    </w:p>
    <w:p>
      <w:pPr>
        <w:ind w:firstLine="420"/>
        <w:spacing w:line="360" w:lineRule="auto"/>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1、履约验收标准：根据国家相关法律法规、行业相关标准、政府采购合同要求、采购文件要求、投标文件规定。</w:t>
      </w:r>
      <w:r/>
    </w:p>
    <w:p>
      <w:pPr>
        <w:ind w:firstLine="420"/>
        <w:spacing w:line="360" w:lineRule="auto"/>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2、履约验收主体：由甲方进行验收。</w:t>
      </w:r>
      <w:r/>
    </w:p>
    <w:p>
      <w:pPr>
        <w:ind w:firstLine="420"/>
        <w:spacing w:line="360" w:lineRule="auto"/>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列明各分项标准的验收情况及项目总体评价，由验收双方共同签署。</w:t>
      </w:r>
      <w:r/>
    </w:p>
    <w:p>
      <w:pPr>
        <w:ind w:firstLine="420"/>
        <w:spacing w:line="360" w:lineRule="auto"/>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4、验收程序：</w:t>
      </w:r>
      <w:r/>
    </w:p>
    <w:p>
      <w:pPr>
        <w:ind w:firstLine="420"/>
        <w:spacing w:line="360" w:lineRule="auto"/>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（1）履约验收时间：本项目采用一次性验收。</w:t>
      </w:r>
      <w:r/>
    </w:p>
    <w:p>
      <w:pPr>
        <w:ind w:firstLine="420"/>
        <w:jc w:val="left"/>
        <w:spacing w:line="360" w:lineRule="auto"/>
        <w:widowControl/>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（2）政府采购合同约定的履约验收条件达到时，甲方应当在5个工作日内启动履约验收工作，并向乙方发出《政府采购履约验收通知单》。 在政府采购合同约定的履行验收条件达到时，乙方可以主动联系甲方启动履约验收工作。</w:t>
      </w:r>
      <w:r/>
    </w:p>
    <w:p>
      <w:pPr>
        <w:ind w:firstLine="420"/>
        <w:spacing w:line="360" w:lineRule="auto"/>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（3）甲方成立验收小组，负责采购项目履约验收具体工作。</w:t>
      </w:r>
      <w:r/>
    </w:p>
    <w:p>
      <w:pPr>
        <w:ind w:firstLine="420"/>
        <w:spacing w:line="360" w:lineRule="auto"/>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（4）验收小组应当对乙方提供的服务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按照采购文件、投标文件、政府采购合同等进行逐一核对、验收，并做好验收记录。 </w:t>
      </w:r>
      <w:r/>
    </w:p>
    <w:p>
      <w:pPr>
        <w:ind w:firstLine="420"/>
        <w:spacing w:line="360" w:lineRule="auto"/>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5）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p>
    <w:p>
      <w:pPr>
        <w:ind w:firstLine="420"/>
        <w:jc w:val="left"/>
        <w:spacing w:line="360" w:lineRule="auto"/>
        <w:tabs>
          <w:tab w:val="left" w:pos="567"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5、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p>
    <w:p>
      <w:pPr>
        <w:ind w:firstLine="420"/>
        <w:jc w:val="left"/>
        <w:spacing w:line="360" w:lineRule="auto"/>
        <w:tabs>
          <w:tab w:val="left" w:pos="567" w:leader="none"/>
        </w:tabs>
        <w:rPr>
          <w:color w:val="auto"/>
          <w:sz w:val="24"/>
          <w:szCs w:val="24"/>
          <w:highlight w:val="none"/>
        </w:rPr>
      </w:pPr>
      <w:r>
        <w:rPr>
          <w:rFonts w:hint="eastAsia" w:ascii="宋体" w:hAnsi="宋体" w:cs="宋体"/>
          <w:color w:val="auto"/>
          <w:sz w:val="24"/>
          <w:szCs w:val="24"/>
          <w:highlight w:val="none"/>
        </w:rPr>
        <w:t xml:space="preserve">6、其他验收要求按照《江苏省政府采购履约验收管理办法》规定执行。</w:t>
      </w:r>
      <w:r/>
    </w:p>
    <w:p>
      <w:pPr>
        <w:ind w:firstLine="422"/>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color w:val="auto"/>
          <w:sz w:val="24"/>
          <w:szCs w:val="24"/>
          <w:highlight w:val="none"/>
        </w:rPr>
        <w:t xml:space="preserve">十、</w:t>
      </w:r>
      <w:r>
        <w:rPr>
          <w:rFonts w:hint="eastAsia" w:ascii="宋体" w:hAnsi="宋体" w:cs="宋体"/>
          <w:b/>
          <w:bCs/>
          <w:color w:val="auto"/>
          <w:sz w:val="24"/>
          <w:szCs w:val="24"/>
          <w:highlight w:val="none"/>
        </w:rPr>
        <w:t xml:space="preserve">合同的解除和转让</w:t>
      </w:r>
      <w:r>
        <w:rPr>
          <w:rFonts w:hint="eastAsia" w:ascii="宋体" w:hAnsi="宋体" w:cs="宋体"/>
          <w:b/>
          <w:bCs/>
          <w:color w:val="auto"/>
          <w:sz w:val="24"/>
          <w:szCs w:val="24"/>
          <w:highlight w:val="none"/>
          <w:lang w:eastAsia="zh-CN"/>
        </w:rPr>
        <w:t xml:space="preserve">：</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1、甲方和乙方协商一致，可以解除合同。</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2、有下列情形之一，合同一方可以解除合同：</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（1）因不可抗力致使不能实现合同目的，未受不可抗力影响的一方有权解除合同；</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（2）因合同一方违约导致合同不能履行，另一方有权解除合同。</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3、有权解除合同的一方，应当在违约事实或不可抗力发生之后书面通知对方提出解除合同，合同在书面通知到达对方时解除。</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4、合同的部分和全部都不得转让。</w:t>
      </w:r>
      <w:r/>
    </w:p>
    <w:p>
      <w:pPr>
        <w:ind w:firstLine="422"/>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十一、争议的解决</w:t>
      </w:r>
      <w:r>
        <w:rPr>
          <w:rFonts w:hint="eastAsia" w:ascii="宋体" w:hAnsi="宋体" w:cs="宋体"/>
          <w:b/>
          <w:bCs/>
          <w:color w:val="auto"/>
          <w:sz w:val="24"/>
          <w:szCs w:val="24"/>
          <w:highlight w:val="none"/>
          <w:lang w:eastAsia="zh-CN"/>
        </w:rPr>
        <w:t xml:space="preserve">：</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2、如果调解不成，双方中的任何一方可向人民法院提起诉讼。诉讼由</w:t>
      </w:r>
      <w:r>
        <w:rPr>
          <w:rFonts w:hint="eastAsia" w:ascii="宋体" w:hAnsi="宋体" w:cs="宋体"/>
          <w:color w:val="auto"/>
          <w:sz w:val="24"/>
          <w:szCs w:val="24"/>
          <w:highlight w:val="none"/>
          <w:lang w:val="en-US" w:eastAsia="zh-CN"/>
        </w:rPr>
        <w:t xml:space="preserve">甲方所在</w:t>
      </w:r>
      <w:r>
        <w:rPr>
          <w:rFonts w:hint="eastAsia" w:ascii="宋体" w:hAnsi="宋体" w:cs="宋体"/>
          <w:color w:val="auto"/>
          <w:sz w:val="24"/>
          <w:szCs w:val="24"/>
          <w:highlight w:val="none"/>
        </w:rPr>
        <w:t xml:space="preserve">地人民法院管辖。 </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3、诉讼费由败诉方负担。</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4、因合同部分履行引发诉讼的，在诉讼期间，除正在进行诉讼的部分外，本合同的其它部分应继续执行。</w:t>
      </w:r>
      <w:r/>
    </w:p>
    <w:p>
      <w:pPr>
        <w:ind w:firstLine="422"/>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十二、违约终止合同</w:t>
      </w:r>
      <w:r>
        <w:rPr>
          <w:rFonts w:hint="eastAsia" w:ascii="宋体" w:hAnsi="宋体" w:cs="宋体"/>
          <w:b/>
          <w:bCs/>
          <w:color w:val="auto"/>
          <w:sz w:val="24"/>
          <w:szCs w:val="24"/>
          <w:highlight w:val="none"/>
          <w:lang w:eastAsia="zh-CN"/>
        </w:rPr>
        <w:t xml:space="preserve">：</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（1）如果乙方未能在合同规定的限期或甲方同意延长的限期内提供部分或全部服务。</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（2）如果乙方未能履行合同规定的其它任何义务。</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3.如果甲方违约，应承担相应的违约责任。 </w:t>
      </w:r>
      <w:r/>
    </w:p>
    <w:p>
      <w:pPr>
        <w:ind w:firstLine="422"/>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十三、破产终止合同：</w:t>
      </w:r>
      <w:r>
        <w:rPr>
          <w:rFonts w:hint="eastAsia" w:ascii="宋体" w:hAnsi="宋体" w:cs="宋体"/>
          <w:color w:val="auto"/>
          <w:sz w:val="24"/>
          <w:szCs w:val="24"/>
          <w:highlight w:val="none"/>
        </w:rPr>
        <w:t xml:space="preserve">如果乙方破产或丧失清偿能力，甲方可在任何时候以书面形式通知乙方终止合同而不给乙方补偿。该终止合同将不损害或影响甲方已经采取或将要采取任何补救措施的权力。</w:t>
      </w:r>
      <w:r/>
    </w:p>
    <w:p>
      <w:pPr>
        <w:ind w:firstLine="422"/>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十四、政府采购法对政府采购合同变更终止的规定：</w:t>
      </w:r>
      <w:r>
        <w:rPr>
          <w:rFonts w:hint="eastAsia" w:ascii="宋体" w:hAnsi="宋体" w:cs="宋体"/>
          <w:color w:val="auto"/>
          <w:sz w:val="24"/>
          <w:szCs w:val="24"/>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firstLine="422"/>
        <w:spacing w:line="360" w:lineRule="auto"/>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rPr>
        <w:t xml:space="preserve">十五、</w:t>
      </w:r>
      <w:r>
        <w:rPr>
          <w:rFonts w:hint="eastAsia" w:ascii="宋体" w:hAnsi="宋体" w:cs="宋体"/>
          <w:b/>
          <w:bCs/>
          <w:color w:val="auto"/>
          <w:sz w:val="24"/>
          <w:szCs w:val="24"/>
          <w:highlight w:val="none"/>
          <w:lang w:val="zh-CN"/>
        </w:rPr>
        <w:t xml:space="preserve">合同生效</w:t>
      </w:r>
      <w:r>
        <w:rPr>
          <w:rFonts w:hint="eastAsia" w:ascii="宋体" w:hAnsi="宋体" w:cs="宋体"/>
          <w:b/>
          <w:bCs/>
          <w:color w:val="auto"/>
          <w:sz w:val="24"/>
          <w:szCs w:val="24"/>
          <w:highlight w:val="none"/>
        </w:rPr>
        <w:t xml:space="preserve">及其他</w:t>
      </w:r>
      <w:r>
        <w:rPr>
          <w:rFonts w:hint="eastAsia" w:ascii="宋体" w:hAnsi="宋体" w:cs="宋体"/>
          <w:b/>
          <w:bCs/>
          <w:color w:val="auto"/>
          <w:sz w:val="24"/>
          <w:szCs w:val="24"/>
          <w:highlight w:val="none"/>
          <w:lang w:eastAsia="zh-CN"/>
        </w:rPr>
        <w:t xml:space="preserve">：</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1、合同经招标代理机构加盖骑缝章，甲乙双方代表签字（或盖章）并加盖公章（或合同章）后生效，生效合同在合同签订后2个工作日内上传系统网上公示。</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合同签订后甲乙双方即直接产生权利与义务的关系，合同执行过程中出现的问题应按照《中华人民共和国民法典》的规定办理，在合同履行过程中，双方如有争议，经协商无效，任何一方可向甲方所在地人民法院提起诉讼。</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3.合同在执行过程中出现的未尽事宜，双方在不违背本合同和磋商采购文件的原则下协商解决，协商结果以书面形式盖章记录在案，作为本合同的附件，与本合同具有同等效力，但需提交招标代理机构一份备存。</w:t>
      </w:r>
      <w:r/>
    </w:p>
    <w:p>
      <w:pPr>
        <w:ind w:firstLine="42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4.本合同一式捌份，委托单位执伍份，审计中介执贰份，采购代理机构执壹份，具备同等法律效力。</w:t>
      </w:r>
      <w:r/>
    </w:p>
    <w:p>
      <w:pPr>
        <w:ind w:firstLine="42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附件：1.《廉政责任书》</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2.《工程结算审计</w:t>
      </w:r>
      <w:r>
        <w:rPr>
          <w:rFonts w:hint="eastAsia" w:ascii="宋体" w:hAnsi="宋体" w:cs="宋体"/>
          <w:color w:val="auto"/>
          <w:szCs w:val="21"/>
          <w:highlight w:val="none"/>
          <w:lang w:val="en-US" w:eastAsia="zh-CN"/>
        </w:rPr>
        <w:t xml:space="preserve">服务质量</w:t>
      </w:r>
      <w:r>
        <w:rPr>
          <w:rFonts w:hint="eastAsia" w:ascii="宋体" w:hAnsi="宋体" w:cs="宋体"/>
          <w:color w:val="auto"/>
          <w:szCs w:val="21"/>
          <w:highlight w:val="none"/>
        </w:rPr>
        <w:t xml:space="preserve">考核表》</w:t>
      </w:r>
      <w:r/>
    </w:p>
    <w:p>
      <w:pPr>
        <w:ind w:firstLine="42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bl>
      <w:tblPr>
        <w:tblStyle w:val="78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981"/>
        <w:gridCol w:w="4981"/>
      </w:tblGrid>
      <w:tr>
        <w:trPr/>
        <w:tc>
          <w:tcPr>
            <w:tcW w:w="5341" w:type="dxa"/>
            <w:textDirection w:val="lrTb"/>
            <w:noWrap w:val="false"/>
          </w:tcPr>
          <w:p>
            <w:pPr>
              <w:ind w:firstLine="420"/>
              <w:jc w:val="left"/>
              <w:spacing w:line="360" w:lineRule="auto"/>
              <w:widowControl/>
              <w:rPr>
                <w:rFonts w:ascii="宋体" w:hAnsi="宋体" w:cs="宋体"/>
                <w:color w:val="auto"/>
                <w:sz w:val="24"/>
                <w:szCs w:val="21"/>
                <w:highlight w:val="none"/>
              </w:rPr>
            </w:pPr>
            <w:r>
              <w:rPr>
                <w:rFonts w:hint="eastAsia" w:ascii="宋体" w:hAnsi="宋体" w:cs="宋体"/>
                <w:color w:val="auto"/>
                <w:sz w:val="24"/>
                <w:szCs w:val="21"/>
                <w:highlight w:val="none"/>
              </w:rPr>
              <w:t xml:space="preserve">甲 方：</w:t>
            </w:r>
            <w:r/>
          </w:p>
          <w:p>
            <w:pPr>
              <w:ind w:firstLine="420"/>
              <w:jc w:val="left"/>
              <w:spacing w:line="360" w:lineRule="auto"/>
              <w:widowControl/>
              <w:rPr>
                <w:rFonts w:ascii="宋体" w:hAnsi="宋体" w:cs="宋体"/>
                <w:color w:val="auto"/>
                <w:sz w:val="24"/>
                <w:szCs w:val="21"/>
                <w:highlight w:val="none"/>
              </w:rPr>
            </w:pPr>
            <w:r>
              <w:rPr>
                <w:rFonts w:hint="eastAsia" w:ascii="宋体" w:hAnsi="宋体" w:cs="宋体"/>
                <w:color w:val="auto"/>
                <w:sz w:val="24"/>
                <w:szCs w:val="21"/>
                <w:highlight w:val="none"/>
              </w:rPr>
              <w:t xml:space="preserve">（公章或合同章）</w:t>
            </w:r>
            <w:r/>
          </w:p>
          <w:p>
            <w:pPr>
              <w:ind w:firstLine="420"/>
              <w:jc w:val="left"/>
              <w:spacing w:line="360" w:lineRule="auto"/>
              <w:widowControl/>
              <w:tabs>
                <w:tab w:val="left" w:pos="5040" w:leader="none"/>
              </w:tabs>
              <w:rPr>
                <w:rFonts w:ascii="宋体" w:hAnsi="宋体" w:cs="宋体"/>
                <w:color w:val="auto"/>
                <w:sz w:val="24"/>
                <w:szCs w:val="21"/>
                <w:highlight w:val="none"/>
              </w:rPr>
            </w:pPr>
            <w:r>
              <w:rPr>
                <w:rFonts w:hint="eastAsia" w:ascii="宋体" w:hAnsi="宋体" w:cs="宋体"/>
                <w:color w:val="auto"/>
                <w:sz w:val="24"/>
                <w:szCs w:val="21"/>
                <w:highlight w:val="none"/>
              </w:rPr>
              <w:t xml:space="preserve">甲方代表签字：                           </w:t>
            </w:r>
            <w:r/>
          </w:p>
          <w:p>
            <w:pPr>
              <w:ind w:firstLine="420"/>
              <w:jc w:val="left"/>
              <w:spacing w:line="360" w:lineRule="auto"/>
              <w:widowControl/>
              <w:rPr>
                <w:rFonts w:ascii="宋体" w:hAnsi="宋体" w:cs="宋体"/>
                <w:color w:val="auto"/>
                <w:sz w:val="24"/>
                <w:szCs w:val="21"/>
                <w:highlight w:val="none"/>
              </w:rPr>
            </w:pPr>
            <w:r>
              <w:rPr>
                <w:rFonts w:hint="eastAsia" w:ascii="宋体" w:hAnsi="宋体" w:cs="宋体"/>
                <w:color w:val="auto"/>
                <w:sz w:val="24"/>
                <w:szCs w:val="21"/>
                <w:highlight w:val="none"/>
              </w:rPr>
              <w:t xml:space="preserve">签订日期：      年     月     日</w:t>
            </w:r>
            <w:r/>
          </w:p>
          <w:p>
            <w:pPr>
              <w:jc w:val="left"/>
              <w:spacing w:line="360" w:lineRule="auto"/>
              <w:widowControl/>
              <w:rPr>
                <w:rFonts w:ascii="宋体" w:hAnsi="宋体" w:cs="宋体"/>
                <w:color w:val="auto"/>
                <w:sz w:val="32"/>
                <w:szCs w:val="32"/>
                <w:highlight w:val="none"/>
              </w:rPr>
            </w:pPr>
            <w:r>
              <w:rPr>
                <w:rFonts w:ascii="宋体" w:hAnsi="宋体" w:cs="宋体"/>
                <w:color w:val="auto"/>
                <w:sz w:val="32"/>
                <w:szCs w:val="32"/>
                <w:highlight w:val="none"/>
              </w:rPr>
            </w:r>
            <w:r/>
          </w:p>
        </w:tc>
        <w:tc>
          <w:tcPr>
            <w:tcW w:w="5341" w:type="dxa"/>
            <w:textDirection w:val="lrTb"/>
            <w:noWrap w:val="false"/>
          </w:tcPr>
          <w:p>
            <w:pPr>
              <w:ind w:firstLine="420"/>
              <w:jc w:val="left"/>
              <w:spacing w:line="360" w:lineRule="auto"/>
              <w:widowControl/>
              <w:rPr>
                <w:rFonts w:ascii="宋体" w:hAnsi="宋体" w:cs="宋体"/>
                <w:color w:val="auto"/>
                <w:sz w:val="24"/>
                <w:szCs w:val="21"/>
                <w:highlight w:val="none"/>
              </w:rPr>
            </w:pPr>
            <w:r>
              <w:rPr>
                <w:rFonts w:hint="eastAsia" w:ascii="宋体" w:hAnsi="宋体" w:cs="宋体"/>
                <w:color w:val="auto"/>
                <w:sz w:val="24"/>
                <w:szCs w:val="21"/>
                <w:highlight w:val="none"/>
              </w:rPr>
              <w:t xml:space="preserve">乙 方：</w:t>
            </w:r>
            <w:r/>
          </w:p>
          <w:p>
            <w:pPr>
              <w:ind w:firstLine="420"/>
              <w:jc w:val="left"/>
              <w:spacing w:line="360" w:lineRule="auto"/>
              <w:widowControl/>
              <w:rPr>
                <w:rFonts w:ascii="宋体" w:hAnsi="宋体" w:cs="宋体"/>
                <w:color w:val="auto"/>
                <w:sz w:val="24"/>
                <w:szCs w:val="21"/>
                <w:highlight w:val="none"/>
              </w:rPr>
            </w:pPr>
            <w:r>
              <w:rPr>
                <w:rFonts w:hint="eastAsia" w:ascii="宋体" w:hAnsi="宋体" w:cs="宋体"/>
                <w:color w:val="auto"/>
                <w:sz w:val="24"/>
                <w:szCs w:val="21"/>
                <w:highlight w:val="none"/>
              </w:rPr>
              <w:t xml:space="preserve">（公章或合同章）</w:t>
            </w:r>
            <w:r/>
          </w:p>
          <w:p>
            <w:pPr>
              <w:ind w:firstLine="420"/>
              <w:jc w:val="left"/>
              <w:spacing w:line="360" w:lineRule="auto"/>
              <w:widowControl/>
              <w:rPr>
                <w:rFonts w:ascii="宋体" w:hAnsi="宋体" w:cs="宋体"/>
                <w:color w:val="auto"/>
                <w:sz w:val="24"/>
                <w:szCs w:val="21"/>
                <w:highlight w:val="none"/>
              </w:rPr>
            </w:pPr>
            <w:r>
              <w:rPr>
                <w:rFonts w:hint="eastAsia" w:ascii="宋体" w:hAnsi="宋体" w:cs="宋体"/>
                <w:color w:val="auto"/>
                <w:sz w:val="24"/>
                <w:szCs w:val="21"/>
                <w:highlight w:val="none"/>
              </w:rPr>
              <w:t xml:space="preserve">乙方代表签字：</w:t>
            </w:r>
            <w:r/>
          </w:p>
          <w:p>
            <w:pPr>
              <w:ind w:firstLine="420"/>
              <w:jc w:val="left"/>
              <w:spacing w:line="360" w:lineRule="auto"/>
              <w:widowControl/>
              <w:rPr>
                <w:rFonts w:ascii="宋体" w:hAnsi="宋体" w:cs="宋体"/>
                <w:color w:val="auto"/>
                <w:sz w:val="24"/>
                <w:szCs w:val="21"/>
                <w:highlight w:val="none"/>
              </w:rPr>
            </w:pPr>
            <w:r>
              <w:rPr>
                <w:rFonts w:hint="eastAsia" w:ascii="宋体" w:hAnsi="宋体" w:cs="宋体"/>
                <w:color w:val="auto"/>
                <w:sz w:val="24"/>
                <w:szCs w:val="21"/>
                <w:highlight w:val="none"/>
              </w:rPr>
              <w:t xml:space="preserve">签订日期：      年     月     日</w:t>
            </w:r>
            <w:r/>
          </w:p>
          <w:p>
            <w:pPr>
              <w:jc w:val="left"/>
              <w:spacing w:line="360" w:lineRule="auto"/>
              <w:widowControl/>
              <w:rPr>
                <w:rFonts w:ascii="宋体" w:hAnsi="宋体" w:cs="宋体"/>
                <w:color w:val="auto"/>
                <w:sz w:val="32"/>
                <w:szCs w:val="32"/>
                <w:highlight w:val="none"/>
              </w:rPr>
            </w:pPr>
            <w:r>
              <w:rPr>
                <w:rFonts w:ascii="宋体" w:hAnsi="宋体" w:cs="宋体"/>
                <w:color w:val="auto"/>
                <w:sz w:val="32"/>
                <w:szCs w:val="32"/>
                <w:highlight w:val="none"/>
              </w:rPr>
            </w:r>
            <w:r/>
          </w:p>
        </w:tc>
      </w:tr>
    </w:tbl>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pStyle w:val="789"/>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789"/>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ageBreakBefore/>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附件1</w:t>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廉政责任书</w:t>
      </w:r>
      <w:r/>
    </w:p>
    <w:p>
      <w:pPr>
        <w:ind w:left="1680" w:hanging="16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委托单位（甲方）：</w:t>
      </w:r>
      <w:r>
        <w:rPr>
          <w:rFonts w:hint="eastAsia" w:ascii="宋体" w:hAnsi="宋体" w:cs="宋体"/>
          <w:color w:val="auto"/>
          <w:sz w:val="24"/>
          <w:szCs w:val="24"/>
          <w:highlight w:val="none"/>
        </w:rPr>
        <w:t xml:space="preserve">苏州市吴江区水务局</w:t>
      </w:r>
      <w:r/>
    </w:p>
    <w:p>
      <w:pPr>
        <w:ind w:left="1050" w:hanging="105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审计中介（乙方）：</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为贯彻落实党中央、国务院《关于实行党风廉政建设责任制的规定》，进一步加强结算审计活动中的党风廉政建设，保证</w:t>
      </w:r>
      <w:r>
        <w:rPr>
          <w:rFonts w:hint="eastAsia" w:ascii="宋体" w:hAnsi="宋体" w:cs="宋体"/>
          <w:bCs/>
          <w:color w:val="auto"/>
          <w:sz w:val="24"/>
          <w:szCs w:val="24"/>
          <w:highlight w:val="none"/>
          <w:u w:val="single"/>
        </w:rPr>
        <w:t xml:space="preserve">吴江区农村生活污水治理PPP项目竣工</w:t>
      </w:r>
      <w:r>
        <w:rPr>
          <w:rFonts w:hint="eastAsia" w:ascii="宋体" w:hAnsi="宋体" w:cs="宋体"/>
          <w:color w:val="auto"/>
          <w:sz w:val="24"/>
          <w:szCs w:val="24"/>
          <w:highlight w:val="none"/>
          <w:u w:val="single"/>
        </w:rPr>
        <w:t xml:space="preserve">结算审计</w:t>
      </w:r>
      <w:r>
        <w:rPr>
          <w:rFonts w:hint="eastAsia" w:ascii="宋体" w:hAnsi="宋体" w:cs="宋体"/>
          <w:color w:val="auto"/>
          <w:sz w:val="24"/>
          <w:szCs w:val="24"/>
          <w:highlight w:val="none"/>
        </w:rPr>
        <w:t xml:space="preserve">工作优质、高效、有序地进行，经双方协商一致，自愿签订以下廉政责任书。</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第一条甲乙双方的权利和义务</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（一）严格遵守党和国家有关法规及党风廉政建设各项规定；</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（二）严格执行各项规定，自觉按合同办事；</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（三）双方的业务活动坚持公开、公正、公平、诚信的原则（法律认定的商业秘密和合同文件另有规定除外），严禁损害国家和集体利益、违反工程建设管理规章制度；</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（四）建立健全党风廉政建设各项制度，开展反腐倡廉宣传教育，加强对本方工作人员的监督检查；</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第二条  甲方在廉政建设方面的义务</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（一）甲方在审计过程中应保持公平公正，不得利用职权干预审计结果，不得要求乙方提供不实或虚假的审计报告；</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（二）甲方及其工作人员不准利用职务之便索要或接受乙方的现金、有价证券、支付凭证及收受干股，或以赌博等交易形式非法收受乙方财物；</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（三）甲方及其工作人员不准让乙方报销应由甲方或个人支付的费用，不准利用职务便利为乙方谋取不当利益；</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（四）甲方及其工作人员不准要求或者接受乙方可能影响公正执行公务的宴请；不准要求乙方提供交通工具、通讯工具、高档办公用品等；</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（五）甲方应对审计过程中知悉的乙方商业秘密及其他敏感信息严格保密，未经乙方同意，不得向第三方泄露；</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（六）甲方应对其工作人员进行廉政教育，增强廉洁自律意识，杜绝腐败行为的发生。</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第三条  乙方在廉政建设方面义务</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（一）乙方不准以任何形式向甲方及其工作人员馈赠现金、有价证券、支付凭证及赠送干股，或以赌博等交易形式非法赠送甲方财物；</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（二）乙方不准以任何名义为甲方及其工作人员报销应由甲方或个人支付的费用；</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（三）乙方不准以任何理由邀请甲方工作人员参加对结算审计的工程项目有影响的宴请及娱乐活动，不准为其提供通讯工具、交通工具、高档办公用品等；</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（四）乙方应保持审计工作的独立性，不得受甲方或其他外部因素的影响，确保审计结果的客观、公正；</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（五）乙方应对审计过程中知悉的甲方商业秘密及其他敏感信息严格保密，未经甲方同意，不得向第三方泄露；</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（六）乙方应加强内部管理，对其工作人员进行廉政教育，杜绝任何形式的腐败行为；</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（七）乙方工作人员在参与审计过程中，与涉审计单位或者审计事项存在利益关系的，因申请主动回避。</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第四条  违约责任</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（一）甲方若违反本《廉政责任书》有关规定的，对违纪违规人员，由甲方主管部门依据有关规定查处，构成犯罪的移交司法机关处理，给乙方造成的损失，按有关规定予以赔偿；</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乙方若违反本《廉政责任书》有关规定的，对违纪违规人员，由乙方主管部门或行业管理部门依据有关规定查处，构成犯罪的移交司法机关处理，给甲方造成的损失，按有关规定予以赔偿，并按江苏省工程建设项目招投标诚信管理相关办法予以处罚；</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第五条  检查方式</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责任书的履约情况由督查单位主持，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firstLine="42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第六条  本责任书有效期为项目审计开始之日起至项目审计结束后止。</w:t>
      </w:r>
      <w:r/>
    </w:p>
    <w:p>
      <w:pP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委 托 单 位（盖章）  ：           　　    审 计 单 位（盖章）：</w:t>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              法定代表人（签字或盖章）：</w:t>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或委托代理人（签字或盖章）：            或委托代理人（签字或盖章）：  </w:t>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年     月     日                        年     月     日</w:t>
      </w:r>
      <w:r/>
      <w:r>
        <w:rPr>
          <w:rFonts w:hint="eastAsia" w:ascii="宋体" w:hAnsi="宋体" w:cs="宋体"/>
          <w:b/>
          <w:bCs/>
          <w:color w:val="auto"/>
          <w:sz w:val="24"/>
          <w:szCs w:val="24"/>
          <w:highlight w:val="none"/>
        </w:rPr>
      </w:r>
      <w:r/>
      <w:r>
        <w:rPr>
          <w:rFonts w:ascii="宋体" w:hAnsi="宋体" w:cs="宋体"/>
          <w:color w:val="auto"/>
          <w:sz w:val="24"/>
          <w:szCs w:val="24"/>
          <w:highlight w:val="none"/>
        </w:rP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附件2</w:t>
      </w:r>
      <w:r/>
    </w:p>
    <w:p>
      <w:pPr>
        <w:jc w:val="center"/>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工程结算审计</w:t>
      </w:r>
      <w:r>
        <w:rPr>
          <w:rFonts w:hint="eastAsia" w:ascii="宋体" w:hAnsi="宋体" w:cs="宋体"/>
          <w:b/>
          <w:bCs/>
          <w:color w:val="auto"/>
          <w:sz w:val="24"/>
          <w:szCs w:val="24"/>
          <w:highlight w:val="none"/>
          <w:lang w:val="en-US" w:eastAsia="zh-CN"/>
        </w:rPr>
        <w:t xml:space="preserve">服务质量</w:t>
      </w:r>
      <w:r>
        <w:rPr>
          <w:rFonts w:hint="eastAsia" w:ascii="宋体" w:hAnsi="宋体" w:cs="宋体"/>
          <w:b/>
          <w:bCs/>
          <w:color w:val="auto"/>
          <w:sz w:val="24"/>
          <w:szCs w:val="24"/>
          <w:highlight w:val="none"/>
        </w:rPr>
        <w:t xml:space="preserve">考核表</w:t>
      </w:r>
      <w:r/>
    </w:p>
    <w:tbl>
      <w:tblPr>
        <w:tblStyle w:val="784"/>
        <w:tblW w:w="100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1330"/>
        <w:gridCol w:w="2436"/>
        <w:gridCol w:w="2136"/>
        <w:gridCol w:w="1982"/>
        <w:gridCol w:w="929"/>
      </w:tblGrid>
      <w:tr>
        <w:trPr>
          <w:jc w:val="center"/>
          <w:trHeight w:val="652"/>
        </w:trPr>
        <w:tc>
          <w:tcPr>
            <w:gridSpan w:val="2"/>
            <w:tcW w:w="2590"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gridSpan w:val="4"/>
            <w:tcW w:w="7483" w:type="dxa"/>
            <w:vAlign w:val="center"/>
            <w:textDirection w:val="lrTb"/>
            <w:noWrap w:val="false"/>
          </w:tcPr>
          <w:p>
            <w:pPr>
              <w:ind w:firstLine="16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01"/>
        </w:trPr>
        <w:tc>
          <w:tcPr>
            <w:gridSpan w:val="2"/>
            <w:tcW w:w="2590"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预算金额（万元）</w:t>
            </w:r>
            <w:r/>
          </w:p>
        </w:tc>
        <w:tc>
          <w:tcPr>
            <w:tcW w:w="2436" w:type="dxa"/>
            <w:vAlign w:val="center"/>
            <w:textDirection w:val="lrTb"/>
            <w:noWrap w:val="false"/>
          </w:tcPr>
          <w:p>
            <w:pPr>
              <w:ind w:firstLine="42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2136" w:type="dxa"/>
            <w:vAlign w:val="center"/>
            <w:textDirection w:val="lrTb"/>
            <w:noWrap w:val="false"/>
          </w:tcPr>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合同金额（万元）</w:t>
            </w:r>
            <w:r/>
          </w:p>
        </w:tc>
        <w:tc>
          <w:tcPr>
            <w:gridSpan w:val="2"/>
            <w:tcW w:w="2911" w:type="dxa"/>
            <w:vAlign w:val="center"/>
            <w:textDirection w:val="lrTb"/>
            <w:noWrap w:val="false"/>
          </w:tcPr>
          <w:p>
            <w:pPr>
              <w:ind w:firstLine="42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01"/>
        </w:trPr>
        <w:tc>
          <w:tcPr>
            <w:gridSpan w:val="2"/>
            <w:tcW w:w="2590"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中标单位</w:t>
            </w:r>
            <w:r/>
          </w:p>
        </w:tc>
        <w:tc>
          <w:tcPr>
            <w:gridSpan w:val="4"/>
            <w:tcW w:w="7483" w:type="dxa"/>
            <w:vAlign w:val="center"/>
            <w:textDirection w:val="lrTb"/>
            <w:noWrap w:val="false"/>
          </w:tcPr>
          <w:p>
            <w:pPr>
              <w:ind w:firstLine="42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52"/>
        </w:trPr>
        <w:tc>
          <w:tcPr>
            <w:gridSpan w:val="2"/>
            <w:tcW w:w="2590" w:type="dxa"/>
            <w:vAlign w:val="center"/>
            <w:textDirection w:val="lrTb"/>
            <w:noWrap w:val="false"/>
          </w:tcPr>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考评内容</w:t>
            </w:r>
            <w:r/>
          </w:p>
        </w:tc>
        <w:tc>
          <w:tcPr>
            <w:gridSpan w:val="3"/>
            <w:tcW w:w="6554" w:type="dxa"/>
            <w:vAlign w:val="center"/>
            <w:textDirection w:val="lrTb"/>
            <w:noWrap w:val="false"/>
          </w:tcPr>
          <w:p>
            <w:pPr>
              <w:ind w:firstLine="420"/>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评分标准</w:t>
            </w:r>
            <w:r/>
          </w:p>
        </w:tc>
        <w:tc>
          <w:tcPr>
            <w:tcW w:w="929"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得分</w:t>
            </w:r>
            <w:r/>
          </w:p>
        </w:tc>
      </w:tr>
      <w:tr>
        <w:trPr>
          <w:jc w:val="center"/>
          <w:trHeight w:val="449"/>
        </w:trPr>
        <w:tc>
          <w:tcPr>
            <w:tcW w:w="1260" w:type="dxa"/>
            <w:vAlign w:val="center"/>
            <w:vMerge w:val="restart"/>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w:t>
            </w:r>
            <w:r/>
          </w:p>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考评</w:t>
            </w:r>
            <w:r/>
          </w:p>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（80分）</w:t>
            </w:r>
            <w:r/>
          </w:p>
        </w:tc>
        <w:tc>
          <w:tcPr>
            <w:tcW w:w="1330" w:type="dxa"/>
            <w:vAlign w:val="center"/>
            <w:vMerge w:val="restart"/>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工作</w:t>
            </w:r>
            <w:r/>
          </w:p>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质量</w:t>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（50分）</w:t>
            </w:r>
            <w:r/>
          </w:p>
        </w:tc>
        <w:tc>
          <w:tcPr>
            <w:gridSpan w:val="3"/>
            <w:tcBorders>
              <w:bottom w:val="single" w:color="auto" w:sz="4" w:space="0"/>
            </w:tcBorders>
            <w:tcW w:w="6554" w:type="dxa"/>
            <w:vAlign w:val="center"/>
            <w:textDirection w:val="lrTb"/>
            <w:noWrap w:val="false"/>
          </w:tcPr>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严格遵守行业相关法律、法规及规章制度的规定，以及执业规范；（10分）</w:t>
            </w:r>
            <w:r/>
          </w:p>
        </w:tc>
        <w:tc>
          <w:tcPr>
            <w:tcBorders>
              <w:bottom w:val="single" w:color="auto" w:sz="4" w:space="0"/>
            </w:tcBorders>
            <w:tcW w:w="929" w:type="dxa"/>
            <w:vAlign w:val="center"/>
            <w:textDirection w:val="lrTb"/>
            <w:noWrap w:val="false"/>
          </w:tcPr>
          <w:p>
            <w:pPr>
              <w:ind w:firstLine="42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386"/>
        </w:trPr>
        <w:tc>
          <w:tcPr>
            <w:tcW w:w="1260" w:type="dxa"/>
            <w:vAlign w:val="center"/>
            <w:vMerge w:val="continue"/>
            <w:textDirection w:val="lrTb"/>
            <w:noWrap w:val="false"/>
          </w:tcPr>
          <w:p>
            <w:pPr>
              <w:ind w:firstLine="42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30" w:type="dxa"/>
            <w:vAlign w:val="center"/>
            <w:vMerge w:val="continue"/>
            <w:textDirection w:val="lrTb"/>
            <w:noWrap w:val="false"/>
          </w:tcPr>
          <w:p>
            <w:pPr>
              <w:ind w:firstLine="42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gridSpan w:val="3"/>
            <w:tcBorders>
              <w:top w:val="single" w:color="auto" w:sz="4" w:space="0"/>
              <w:bottom w:val="single" w:color="auto" w:sz="4" w:space="0"/>
            </w:tcBorders>
            <w:tcW w:w="6554" w:type="dxa"/>
            <w:vAlign w:val="center"/>
            <w:textDirection w:val="lrTb"/>
            <w:noWrap w:val="false"/>
          </w:tcPr>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所出具成果的内容真实、全面；（10分）</w:t>
            </w:r>
            <w:r/>
          </w:p>
        </w:tc>
        <w:tc>
          <w:tcPr>
            <w:tcBorders>
              <w:top w:val="single" w:color="auto" w:sz="4" w:space="0"/>
              <w:bottom w:val="single" w:color="auto" w:sz="4" w:space="0"/>
            </w:tcBorders>
            <w:tcW w:w="929" w:type="dxa"/>
            <w:vAlign w:val="center"/>
            <w:textDirection w:val="lrTb"/>
            <w:noWrap w:val="false"/>
          </w:tcPr>
          <w:p>
            <w:pPr>
              <w:ind w:firstLine="42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02"/>
        </w:trPr>
        <w:tc>
          <w:tcPr>
            <w:tcW w:w="1260" w:type="dxa"/>
            <w:vAlign w:val="center"/>
            <w:vMerge w:val="continue"/>
            <w:textDirection w:val="lrTb"/>
            <w:noWrap w:val="false"/>
          </w:tcPr>
          <w:p>
            <w:pPr>
              <w:ind w:firstLine="42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30" w:type="dxa"/>
            <w:vAlign w:val="center"/>
            <w:vMerge w:val="continue"/>
            <w:textDirection w:val="lrTb"/>
            <w:noWrap w:val="false"/>
          </w:tcPr>
          <w:p>
            <w:pPr>
              <w:ind w:firstLine="42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gridSpan w:val="3"/>
            <w:tcBorders>
              <w:top w:val="single" w:color="auto" w:sz="4" w:space="0"/>
              <w:bottom w:val="single" w:color="auto" w:sz="4" w:space="0"/>
            </w:tcBorders>
            <w:tcW w:w="6554" w:type="dxa"/>
            <w:vAlign w:val="center"/>
            <w:textDirection w:val="lrTb"/>
            <w:noWrap w:val="false"/>
          </w:tcPr>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同一委托项目中同一工程子目审核标准一致；如不一致该项不得分；（10分）</w:t>
            </w:r>
            <w:r/>
          </w:p>
        </w:tc>
        <w:tc>
          <w:tcPr>
            <w:tcBorders>
              <w:top w:val="single" w:color="auto" w:sz="4" w:space="0"/>
              <w:bottom w:val="single" w:color="auto" w:sz="4" w:space="0"/>
            </w:tcBorders>
            <w:tcW w:w="929" w:type="dxa"/>
            <w:vAlign w:val="center"/>
            <w:textDirection w:val="lrTb"/>
            <w:noWrap w:val="false"/>
          </w:tcPr>
          <w:p>
            <w:pPr>
              <w:ind w:firstLine="42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747"/>
        </w:trPr>
        <w:tc>
          <w:tcPr>
            <w:tcW w:w="1260" w:type="dxa"/>
            <w:vAlign w:val="center"/>
            <w:vMerge w:val="continue"/>
            <w:textDirection w:val="lrTb"/>
            <w:noWrap w:val="false"/>
          </w:tcPr>
          <w:p>
            <w:pPr>
              <w:ind w:firstLine="42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30" w:type="dxa"/>
            <w:vAlign w:val="center"/>
            <w:vMerge w:val="continue"/>
            <w:textDirection w:val="lrTb"/>
            <w:noWrap w:val="false"/>
          </w:tcPr>
          <w:p>
            <w:pPr>
              <w:ind w:firstLine="42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gridSpan w:val="3"/>
            <w:tcBorders>
              <w:top w:val="single" w:color="auto" w:sz="4" w:space="0"/>
            </w:tcBorders>
            <w:tcW w:w="6554" w:type="dxa"/>
            <w:vAlign w:val="center"/>
            <w:textDirection w:val="lrTb"/>
            <w:noWrap w:val="false"/>
          </w:tcPr>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服务成果经复核或区审计局抽查复审，误差应≤</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%。若误差在</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%-5%（含）扣10分，误差在5%-7%（含）扣15分，误差在7%-10%（含）扣20分，误差＞10%该项不得分；</w:t>
            </w:r>
            <w:r>
              <w:rPr>
                <w:rFonts w:hint="eastAsia" w:ascii="宋体" w:hAnsi="宋体" w:cs="宋体"/>
                <w:color w:val="auto"/>
                <w:sz w:val="24"/>
                <w:szCs w:val="24"/>
                <w:highlight w:val="none"/>
                <w:lang w:val="en-US" w:eastAsia="zh-CN"/>
              </w:rPr>
              <w:t xml:space="preserve">误差率包括</w:t>
            </w:r>
            <w:r>
              <w:rPr>
                <w:rFonts w:ascii="宋体" w:hAnsi="宋体" w:eastAsia="宋体" w:cs="宋体"/>
                <w:color w:val="auto"/>
                <w:sz w:val="24"/>
                <w:szCs w:val="24"/>
                <w:highlight w:val="none"/>
              </w:rPr>
              <w:t xml:space="preserve">子项工程量、单价等明细内容及项目汇总总价</w:t>
            </w:r>
            <w:r>
              <w:rPr>
                <w:rFonts w:hint="eastAsia" w:ascii="宋体" w:hAnsi="宋体" w:eastAsia="宋体" w:cs="宋体"/>
                <w:color w:val="auto"/>
                <w:sz w:val="24"/>
                <w:szCs w:val="24"/>
                <w:highlight w:val="none"/>
                <w:lang w:val="en-US" w:eastAsia="zh-CN"/>
              </w:rPr>
              <w:t xml:space="preserve">的误差率</w:t>
            </w:r>
            <w:r>
              <w:rPr>
                <w:rFonts w:hint="eastAsia" w:ascii="宋体" w:hAnsi="宋体" w:cs="宋体"/>
                <w:color w:val="auto"/>
                <w:sz w:val="24"/>
                <w:szCs w:val="24"/>
                <w:highlight w:val="none"/>
              </w:rPr>
              <w:t xml:space="preserve">（20分）</w:t>
            </w:r>
            <w:r/>
          </w:p>
        </w:tc>
        <w:tc>
          <w:tcPr>
            <w:tcBorders>
              <w:top w:val="single" w:color="auto" w:sz="4" w:space="0"/>
            </w:tcBorders>
            <w:tcW w:w="929" w:type="dxa"/>
            <w:vAlign w:val="center"/>
            <w:textDirection w:val="lrTb"/>
            <w:noWrap w:val="false"/>
          </w:tcPr>
          <w:p>
            <w:pPr>
              <w:ind w:firstLine="42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16"/>
        </w:trPr>
        <w:tc>
          <w:tcPr>
            <w:tcW w:w="1260" w:type="dxa"/>
            <w:vAlign w:val="center"/>
            <w:vMerge w:val="continue"/>
            <w:textDirection w:val="lrTb"/>
            <w:noWrap w:val="false"/>
          </w:tcPr>
          <w:p>
            <w:pPr>
              <w:ind w:firstLine="42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30" w:type="dxa"/>
            <w:vAlign w:val="center"/>
            <w:vMerge w:val="restart"/>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工作</w:t>
            </w:r>
            <w:r/>
          </w:p>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效率</w:t>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（30分）</w:t>
            </w:r>
            <w:r/>
          </w:p>
        </w:tc>
        <w:tc>
          <w:tcPr>
            <w:gridSpan w:val="3"/>
            <w:tcBorders>
              <w:bottom w:val="single" w:color="auto" w:sz="4" w:space="0"/>
            </w:tcBorders>
            <w:tcW w:w="6554" w:type="dxa"/>
            <w:vAlign w:val="center"/>
            <w:textDirection w:val="lrTb"/>
            <w:noWrap w:val="false"/>
          </w:tcPr>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在合同规定或服务承诺时限内，按时完成合同内容；延期10天内的扣5分，超过10天的该项不得分；（10分）</w:t>
            </w:r>
            <w:r/>
          </w:p>
        </w:tc>
        <w:tc>
          <w:tcPr>
            <w:tcBorders>
              <w:bottom w:val="single" w:color="auto" w:sz="4" w:space="0"/>
            </w:tcBorders>
            <w:tcW w:w="929" w:type="dxa"/>
            <w:vAlign w:val="center"/>
            <w:textDirection w:val="lrTb"/>
            <w:noWrap w:val="false"/>
          </w:tcPr>
          <w:p>
            <w:pPr>
              <w:ind w:firstLine="42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91"/>
        </w:trPr>
        <w:tc>
          <w:tcPr>
            <w:tcW w:w="1260" w:type="dxa"/>
            <w:vAlign w:val="center"/>
            <w:vMerge w:val="continue"/>
            <w:textDirection w:val="lrTb"/>
            <w:noWrap w:val="false"/>
          </w:tcPr>
          <w:p>
            <w:pPr>
              <w:ind w:firstLine="42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30" w:type="dxa"/>
            <w:vAlign w:val="center"/>
            <w:vMerge w:val="continue"/>
            <w:textDirection w:val="lrTb"/>
            <w:noWrap w:val="false"/>
          </w:tcPr>
          <w:p>
            <w:pPr>
              <w:ind w:firstLine="42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gridSpan w:val="3"/>
            <w:tcBorders>
              <w:top w:val="single" w:color="auto" w:sz="4" w:space="0"/>
              <w:bottom w:val="single" w:color="auto" w:sz="4" w:space="0"/>
            </w:tcBorders>
            <w:tcW w:w="6554" w:type="dxa"/>
            <w:vAlign w:val="center"/>
            <w:textDirection w:val="lrTb"/>
            <w:noWrap w:val="false"/>
          </w:tcPr>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收到资料后按服务要求及时梳理并向业主反馈资料完备情况；延期5天的该项不得分；（10分）</w:t>
            </w:r>
            <w:r/>
          </w:p>
        </w:tc>
        <w:tc>
          <w:tcPr>
            <w:tcBorders>
              <w:top w:val="single" w:color="auto" w:sz="4" w:space="0"/>
              <w:bottom w:val="single" w:color="auto" w:sz="4" w:space="0"/>
            </w:tcBorders>
            <w:tcW w:w="929" w:type="dxa"/>
            <w:vAlign w:val="center"/>
            <w:textDirection w:val="lrTb"/>
            <w:noWrap w:val="false"/>
          </w:tcPr>
          <w:p>
            <w:pPr>
              <w:ind w:firstLine="42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32"/>
        </w:trPr>
        <w:tc>
          <w:tcPr>
            <w:tcW w:w="1260" w:type="dxa"/>
            <w:vAlign w:val="center"/>
            <w:vMerge w:val="continue"/>
            <w:textDirection w:val="lrTb"/>
            <w:noWrap w:val="false"/>
          </w:tcPr>
          <w:p>
            <w:pPr>
              <w:ind w:firstLine="42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30" w:type="dxa"/>
            <w:vAlign w:val="center"/>
            <w:vMerge w:val="continue"/>
            <w:textDirection w:val="lrTb"/>
            <w:noWrap w:val="false"/>
          </w:tcPr>
          <w:p>
            <w:pPr>
              <w:ind w:firstLine="42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gridSpan w:val="3"/>
            <w:tcBorders>
              <w:top w:val="single" w:color="auto" w:sz="4" w:space="0"/>
              <w:bottom w:val="single" w:color="auto" w:sz="4" w:space="0"/>
            </w:tcBorders>
            <w:tcW w:w="6554" w:type="dxa"/>
            <w:vAlign w:val="center"/>
            <w:textDirection w:val="lrTb"/>
            <w:noWrap w:val="false"/>
          </w:tcPr>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服务过程中按照业主要求及时提供相关资料；延期5天的该项不得分；（10分）</w:t>
            </w:r>
            <w:r/>
          </w:p>
        </w:tc>
        <w:tc>
          <w:tcPr>
            <w:tcBorders>
              <w:top w:val="single" w:color="auto" w:sz="4" w:space="0"/>
              <w:bottom w:val="single" w:color="auto" w:sz="4" w:space="0"/>
            </w:tcBorders>
            <w:tcW w:w="929" w:type="dxa"/>
            <w:vAlign w:val="center"/>
            <w:textDirection w:val="lrTb"/>
            <w:noWrap w:val="false"/>
          </w:tcPr>
          <w:p>
            <w:pPr>
              <w:ind w:firstLine="42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31"/>
        </w:trPr>
        <w:tc>
          <w:tcPr>
            <w:tcW w:w="1260" w:type="dxa"/>
            <w:vAlign w:val="center"/>
            <w:vMerge w:val="continue"/>
            <w:textDirection w:val="lrTb"/>
            <w:noWrap w:val="false"/>
          </w:tcPr>
          <w:p>
            <w:pPr>
              <w:ind w:firstLine="42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30" w:type="dxa"/>
            <w:vAlign w:val="center"/>
            <w:vMerge w:val="restart"/>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职业</w:t>
            </w:r>
            <w:r/>
          </w:p>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操守</w:t>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（20分）</w:t>
            </w:r>
            <w:r/>
          </w:p>
        </w:tc>
        <w:tc>
          <w:tcPr>
            <w:gridSpan w:val="3"/>
            <w:tcBorders>
              <w:bottom w:val="single" w:color="auto" w:sz="4" w:space="0"/>
            </w:tcBorders>
            <w:tcW w:w="6554" w:type="dxa"/>
            <w:vAlign w:val="center"/>
            <w:textDirection w:val="lrTb"/>
            <w:noWrap w:val="false"/>
          </w:tcPr>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服务认真负责，及时响应业主需求，服务过程中对业务信息主动做到严格保密；（10分）</w:t>
            </w:r>
            <w:r/>
          </w:p>
        </w:tc>
        <w:tc>
          <w:tcPr>
            <w:tcBorders>
              <w:bottom w:val="single" w:color="auto" w:sz="4" w:space="0"/>
            </w:tcBorders>
            <w:tcW w:w="929" w:type="dxa"/>
            <w:vAlign w:val="center"/>
            <w:textDirection w:val="lrTb"/>
            <w:noWrap w:val="false"/>
          </w:tcPr>
          <w:p>
            <w:pPr>
              <w:ind w:firstLine="42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79"/>
        </w:trPr>
        <w:tc>
          <w:tcPr>
            <w:tcW w:w="1260" w:type="dxa"/>
            <w:vAlign w:val="center"/>
            <w:vMerge w:val="continue"/>
            <w:textDirection w:val="lrTb"/>
            <w:noWrap w:val="false"/>
          </w:tcPr>
          <w:p>
            <w:pPr>
              <w:ind w:firstLine="42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1330" w:type="dxa"/>
            <w:vAlign w:val="center"/>
            <w:vMerge w:val="continue"/>
            <w:textDirection w:val="lrTb"/>
            <w:noWrap w:val="false"/>
          </w:tcPr>
          <w:p>
            <w:pPr>
              <w:ind w:firstLine="42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gridSpan w:val="3"/>
            <w:tcBorders>
              <w:top w:val="single" w:color="auto" w:sz="4" w:space="0"/>
            </w:tcBorders>
            <w:tcW w:w="6554" w:type="dxa"/>
            <w:vAlign w:val="center"/>
            <w:textDirection w:val="lrTb"/>
            <w:noWrap w:val="false"/>
          </w:tcPr>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不随意更换项目负责人及其他工作人员。更换项目负责人的扣7分，更换其他工作人员扣3分，扣完为止。（10分）</w:t>
            </w:r>
            <w:r/>
          </w:p>
        </w:tc>
        <w:tc>
          <w:tcPr>
            <w:tcBorders>
              <w:top w:val="single" w:color="auto" w:sz="4" w:space="0"/>
            </w:tcBorders>
            <w:tcW w:w="929" w:type="dxa"/>
            <w:vAlign w:val="center"/>
            <w:textDirection w:val="lrTb"/>
            <w:noWrap w:val="false"/>
          </w:tcPr>
          <w:p>
            <w:pPr>
              <w:ind w:firstLine="42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79"/>
        </w:trPr>
        <w:tc>
          <w:tcPr>
            <w:gridSpan w:val="2"/>
            <w:tcW w:w="2590"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b/>
                <w:bCs/>
                <w:color w:val="auto"/>
                <w:sz w:val="24"/>
                <w:szCs w:val="24"/>
                <w:highlight w:val="none"/>
              </w:rPr>
              <w:t xml:space="preserve">一、小计（100分）</w:t>
            </w:r>
            <w:r/>
          </w:p>
        </w:tc>
        <w:tc>
          <w:tcPr>
            <w:gridSpan w:val="3"/>
            <w:tcW w:w="6554" w:type="dxa"/>
            <w:vAlign w:val="center"/>
            <w:textDirection w:val="lrTb"/>
            <w:noWrap w:val="false"/>
          </w:tcPr>
          <w:p>
            <w:pPr>
              <w:ind w:firstLine="42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W w:w="929" w:type="dxa"/>
            <w:vAlign w:val="center"/>
            <w:textDirection w:val="lrTb"/>
            <w:noWrap w:val="false"/>
          </w:tcPr>
          <w:p>
            <w:pPr>
              <w:ind w:firstLine="42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1674"/>
        </w:trPr>
        <w:tc>
          <w:tcPr>
            <w:gridSpan w:val="6"/>
            <w:tcW w:w="10073" w:type="dxa"/>
            <w:vAlign w:val="center"/>
            <w:textDirection w:val="lrTb"/>
            <w:noWrap w:val="false"/>
          </w:tcPr>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委托单位（盖章）：</w:t>
            </w:r>
            <w:r/>
          </w:p>
          <w:p>
            <w:pPr>
              <w:ind w:firstLine="42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经办人（签字）：                                       年    月    日</w:t>
            </w:r>
            <w:r/>
          </w:p>
        </w:tc>
      </w:tr>
    </w:tbl>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2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根据评价结果支付咨询服务费，考核总分100分。评价评分90分以上的，支付全部咨询服务费；评价评分在85-90分（含）的，支付咨询服务费的90%；评价评分在80-85分（含）的，支付咨询服务费的80%；评价评分70-80分（含）的，支付咨询服务费的70%；评价评分低于70分（含）的，不支付咨询服务费；</w:t>
      </w:r>
      <w:r/>
    </w:p>
    <w:p>
      <w:pPr>
        <w:ind w:firstLine="42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评价评分低于70分（含）的，甲方有权终止合同；</w:t>
      </w:r>
      <w:r/>
    </w:p>
    <w:p>
      <w:pPr>
        <w:ind w:firstLine="42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如不涉及复核或区审计局抽查复审情况的，项目考评中第4项不扣分</w:t>
      </w:r>
      <w:r>
        <w:rPr>
          <w:rFonts w:hint="eastAsia" w:ascii="宋体" w:hAnsi="宋体" w:cs="宋体"/>
          <w:color w:val="auto"/>
          <w:sz w:val="24"/>
          <w:szCs w:val="24"/>
          <w:highlight w:val="none"/>
          <w:lang w:eastAsia="zh-CN"/>
        </w:rPr>
        <w:t xml:space="preserve">。</w:t>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937"/>
        <w:jc w:val="center"/>
        <w:spacing w:line="360" w:lineRule="auto"/>
        <w:rPr>
          <w:rFonts w:ascii="宋体" w:hAnsi="宋体" w:eastAsia="宋体" w:cs="宋体"/>
          <w:color w:val="auto"/>
          <w:sz w:val="52"/>
          <w:highlight w:val="none"/>
        </w:rPr>
      </w:pPr>
      <w:r/>
      <w:bookmarkStart w:id="37" w:name="_Toc77258040"/>
      <w:r/>
      <w:bookmarkStart w:id="38" w:name="_Toc397699341"/>
      <w:r>
        <w:rPr>
          <w:rFonts w:hint="eastAsia" w:ascii="宋体" w:hAnsi="宋体" w:eastAsia="宋体" w:cs="宋体"/>
          <w:color w:val="auto"/>
          <w:sz w:val="52"/>
          <w:highlight w:val="none"/>
        </w:rPr>
        <w:t xml:space="preserve">第六章 评分标准</w:t>
      </w:r>
      <w:bookmarkEnd w:id="37"/>
      <w:r/>
      <w:bookmarkEnd w:id="38"/>
      <w:r/>
      <w:r/>
    </w:p>
    <w:p>
      <w:pPr>
        <w:spacing w:line="360" w:lineRule="auto"/>
        <w:rPr>
          <w:rFonts w:ascii="宋体" w:hAnsi="宋体" w:cs="宋体"/>
          <w:b/>
          <w:color w:val="auto"/>
          <w:sz w:val="24"/>
          <w:szCs w:val="24"/>
          <w:highlight w:val="none"/>
        </w:rPr>
      </w:pPr>
      <w:r/>
      <w:bookmarkStart w:id="39" w:name="_Hlk61610746"/>
      <w:r>
        <w:rPr>
          <w:rFonts w:hint="eastAsia" w:ascii="宋体" w:hAnsi="宋体" w:cs="宋体"/>
          <w:b/>
          <w:color w:val="auto"/>
          <w:sz w:val="24"/>
          <w:szCs w:val="24"/>
          <w:highlight w:val="none"/>
        </w:rPr>
        <w:t xml:space="preserve">一、评标办法：</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1、本次招标的评标方法采用综合评标法。即在最大限度地满足招标文件实质性要求的前提下，按照招标文件中规定的评分标准和各项因素进行综合评审，以评标总得分最高的投标单位作为中标人。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评标时，评标委员会各成员独立对每个有效投标单位的投标文件技术及资质部分进行评价、打分，然后汇总，按算术平均方法，计算出每个投标单位的技术得分（四舍五入保留两位小数）；报价得分根据评分标准计算得出（四舍五入保留两位小数）；报价得分加评委算术平均得分，为投标单位的总得分（四舍五入保留两位小数）。</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3、如出现评标总得分最高的投标单位有两个或两个以上的，按投标报价由低到高顺序排列，以实际投标报价较低的优先作为中标人，得分且实际投标报价相同的，则由评标委员会以抽签方式确定中标供应商。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TW" w:eastAsia="zh-TW"/>
        </w:rPr>
        <w:t xml:space="preserve">针对中小型企业的评审政策：</w:t>
      </w:r>
      <w:r/>
    </w:p>
    <w:p>
      <w:pPr>
        <w:ind w:firstLine="480"/>
        <w:spacing w:line="360" w:lineRule="auto"/>
        <w:rPr>
          <w:rFonts w:ascii="宋体" w:hAnsi="宋体" w:cs="宋体"/>
          <w:color w:val="auto"/>
          <w:sz w:val="24"/>
          <w:szCs w:val="24"/>
          <w:highlight w:val="none"/>
          <w:lang w:val="zh-TW"/>
        </w:rPr>
      </w:pPr>
      <w:r>
        <w:rPr>
          <w:rFonts w:hint="eastAsia" w:ascii="宋体" w:hAnsi="宋体" w:cs="宋体"/>
          <w:color w:val="auto"/>
          <w:sz w:val="24"/>
          <w:szCs w:val="24"/>
          <w:highlight w:val="none"/>
          <w:lang w:val="zh-TW" w:eastAsia="zh-TW"/>
        </w:rPr>
        <w:t xml:space="preserve">根据财政部、工业和信息化部关于印发意见</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TW" w:eastAsia="zh-TW"/>
        </w:rPr>
        <w:t xml:space="preserve">财库〔</w:t>
      </w:r>
      <w:r>
        <w:rPr>
          <w:rFonts w:hint="eastAsia" w:ascii="宋体" w:hAnsi="宋体" w:cs="宋体"/>
          <w:color w:val="auto"/>
          <w:sz w:val="24"/>
          <w:szCs w:val="24"/>
          <w:highlight w:val="none"/>
        </w:rPr>
        <w:t xml:space="preserve">2020</w:t>
      </w:r>
      <w:r>
        <w:rPr>
          <w:rFonts w:hint="eastAsia" w:ascii="宋体" w:hAnsi="宋体" w:cs="宋体"/>
          <w:color w:val="auto"/>
          <w:sz w:val="24"/>
          <w:szCs w:val="24"/>
          <w:highlight w:val="none"/>
          <w:lang w:val="zh-TW" w:eastAsia="zh-TW"/>
        </w:rPr>
        <w:t xml:space="preserve">〕</w:t>
      </w:r>
      <w:r>
        <w:rPr>
          <w:rFonts w:hint="eastAsia" w:ascii="宋体" w:hAnsi="宋体" w:cs="宋体"/>
          <w:color w:val="auto"/>
          <w:sz w:val="24"/>
          <w:szCs w:val="24"/>
          <w:highlight w:val="none"/>
        </w:rPr>
        <w:t xml:space="preserve">46</w:t>
      </w:r>
      <w:r>
        <w:rPr>
          <w:rFonts w:hint="eastAsia" w:ascii="宋体" w:hAnsi="宋体" w:cs="宋体"/>
          <w:color w:val="auto"/>
          <w:sz w:val="24"/>
          <w:szCs w:val="24"/>
          <w:highlight w:val="none"/>
          <w:lang w:val="zh-TW" w:eastAsia="zh-TW"/>
        </w:rPr>
        <w:t xml:space="preserve">号</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TW" w:eastAsia="zh-TW"/>
        </w:rPr>
        <w:t xml:space="preserve"> 关于印发《政府采购促进中小企业发展管理办法》的通知规定，</w:t>
      </w:r>
      <w:r>
        <w:rPr>
          <w:rFonts w:hint="eastAsia" w:ascii="宋体" w:hAnsi="宋体" w:cs="宋体"/>
          <w:b/>
          <w:bCs/>
          <w:color w:val="auto"/>
          <w:sz w:val="24"/>
          <w:szCs w:val="24"/>
          <w:highlight w:val="none"/>
          <w:lang w:val="zh-TW" w:eastAsia="zh-TW"/>
        </w:rPr>
        <w:t xml:space="preserve">本项目专门面向中小企业采购，不再执行价格评审优惠的扶持政策。</w:t>
      </w:r>
      <w:r/>
    </w:p>
    <w:p>
      <w:pPr>
        <w:ind w:firstLine="480"/>
        <w:spacing w:line="360" w:lineRule="auto"/>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zh-TW" w:eastAsia="zh-TW"/>
        </w:rPr>
        <w:t xml:space="preserve">若投标人提供的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TW" w:eastAsia="zh-TW"/>
        </w:rPr>
        <w:t xml:space="preserve">中小企业声明函</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TW" w:eastAsia="zh-TW"/>
        </w:rPr>
        <w:t xml:space="preserve">或认定证明为虚假声明则视同提供虚假材料，按</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TW" w:eastAsia="zh-TW"/>
        </w:rPr>
        <w:t xml:space="preserve">政府采购法</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TW" w:eastAsia="zh-TW"/>
        </w:rPr>
        <w:t xml:space="preserve">相关规定处理并报请政府监管部门给予行政处罚。</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二、评分标准：</w:t>
      </w:r>
      <w:r/>
    </w:p>
    <w:p>
      <w:pPr>
        <w:ind w:firstLine="48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（一）价格（1</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分）</w:t>
      </w:r>
      <w:r/>
    </w:p>
    <w:p>
      <w:pPr>
        <w:ind w:firstLine="480"/>
        <w:spacing w:line="360" w:lineRule="auto"/>
        <w:rPr>
          <w:rFonts w:ascii="宋体" w:hAnsi="宋体" w:cs="宋体"/>
          <w:color w:val="auto"/>
          <w:sz w:val="24"/>
          <w:szCs w:val="24"/>
          <w:highlight w:val="none"/>
          <w:lang w:val="zh-TW" w:eastAsia="zh-TW"/>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TW" w:eastAsia="zh-TW"/>
        </w:rPr>
        <w:t xml:space="preserve">投标总报价低于或等于</w:t>
      </w:r>
      <w:r>
        <w:rPr>
          <w:rFonts w:hint="eastAsia" w:ascii="宋体" w:hAnsi="宋体" w:cs="宋体"/>
          <w:color w:val="auto"/>
          <w:sz w:val="24"/>
          <w:szCs w:val="24"/>
          <w:highlight w:val="none"/>
        </w:rPr>
        <w:t xml:space="preserve">采购</w:t>
      </w:r>
      <w:r>
        <w:rPr>
          <w:rFonts w:hint="eastAsia" w:ascii="宋体" w:hAnsi="宋体" w:cs="宋体"/>
          <w:color w:val="auto"/>
          <w:sz w:val="24"/>
          <w:szCs w:val="24"/>
          <w:highlight w:val="none"/>
          <w:lang w:val="zh-TW" w:eastAsia="zh-TW"/>
        </w:rPr>
        <w:t xml:space="preserve">预算价格的，为有效投标报价。超</w:t>
      </w:r>
      <w:r>
        <w:rPr>
          <w:rFonts w:hint="eastAsia" w:ascii="宋体" w:hAnsi="宋体" w:cs="宋体"/>
          <w:color w:val="auto"/>
          <w:sz w:val="24"/>
          <w:szCs w:val="24"/>
          <w:highlight w:val="none"/>
        </w:rPr>
        <w:t xml:space="preserve">采购</w:t>
      </w:r>
      <w:r>
        <w:rPr>
          <w:rFonts w:hint="eastAsia" w:ascii="宋体" w:hAnsi="宋体" w:cs="宋体"/>
          <w:color w:val="auto"/>
          <w:sz w:val="24"/>
          <w:szCs w:val="24"/>
          <w:highlight w:val="none"/>
          <w:lang w:val="zh-TW" w:eastAsia="zh-TW"/>
        </w:rPr>
        <w:t xml:space="preserve">预算的投标报价为无效投标报价。无效投标报价的投标文件不进行评审，也不得</w:t>
      </w:r>
      <w:r>
        <w:rPr>
          <w:rFonts w:hint="eastAsia" w:ascii="宋体" w:hAnsi="宋体" w:cs="宋体"/>
          <w:color w:val="auto"/>
          <w:sz w:val="24"/>
          <w:szCs w:val="24"/>
          <w:highlight w:val="none"/>
        </w:rPr>
        <w:t xml:space="preserve">中</w:t>
      </w:r>
      <w:r>
        <w:rPr>
          <w:rFonts w:hint="eastAsia" w:ascii="宋体" w:hAnsi="宋体" w:cs="宋体"/>
          <w:color w:val="auto"/>
          <w:sz w:val="24"/>
          <w:szCs w:val="24"/>
          <w:highlight w:val="none"/>
          <w:lang w:val="zh-TW" w:eastAsia="zh-TW"/>
        </w:rPr>
        <w:t xml:space="preserve">标。</w:t>
      </w:r>
      <w:r/>
    </w:p>
    <w:p>
      <w:pPr>
        <w:ind w:firstLine="480"/>
        <w:spacing w:line="360" w:lineRule="auto"/>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2</w:t>
      </w:r>
      <w:r>
        <w:rPr>
          <w:rFonts w:hint="eastAsia" w:ascii="宋体" w:hAnsi="宋体" w:cs="宋体"/>
          <w:color w:val="auto"/>
          <w:sz w:val="24"/>
          <w:szCs w:val="24"/>
          <w:highlight w:val="none"/>
          <w:lang w:val="zh-TW"/>
        </w:rPr>
        <w:t xml:space="preserve">、</w:t>
      </w:r>
      <w:r>
        <w:rPr>
          <w:rFonts w:hint="eastAsia" w:ascii="宋体" w:hAnsi="宋体" w:cs="宋体"/>
          <w:color w:val="auto"/>
          <w:sz w:val="24"/>
          <w:szCs w:val="24"/>
          <w:highlight w:val="none"/>
          <w:lang w:val="zh-TW" w:eastAsia="zh-TW"/>
        </w:rPr>
        <w:t xml:space="preserve">价格分采用低价优先法计算，即满足采购文件要求且投标价格最低的投标报价为评标基准价，其价格分为满分，即</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lang w:val="zh-TW" w:eastAsia="zh-TW"/>
        </w:rPr>
        <w:t xml:space="preserve">分。其他</w:t>
      </w:r>
      <w:r>
        <w:rPr>
          <w:rFonts w:hint="eastAsia" w:ascii="宋体" w:hAnsi="宋体" w:cs="宋体"/>
          <w:color w:val="auto"/>
          <w:sz w:val="24"/>
          <w:szCs w:val="24"/>
          <w:highlight w:val="none"/>
          <w:lang w:val="zh-TW"/>
        </w:rPr>
        <w:t xml:space="preserve">投标单位</w:t>
      </w:r>
      <w:r>
        <w:rPr>
          <w:rFonts w:hint="eastAsia" w:ascii="宋体" w:hAnsi="宋体" w:cs="宋体"/>
          <w:color w:val="auto"/>
          <w:sz w:val="24"/>
          <w:szCs w:val="24"/>
          <w:highlight w:val="none"/>
          <w:lang w:val="zh-TW" w:eastAsia="zh-TW"/>
        </w:rPr>
        <w:t xml:space="preserve">的价格分按照下列公式计算（计算结果四舍五入保留两位小数）。</w:t>
      </w:r>
      <w:r/>
    </w:p>
    <w:p>
      <w:pPr>
        <w:ind w:firstLine="480"/>
        <w:spacing w:line="360" w:lineRule="auto"/>
        <w:rPr>
          <w:rFonts w:ascii="宋体" w:hAnsi="宋体" w:cs="宋体"/>
          <w:color w:val="auto"/>
          <w:sz w:val="24"/>
          <w:szCs w:val="24"/>
          <w:highlight w:val="none"/>
          <w:lang w:val="zh-TW" w:eastAsia="zh-TW"/>
        </w:rPr>
      </w:pPr>
      <w:r>
        <w:rPr>
          <w:rFonts w:hint="eastAsia" w:ascii="宋体" w:hAnsi="宋体" w:cs="宋体"/>
          <w:color w:val="auto"/>
          <w:sz w:val="24"/>
          <w:szCs w:val="24"/>
          <w:highlight w:val="none"/>
          <w:lang w:val="zh-TW" w:eastAsia="zh-TW"/>
        </w:rPr>
        <w:t xml:space="preserve">投标报价得分=（评标基准价/投标报价）×价格权值×100；（价格权值为</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lang w:val="zh-TW" w:eastAsia="zh-TW"/>
        </w:rPr>
        <w:t xml:space="preserve">%）</w:t>
      </w:r>
      <w:r/>
    </w:p>
    <w:p>
      <w:pPr>
        <w:ind w:firstLine="48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（二）技术及其他分值：</w:t>
      </w:r>
      <w:r>
        <w:rPr>
          <w:rFonts w:hint="eastAsia" w:ascii="宋体" w:hAnsi="宋体" w:cs="宋体"/>
          <w:b/>
          <w:bCs/>
          <w:color w:val="auto"/>
          <w:sz w:val="24"/>
          <w:szCs w:val="24"/>
          <w:highlight w:val="none"/>
          <w:lang w:val="en-US" w:eastAsia="zh-CN"/>
        </w:rPr>
        <w:t xml:space="preserve">85</w:t>
      </w:r>
      <w:r>
        <w:rPr>
          <w:rFonts w:hint="eastAsia" w:ascii="宋体" w:hAnsi="宋体" w:cs="宋体"/>
          <w:b/>
          <w:bCs/>
          <w:color w:val="auto"/>
          <w:sz w:val="24"/>
          <w:szCs w:val="24"/>
          <w:highlight w:val="none"/>
        </w:rPr>
        <w:t xml:space="preserve">分</w:t>
      </w:r>
      <w:r/>
    </w:p>
    <w:p>
      <w:pPr>
        <w:ind w:firstLine="482"/>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1、对项目服务方案的评价（</w:t>
      </w:r>
      <w:r>
        <w:rPr>
          <w:rFonts w:hint="eastAsia" w:ascii="宋体" w:hAnsi="宋体" w:cs="宋体"/>
          <w:b/>
          <w:bCs/>
          <w:color w:val="auto"/>
          <w:sz w:val="24"/>
          <w:szCs w:val="24"/>
          <w:highlight w:val="none"/>
          <w:lang w:val="en-US" w:eastAsia="zh-CN"/>
        </w:rPr>
        <w:t xml:space="preserve">25</w:t>
      </w:r>
      <w:r>
        <w:rPr>
          <w:rFonts w:hint="eastAsia" w:ascii="宋体" w:hAnsi="宋体" w:cs="宋体"/>
          <w:b/>
          <w:bCs/>
          <w:color w:val="auto"/>
          <w:sz w:val="24"/>
          <w:szCs w:val="24"/>
          <w:highlight w:val="none"/>
        </w:rPr>
        <w:t xml:space="preserve">分）</w:t>
      </w:r>
      <w:r/>
    </w:p>
    <w:p>
      <w:pPr>
        <w:ind w:firstLine="482"/>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（1）项目需求和重点难点的说明（</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方案内容全面完整详细、具有明确针对性、操作流程清晰明了的得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分；方案内容完整、针对性不突出、操作流程存在不明确的得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分；方案无实质性内容、针对性缺失、操作流程不具备可实施性的得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分；未提供不得分。本项最高为</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ind w:firstLine="482"/>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（2）针对本项目结算审计服务方案的说明（包括但不限于工作规范、工作内容、工作程序、资料审核交付等）（</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方案内容全面完整详细、具有明确针对性、操作流程清晰明了的得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分；方案内容完整、针对性不突出、操作流程存在不明确的得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分；方案无实质性内容、针对性缺失、操作流程不具备可实施性的得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分；未提供不得分。本项最高为</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ind w:firstLine="482"/>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（3）供应商企业内部管理制度的说明（包括但不限于组织机构、工作流程、档案管理、人事管理、质量控制等）（</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方案内容全面完整详细、具有明确针对性、操作流程清晰明了的得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分；方案内容完整、针对性不突出、操作流程存在不明确的得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分；方案无实质性内容、针对性缺失、操作流程不具备可实施性的得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分；未提供不得分。本项最高为</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ind w:firstLine="482"/>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（4）针对本项目交通保障和服务响应能力措施的说明（</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方案内容全面完整详细、具有明确针对性、操作流程清晰明了的得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分；方案内容完整、针对性不突出、操作流程存在不明确的得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分；方案无实质性内容、针对性缺失、操作流程不具备可实施性的得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分；未提供不得分。本项最高为</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ind w:firstLine="482"/>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（5）项目审计效率及审计进度控制的说明（</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方案内容全面完整详细、具有明确针对性、操作流程清晰明了的得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分；方案内容完整、针对性不突出、操作流程存在不明确的得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分；方案无实质性内容、针对性缺失、操作流程不具备可实施性的得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分；未提供不得分。本项最高为</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ind w:firstLine="482"/>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（6）针对本项目保密措施的说明（</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方案内容全面完整详细、具有明确针对性、操作流程清晰明了的得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分；方案内容完整、针对性不突出、操作流程存在不明确的得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分；方案无实质性内容、针对性缺失、操作流程不具备可实施性的得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分；未提供不得分。本项最高为</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ind w:firstLine="482"/>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拟派项目负责人的比较</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16</w:t>
      </w:r>
      <w:r>
        <w:rPr>
          <w:rFonts w:hint="eastAsia" w:ascii="宋体" w:hAnsi="宋体" w:cs="宋体"/>
          <w:b/>
          <w:bCs/>
          <w:color w:val="auto"/>
          <w:sz w:val="24"/>
          <w:szCs w:val="24"/>
          <w:highlight w:val="none"/>
        </w:rPr>
        <w:t xml:space="preserve">分）</w:t>
      </w:r>
      <w:r/>
    </w:p>
    <w:p>
      <w:pPr>
        <w:ind w:firstLine="480"/>
        <w:spacing w:line="360" w:lineRule="auto"/>
        <w:widowControl/>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拟派</w:t>
      </w:r>
      <w:r>
        <w:rPr>
          <w:rFonts w:hint="eastAsia" w:ascii="宋体" w:hAnsi="宋体" w:cs="宋体"/>
          <w:b w:val="0"/>
          <w:bCs w:val="0"/>
          <w:color w:val="auto"/>
          <w:sz w:val="24"/>
          <w:szCs w:val="24"/>
          <w:highlight w:val="none"/>
        </w:rPr>
        <w:t xml:space="preserve">项目负责人具备一级注册造价工程师的得</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rPr>
        <w:t xml:space="preserve">；本项最高得</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w:t>
      </w:r>
      <w:r>
        <w:rPr>
          <w:rFonts w:hint="eastAsia" w:ascii="宋体" w:hAnsi="宋体" w:cs="宋体"/>
          <w:b w:val="0"/>
          <w:bCs w:val="0"/>
          <w:color w:val="auto"/>
          <w:sz w:val="24"/>
          <w:szCs w:val="24"/>
          <w:highlight w:val="none"/>
        </w:rPr>
        <w:t xml:space="preserve">。</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注：</w:t>
      </w:r>
      <w:r>
        <w:rPr>
          <w:rFonts w:hint="eastAsia" w:ascii="宋体" w:hAnsi="宋体" w:cs="宋体"/>
          <w:b/>
          <w:bCs/>
          <w:color w:val="auto"/>
          <w:sz w:val="24"/>
          <w:szCs w:val="24"/>
          <w:highlight w:val="none"/>
          <w:lang w:val="en-US" w:eastAsia="zh-CN"/>
        </w:rPr>
        <w:t xml:space="preserve">投标文件中需提供项目负责人注册证书及投标单位为其缴纳的近3个月社保证明扫描件并加盖投标单位公章，未提供或提供不全不得分。）</w:t>
      </w:r>
      <w:r/>
    </w:p>
    <w:p>
      <w:pPr>
        <w:ind w:firstLine="48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拟派</w:t>
      </w:r>
      <w:r>
        <w:rPr>
          <w:rFonts w:hint="eastAsia" w:ascii="宋体" w:hAnsi="宋体" w:cs="宋体"/>
          <w:b w:val="0"/>
          <w:bCs w:val="0"/>
          <w:color w:val="auto"/>
          <w:sz w:val="24"/>
          <w:szCs w:val="24"/>
          <w:highlight w:val="none"/>
        </w:rPr>
        <w:t xml:space="preserve">项目负责人具备高级工程师及以上职称的得</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rPr>
        <w:t xml:space="preserve">；本项最高得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rPr>
          <w:rFonts w:hint="eastAsia" w:ascii="宋体" w:hAnsi="宋体" w:cs="宋体"/>
          <w:b w:val="0"/>
          <w:bCs w:val="0"/>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注：</w:t>
      </w:r>
      <w:r>
        <w:rPr>
          <w:rFonts w:hint="eastAsia" w:ascii="宋体" w:hAnsi="宋体" w:cs="宋体"/>
          <w:b/>
          <w:bCs/>
          <w:color w:val="auto"/>
          <w:sz w:val="24"/>
          <w:szCs w:val="24"/>
          <w:highlight w:val="none"/>
          <w:lang w:val="en-US" w:eastAsia="zh-CN"/>
        </w:rPr>
        <w:t xml:space="preserve">投标文件中需提供项目负责人职称证书及投标单位为其缴纳的近3个月社保证明扫描件并加盖投标单位公章，未提供或提供不全不得分。）</w:t>
      </w:r>
      <w:r/>
    </w:p>
    <w:p>
      <w:pPr>
        <w:ind w:firstLine="480"/>
        <w:spacing w:line="360" w:lineRule="auto"/>
        <w:widowControl/>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eastAsia="zh-CN"/>
        </w:rPr>
        <w:t xml:space="preserve">3）</w:t>
      </w:r>
      <w:r>
        <w:rPr>
          <w:rFonts w:hint="eastAsia" w:ascii="宋体" w:hAnsi="宋体" w:cs="宋体"/>
          <w:b w:val="0"/>
          <w:bCs w:val="0"/>
          <w:color w:val="auto"/>
          <w:sz w:val="24"/>
          <w:szCs w:val="24"/>
          <w:highlight w:val="none"/>
          <w:lang w:val="en-US" w:eastAsia="zh-CN"/>
        </w:rPr>
        <w:t xml:space="preserve">拟派</w:t>
      </w:r>
      <w:r>
        <w:rPr>
          <w:rFonts w:hint="eastAsia" w:ascii="宋体" w:hAnsi="宋体" w:eastAsia="宋体" w:cs="宋体"/>
          <w:b w:val="0"/>
          <w:bCs w:val="0"/>
          <w:color w:val="auto"/>
          <w:sz w:val="24"/>
          <w:szCs w:val="24"/>
          <w:highlight w:val="none"/>
        </w:rPr>
        <w:t xml:space="preserve">项目负责人</w:t>
      </w:r>
      <w:r>
        <w:rPr>
          <w:rFonts w:hint="eastAsia" w:ascii="宋体" w:hAnsi="宋体" w:cs="宋体"/>
          <w:b w:val="0"/>
          <w:bCs w:val="0"/>
          <w:color w:val="auto"/>
          <w:sz w:val="24"/>
          <w:szCs w:val="24"/>
          <w:highlight w:val="none"/>
          <w:lang w:val="en-US" w:eastAsia="zh-CN"/>
        </w:rPr>
        <w:t xml:space="preserve">取得</w:t>
      </w:r>
      <w:r>
        <w:rPr>
          <w:rFonts w:hint="eastAsia" w:ascii="宋体" w:hAnsi="宋体" w:eastAsia="宋体" w:cs="宋体"/>
          <w:b w:val="0"/>
          <w:bCs w:val="0"/>
          <w:color w:val="auto"/>
          <w:sz w:val="24"/>
          <w:szCs w:val="24"/>
          <w:highlight w:val="none"/>
        </w:rPr>
        <w:t xml:space="preserve">一级造价工程师</w:t>
      </w:r>
      <w:r>
        <w:rPr>
          <w:rFonts w:hint="eastAsia" w:ascii="宋体" w:hAnsi="宋体" w:cs="宋体"/>
          <w:b w:val="0"/>
          <w:bCs w:val="0"/>
          <w:color w:val="auto"/>
          <w:sz w:val="24"/>
          <w:szCs w:val="24"/>
          <w:highlight w:val="none"/>
          <w:lang w:val="en-US" w:eastAsia="zh-CN"/>
        </w:rPr>
        <w:t xml:space="preserve">资格证书</w:t>
      </w:r>
      <w:r>
        <w:rPr>
          <w:rFonts w:hint="eastAsia" w:ascii="宋体" w:hAnsi="宋体" w:eastAsia="宋体" w:cs="宋体"/>
          <w:b w:val="0"/>
          <w:bCs w:val="0"/>
          <w:color w:val="auto"/>
          <w:sz w:val="24"/>
          <w:szCs w:val="24"/>
          <w:highlight w:val="none"/>
        </w:rPr>
        <w:t xml:space="preserve">年限满10年及以上的得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分；5年（含）</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10年（不含）的得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分；5年以下不得分；本项最高得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分</w:t>
      </w:r>
      <w:r>
        <w:rPr>
          <w:rFonts w:hint="eastAsia" w:ascii="宋体" w:hAnsi="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年限以取得造价工程师执业证书时间为准）。</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注：</w:t>
      </w:r>
      <w:r>
        <w:rPr>
          <w:rFonts w:hint="eastAsia" w:ascii="宋体" w:hAnsi="宋体" w:cs="宋体"/>
          <w:b/>
          <w:bCs/>
          <w:color w:val="auto"/>
          <w:sz w:val="24"/>
          <w:szCs w:val="24"/>
          <w:highlight w:val="none"/>
          <w:lang w:val="en-US" w:eastAsia="zh-CN"/>
        </w:rPr>
        <w:t xml:space="preserve">投标文件中需提供项目负责人资格证书及投标单位为其缴纳的近3个月社保证明扫描件并加盖投标单位公章，未提供或提供不全不得分。）</w:t>
      </w:r>
      <w:r/>
    </w:p>
    <w:p>
      <w:pPr>
        <w:ind w:firstLine="480"/>
        <w:spacing w:line="360" w:lineRule="auto"/>
        <w:widowControl/>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eastAsia="zh-CN"/>
        </w:rPr>
        <w:t xml:space="preserve">4）</w:t>
      </w:r>
      <w:r>
        <w:rPr>
          <w:rFonts w:hint="eastAsia" w:ascii="宋体" w:hAnsi="宋体" w:cs="宋体"/>
          <w:b w:val="0"/>
          <w:bCs w:val="0"/>
          <w:color w:val="auto"/>
          <w:sz w:val="24"/>
          <w:szCs w:val="24"/>
          <w:highlight w:val="none"/>
          <w:lang w:val="en-US" w:eastAsia="zh-CN"/>
        </w:rPr>
        <w:t xml:space="preserve">拟派</w:t>
      </w:r>
      <w:r>
        <w:rPr>
          <w:rFonts w:hint="eastAsia" w:ascii="宋体" w:hAnsi="宋体" w:eastAsia="宋体" w:cs="宋体"/>
          <w:b w:val="0"/>
          <w:bCs w:val="0"/>
          <w:color w:val="auto"/>
          <w:sz w:val="24"/>
          <w:szCs w:val="24"/>
          <w:highlight w:val="none"/>
        </w:rPr>
        <w:t xml:space="preserve">项目负责人自202</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年</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rPr>
        <w:t xml:space="preserve">至今（以出具的审计报告时间为准）担任过</w:t>
      </w:r>
      <w:r>
        <w:rPr>
          <w:rFonts w:hint="eastAsia" w:ascii="宋体" w:hAnsi="宋体" w:eastAsia="宋体" w:cs="宋体"/>
          <w:b w:val="0"/>
          <w:bCs w:val="0"/>
          <w:color w:val="auto"/>
          <w:sz w:val="24"/>
          <w:szCs w:val="24"/>
          <w:highlight w:val="none"/>
          <w:lang w:val="en-US" w:eastAsia="zh-CN"/>
        </w:rPr>
        <w:t xml:space="preserve">市政类</w:t>
      </w:r>
      <w:r>
        <w:rPr>
          <w:rFonts w:hint="eastAsia" w:ascii="宋体" w:hAnsi="宋体" w:eastAsia="宋体" w:cs="宋体"/>
          <w:b w:val="0"/>
          <w:bCs w:val="0"/>
          <w:color w:val="auto"/>
          <w:sz w:val="24"/>
          <w:szCs w:val="24"/>
          <w:highlight w:val="none"/>
        </w:rPr>
        <w:t xml:space="preserve">结算审计项目（担任项目负责人）</w:t>
      </w:r>
      <w:r>
        <w:rPr>
          <w:rFonts w:hint="eastAsia" w:ascii="宋体" w:hAnsi="宋体" w:cs="宋体"/>
          <w:b w:val="0"/>
          <w:bCs w:val="0"/>
          <w:color w:val="auto"/>
          <w:sz w:val="24"/>
          <w:szCs w:val="24"/>
          <w:highlight w:val="none"/>
          <w:lang w:val="en-US" w:eastAsia="zh-CN"/>
        </w:rPr>
        <w:t xml:space="preserve">且</w:t>
      </w:r>
      <w:r>
        <w:rPr>
          <w:rFonts w:hint="eastAsia" w:ascii="宋体" w:hAnsi="宋体" w:eastAsia="宋体" w:cs="宋体"/>
          <w:b w:val="0"/>
          <w:bCs w:val="0"/>
          <w:color w:val="auto"/>
          <w:sz w:val="24"/>
          <w:szCs w:val="24"/>
          <w:highlight w:val="none"/>
        </w:rPr>
        <w:t xml:space="preserve">单个审计项目审定金额</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亿元及以上的得</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分；单个审计项目审定金额</w:t>
      </w:r>
      <w:r>
        <w:rPr>
          <w:rFonts w:hint="eastAsia" w:ascii="宋体" w:hAnsi="宋体" w:eastAsia="宋体" w:cs="宋体"/>
          <w:b w:val="0"/>
          <w:bCs w:val="0"/>
          <w:color w:val="auto"/>
          <w:sz w:val="24"/>
          <w:szCs w:val="24"/>
          <w:highlight w:val="none"/>
          <w:lang w:val="en-US" w:eastAsia="zh-CN"/>
        </w:rPr>
        <w:t xml:space="preserve">0.5</w:t>
      </w:r>
      <w:r>
        <w:rPr>
          <w:rFonts w:hint="eastAsia" w:ascii="宋体" w:hAnsi="宋体" w:eastAsia="宋体" w:cs="宋体"/>
          <w:b w:val="0"/>
          <w:bCs w:val="0"/>
          <w:color w:val="auto"/>
          <w:sz w:val="24"/>
          <w:szCs w:val="24"/>
          <w:highlight w:val="none"/>
        </w:rPr>
        <w:t xml:space="preserve">亿元（含）</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亿元（不含）的得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分；其余不得分；限评2个项目，本项最高得</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分。</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注：</w:t>
      </w:r>
      <w:r>
        <w:rPr>
          <w:rFonts w:hint="eastAsia" w:ascii="宋体" w:hAnsi="宋体" w:cs="宋体"/>
          <w:b/>
          <w:bCs/>
          <w:color w:val="auto"/>
          <w:sz w:val="24"/>
          <w:szCs w:val="24"/>
          <w:highlight w:val="none"/>
          <w:lang w:val="en-US" w:eastAsia="zh-CN"/>
        </w:rPr>
        <w:t xml:space="preserve">投标文件中需提供提供审计合同、审计报告扫描件加盖投标单位公章，未提供或提供不全不得分。金额以审计报告中的审定金额为准。如合同内未显示项目负责人名字的，需另附相应甲方加盖公章的证明材料扫描件。）</w:t>
      </w:r>
      <w:r/>
    </w:p>
    <w:p>
      <w:pPr>
        <w:ind w:firstLine="482"/>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项目组</w:t>
      </w:r>
      <w:r>
        <w:rPr>
          <w:rFonts w:hint="eastAsia" w:ascii="宋体" w:hAnsi="宋体" w:cs="宋体"/>
          <w:b/>
          <w:bCs/>
          <w:color w:val="auto"/>
          <w:sz w:val="24"/>
          <w:szCs w:val="24"/>
          <w:highlight w:val="none"/>
          <w:lang w:val="en-US" w:eastAsia="zh-CN"/>
        </w:rPr>
        <w:t xml:space="preserve">成员比较</w:t>
      </w:r>
      <w:r>
        <w:rPr>
          <w:rFonts w:hint="eastAsia" w:ascii="宋体" w:hAnsi="宋体" w:cs="宋体"/>
          <w:b/>
          <w:bCs/>
          <w:color w:val="auto"/>
          <w:sz w:val="24"/>
          <w:szCs w:val="24"/>
          <w:highlight w:val="none"/>
        </w:rPr>
        <w:t xml:space="preserve">（除项目负责人外）（</w:t>
      </w:r>
      <w:r>
        <w:rPr>
          <w:rFonts w:hint="eastAsia" w:ascii="宋体" w:hAnsi="宋体" w:cs="宋体"/>
          <w:b/>
          <w:bCs/>
          <w:color w:val="auto"/>
          <w:sz w:val="24"/>
          <w:szCs w:val="24"/>
          <w:highlight w:val="none"/>
          <w:lang w:val="en-US" w:eastAsia="zh-CN"/>
        </w:rPr>
        <w:t xml:space="preserve">24</w:t>
      </w:r>
      <w:r>
        <w:rPr>
          <w:rFonts w:hint="eastAsia" w:ascii="宋体" w:hAnsi="宋体" w:cs="宋体"/>
          <w:b/>
          <w:bCs/>
          <w:color w:val="auto"/>
          <w:sz w:val="24"/>
          <w:szCs w:val="24"/>
          <w:highlight w:val="none"/>
        </w:rPr>
        <w:t xml:space="preserve">分）</w:t>
      </w:r>
      <w:r/>
    </w:p>
    <w:p>
      <w:pPr>
        <w:ind w:firstLine="480"/>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根据投标单位为本项目配备的市政专业造价咨询人员进行比较：</w:t>
      </w:r>
      <w:r/>
    </w:p>
    <w:p>
      <w:pPr>
        <w:ind w:firstLine="480"/>
        <w:spacing w:line="360" w:lineRule="auto"/>
        <w:widowControl/>
        <w:rPr>
          <w:rFonts w:hint="default" w:ascii="宋体" w:hAnsi="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市政专业造价咨询人员具有一级注册造价工程师的，每人得2分；具有二级注册造价师的，每人得1分；本项最高得12分；（</w:t>
      </w:r>
      <w:r>
        <w:rPr>
          <w:rFonts w:hint="eastAsia" w:ascii="宋体" w:hAnsi="宋体" w:cs="宋体"/>
          <w:b/>
          <w:bCs/>
          <w:color w:val="auto"/>
          <w:sz w:val="24"/>
          <w:szCs w:val="24"/>
          <w:highlight w:val="none"/>
          <w:lang w:val="en-US" w:eastAsia="zh-CN"/>
        </w:rPr>
        <w:t xml:space="preserve">注：限评6人。市政专业包括市政工程、市政公用工程、市政道路桥梁、市政道桥工程、市政路桥工程、市政工程技术、道路桥梁工程技术、公路与城市道路工程、给水排水工程、给排水科学与工程、给排水工程技术等；专业以注册证或毕业证或职称证或造价员上岗证书专业为准。投标文件中需提供人员名单、相应证书及投标单位为其缴纳的近3个月社保证明扫描件并加盖投标单位公章，未提供或提供不全不得分。）</w:t>
      </w:r>
      <w:r/>
    </w:p>
    <w:p>
      <w:pPr>
        <w:ind w:firstLine="480"/>
        <w:spacing w:line="360" w:lineRule="auto"/>
        <w:widowControl/>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（2）根据投标单位为本项目配备的机电安装专业造价咨询人员进行比较：</w:t>
      </w:r>
      <w:r/>
    </w:p>
    <w:p>
      <w:pPr>
        <w:ind w:firstLine="480"/>
        <w:spacing w:line="360" w:lineRule="auto"/>
        <w:widowControl/>
        <w:rPr>
          <w:rFonts w:hint="default" w:ascii="宋体" w:hAnsi="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机电安装专业造价咨询人员具有一级注册造价工程师的，每人得2分；具有二级注册造价师的，每人得1分；本项最高得4分；</w:t>
      </w:r>
      <w:r>
        <w:rPr>
          <w:rFonts w:hint="eastAsia" w:ascii="宋体" w:hAnsi="宋体" w:cs="宋体"/>
          <w:b/>
          <w:bCs/>
          <w:color w:val="auto"/>
          <w:sz w:val="24"/>
          <w:szCs w:val="24"/>
          <w:highlight w:val="none"/>
          <w:lang w:val="en-US" w:eastAsia="zh-CN"/>
        </w:rPr>
        <w:t xml:space="preserve">（注：限评2人。机电安装专业包括安装工程、机电工程、机电设备工程、机电一体化、机械设备、电气、电气工程、电气自动化、自动化控制、建筑机电等；专业以注册证或毕业证或职称证或造价员上岗证书专业为准。投标文件中需提供人员名单、相应证书及投标单位为其缴纳的近3个月社保证明扫描件并加盖投标单位公章，未提供或提供不全不得分。）</w:t>
      </w:r>
      <w:r/>
    </w:p>
    <w:p>
      <w:pPr>
        <w:ind w:firstLine="482"/>
        <w:spacing w:line="360" w:lineRule="auto"/>
        <w:widowControl/>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注：（1）-（2）条款中，如同一人员具有多个专业的，不重复计分。</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拟</w:t>
      </w:r>
      <w:r>
        <w:rPr>
          <w:rFonts w:hint="eastAsia" w:ascii="宋体" w:hAnsi="宋体" w:cs="宋体"/>
          <w:color w:val="auto"/>
          <w:sz w:val="24"/>
          <w:szCs w:val="24"/>
          <w:highlight w:val="none"/>
          <w:lang w:val="en-US" w:eastAsia="zh-CN"/>
        </w:rPr>
        <w:t xml:space="preserve">派项目组成员</w:t>
      </w:r>
      <w:r>
        <w:rPr>
          <w:rFonts w:hint="eastAsia" w:ascii="宋体" w:hAnsi="宋体" w:cs="宋体"/>
          <w:color w:val="auto"/>
          <w:sz w:val="24"/>
          <w:szCs w:val="24"/>
          <w:highlight w:val="none"/>
        </w:rPr>
        <w:t xml:space="preserve">中具备高级工程师及以上职称的，每人</w:t>
      </w:r>
      <w:r>
        <w:rPr>
          <w:rFonts w:hint="eastAsia" w:ascii="宋体" w:hAnsi="宋体" w:cs="宋体"/>
          <w:color w:val="auto"/>
          <w:sz w:val="24"/>
          <w:szCs w:val="24"/>
          <w:highlight w:val="none"/>
          <w:lang w:val="en-US" w:eastAsia="zh-CN"/>
        </w:rPr>
        <w:t xml:space="preserve">得1</w:t>
      </w:r>
      <w:r>
        <w:rPr>
          <w:rFonts w:hint="eastAsia" w:ascii="宋体" w:hAnsi="宋体" w:cs="宋体"/>
          <w:color w:val="auto"/>
          <w:sz w:val="24"/>
          <w:szCs w:val="24"/>
          <w:highlight w:val="none"/>
        </w:rPr>
        <w:t xml:space="preserve">分；</w:t>
      </w:r>
      <w:r>
        <w:rPr>
          <w:rFonts w:hint="eastAsia" w:ascii="宋体" w:hAnsi="宋体" w:cs="宋体"/>
          <w:strike w:val="0"/>
          <w:color w:val="auto"/>
          <w:sz w:val="24"/>
          <w:szCs w:val="24"/>
          <w:highlight w:val="none"/>
        </w:rPr>
        <w:t xml:space="preserve">具备工程师职称的，每人</w:t>
      </w:r>
      <w:r>
        <w:rPr>
          <w:rFonts w:hint="eastAsia" w:ascii="宋体" w:hAnsi="宋体" w:cs="宋体"/>
          <w:strike w:val="0"/>
          <w:color w:val="auto"/>
          <w:sz w:val="24"/>
          <w:szCs w:val="24"/>
          <w:highlight w:val="none"/>
          <w:lang w:val="en-US" w:eastAsia="zh-CN"/>
        </w:rPr>
        <w:t xml:space="preserve">0.5</w:t>
      </w:r>
      <w:r>
        <w:rPr>
          <w:rFonts w:hint="eastAsia" w:ascii="宋体" w:hAnsi="宋体" w:cs="宋体"/>
          <w:strike w:val="0"/>
          <w:color w:val="auto"/>
          <w:sz w:val="24"/>
          <w:szCs w:val="24"/>
          <w:highlight w:val="none"/>
        </w:rPr>
        <w:t xml:space="preserve">分；</w:t>
      </w:r>
      <w:r>
        <w:rPr>
          <w:rFonts w:hint="eastAsia" w:ascii="宋体" w:hAnsi="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rPr>
          <w:rFonts w:hint="eastAsia" w:ascii="宋体" w:hAnsi="宋体" w:cs="宋体"/>
          <w:b/>
          <w:bCs/>
          <w:color w:val="auto"/>
          <w:sz w:val="24"/>
          <w:szCs w:val="24"/>
          <w:highlight w:val="none"/>
        </w:rPr>
        <w:t xml:space="preserve">注：限评</w:t>
      </w: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人，投标文件中</w:t>
      </w:r>
      <w:r>
        <w:rPr>
          <w:rFonts w:hint="eastAsia" w:ascii="宋体" w:hAnsi="宋体" w:cs="宋体"/>
          <w:b/>
          <w:bCs/>
          <w:color w:val="auto"/>
          <w:sz w:val="24"/>
          <w:szCs w:val="24"/>
          <w:highlight w:val="none"/>
          <w:lang w:val="en-US" w:eastAsia="zh-CN"/>
        </w:rPr>
        <w:t xml:space="preserve">需</w:t>
      </w:r>
      <w:r>
        <w:rPr>
          <w:rFonts w:hint="eastAsia" w:ascii="宋体" w:hAnsi="宋体" w:cs="宋体"/>
          <w:b/>
          <w:bCs/>
          <w:color w:val="auto"/>
          <w:sz w:val="24"/>
          <w:szCs w:val="24"/>
          <w:highlight w:val="none"/>
        </w:rPr>
        <w:t xml:space="preserve">提供人员名单、</w:t>
      </w:r>
      <w:r>
        <w:rPr>
          <w:rFonts w:hint="eastAsia" w:ascii="宋体" w:hAnsi="宋体" w:cs="宋体"/>
          <w:b/>
          <w:bCs/>
          <w:color w:val="auto"/>
          <w:sz w:val="24"/>
          <w:szCs w:val="24"/>
          <w:highlight w:val="none"/>
          <w:lang w:val="en-US" w:eastAsia="zh-CN"/>
        </w:rPr>
        <w:t xml:space="preserve">相应</w:t>
      </w:r>
      <w:r>
        <w:rPr>
          <w:rFonts w:hint="eastAsia" w:ascii="宋体" w:hAnsi="宋体" w:cs="宋体"/>
          <w:b/>
          <w:bCs/>
          <w:color w:val="auto"/>
          <w:sz w:val="24"/>
          <w:szCs w:val="24"/>
          <w:highlight w:val="none"/>
        </w:rPr>
        <w:t xml:space="preserve">证书</w:t>
      </w:r>
      <w:r>
        <w:rPr>
          <w:rFonts w:hint="eastAsia" w:ascii="宋体" w:hAnsi="宋体" w:cs="宋体"/>
          <w:b/>
          <w:bCs/>
          <w:color w:val="auto"/>
          <w:sz w:val="24"/>
          <w:szCs w:val="24"/>
          <w:highlight w:val="none"/>
          <w:lang w:val="en-US" w:eastAsia="zh-CN"/>
        </w:rPr>
        <w:t xml:space="preserve">及投标单位为其缴纳的近3个月社保证明扫描件并加盖投标单位公章，未提供或提供不全不得分。</w:t>
      </w:r>
      <w:r>
        <w:rPr>
          <w:rFonts w:hint="eastAsia" w:ascii="宋体" w:hAnsi="宋体" w:cs="宋体"/>
          <w:color w:val="auto"/>
          <w:sz w:val="24"/>
          <w:szCs w:val="24"/>
          <w:highlight w:val="none"/>
        </w:rPr>
        <w:t xml:space="preserve">）</w:t>
      </w:r>
      <w:r/>
    </w:p>
    <w:p>
      <w:pPr>
        <w:ind w:firstLine="482"/>
        <w:spacing w:line="360" w:lineRule="auto"/>
        <w:widowControl/>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、企业综合实力（</w:t>
      </w:r>
      <w:r>
        <w:rPr>
          <w:rFonts w:hint="eastAsia" w:ascii="宋体" w:hAnsi="宋体" w:cs="宋体"/>
          <w:b/>
          <w:bCs/>
          <w:color w:val="auto"/>
          <w:sz w:val="24"/>
          <w:szCs w:val="24"/>
          <w:highlight w:val="none"/>
          <w:lang w:val="en-US" w:eastAsia="zh-CN"/>
        </w:rPr>
        <w:t xml:space="preserve">20</w:t>
      </w:r>
      <w:r>
        <w:rPr>
          <w:rFonts w:hint="eastAsia" w:ascii="宋体" w:hAnsi="宋体" w:cs="宋体"/>
          <w:b/>
          <w:bCs/>
          <w:color w:val="auto"/>
          <w:sz w:val="24"/>
          <w:szCs w:val="24"/>
          <w:highlight w:val="none"/>
        </w:rPr>
        <w:t xml:space="preserve">分）</w:t>
      </w:r>
      <w:r/>
    </w:p>
    <w:p>
      <w:pPr>
        <w:ind w:firstLine="480"/>
        <w:spacing w:line="360" w:lineRule="auto"/>
        <w:widowControl/>
        <w:rPr>
          <w:rFonts w:ascii="宋体" w:hAnsi="宋体" w:cs="宋体"/>
          <w:color w:val="auto"/>
          <w:sz w:val="24"/>
          <w:szCs w:val="24"/>
          <w:highlight w:val="none"/>
        </w:rPr>
      </w:pPr>
      <w:r>
        <w:rPr>
          <w:rFonts w:hint="eastAsia" w:ascii="宋体" w:hAnsi="宋体" w:cs="宋体"/>
          <w:b w:val="0"/>
          <w:bCs w:val="0"/>
          <w:color w:val="auto"/>
          <w:sz w:val="24"/>
          <w:szCs w:val="24"/>
          <w:highlight w:val="none"/>
        </w:rPr>
        <w:t xml:space="preserve">（1）投</w:t>
      </w:r>
      <w:r>
        <w:rPr>
          <w:rFonts w:hint="eastAsia" w:ascii="宋体" w:hAnsi="宋体" w:cs="宋体"/>
          <w:color w:val="auto"/>
          <w:sz w:val="24"/>
          <w:szCs w:val="24"/>
          <w:highlight w:val="none"/>
        </w:rPr>
        <w:t xml:space="preserve">标单位具备在有效期内的质量管理体系认证证书的得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分；环境管理体系认证证书的得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分；职业健康安全管理体系认证证书的得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分，本项最高</w:t>
      </w:r>
      <w:r>
        <w:rPr>
          <w:rFonts w:hint="eastAsia" w:ascii="宋体" w:hAnsi="宋体" w:cs="宋体"/>
          <w:color w:val="auto"/>
          <w:sz w:val="24"/>
          <w:szCs w:val="24"/>
          <w:highlight w:val="none"/>
          <w:lang w:val="en-US" w:eastAsia="zh-CN"/>
        </w:rPr>
        <w:t xml:space="preserve">得4</w:t>
      </w:r>
      <w:r>
        <w:rPr>
          <w:rFonts w:hint="eastAsia" w:ascii="宋体" w:hAnsi="宋体" w:cs="宋体"/>
          <w:color w:val="auto"/>
          <w:sz w:val="24"/>
          <w:szCs w:val="24"/>
          <w:highlight w:val="none"/>
        </w:rPr>
        <w:t xml:space="preserve">分。</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rPr>
        <w:t xml:space="preserve">注：</w:t>
      </w:r>
      <w:r>
        <w:rPr>
          <w:rFonts w:hint="eastAsia" w:ascii="宋体" w:hAnsi="宋体" w:cs="宋体"/>
          <w:b/>
          <w:bCs/>
          <w:color w:val="auto"/>
          <w:sz w:val="24"/>
          <w:szCs w:val="24"/>
          <w:highlight w:val="none"/>
        </w:rPr>
        <w:t xml:space="preserve">投标文件中需提供证书扫描件及中国国家认证认可监督管理委员会网站查询页面完整截图并加盖投标单位公章</w:t>
      </w:r>
      <w:r>
        <w:rPr>
          <w:rFonts w:hint="eastAsia" w:ascii="宋体" w:hAnsi="宋体" w:cs="宋体"/>
          <w:b/>
          <w:bCs/>
          <w:color w:val="auto"/>
          <w:sz w:val="24"/>
          <w:szCs w:val="24"/>
          <w:highlight w:val="none"/>
          <w:lang w:val="en-US" w:eastAsia="zh-CN"/>
        </w:rPr>
        <w:t xml:space="preserve">，未提供或提供不全不得分。</w:t>
      </w:r>
      <w:r>
        <w:rPr>
          <w:rFonts w:hint="eastAsia" w:ascii="宋体" w:hAnsi="宋体" w:cs="宋体"/>
          <w:b/>
          <w:bCs/>
          <w:color w:val="auto"/>
          <w:sz w:val="24"/>
          <w:szCs w:val="24"/>
          <w:highlight w:val="none"/>
        </w:rPr>
        <w:t xml:space="preserve">）</w:t>
      </w:r>
      <w:r/>
    </w:p>
    <w:p>
      <w:pPr>
        <w:ind w:firstLine="480"/>
        <w:spacing w:line="360" w:lineRule="auto"/>
        <w:widowControl/>
        <w:rPr>
          <w:rFonts w:ascii="宋体" w:hAnsi="宋体" w:cs="宋体"/>
          <w:color w:val="auto"/>
          <w:sz w:val="24"/>
          <w:szCs w:val="24"/>
          <w:highlight w:val="none"/>
        </w:rPr>
      </w:pPr>
      <w:r>
        <w:rPr>
          <w:rFonts w:hint="eastAsia" w:ascii="宋体" w:hAnsi="宋体" w:cs="宋体"/>
          <w:b w:val="0"/>
          <w:bCs w:val="0"/>
          <w:color w:val="auto"/>
          <w:sz w:val="24"/>
          <w:szCs w:val="24"/>
          <w:highlight w:val="none"/>
          <w:lang w:val="en-US" w:eastAsia="zh-CN"/>
        </w:rPr>
        <w:t xml:space="preserve">（2）</w:t>
      </w:r>
      <w:r>
        <w:rPr>
          <w:rFonts w:hint="eastAsia" w:ascii="宋体" w:hAnsi="宋体" w:cs="宋体"/>
          <w:color w:val="auto"/>
          <w:sz w:val="24"/>
          <w:szCs w:val="24"/>
          <w:highlight w:val="none"/>
        </w:rPr>
        <w:t xml:space="preserve">投标单位自2023年7月1日至今（以合同签订日期为准）承担过类似项目业绩</w:t>
      </w:r>
      <w:r>
        <w:rPr>
          <w:rFonts w:hint="eastAsia" w:ascii="宋体" w:hAnsi="宋体" w:cs="宋体"/>
          <w:color w:val="auto"/>
          <w:sz w:val="24"/>
          <w:szCs w:val="24"/>
          <w:highlight w:val="none"/>
          <w:lang w:val="en-US" w:eastAsia="zh-CN"/>
        </w:rPr>
        <w:t xml:space="preserve">且项目审定金额在5000万及以上（以审定报告中的审定金额为准）的</w:t>
      </w:r>
      <w:r>
        <w:rPr>
          <w:rFonts w:hint="eastAsia" w:ascii="宋体" w:hAnsi="宋体" w:cs="宋体"/>
          <w:color w:val="auto"/>
          <w:sz w:val="24"/>
          <w:szCs w:val="24"/>
          <w:highlight w:val="none"/>
        </w:rPr>
        <w:t xml:space="preserve">，有一个得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rPr>
        <w:t xml:space="preserve">分。</w:t>
      </w:r>
      <w:r>
        <w:rPr>
          <w:rFonts w:hint="eastAsia" w:ascii="宋体" w:hAnsi="宋体" w:cs="宋体"/>
          <w:b/>
          <w:bCs/>
          <w:color w:val="auto"/>
          <w:sz w:val="24"/>
          <w:szCs w:val="24"/>
          <w:highlight w:val="none"/>
        </w:rPr>
        <w:t xml:space="preserve">（投标文件中需提供业绩合同</w:t>
      </w:r>
      <w:r>
        <w:rPr>
          <w:rFonts w:hint="eastAsia" w:ascii="宋体" w:hAnsi="宋体" w:cs="宋体"/>
          <w:b/>
          <w:bCs/>
          <w:color w:val="auto"/>
          <w:sz w:val="24"/>
          <w:szCs w:val="24"/>
          <w:highlight w:val="none"/>
          <w:lang w:val="en-US" w:eastAsia="zh-CN"/>
        </w:rPr>
        <w:t xml:space="preserve">及审定报告扫描件</w:t>
      </w:r>
      <w:r>
        <w:rPr>
          <w:rFonts w:hint="eastAsia" w:ascii="宋体" w:hAnsi="宋体" w:cs="宋体"/>
          <w:b/>
          <w:bCs/>
          <w:color w:val="auto"/>
          <w:sz w:val="24"/>
          <w:szCs w:val="24"/>
          <w:highlight w:val="none"/>
        </w:rPr>
        <w:t xml:space="preserve">并加盖投标单位公章</w:t>
      </w:r>
      <w:r>
        <w:rPr>
          <w:rFonts w:hint="eastAsia" w:ascii="宋体" w:hAnsi="宋体" w:cs="宋体"/>
          <w:b/>
          <w:bCs/>
          <w:color w:val="auto"/>
          <w:sz w:val="24"/>
          <w:szCs w:val="24"/>
          <w:highlight w:val="none"/>
          <w:lang w:val="en-US" w:eastAsia="zh-CN"/>
        </w:rPr>
        <w:t xml:space="preserve">，未提供或提供不全不得分。</w:t>
      </w:r>
      <w:r>
        <w:rPr>
          <w:rFonts w:hint="eastAsia" w:ascii="宋体" w:hAnsi="宋体" w:cs="宋体"/>
          <w:b/>
          <w:bCs/>
          <w:color w:val="auto"/>
          <w:sz w:val="24"/>
          <w:szCs w:val="24"/>
          <w:highlight w:val="none"/>
        </w:rPr>
        <w:t xml:space="preserve">）</w:t>
      </w:r>
      <w:r/>
    </w:p>
    <w:p>
      <w:pPr>
        <w:pStyle w:val="789"/>
        <w:rPr>
          <w:rFonts w:ascii="宋体" w:hAnsi="宋体" w:cs="宋体"/>
          <w:b/>
          <w:bCs/>
          <w:color w:val="auto"/>
          <w:sz w:val="24"/>
          <w:szCs w:val="24"/>
          <w:highlight w:val="none"/>
          <w:lang w:val="en-US"/>
        </w:rPr>
      </w:pPr>
      <w:r>
        <w:rPr>
          <w:rFonts w:ascii="宋体" w:hAnsi="宋体" w:cs="宋体"/>
          <w:b/>
          <w:bCs/>
          <w:color w:val="auto"/>
          <w:sz w:val="24"/>
          <w:szCs w:val="24"/>
          <w:highlight w:val="none"/>
          <w:lang w:val="en-US"/>
        </w:rPr>
      </w:r>
      <w:r/>
    </w:p>
    <w:p>
      <w:pPr>
        <w:pStyle w:val="789"/>
        <w:ind w:firstLine="0"/>
        <w:rPr>
          <w:rFonts w:ascii="宋体" w:hAnsi="宋体" w:cs="宋体"/>
          <w:b/>
          <w:bCs/>
          <w:color w:val="auto"/>
          <w:sz w:val="24"/>
          <w:szCs w:val="24"/>
          <w:highlight w:val="none"/>
          <w:lang w:val="en-US"/>
        </w:rPr>
      </w:pPr>
      <w:r>
        <w:rPr>
          <w:rFonts w:ascii="宋体" w:hAnsi="宋体" w:cs="宋体"/>
          <w:b/>
          <w:bCs/>
          <w:color w:val="auto"/>
          <w:sz w:val="24"/>
          <w:szCs w:val="24"/>
          <w:highlight w:val="none"/>
          <w:lang w:val="en-US"/>
        </w:rPr>
      </w:r>
      <w:r/>
    </w:p>
    <w:p>
      <w:pPr>
        <w:ind w:firstLine="48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1、投标报价超采购预算或未按采购要求报价的为无效报价，视为实质性响应。</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2、付款步骤、项目履约期限要求如有负偏离的不得成交。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3、针对评分标准中评分的每一条，投标单位均应提供相关资料并作出相应说明供评委评判，不提供相关资料或所提供资料无法证明的视为不具备该项得分的条件。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投标单位必须保证全部投标资料的真实性，采购单位有权在采购的任何阶段进行调查和核实，如有虚假或对招标文件所要求说明的情况故意隐瞒或虚报，视为不实质性响应招标文件，为无效响应。已成交的将取消成交资格，并按《中华人民共和国政府采购法》第七十七条“提供虚假材料谋取中标、成交”相关处理办法处理。</w:t>
      </w:r>
      <w:bookmarkEnd w:id="39"/>
      <w:r/>
      <w:r/>
    </w:p>
    <w:p>
      <w:pPr>
        <w:jc w:val="righ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（全文完）</w:t>
      </w:r>
      <w:r/>
    </w:p>
    <w:sectPr>
      <w:headerReference w:type="default" r:id="rId10"/>
      <w:footerReference w:type="default" r:id="rId12"/>
      <w:footerReference w:type="even" r:id="rId13"/>
      <w:footnotePr/>
      <w:endnotePr/>
      <w:type w:val="nextPage"/>
      <w:pgSz w:w="11906" w:h="16838" w:orient="portrait"/>
      <w:pgMar w:top="1440" w:right="1080" w:bottom="1440" w:left="1080" w:header="851" w:footer="992" w:gutter="0"/>
      <w:rtlGutter/>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ラ...">
    <w:panose1 w:val="02010600030101010101"/>
  </w:font>
  <w:font w:name="MS Gothic">
    <w:panose1 w:val="020B0609070205080204"/>
  </w:font>
  <w:font w:name="2OcuAe">
    <w:panose1 w:val="020B0503020202020204"/>
  </w:font>
  <w:font w:name="微软雅黑.">
    <w:panose1 w:val="020B0503020204020204"/>
  </w:font>
  <w:font w:name="华文彩云">
    <w:panose1 w:val="02010800040101010101"/>
  </w:font>
  <w:font w:name="昆仑仿宋">
    <w:panose1 w:val="020B0503020202020204"/>
  </w:font>
  <w:font w:name="华文细黑">
    <w:panose1 w:val="02010600040101010101"/>
  </w:font>
  <w:font w:name="华文细黑.">
    <w:panose1 w:val="02010600040101010101"/>
  </w:font>
  <w:font w:name="Cambria">
    <w:panose1 w:val="0204050305040603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ourier New">
    <w:panose1 w:val="02070309020205020404"/>
  </w:font>
  <w:font w:name="Tahoma">
    <w:panose1 w:val="020B060403050404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pPr>
    <w:r>
      <w:fldChar w:fldCharType="begin"/>
    </w:r>
    <w:r>
      <w:instrText xml:space="preserve"> PAGE   \* MERGEFORMAT </w:instrText>
    </w:r>
    <w:r>
      <w:fldChar w:fldCharType="separate"/>
    </w:r>
    <w:r>
      <w:rPr>
        <w:lang w:val="zh-CN"/>
      </w:rPr>
      <w:t xml:space="preserve">35</w:t>
    </w:r>
    <w:r>
      <w:fldChar w:fldCharType="end"/>
    </w:r>
    <w:r/>
  </w:p>
  <w:p>
    <w:pPr>
      <w:pStyle w:val="99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Style w:val="1030"/>
      </w:rPr>
      <w:framePr w:wrap="around" w:vAnchor="text" w:hAnchor="margin" w:xAlign="center" w:y="1"/>
    </w:pPr>
    <w:r>
      <w:fldChar w:fldCharType="begin"/>
    </w:r>
    <w:r>
      <w:rPr>
        <w:rStyle w:val="1030"/>
      </w:rPr>
      <w:instrText xml:space="preserve">PAGE  </w:instrText>
    </w:r>
    <w:r>
      <w:fldChar w:fldCharType="separate"/>
    </w:r>
    <w:r>
      <w:rPr>
        <w:rStyle w:val="1030"/>
      </w:rPr>
      <w:t xml:space="preserve">52</w:t>
    </w:r>
    <w:r>
      <w:fldChar w:fldCharType="end"/>
    </w:r>
    <w:r/>
  </w:p>
  <w:p>
    <w:pPr>
      <w:pStyle w:val="9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Style w:val="1030"/>
      </w:rPr>
      <w:framePr w:wrap="around" w:vAnchor="text" w:hAnchor="margin" w:xAlign="center" w:y="1"/>
    </w:pPr>
    <w:r>
      <w:fldChar w:fldCharType="begin"/>
    </w:r>
    <w:r>
      <w:rPr>
        <w:rStyle w:val="1030"/>
      </w:rPr>
      <w:instrText xml:space="preserve">PAGE  </w:instrText>
    </w:r>
    <w:r>
      <w:fldChar w:fldCharType="end"/>
    </w:r>
    <w:r/>
  </w:p>
  <w:p>
    <w:pPr>
      <w:pStyle w:val="9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ind w:left="-315" w:right="-286" w:firstLine="360"/>
      <w:tabs>
        <w:tab w:val="right" w:pos="8640" w:leader="none"/>
      </w:tabs>
      <w:rPr>
        <w:rFonts w:eastAsia="华文彩云"/>
      </w:rPr>
      <w:pBdr>
        <w:bottom w:val="none" w:color="000000" w:sz="0" w:space="0"/>
      </w:pBdr>
    </w:pPr>
    <w:r>
      <w:rPr>
        <w:rFonts w:eastAsia="华文彩云"/>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59"/>
      <w:isLgl w:val="false"/>
      <w:suff w:val="tab"/>
      <w:lvlText w:val="%1."/>
      <w:lvlJc w:val="left"/>
      <w:pPr>
        <w:ind w:left="900" w:hanging="420"/>
      </w:p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1">
    <w:multiLevelType w:val="hybridMultilevel"/>
    <w:lvl w:ilvl="0">
      <w:start w:val="1"/>
      <w:numFmt w:val="decimal"/>
      <w:pStyle w:val="983"/>
      <w:isLgl w:val="false"/>
      <w:suff w:val="tab"/>
      <w:lvlText w:val="%1."/>
      <w:lvlJc w:val="left"/>
      <w:pPr>
        <w:ind w:left="420" w:hanging="420"/>
        <w:tabs>
          <w:tab w:val="left" w:pos="420" w:leader="none"/>
        </w:tabs>
      </w:pPr>
    </w:lvl>
    <w:lvl w:ilvl="1">
      <w:start w:val="1"/>
      <w:numFmt w:val="decimal"/>
      <w:pStyle w:val="1198"/>
      <w:isLgl w:val="false"/>
      <w:suff w:val="tab"/>
      <w:lvlText w:val="%2．"/>
      <w:lvlJc w:val="left"/>
      <w:pPr>
        <w:ind w:left="780" w:hanging="360"/>
        <w:tabs>
          <w:tab w:val="left" w:pos="780" w:leader="none"/>
        </w:tabs>
      </w:pPr>
    </w:lvl>
    <w:lvl w:ilvl="2">
      <w:start w:val="5"/>
      <w:numFmt w:val="japaneseCounting"/>
      <w:isLgl w:val="false"/>
      <w:suff w:val="tab"/>
      <w:lvlText w:val="%3、"/>
      <w:lvlJc w:val="left"/>
      <w:pPr>
        <w:ind w:left="1560" w:hanging="720"/>
        <w:tabs>
          <w:tab w:val="left" w:pos="15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80"/>
      <w:isLgl w:val="false"/>
      <w:suff w:val="tab"/>
      <w:lvlText w:val="%1."/>
      <w:lvlJc w:val="left"/>
      <w:pPr>
        <w:ind w:left="420" w:hanging="420"/>
      </w:pPr>
      <w:rPr>
        <w:b w:val="0"/>
      </w:rPr>
    </w:lvl>
    <w:lvl w:ilvl="1">
      <w:start w:val="1"/>
      <w:numFmt w:val="lowerLetter"/>
      <w:pStyle w:val="1184"/>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Thousand"/>
      <w:isLgl w:val="false"/>
      <w:suff w:val="tab"/>
      <w:lvlText w:val="%1、"/>
      <w:lvlJc w:val="left"/>
      <w:pPr>
        <w:ind w:left="142" w:firstLine="0"/>
      </w:pPr>
      <w:rPr>
        <w:rFonts w:hint="eastAsia"/>
        <w:b/>
      </w:rPr>
    </w:lvl>
    <w:lvl w:ilvl="1">
      <w:start w:val="1"/>
      <w:numFmt w:val="chineseCountingThousand"/>
      <w:isLgl w:val="false"/>
      <w:suff w:val="tab"/>
      <w:lvlText w:val="(%2)"/>
      <w:lvlJc w:val="left"/>
      <w:pPr>
        <w:ind w:left="142" w:firstLine="0"/>
      </w:pPr>
    </w:lvl>
    <w:lvl w:ilvl="2">
      <w:start w:val="1"/>
      <w:numFmt w:val="decimal"/>
      <w:pStyle w:val="1216"/>
      <w:isLgl w:val="false"/>
      <w:suff w:val="tab"/>
      <w:lvlText w:val="%3."/>
      <w:lvlJc w:val="left"/>
      <w:pPr>
        <w:ind w:left="142" w:firstLine="0"/>
      </w:pPr>
      <w:rPr>
        <w:rFonts w:hint="eastAsia"/>
      </w:rPr>
    </w:lvl>
    <w:lvl w:ilvl="3">
      <w:start w:val="1"/>
      <w:numFmt w:val="decimal"/>
      <w:isLgl w:val="false"/>
      <w:suff w:val="tab"/>
      <w:lvlText w:val="(%4)"/>
      <w:lvlJc w:val="left"/>
      <w:pPr>
        <w:ind w:left="142" w:firstLine="0"/>
      </w:pPr>
    </w:lvl>
    <w:lvl w:ilvl="4">
      <w:start w:val="1"/>
      <w:numFmt w:val="decimal"/>
      <w:isLgl w:val="false"/>
      <w:suff w:val="tab"/>
      <w:lvlText w:val="%1.%2.%3.%4.%5"/>
      <w:lvlJc w:val="left"/>
      <w:pPr>
        <w:ind w:left="142" w:firstLine="0"/>
      </w:pPr>
    </w:lvl>
    <w:lvl w:ilvl="5">
      <w:start w:val="2"/>
      <w:numFmt w:val="upperLetter"/>
      <w:isLgl w:val="false"/>
      <w:suff w:val="tab"/>
      <w:lvlText w:val="%6、"/>
      <w:lvlJc w:val="left"/>
      <w:pPr>
        <w:ind w:left="142" w:firstLine="0"/>
      </w:pPr>
    </w:lvl>
    <w:lvl w:ilvl="6">
      <w:start w:val="1"/>
      <w:numFmt w:val="upperLetter"/>
      <w:isLgl w:val="false"/>
      <w:suff w:val="tab"/>
      <w:lvlText w:val="%7）"/>
      <w:lvlJc w:val="left"/>
      <w:pPr>
        <w:ind w:left="142" w:firstLine="0"/>
      </w:pPr>
    </w:lvl>
    <w:lvl w:ilvl="7">
      <w:start w:val="1"/>
      <w:numFmt w:val="decimal"/>
      <w:isLgl w:val="false"/>
      <w:suff w:val="tab"/>
      <w:lvlText w:val="%1.%2.%3.%4.%5.%6.%7.%8"/>
      <w:lvlJc w:val="left"/>
      <w:pPr>
        <w:ind w:left="142" w:firstLine="0"/>
      </w:pPr>
    </w:lvl>
    <w:lvl w:ilvl="8">
      <w:start w:val="1"/>
      <w:numFmt w:val="decimal"/>
      <w:isLgl w:val="false"/>
      <w:suff w:val="tab"/>
      <w:lvlText w:val="%1.%2.%3.%4.%5.%6.%7.%8.%9"/>
      <w:lvlJc w:val="left"/>
      <w:pPr>
        <w:ind w:left="142" w:firstLine="0"/>
      </w:pPr>
    </w:lvl>
  </w:abstractNum>
  <w:abstractNum w:abstractNumId="4">
    <w:multiLevelType w:val="hybridMultilevel"/>
    <w:lvl w:ilvl="0">
      <w:start w:val="3"/>
      <w:numFmt w:val="decimal"/>
      <w:pStyle w:val="96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63"/>
      <w:isLgl w:val="false"/>
      <w:suff w:val="tab"/>
      <w:lvlText w:val="%1. "/>
      <w:legacy w:legacy="1" w:legacyIndent="0" w:legacySpace="0"/>
      <w:lvlJc w:val="left"/>
      <w:pPr/>
      <w:rPr>
        <w:sz w:val="32"/>
      </w:rPr>
    </w:lvl>
    <w:lvl w:ilvl="1">
      <w:start w:val="1"/>
      <w:numFmt w:val="decimal"/>
      <w:isLgl w:val="false"/>
      <w:suff w:val="nothing"/>
      <w:lvlText w:val=""/>
      <w:lvlJc w:val="left"/>
      <w:pPr/>
    </w:lvl>
    <w:lvl w:ilvl="2">
      <w:start w:val="1"/>
      <w:numFmt w:val="decimal"/>
      <w:isLgl w:val="false"/>
      <w:suff w:val="nothing"/>
      <w:lvlText w:val=""/>
      <w:lvlJc w:val="left"/>
      <w:pPr/>
    </w:lvl>
    <w:lvl w:ilvl="3">
      <w:start w:val="1"/>
      <w:numFmt w:val="decimal"/>
      <w:isLgl w:val="false"/>
      <w:suff w:val="nothing"/>
      <w:lvlText w:val=""/>
      <w:lvlJc w:val="left"/>
      <w:pPr/>
    </w:lvl>
    <w:lvl w:ilvl="4">
      <w:start w:val="1"/>
      <w:numFmt w:val="decimal"/>
      <w:isLgl w:val="false"/>
      <w:suff w:val="nothing"/>
      <w:lvlText w:val=""/>
      <w:lvlJc w:val="left"/>
      <w:pPr/>
    </w:lvl>
    <w:lvl w:ilvl="5">
      <w:start w:val="1"/>
      <w:numFmt w:val="decimal"/>
      <w:isLgl w:val="false"/>
      <w:suff w:val="nothing"/>
      <w:lvlText w:val=""/>
      <w:lvlJc w:val="left"/>
      <w:pPr/>
    </w:lvl>
    <w:lvl w:ilvl="6">
      <w:start w:val="1"/>
      <w:numFmt w:val="decimal"/>
      <w:pStyle w:val="943"/>
      <w:isLgl w:val="false"/>
      <w:suff w:val="nothing"/>
      <w:lvlText w:val=""/>
      <w:lvlJc w:val="left"/>
      <w:pPr/>
    </w:lvl>
    <w:lvl w:ilvl="7">
      <w:start w:val="1"/>
      <w:numFmt w:val="decimal"/>
      <w:pStyle w:val="944"/>
      <w:isLgl w:val="false"/>
      <w:suff w:val="nothing"/>
      <w:lvlText w:val=""/>
      <w:lvlJc w:val="left"/>
      <w:pPr/>
    </w:lvl>
    <w:lvl w:ilvl="8">
      <w:start w:val="1"/>
      <w:numFmt w:val="decimal"/>
      <w:pStyle w:val="945"/>
      <w:isLgl w:val="false"/>
      <w:suff w:val="nothing"/>
      <w:lvlText w:val=""/>
      <w:lvlJc w:val="left"/>
      <w:pPr/>
    </w:lvl>
  </w:abstractNum>
  <w:abstractNum w:abstractNumId="6">
    <w:multiLevelType w:val="hybridMultilevel"/>
    <w:lvl w:ilvl="0">
      <w:start w:val="1"/>
      <w:numFmt w:val="decimal"/>
      <w:pStyle w:val="1116"/>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0"/>
      <w:numFmt w:val="bullet"/>
      <w:pStyle w:val="1024"/>
      <w:isLgl w:val="false"/>
      <w:suff w:val="tab"/>
      <w:lvlText w:val=""/>
      <w:lvlJc w:val="left"/>
      <w:pPr>
        <w:ind w:left="780" w:hanging="360"/>
        <w:tabs>
          <w:tab w:val="left" w:pos="780" w:leader="none"/>
        </w:tabs>
      </w:pPr>
      <w:rPr>
        <w:rFonts w:ascii="Wingdings" w:hAnsi="Wingdings" w:eastAsia="宋体" w:cs="Times New Roman"/>
      </w:rPr>
    </w:lvl>
    <w:lvl w:ilvl="1">
      <w:start w:val="1"/>
      <w:numFmt w:val="decimal"/>
      <w:isLgl w:val="false"/>
      <w:suff w:val="tab"/>
      <w:lvlText w:val="%2)"/>
      <w:lvlJc w:val="left"/>
      <w:pPr>
        <w:ind w:left="833" w:hanging="420"/>
        <w:tabs>
          <w:tab w:val="left" w:pos="833" w:leader="none"/>
        </w:tabs>
      </w:pPr>
    </w:lvl>
    <w:lvl w:ilvl="2">
      <w:start w:val="1"/>
      <w:numFmt w:val="decimal"/>
      <w:isLgl w:val="false"/>
      <w:suff w:val="tab"/>
      <w:lvlText w:val="%3、"/>
      <w:lvlJc w:val="left"/>
      <w:pPr>
        <w:ind w:left="1389" w:hanging="556"/>
        <w:tabs>
          <w:tab w:val="left" w:pos="1389" w:leader="none"/>
        </w:tabs>
      </w:pPr>
    </w:lvl>
    <w:lvl w:ilvl="3">
      <w:start w:val="1"/>
      <w:numFmt w:val="bullet"/>
      <w:isLgl w:val="false"/>
      <w:suff w:val="tab"/>
      <w:lvlText w:val=""/>
      <w:lvlJc w:val="left"/>
      <w:pPr>
        <w:ind w:left="1673" w:hanging="420"/>
        <w:tabs>
          <w:tab w:val="left" w:pos="1673" w:leader="none"/>
        </w:tabs>
      </w:pPr>
      <w:rPr>
        <w:rFonts w:ascii="Wingdings" w:hAnsi="Wingdings"/>
      </w:rPr>
    </w:lvl>
    <w:lvl w:ilvl="4">
      <w:start w:val="1"/>
      <w:numFmt w:val="bullet"/>
      <w:isLgl w:val="false"/>
      <w:suff w:val="tab"/>
      <w:lvlText w:val=""/>
      <w:lvlJc w:val="left"/>
      <w:pPr>
        <w:ind w:left="2093" w:hanging="420"/>
        <w:tabs>
          <w:tab w:val="left" w:pos="2093" w:leader="none"/>
        </w:tabs>
      </w:pPr>
      <w:rPr>
        <w:rFonts w:ascii="Wingdings" w:hAnsi="Wingdings"/>
      </w:rPr>
    </w:lvl>
    <w:lvl w:ilvl="5">
      <w:start w:val="1"/>
      <w:numFmt w:val="bullet"/>
      <w:isLgl w:val="false"/>
      <w:suff w:val="tab"/>
      <w:lvlText w:val=""/>
      <w:lvlJc w:val="left"/>
      <w:pPr>
        <w:ind w:left="2513" w:hanging="420"/>
        <w:tabs>
          <w:tab w:val="left" w:pos="2513" w:leader="none"/>
        </w:tabs>
      </w:pPr>
      <w:rPr>
        <w:rFonts w:ascii="Wingdings" w:hAnsi="Wingdings"/>
      </w:rPr>
    </w:lvl>
    <w:lvl w:ilvl="6">
      <w:start w:val="1"/>
      <w:numFmt w:val="bullet"/>
      <w:isLgl w:val="false"/>
      <w:suff w:val="tab"/>
      <w:lvlText w:val=""/>
      <w:lvlJc w:val="left"/>
      <w:pPr>
        <w:ind w:left="2933" w:hanging="420"/>
        <w:tabs>
          <w:tab w:val="left" w:pos="2933" w:leader="none"/>
        </w:tabs>
      </w:pPr>
      <w:rPr>
        <w:rFonts w:ascii="Wingdings" w:hAnsi="Wingdings"/>
      </w:rPr>
    </w:lvl>
    <w:lvl w:ilvl="7">
      <w:start w:val="1"/>
      <w:numFmt w:val="bullet"/>
      <w:isLgl w:val="false"/>
      <w:suff w:val="tab"/>
      <w:lvlText w:val=""/>
      <w:lvlJc w:val="left"/>
      <w:pPr>
        <w:ind w:left="3353" w:hanging="420"/>
        <w:tabs>
          <w:tab w:val="left" w:pos="3353" w:leader="none"/>
        </w:tabs>
      </w:pPr>
      <w:rPr>
        <w:rFonts w:ascii="Wingdings" w:hAnsi="Wingdings"/>
      </w:rPr>
    </w:lvl>
    <w:lvl w:ilvl="8">
      <w:start w:val="1"/>
      <w:numFmt w:val="bullet"/>
      <w:isLgl w:val="false"/>
      <w:suff w:val="tab"/>
      <w:lvlText w:val=""/>
      <w:lvlJc w:val="left"/>
      <w:pPr>
        <w:ind w:left="3773" w:hanging="420"/>
        <w:tabs>
          <w:tab w:val="left" w:pos="3773" w:leader="none"/>
        </w:tabs>
      </w:pPr>
      <w:rPr>
        <w:rFonts w:ascii="Wingdings" w:hAnsi="Wingdings"/>
      </w:rPr>
    </w:lvl>
  </w:abstractNum>
  <w:abstractNum w:abstractNumId="8">
    <w:multiLevelType w:val="hybridMultilevel"/>
    <w:lvl w:ilvl="0">
      <w:start w:val="1"/>
      <w:numFmt w:val="bullet"/>
      <w:pStyle w:val="1215"/>
      <w:isLgl w:val="false"/>
      <w:suff w:val="tab"/>
      <w:lvlText w:val="•"/>
      <w:lvlJc w:val="left"/>
      <w:pPr>
        <w:ind w:left="780" w:hanging="420"/>
      </w:pPr>
      <w:rPr>
        <w:rFonts w:ascii="Arial" w:hAnsi="Arial"/>
      </w:rPr>
    </w:lvl>
    <w:lvl w:ilvl="1">
      <w:start w:val="1"/>
      <w:numFmt w:val="bullet"/>
      <w:isLgl w:val="false"/>
      <w:suff w:val="tab"/>
      <w:lvlText w:val="•"/>
      <w:lvlJc w:val="left"/>
      <w:pPr>
        <w:ind w:left="1200" w:hanging="420"/>
      </w:pPr>
      <w:rPr>
        <w:rFonts w:ascii="Arial" w:hAnsi="Arial"/>
      </w:rPr>
    </w:lvl>
    <w:lvl w:ilvl="2">
      <w:start w:val="1"/>
      <w:numFmt w:val="bullet"/>
      <w:isLgl w:val="false"/>
      <w:suff w:val="tab"/>
      <w:lvlText w:val=""/>
      <w:lvlJc w:val="left"/>
      <w:pPr>
        <w:ind w:left="1620" w:hanging="420"/>
      </w:pPr>
      <w:rPr>
        <w:rFonts w:ascii="Wingdings" w:hAnsi="Wingdings"/>
      </w:rPr>
    </w:lvl>
    <w:lvl w:ilvl="3">
      <w:start w:val="1"/>
      <w:numFmt w:val="bullet"/>
      <w:isLgl w:val="false"/>
      <w:suff w:val="tab"/>
      <w:lvlText w:val=""/>
      <w:lvlJc w:val="left"/>
      <w:pPr>
        <w:ind w:left="2040" w:hanging="420"/>
      </w:pPr>
      <w:rPr>
        <w:rFonts w:ascii="Wingdings" w:hAnsi="Wingdings"/>
      </w:rPr>
    </w:lvl>
    <w:lvl w:ilvl="4">
      <w:start w:val="1"/>
      <w:numFmt w:val="bullet"/>
      <w:isLgl w:val="false"/>
      <w:suff w:val="tab"/>
      <w:lvlText w:val=""/>
      <w:lvlJc w:val="left"/>
      <w:pPr>
        <w:ind w:left="2460" w:hanging="420"/>
      </w:pPr>
      <w:rPr>
        <w:rFonts w:ascii="Wingdings" w:hAnsi="Wingdings"/>
      </w:rPr>
    </w:lvl>
    <w:lvl w:ilvl="5">
      <w:start w:val="1"/>
      <w:numFmt w:val="bullet"/>
      <w:isLgl w:val="false"/>
      <w:suff w:val="tab"/>
      <w:lvlText w:val=""/>
      <w:lvlJc w:val="left"/>
      <w:pPr>
        <w:ind w:left="2880" w:hanging="420"/>
      </w:pPr>
      <w:rPr>
        <w:rFonts w:ascii="Wingdings" w:hAnsi="Wingdings"/>
      </w:rPr>
    </w:lvl>
    <w:lvl w:ilvl="6">
      <w:start w:val="1"/>
      <w:numFmt w:val="bullet"/>
      <w:isLgl w:val="false"/>
      <w:suff w:val="tab"/>
      <w:lvlText w:val=""/>
      <w:lvlJc w:val="left"/>
      <w:pPr>
        <w:ind w:left="3300" w:hanging="420"/>
      </w:pPr>
      <w:rPr>
        <w:rFonts w:ascii="Wingdings" w:hAnsi="Wingdings"/>
      </w:rPr>
    </w:lvl>
    <w:lvl w:ilvl="7">
      <w:start w:val="1"/>
      <w:numFmt w:val="bullet"/>
      <w:isLgl w:val="false"/>
      <w:suff w:val="tab"/>
      <w:lvlText w:val=""/>
      <w:lvlJc w:val="left"/>
      <w:pPr>
        <w:ind w:left="3720" w:hanging="420"/>
      </w:pPr>
      <w:rPr>
        <w:rFonts w:ascii="Wingdings" w:hAnsi="Wingdings"/>
      </w:rPr>
    </w:lvl>
    <w:lvl w:ilvl="8">
      <w:start w:val="1"/>
      <w:numFmt w:val="bullet"/>
      <w:isLgl w:val="false"/>
      <w:suff w:val="tab"/>
      <w:lvlText w:val=""/>
      <w:lvlJc w:val="left"/>
      <w:pPr>
        <w:ind w:left="4140" w:hanging="420"/>
      </w:pPr>
      <w:rPr>
        <w:rFonts w:ascii="Wingdings" w:hAnsi="Wingdings"/>
      </w:rPr>
    </w:lvl>
  </w:abstractNum>
  <w:abstractNum w:abstractNumId="9">
    <w:multiLevelType w:val="hybridMultilevel"/>
    <w:lvl w:ilvl="0">
      <w:start w:val="1"/>
      <w:numFmt w:val="decimal"/>
      <w:isLgl w:val="false"/>
      <w:suff w:val="tab"/>
      <w:lvlText w:val="%1)"/>
      <w:lvlJc w:val="left"/>
      <w:pPr>
        <w:ind w:left="240" w:hanging="240"/>
        <w:tabs>
          <w:tab w:val="left" w:pos="2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164"/>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70"/>
      <w:isLgl w:val="false"/>
      <w:suff w:val="space"/>
      <w:lvlText w:val="%1、"/>
      <w:lvlJc w:val="left"/>
      <w:pPr>
        <w:ind w:left="84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bullet"/>
      <w:pStyle w:val="1175"/>
      <w:isLgl w:val="false"/>
      <w:suff w:val="tab"/>
      <w:lvlText w:val=""/>
      <w:lvlJc w:val="left"/>
      <w:pPr>
        <w:ind w:left="709" w:hanging="425"/>
        <w:tabs>
          <w:tab w:val="left" w:pos="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09"/>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12"/>
  </w:num>
  <w:num w:numId="8">
    <w:abstractNumId w:val="6"/>
  </w:num>
  <w:num w:numId="9">
    <w:abstractNumId w:val="0"/>
  </w:num>
  <w:num w:numId="10">
    <w:abstractNumId w:val="9"/>
  </w:num>
  <w:num w:numId="11">
    <w:abstractNumId w:val="11"/>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2">
    <w:name w:val="Heading 1 Char"/>
    <w:basedOn w:val="760"/>
    <w:link w:val="751"/>
    <w:uiPriority w:val="9"/>
    <w:rPr>
      <w:rFonts w:ascii="Arial" w:hAnsi="Arial" w:eastAsia="Arial" w:cs="Arial"/>
      <w:sz w:val="40"/>
      <w:szCs w:val="40"/>
    </w:rPr>
  </w:style>
  <w:style w:type="character" w:styleId="733">
    <w:name w:val="Heading 2 Char"/>
    <w:basedOn w:val="760"/>
    <w:link w:val="752"/>
    <w:uiPriority w:val="9"/>
    <w:rPr>
      <w:rFonts w:ascii="Arial" w:hAnsi="Arial" w:eastAsia="Arial" w:cs="Arial"/>
      <w:sz w:val="34"/>
    </w:rPr>
  </w:style>
  <w:style w:type="character" w:styleId="734">
    <w:name w:val="Heading 3 Char"/>
    <w:basedOn w:val="760"/>
    <w:link w:val="753"/>
    <w:uiPriority w:val="9"/>
    <w:rPr>
      <w:rFonts w:ascii="Arial" w:hAnsi="Arial" w:eastAsia="Arial" w:cs="Arial"/>
      <w:sz w:val="30"/>
      <w:szCs w:val="30"/>
    </w:rPr>
  </w:style>
  <w:style w:type="character" w:styleId="735">
    <w:name w:val="Heading 4 Char"/>
    <w:basedOn w:val="760"/>
    <w:link w:val="754"/>
    <w:uiPriority w:val="9"/>
    <w:rPr>
      <w:rFonts w:ascii="Arial" w:hAnsi="Arial" w:eastAsia="Arial" w:cs="Arial"/>
      <w:b/>
      <w:bCs/>
      <w:sz w:val="26"/>
      <w:szCs w:val="26"/>
    </w:rPr>
  </w:style>
  <w:style w:type="character" w:styleId="736">
    <w:name w:val="Heading 5 Char"/>
    <w:basedOn w:val="760"/>
    <w:link w:val="755"/>
    <w:uiPriority w:val="9"/>
    <w:rPr>
      <w:rFonts w:ascii="Arial" w:hAnsi="Arial" w:eastAsia="Arial" w:cs="Arial"/>
      <w:b/>
      <w:bCs/>
      <w:sz w:val="24"/>
      <w:szCs w:val="24"/>
    </w:rPr>
  </w:style>
  <w:style w:type="character" w:styleId="737">
    <w:name w:val="Heading 6 Char"/>
    <w:basedOn w:val="760"/>
    <w:link w:val="756"/>
    <w:uiPriority w:val="9"/>
    <w:rPr>
      <w:rFonts w:ascii="Arial" w:hAnsi="Arial" w:eastAsia="Arial" w:cs="Arial"/>
      <w:b/>
      <w:bCs/>
      <w:sz w:val="22"/>
      <w:szCs w:val="22"/>
    </w:rPr>
  </w:style>
  <w:style w:type="character" w:styleId="738">
    <w:name w:val="Heading 7 Char"/>
    <w:basedOn w:val="760"/>
    <w:link w:val="757"/>
    <w:uiPriority w:val="9"/>
    <w:rPr>
      <w:rFonts w:ascii="Arial" w:hAnsi="Arial" w:eastAsia="Arial" w:cs="Arial"/>
      <w:b/>
      <w:bCs/>
      <w:i/>
      <w:iCs/>
      <w:sz w:val="22"/>
      <w:szCs w:val="22"/>
    </w:rPr>
  </w:style>
  <w:style w:type="character" w:styleId="739">
    <w:name w:val="Heading 8 Char"/>
    <w:basedOn w:val="760"/>
    <w:link w:val="758"/>
    <w:uiPriority w:val="9"/>
    <w:rPr>
      <w:rFonts w:ascii="Arial" w:hAnsi="Arial" w:eastAsia="Arial" w:cs="Arial"/>
      <w:i/>
      <w:iCs/>
      <w:sz w:val="22"/>
      <w:szCs w:val="22"/>
    </w:rPr>
  </w:style>
  <w:style w:type="character" w:styleId="740">
    <w:name w:val="Heading 9 Char"/>
    <w:basedOn w:val="760"/>
    <w:link w:val="759"/>
    <w:uiPriority w:val="9"/>
    <w:rPr>
      <w:rFonts w:ascii="Arial" w:hAnsi="Arial" w:eastAsia="Arial" w:cs="Arial"/>
      <w:i/>
      <w:iCs/>
      <w:sz w:val="21"/>
      <w:szCs w:val="21"/>
    </w:rPr>
  </w:style>
  <w:style w:type="character" w:styleId="741">
    <w:name w:val="Title Char"/>
    <w:basedOn w:val="760"/>
    <w:link w:val="783"/>
    <w:uiPriority w:val="10"/>
    <w:rPr>
      <w:sz w:val="48"/>
      <w:szCs w:val="48"/>
    </w:rPr>
  </w:style>
  <w:style w:type="character" w:styleId="742">
    <w:name w:val="Subtitle Char"/>
    <w:basedOn w:val="760"/>
    <w:link w:val="775"/>
    <w:uiPriority w:val="11"/>
    <w:rPr>
      <w:sz w:val="24"/>
      <w:szCs w:val="24"/>
    </w:rPr>
  </w:style>
  <w:style w:type="character" w:styleId="743">
    <w:name w:val="Quote Char"/>
    <w:link w:val="802"/>
    <w:uiPriority w:val="29"/>
    <w:rPr>
      <w:i/>
    </w:rPr>
  </w:style>
  <w:style w:type="character" w:styleId="744">
    <w:name w:val="Intense Quote Char"/>
    <w:link w:val="804"/>
    <w:uiPriority w:val="30"/>
    <w:rPr>
      <w:i/>
    </w:rPr>
  </w:style>
  <w:style w:type="character" w:styleId="745">
    <w:name w:val="Header Char"/>
    <w:basedOn w:val="760"/>
    <w:link w:val="772"/>
    <w:uiPriority w:val="99"/>
  </w:style>
  <w:style w:type="character" w:styleId="746">
    <w:name w:val="Caption Char"/>
    <w:basedOn w:val="763"/>
    <w:link w:val="771"/>
    <w:uiPriority w:val="99"/>
  </w:style>
  <w:style w:type="character" w:styleId="747">
    <w:name w:val="Footnote Text Char"/>
    <w:link w:val="776"/>
    <w:uiPriority w:val="99"/>
    <w:rPr>
      <w:sz w:val="18"/>
    </w:rPr>
  </w:style>
  <w:style w:type="character" w:styleId="748">
    <w:name w:val="Endnote Text Char"/>
    <w:link w:val="770"/>
    <w:uiPriority w:val="99"/>
    <w:rPr>
      <w:sz w:val="20"/>
    </w:rPr>
  </w:style>
  <w:style w:type="paragraph" w:styleId="749">
    <w:name w:val="TOC Heading"/>
    <w:uiPriority w:val="39"/>
    <w:unhideWhenUsed/>
  </w:style>
  <w:style w:type="paragraph" w:styleId="75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51">
    <w:name w:val="Heading 1"/>
    <w:basedOn w:val="750"/>
    <w:next w:val="750"/>
    <w:link w:val="791"/>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50"/>
    <w:link w:val="792"/>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50"/>
    <w:link w:val="793"/>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link w:val="794"/>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795"/>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796"/>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50"/>
    <w:next w:val="750"/>
    <w:link w:val="797"/>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next w:val="750"/>
    <w:link w:val="798"/>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next w:val="750"/>
    <w:link w:val="799"/>
    <w:uiPriority w:val="9"/>
    <w:unhideWhenUsed/>
    <w:qFormat/>
    <w:pPr>
      <w:keepLines/>
      <w:keepNext/>
      <w:spacing w:before="320" w:after="200"/>
      <w:outlineLvl w:val="8"/>
    </w:pPr>
    <w:rPr>
      <w:rFonts w:ascii="Arial" w:hAnsi="Arial" w:eastAsia="Arial" w:cs="Arial"/>
      <w:i/>
      <w:iCs/>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toc 7"/>
    <w:basedOn w:val="750"/>
    <w:next w:val="750"/>
    <w:uiPriority w:val="39"/>
    <w:unhideWhenUsed/>
    <w:qFormat/>
    <w:pPr>
      <w:ind w:left="1701"/>
      <w:spacing w:after="57"/>
    </w:pPr>
  </w:style>
  <w:style w:type="paragraph" w:styleId="763">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4">
    <w:name w:val="annotation text"/>
    <w:basedOn w:val="750"/>
    <w:uiPriority w:val="99"/>
    <w:semiHidden/>
    <w:unhideWhenUsed/>
    <w:qFormat/>
    <w:pPr>
      <w:jc w:val="left"/>
    </w:pPr>
  </w:style>
  <w:style w:type="paragraph" w:styleId="765">
    <w:name w:val="Body Text"/>
    <w:uiPriority w:val="0"/>
    <w:qFormat/>
    <w:pPr>
      <w:jc w:val="both"/>
      <w:spacing w:after="120"/>
      <w:widowControl w:val="off"/>
    </w:pPr>
    <w:rPr>
      <w:rFonts w:ascii="Tahoma" w:hAnsi="Tahoma" w:eastAsia="Times New Roman" w:cs="Times New Roman"/>
      <w:sz w:val="21"/>
      <w:szCs w:val="24"/>
      <w:lang w:val="en-US" w:eastAsia="zh-CN" w:bidi="ar-SA"/>
    </w:rPr>
  </w:style>
  <w:style w:type="paragraph" w:styleId="766">
    <w:name w:val="toc 5"/>
    <w:basedOn w:val="750"/>
    <w:next w:val="750"/>
    <w:uiPriority w:val="39"/>
    <w:unhideWhenUsed/>
    <w:qFormat/>
    <w:pPr>
      <w:ind w:left="1134"/>
      <w:spacing w:after="57"/>
    </w:pPr>
  </w:style>
  <w:style w:type="paragraph" w:styleId="767">
    <w:name w:val="toc 3"/>
    <w:basedOn w:val="750"/>
    <w:next w:val="750"/>
    <w:uiPriority w:val="39"/>
    <w:unhideWhenUsed/>
    <w:qFormat/>
    <w:pPr>
      <w:ind w:left="567"/>
      <w:spacing w:after="57"/>
    </w:pPr>
  </w:style>
  <w:style w:type="paragraph" w:styleId="768">
    <w:name w:val="Plain Text"/>
    <w:basedOn w:val="750"/>
    <w:link w:val="1091"/>
    <w:uiPriority w:val="0"/>
    <w:qFormat/>
    <w:rPr>
      <w:rFonts w:ascii="宋体" w:hAnsi="Courier New" w:eastAsia="楷体_GB2312"/>
      <w:sz w:val="26"/>
    </w:rPr>
  </w:style>
  <w:style w:type="paragraph" w:styleId="769">
    <w:name w:val="toc 8"/>
    <w:basedOn w:val="750"/>
    <w:next w:val="750"/>
    <w:uiPriority w:val="39"/>
    <w:unhideWhenUsed/>
    <w:qFormat/>
    <w:pPr>
      <w:ind w:left="1984"/>
      <w:spacing w:after="57"/>
    </w:pPr>
  </w:style>
  <w:style w:type="paragraph" w:styleId="770">
    <w:name w:val="endnote text"/>
    <w:basedOn w:val="750"/>
    <w:link w:val="935"/>
    <w:uiPriority w:val="99"/>
    <w:semiHidden/>
    <w:unhideWhenUsed/>
    <w:qFormat/>
    <w:rPr>
      <w:sz w:val="20"/>
    </w:rPr>
  </w:style>
  <w:style w:type="paragraph" w:styleId="771">
    <w:name w:val="Footer"/>
    <w:basedOn w:val="750"/>
    <w:link w:val="808"/>
    <w:uiPriority w:val="99"/>
    <w:unhideWhenUsed/>
    <w:qFormat/>
    <w:pPr>
      <w:tabs>
        <w:tab w:val="center" w:pos="7143" w:leader="none"/>
        <w:tab w:val="right" w:pos="14287" w:leader="none"/>
      </w:tabs>
    </w:pPr>
  </w:style>
  <w:style w:type="paragraph" w:styleId="772">
    <w:name w:val="Header"/>
    <w:basedOn w:val="750"/>
    <w:link w:val="806"/>
    <w:uiPriority w:val="99"/>
    <w:unhideWhenUsed/>
    <w:qFormat/>
    <w:pPr>
      <w:tabs>
        <w:tab w:val="center" w:pos="7143" w:leader="none"/>
        <w:tab w:val="right" w:pos="14287" w:leader="none"/>
      </w:tabs>
    </w:pPr>
  </w:style>
  <w:style w:type="paragraph" w:styleId="773">
    <w:name w:val="toc 1"/>
    <w:basedOn w:val="750"/>
    <w:next w:val="750"/>
    <w:uiPriority w:val="39"/>
    <w:unhideWhenUsed/>
    <w:qFormat/>
    <w:pPr>
      <w:spacing w:after="57"/>
    </w:pPr>
  </w:style>
  <w:style w:type="paragraph" w:styleId="774">
    <w:name w:val="toc 4"/>
    <w:basedOn w:val="750"/>
    <w:next w:val="750"/>
    <w:uiPriority w:val="39"/>
    <w:unhideWhenUsed/>
    <w:qFormat/>
    <w:pPr>
      <w:ind w:left="850"/>
      <w:spacing w:after="57"/>
    </w:pPr>
  </w:style>
  <w:style w:type="paragraph" w:styleId="775">
    <w:name w:val="Subtitle"/>
    <w:basedOn w:val="750"/>
    <w:next w:val="750"/>
    <w:link w:val="801"/>
    <w:uiPriority w:val="11"/>
    <w:qFormat/>
    <w:pPr>
      <w:spacing w:before="200" w:after="200"/>
    </w:pPr>
    <w:rPr>
      <w:sz w:val="24"/>
      <w:szCs w:val="24"/>
    </w:rPr>
  </w:style>
  <w:style w:type="paragraph" w:styleId="776">
    <w:name w:val="footnote text"/>
    <w:basedOn w:val="750"/>
    <w:link w:val="934"/>
    <w:uiPriority w:val="99"/>
    <w:semiHidden/>
    <w:unhideWhenUsed/>
    <w:qFormat/>
    <w:pPr>
      <w:spacing w:after="40"/>
    </w:pPr>
    <w:rPr>
      <w:sz w:val="18"/>
    </w:rPr>
  </w:style>
  <w:style w:type="paragraph" w:styleId="777">
    <w:name w:val="toc 6"/>
    <w:basedOn w:val="750"/>
    <w:next w:val="750"/>
    <w:uiPriority w:val="39"/>
    <w:unhideWhenUsed/>
    <w:qFormat/>
    <w:pPr>
      <w:ind w:left="1417"/>
      <w:spacing w:after="57"/>
    </w:pPr>
  </w:style>
  <w:style w:type="paragraph" w:styleId="778">
    <w:name w:val="table of figures"/>
    <w:basedOn w:val="750"/>
    <w:next w:val="750"/>
    <w:uiPriority w:val="99"/>
    <w:unhideWhenUsed/>
    <w:qFormat/>
  </w:style>
  <w:style w:type="paragraph" w:styleId="779">
    <w:name w:val="toc 2"/>
    <w:basedOn w:val="750"/>
    <w:next w:val="750"/>
    <w:uiPriority w:val="39"/>
    <w:unhideWhenUsed/>
    <w:qFormat/>
    <w:pPr>
      <w:ind w:left="283"/>
      <w:spacing w:after="57"/>
    </w:pPr>
  </w:style>
  <w:style w:type="paragraph" w:styleId="780">
    <w:name w:val="toc 9"/>
    <w:basedOn w:val="750"/>
    <w:next w:val="750"/>
    <w:uiPriority w:val="39"/>
    <w:unhideWhenUsed/>
    <w:qFormat/>
    <w:pPr>
      <w:ind w:left="2268"/>
      <w:spacing w:after="57"/>
    </w:pPr>
  </w:style>
  <w:style w:type="paragraph" w:styleId="781">
    <w:name w:val="Body Text 2"/>
    <w:basedOn w:val="750"/>
    <w:uiPriority w:val="0"/>
    <w:qFormat/>
    <w:pPr>
      <w:ind w:left="720" w:hanging="720"/>
      <w:widowControl/>
    </w:pPr>
    <w:rPr>
      <w:sz w:val="24"/>
      <w:lang w:val="en-GB"/>
    </w:rPr>
  </w:style>
  <w:style w:type="paragraph" w:styleId="782">
    <w:name w:val="Normal (Web)"/>
    <w:basedOn w:val="750"/>
    <w:uiPriority w:val="99"/>
    <w:semiHidden/>
    <w:unhideWhenUsed/>
    <w:qFormat/>
    <w:pPr>
      <w:jc w:val="left"/>
      <w:spacing w:beforeAutospacing="1" w:afterAutospacing="1"/>
    </w:pPr>
    <w:rPr>
      <w:sz w:val="24"/>
    </w:rPr>
  </w:style>
  <w:style w:type="paragraph" w:styleId="783">
    <w:name w:val="Title"/>
    <w:basedOn w:val="750"/>
    <w:next w:val="750"/>
    <w:link w:val="800"/>
    <w:uiPriority w:val="10"/>
    <w:qFormat/>
    <w:pPr>
      <w:contextualSpacing/>
      <w:spacing w:before="300" w:after="200"/>
    </w:pPr>
    <w:rPr>
      <w:sz w:val="48"/>
      <w:szCs w:val="48"/>
    </w:rPr>
  </w:style>
  <w:style w:type="table" w:styleId="78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Strong"/>
    <w:basedOn w:val="760"/>
    <w:uiPriority w:val="22"/>
    <w:qFormat/>
    <w:rPr>
      <w:b/>
    </w:rPr>
  </w:style>
  <w:style w:type="character" w:styleId="786">
    <w:name w:val="endnote reference"/>
    <w:uiPriority w:val="99"/>
    <w:semiHidden/>
    <w:unhideWhenUsed/>
    <w:qFormat/>
    <w:rPr>
      <w:vertAlign w:val="superscript"/>
    </w:rPr>
  </w:style>
  <w:style w:type="character" w:styleId="787">
    <w:name w:val="Hyperlink"/>
    <w:uiPriority w:val="99"/>
    <w:unhideWhenUsed/>
    <w:qFormat/>
    <w:rPr>
      <w:color w:val="0000ff" w:themeColor="hyperlink"/>
      <w:u w:val="single"/>
      <w14:textFill>
        <w14:solidFill>
          <w14:schemeClr w14:val="hlink"/>
        </w14:solidFill>
      </w14:textFill>
    </w:rPr>
  </w:style>
  <w:style w:type="character" w:styleId="788">
    <w:name w:val="footnote reference"/>
    <w:uiPriority w:val="99"/>
    <w:unhideWhenUsed/>
    <w:qFormat/>
    <w:rPr>
      <w:vertAlign w:val="superscript"/>
    </w:rPr>
  </w:style>
  <w:style w:type="paragraph" w:styleId="789" w:customStyle="1">
    <w:name w:val="首行缩进"/>
    <w:basedOn w:val="750"/>
    <w:uiPriority w:val="0"/>
    <w:qFormat/>
    <w:pPr>
      <w:ind w:firstLine="480"/>
    </w:pPr>
    <w:rPr>
      <w:lang w:val="zh-CN"/>
    </w:rPr>
  </w:style>
  <w:style w:type="paragraph" w:styleId="790" w:customStyle="1">
    <w:name w:val="段"/>
    <w:next w:val="750"/>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791" w:customStyle="1">
    <w:name w:val="标题 1 Char1"/>
    <w:link w:val="751"/>
    <w:uiPriority w:val="9"/>
    <w:qFormat/>
    <w:rPr>
      <w:rFonts w:ascii="Arial" w:hAnsi="Arial" w:eastAsia="Arial" w:cs="Arial"/>
      <w:sz w:val="40"/>
      <w:szCs w:val="40"/>
    </w:rPr>
  </w:style>
  <w:style w:type="character" w:styleId="792" w:customStyle="1">
    <w:name w:val="标题 2 Char1"/>
    <w:link w:val="752"/>
    <w:uiPriority w:val="9"/>
    <w:qFormat/>
    <w:rPr>
      <w:rFonts w:ascii="Arial" w:hAnsi="Arial" w:eastAsia="Arial" w:cs="Arial"/>
      <w:sz w:val="34"/>
    </w:rPr>
  </w:style>
  <w:style w:type="character" w:styleId="793" w:customStyle="1">
    <w:name w:val="标题 3 Char1"/>
    <w:link w:val="753"/>
    <w:uiPriority w:val="9"/>
    <w:qFormat/>
    <w:rPr>
      <w:rFonts w:ascii="Arial" w:hAnsi="Arial" w:eastAsia="Arial" w:cs="Arial"/>
      <w:sz w:val="30"/>
      <w:szCs w:val="30"/>
    </w:rPr>
  </w:style>
  <w:style w:type="character" w:styleId="794" w:customStyle="1">
    <w:name w:val="标题 4 Char"/>
    <w:link w:val="754"/>
    <w:uiPriority w:val="9"/>
    <w:qFormat/>
    <w:rPr>
      <w:rFonts w:ascii="Arial" w:hAnsi="Arial" w:eastAsia="Arial" w:cs="Arial"/>
      <w:b/>
      <w:bCs/>
      <w:sz w:val="26"/>
      <w:szCs w:val="26"/>
    </w:rPr>
  </w:style>
  <w:style w:type="character" w:styleId="795" w:customStyle="1">
    <w:name w:val="标题 5 Char1"/>
    <w:link w:val="755"/>
    <w:uiPriority w:val="9"/>
    <w:qFormat/>
    <w:rPr>
      <w:rFonts w:ascii="Arial" w:hAnsi="Arial" w:eastAsia="Arial" w:cs="Arial"/>
      <w:b/>
      <w:bCs/>
      <w:sz w:val="24"/>
      <w:szCs w:val="24"/>
    </w:rPr>
  </w:style>
  <w:style w:type="character" w:styleId="796" w:customStyle="1">
    <w:name w:val="标题 6 Char1"/>
    <w:link w:val="756"/>
    <w:uiPriority w:val="9"/>
    <w:qFormat/>
    <w:rPr>
      <w:rFonts w:ascii="Arial" w:hAnsi="Arial" w:eastAsia="Arial" w:cs="Arial"/>
      <w:b/>
      <w:bCs/>
      <w:sz w:val="22"/>
      <w:szCs w:val="22"/>
    </w:rPr>
  </w:style>
  <w:style w:type="character" w:styleId="797" w:customStyle="1">
    <w:name w:val="标题 7 Char1"/>
    <w:link w:val="757"/>
    <w:uiPriority w:val="9"/>
    <w:qFormat/>
    <w:rPr>
      <w:rFonts w:ascii="Arial" w:hAnsi="Arial" w:eastAsia="Arial" w:cs="Arial"/>
      <w:b/>
      <w:bCs/>
      <w:i/>
      <w:iCs/>
      <w:sz w:val="22"/>
      <w:szCs w:val="22"/>
    </w:rPr>
  </w:style>
  <w:style w:type="character" w:styleId="798" w:customStyle="1">
    <w:name w:val="标题 8 Char1"/>
    <w:link w:val="758"/>
    <w:uiPriority w:val="9"/>
    <w:qFormat/>
    <w:rPr>
      <w:rFonts w:ascii="Arial" w:hAnsi="Arial" w:eastAsia="Arial" w:cs="Arial"/>
      <w:i/>
      <w:iCs/>
      <w:sz w:val="22"/>
      <w:szCs w:val="22"/>
    </w:rPr>
  </w:style>
  <w:style w:type="character" w:styleId="799" w:customStyle="1">
    <w:name w:val="标题 9 Char1"/>
    <w:link w:val="759"/>
    <w:uiPriority w:val="9"/>
    <w:qFormat/>
    <w:rPr>
      <w:rFonts w:ascii="Arial" w:hAnsi="Arial" w:eastAsia="Arial" w:cs="Arial"/>
      <w:i/>
      <w:iCs/>
      <w:sz w:val="21"/>
      <w:szCs w:val="21"/>
    </w:rPr>
  </w:style>
  <w:style w:type="character" w:styleId="800" w:customStyle="1">
    <w:name w:val="标题 Char"/>
    <w:link w:val="783"/>
    <w:uiPriority w:val="10"/>
    <w:qFormat/>
    <w:rPr>
      <w:sz w:val="48"/>
      <w:szCs w:val="48"/>
    </w:rPr>
  </w:style>
  <w:style w:type="character" w:styleId="801" w:customStyle="1">
    <w:name w:val="副标题 Char"/>
    <w:link w:val="775"/>
    <w:uiPriority w:val="11"/>
    <w:qFormat/>
    <w:rPr>
      <w:sz w:val="24"/>
      <w:szCs w:val="24"/>
    </w:rPr>
  </w:style>
  <w:style w:type="paragraph" w:styleId="802">
    <w:name w:val="Quote"/>
    <w:basedOn w:val="750"/>
    <w:next w:val="750"/>
    <w:link w:val="803"/>
    <w:uiPriority w:val="29"/>
    <w:qFormat/>
    <w:pPr>
      <w:ind w:left="720" w:right="720"/>
    </w:pPr>
    <w:rPr>
      <w:i/>
    </w:rPr>
  </w:style>
  <w:style w:type="character" w:styleId="803" w:customStyle="1">
    <w:name w:val="引用 Char"/>
    <w:link w:val="802"/>
    <w:uiPriority w:val="29"/>
    <w:qFormat/>
    <w:rPr>
      <w:i/>
    </w:rPr>
  </w:style>
  <w:style w:type="paragraph" w:styleId="804">
    <w:name w:val="Intense Quote"/>
    <w:basedOn w:val="750"/>
    <w:next w:val="750"/>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明显引用 Char"/>
    <w:link w:val="804"/>
    <w:uiPriority w:val="30"/>
    <w:qFormat/>
    <w:rPr>
      <w:i/>
    </w:rPr>
  </w:style>
  <w:style w:type="character" w:styleId="806" w:customStyle="1">
    <w:name w:val="页眉 Char1"/>
    <w:link w:val="772"/>
    <w:uiPriority w:val="99"/>
    <w:qFormat/>
  </w:style>
  <w:style w:type="character" w:styleId="807" w:customStyle="1">
    <w:name w:val="Footer Char"/>
    <w:link w:val="771"/>
    <w:uiPriority w:val="99"/>
    <w:qFormat/>
  </w:style>
  <w:style w:type="character" w:styleId="808" w:customStyle="1">
    <w:name w:val="页脚 Char1"/>
    <w:link w:val="771"/>
    <w:uiPriority w:val="99"/>
    <w:qFormat/>
  </w:style>
  <w:style w:type="table" w:styleId="80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脚注文本 Char1"/>
    <w:link w:val="776"/>
    <w:uiPriority w:val="99"/>
    <w:qFormat/>
    <w:rPr>
      <w:sz w:val="18"/>
    </w:rPr>
  </w:style>
  <w:style w:type="character" w:styleId="935" w:customStyle="1">
    <w:name w:val="尾注文本 Char"/>
    <w:link w:val="770"/>
    <w:uiPriority w:val="99"/>
    <w:qFormat/>
    <w:rPr>
      <w:sz w:val="20"/>
    </w:rPr>
  </w:style>
  <w:style w:type="paragraph" w:styleId="936" w:customStyle="1">
    <w:name w:val="TOC 标题1"/>
    <w:uiPriority w:val="39"/>
    <w:unhideWhenUsed/>
    <w:qFormat/>
    <w:rPr>
      <w:rFonts w:ascii="Times New Roman" w:hAnsi="Times New Roman" w:eastAsia="宋体" w:cs="Times New Roman"/>
      <w:lang w:val="en-US" w:eastAsia="zh-CN" w:bidi="ar-SA"/>
    </w:rPr>
  </w:style>
  <w:style w:type="paragraph" w:styleId="937" w:customStyle="1">
    <w:name w:val="标题 11"/>
    <w:basedOn w:val="750"/>
    <w:next w:val="750"/>
    <w:link w:val="950"/>
    <w:uiPriority w:val="0"/>
    <w:qFormat/>
    <w:pPr>
      <w:keepLines/>
      <w:keepNext/>
      <w:spacing w:before="340" w:after="330" w:line="578" w:lineRule="auto"/>
      <w:outlineLvl w:val="0"/>
    </w:pPr>
    <w:rPr>
      <w:rFonts w:eastAsia="楷体_GB2312"/>
      <w:b/>
      <w:sz w:val="44"/>
    </w:rPr>
  </w:style>
  <w:style w:type="paragraph" w:styleId="938" w:customStyle="1">
    <w:name w:val="标题 21"/>
    <w:basedOn w:val="750"/>
    <w:next w:val="750"/>
    <w:link w:val="951"/>
    <w:uiPriority w:val="0"/>
    <w:qFormat/>
    <w:pPr>
      <w:keepLines/>
      <w:keepNext/>
      <w:spacing w:before="260" w:after="260" w:line="416" w:lineRule="auto"/>
      <w:outlineLvl w:val="1"/>
    </w:pPr>
    <w:rPr>
      <w:rFonts w:ascii="Arial" w:hAnsi="Arial" w:eastAsia="黑体"/>
      <w:b/>
      <w:bCs/>
      <w:sz w:val="32"/>
      <w:szCs w:val="32"/>
    </w:rPr>
  </w:style>
  <w:style w:type="paragraph" w:styleId="939" w:customStyle="1">
    <w:name w:val="标题 31"/>
    <w:basedOn w:val="750"/>
    <w:next w:val="750"/>
    <w:link w:val="952"/>
    <w:uiPriority w:val="0"/>
    <w:qFormat/>
    <w:pPr>
      <w:keepLines/>
      <w:keepNext/>
      <w:spacing w:before="260" w:after="260" w:line="416" w:lineRule="auto"/>
      <w:outlineLvl w:val="2"/>
    </w:pPr>
    <w:rPr>
      <w:b/>
      <w:bCs/>
      <w:sz w:val="32"/>
      <w:szCs w:val="32"/>
    </w:rPr>
  </w:style>
  <w:style w:type="paragraph" w:styleId="940" w:customStyle="1">
    <w:name w:val="标题 41"/>
    <w:basedOn w:val="750"/>
    <w:next w:val="750"/>
    <w:uiPriority w:val="0"/>
    <w:qFormat/>
    <w:pPr>
      <w:keepLines/>
      <w:keepNext/>
      <w:spacing w:before="280" w:after="290" w:line="376" w:lineRule="auto"/>
      <w:outlineLvl w:val="3"/>
    </w:pPr>
    <w:rPr>
      <w:rFonts w:ascii="Arial" w:hAnsi="Arial" w:eastAsia="黑体"/>
      <w:b/>
      <w:bCs/>
      <w:sz w:val="28"/>
      <w:szCs w:val="28"/>
    </w:rPr>
  </w:style>
  <w:style w:type="paragraph" w:styleId="941" w:customStyle="1">
    <w:name w:val="标题 51"/>
    <w:basedOn w:val="750"/>
    <w:next w:val="750"/>
    <w:link w:val="953"/>
    <w:uiPriority w:val="0"/>
    <w:qFormat/>
    <w:pPr>
      <w:keepLines/>
      <w:keepNext/>
      <w:spacing w:before="280" w:after="290" w:line="376" w:lineRule="auto"/>
      <w:outlineLvl w:val="4"/>
    </w:pPr>
    <w:rPr>
      <w:b/>
      <w:bCs/>
      <w:sz w:val="28"/>
      <w:szCs w:val="28"/>
    </w:rPr>
  </w:style>
  <w:style w:type="paragraph" w:styleId="942" w:customStyle="1">
    <w:name w:val="标题 61"/>
    <w:basedOn w:val="750"/>
    <w:next w:val="750"/>
    <w:link w:val="954"/>
    <w:uiPriority w:val="0"/>
    <w:qFormat/>
    <w:pPr>
      <w:keepLines/>
      <w:keepNext/>
      <w:spacing w:before="240" w:after="64" w:line="320" w:lineRule="auto"/>
      <w:outlineLvl w:val="5"/>
    </w:pPr>
    <w:rPr>
      <w:rFonts w:ascii="Arial" w:hAnsi="Arial" w:eastAsia="黑体"/>
      <w:b/>
      <w:bCs/>
      <w:sz w:val="24"/>
      <w:szCs w:val="24"/>
    </w:rPr>
  </w:style>
  <w:style w:type="paragraph" w:styleId="943" w:customStyle="1">
    <w:name w:val="标题 71"/>
    <w:basedOn w:val="750"/>
    <w:next w:val="750"/>
    <w:link w:val="955"/>
    <w:uiPriority w:val="0"/>
    <w:qFormat/>
    <w:pPr>
      <w:numPr>
        <w:ilvl w:val="6"/>
        <w:numId w:val="1"/>
      </w:numPr>
      <w:keepLines/>
      <w:keepNext/>
      <w:spacing w:before="240" w:after="64" w:line="320" w:lineRule="atLeast"/>
      <w:outlineLvl w:val="6"/>
    </w:pPr>
    <w:rPr>
      <w:rFonts w:ascii="宋体" w:hAnsi="Tahoma" w:eastAsia="仿宋_GB2312"/>
      <w:b/>
      <w:sz w:val="24"/>
      <w:szCs w:val="24"/>
    </w:rPr>
  </w:style>
  <w:style w:type="paragraph" w:styleId="944" w:customStyle="1">
    <w:name w:val="标题 81"/>
    <w:basedOn w:val="750"/>
    <w:next w:val="750"/>
    <w:link w:val="956"/>
    <w:uiPriority w:val="0"/>
    <w:qFormat/>
    <w:pPr>
      <w:numPr>
        <w:ilvl w:val="7"/>
        <w:numId w:val="1"/>
      </w:numPr>
      <w:keepLines/>
      <w:keepNext/>
      <w:spacing w:before="240" w:after="64" w:line="320" w:lineRule="atLeast"/>
      <w:outlineLvl w:val="7"/>
    </w:pPr>
    <w:rPr>
      <w:rFonts w:ascii="Arial" w:hAnsi="Arial" w:eastAsia="黑体"/>
      <w:sz w:val="24"/>
      <w:szCs w:val="24"/>
    </w:rPr>
  </w:style>
  <w:style w:type="paragraph" w:styleId="945" w:customStyle="1">
    <w:name w:val="标题 91"/>
    <w:basedOn w:val="750"/>
    <w:next w:val="750"/>
    <w:link w:val="957"/>
    <w:uiPriority w:val="0"/>
    <w:qFormat/>
    <w:pPr>
      <w:numPr>
        <w:ilvl w:val="8"/>
        <w:numId w:val="1"/>
      </w:numPr>
      <w:keepLines/>
      <w:keepNext/>
      <w:spacing w:before="240" w:after="64" w:line="320" w:lineRule="atLeast"/>
      <w:outlineLvl w:val="8"/>
    </w:pPr>
    <w:rPr>
      <w:rFonts w:ascii="Arial" w:hAnsi="Arial" w:eastAsia="黑体"/>
      <w:sz w:val="28"/>
      <w:szCs w:val="24"/>
    </w:rPr>
  </w:style>
  <w:style w:type="character" w:styleId="946" w:customStyle="1">
    <w:name w:val="默认段落字体1"/>
    <w:uiPriority w:val="0"/>
    <w:semiHidden/>
    <w:qFormat/>
    <w:rPr>
      <w:rFonts w:ascii="Tahoma" w:hAnsi="Tahoma" w:eastAsia="宋体"/>
      <w:sz w:val="24"/>
      <w:szCs w:val="24"/>
      <w:lang w:val="en-US" w:eastAsia="zh-CN" w:bidi="ar-SA"/>
    </w:rPr>
  </w:style>
  <w:style w:type="table" w:styleId="947" w:customStyle="1">
    <w:name w:val="普通表格1"/>
    <w:uiPriority w:val="0"/>
    <w:semiHidden/>
    <w:qFormat/>
    <w:rPr>
      <w:rFonts w:ascii="Calibri" w:hAnsi="Calibri"/>
      <w:sz w:val="21"/>
      <w:szCs w:val="22"/>
    </w:rPr>
    <w:tblPr>
      <w:tblCellMar>
        <w:left w:w="0" w:type="dxa"/>
        <w:top w:w="0" w:type="dxa"/>
        <w:right w:w="0" w:type="dxa"/>
        <w:bottom w:w="0" w:type="dxa"/>
      </w:tblCellMar>
    </w:tblPr>
  </w:style>
  <w:style w:type="paragraph" w:styleId="948" w:customStyle="1">
    <w:name w:val="正文文本缩进1"/>
    <w:next w:val="949"/>
    <w:uiPriority w:val="0"/>
    <w:qFormat/>
    <w:pPr>
      <w:ind w:firstLine="425"/>
      <w:jc w:val="both"/>
      <w:spacing w:line="360" w:lineRule="auto"/>
      <w:widowControl w:val="off"/>
    </w:pPr>
    <w:rPr>
      <w:rFonts w:ascii="Times New Roman" w:hAnsi="Times New Roman" w:eastAsia="宋体" w:cs="Times New Roman"/>
      <w:sz w:val="24"/>
      <w:szCs w:val="24"/>
      <w:lang w:val="en-US" w:eastAsia="zh-CN" w:bidi="ar-SA"/>
    </w:rPr>
  </w:style>
  <w:style w:type="paragraph" w:styleId="949" w:customStyle="1">
    <w:name w:val="寄信人地址1"/>
    <w:uiPriority w:val="0"/>
    <w:qFormat/>
    <w:pPr>
      <w:jc w:val="both"/>
      <w:widowControl w:val="off"/>
    </w:pPr>
    <w:rPr>
      <w:rFonts w:ascii="Arial" w:hAnsi="Arial" w:eastAsia="宋体" w:cs="Times New Roman"/>
      <w:sz w:val="21"/>
      <w:szCs w:val="24"/>
      <w:lang w:val="en-US" w:eastAsia="zh-CN" w:bidi="ar-SA"/>
    </w:rPr>
  </w:style>
  <w:style w:type="character" w:styleId="950" w:customStyle="1">
    <w:name w:val="标题 1 Char"/>
    <w:link w:val="937"/>
    <w:uiPriority w:val="0"/>
    <w:qFormat/>
    <w:rPr>
      <w:rFonts w:eastAsia="楷体_GB2312"/>
      <w:b/>
      <w:sz w:val="44"/>
      <w:lang w:val="en-US" w:eastAsia="zh-CN" w:bidi="ar-SA"/>
    </w:rPr>
  </w:style>
  <w:style w:type="character" w:styleId="951" w:customStyle="1">
    <w:name w:val="标题 2 Char"/>
    <w:link w:val="938"/>
    <w:uiPriority w:val="0"/>
    <w:qFormat/>
    <w:rPr>
      <w:rFonts w:ascii="Arial" w:hAnsi="Arial" w:eastAsia="黑体"/>
      <w:b/>
      <w:bCs/>
      <w:sz w:val="32"/>
      <w:szCs w:val="32"/>
      <w:lang w:val="en-US" w:eastAsia="zh-CN" w:bidi="ar-SA"/>
    </w:rPr>
  </w:style>
  <w:style w:type="character" w:styleId="952" w:customStyle="1">
    <w:name w:val="标题 3 Char"/>
    <w:link w:val="939"/>
    <w:uiPriority w:val="0"/>
    <w:qFormat/>
    <w:rPr>
      <w:rFonts w:eastAsia="宋体"/>
      <w:b/>
      <w:bCs/>
      <w:sz w:val="32"/>
      <w:szCs w:val="32"/>
      <w:lang w:val="en-US" w:eastAsia="zh-CN" w:bidi="ar-SA"/>
    </w:rPr>
  </w:style>
  <w:style w:type="character" w:styleId="953" w:customStyle="1">
    <w:name w:val="标题 5 Char"/>
    <w:link w:val="941"/>
    <w:uiPriority w:val="0"/>
    <w:qFormat/>
    <w:rPr>
      <w:rFonts w:eastAsia="宋体"/>
      <w:b/>
      <w:bCs/>
      <w:sz w:val="28"/>
      <w:szCs w:val="28"/>
      <w:lang w:val="en-US" w:eastAsia="zh-CN" w:bidi="ar-SA"/>
    </w:rPr>
  </w:style>
  <w:style w:type="character" w:styleId="954" w:customStyle="1">
    <w:name w:val="标题 6 Char"/>
    <w:link w:val="942"/>
    <w:uiPriority w:val="0"/>
    <w:qFormat/>
    <w:rPr>
      <w:rFonts w:ascii="Arial" w:hAnsi="Arial" w:eastAsia="黑体"/>
      <w:b/>
      <w:bCs/>
      <w:sz w:val="24"/>
      <w:szCs w:val="24"/>
      <w:lang w:val="en-US" w:eastAsia="zh-CN" w:bidi="ar-SA"/>
    </w:rPr>
  </w:style>
  <w:style w:type="character" w:styleId="955" w:customStyle="1">
    <w:name w:val="标题 7 Char"/>
    <w:link w:val="943"/>
    <w:uiPriority w:val="0"/>
    <w:qFormat/>
    <w:rPr>
      <w:rFonts w:ascii="宋体" w:hAnsi="Tahoma" w:eastAsia="仿宋_GB2312"/>
      <w:b/>
      <w:sz w:val="24"/>
      <w:szCs w:val="24"/>
    </w:rPr>
  </w:style>
  <w:style w:type="character" w:styleId="956" w:customStyle="1">
    <w:name w:val="标题 8 Char"/>
    <w:link w:val="944"/>
    <w:uiPriority w:val="0"/>
    <w:qFormat/>
    <w:rPr>
      <w:rFonts w:ascii="Arial" w:hAnsi="Arial" w:eastAsia="黑体"/>
      <w:sz w:val="24"/>
      <w:szCs w:val="24"/>
    </w:rPr>
  </w:style>
  <w:style w:type="character" w:styleId="957" w:customStyle="1">
    <w:name w:val="标题 9 Char"/>
    <w:link w:val="945"/>
    <w:uiPriority w:val="0"/>
    <w:qFormat/>
    <w:rPr>
      <w:rFonts w:ascii="Arial" w:hAnsi="Arial" w:eastAsia="黑体"/>
      <w:sz w:val="28"/>
      <w:szCs w:val="24"/>
    </w:rPr>
  </w:style>
  <w:style w:type="paragraph" w:styleId="958" w:customStyle="1">
    <w:name w:val="列表 31"/>
    <w:basedOn w:val="750"/>
    <w:uiPriority w:val="0"/>
    <w:qFormat/>
    <w:pPr>
      <w:ind w:left="100" w:hanging="200"/>
    </w:pPr>
    <w:rPr>
      <w:szCs w:val="24"/>
    </w:rPr>
  </w:style>
  <w:style w:type="paragraph" w:styleId="959" w:customStyle="1">
    <w:name w:val="目录 71"/>
    <w:basedOn w:val="750"/>
    <w:next w:val="750"/>
    <w:uiPriority w:val="0"/>
    <w:qFormat/>
    <w:pPr>
      <w:ind w:left="2520"/>
    </w:pPr>
    <w:rPr>
      <w:rFonts w:eastAsia="楷体_GB2312"/>
      <w:sz w:val="26"/>
    </w:rPr>
  </w:style>
  <w:style w:type="paragraph" w:styleId="960" w:customStyle="1">
    <w:name w:val="列表编号 21"/>
    <w:basedOn w:val="750"/>
    <w:uiPriority w:val="0"/>
    <w:qFormat/>
    <w:pPr>
      <w:numPr>
        <w:ilvl w:val="0"/>
        <w:numId w:val="2"/>
      </w:numPr>
      <w:spacing w:line="312" w:lineRule="atLeast"/>
    </w:pPr>
  </w:style>
  <w:style w:type="paragraph" w:styleId="961" w:customStyle="1">
    <w:name w:val="注释标题1"/>
    <w:basedOn w:val="750"/>
    <w:next w:val="750"/>
    <w:uiPriority w:val="0"/>
    <w:qFormat/>
    <w:pPr>
      <w:jc w:val="center"/>
      <w:spacing w:line="360" w:lineRule="auto"/>
    </w:pPr>
    <w:rPr>
      <w:sz w:val="24"/>
      <w:szCs w:val="24"/>
    </w:rPr>
  </w:style>
  <w:style w:type="paragraph" w:styleId="962" w:customStyle="1">
    <w:name w:val="索引 81"/>
    <w:basedOn w:val="750"/>
    <w:next w:val="750"/>
    <w:uiPriority w:val="0"/>
    <w:qFormat/>
    <w:pPr>
      <w:ind w:left="2940"/>
    </w:pPr>
    <w:rPr>
      <w:rFonts w:eastAsia="楷体_GB2312"/>
      <w:sz w:val="26"/>
    </w:rPr>
  </w:style>
  <w:style w:type="paragraph" w:styleId="963" w:customStyle="1">
    <w:name w:val="列表编号1"/>
    <w:basedOn w:val="750"/>
    <w:uiPriority w:val="0"/>
    <w:qFormat/>
    <w:pPr>
      <w:numPr>
        <w:ilvl w:val="0"/>
        <w:numId w:val="1"/>
      </w:numPr>
      <w:tabs>
        <w:tab w:val="left" w:pos="360" w:leader="none"/>
      </w:tabs>
    </w:pPr>
    <w:rPr>
      <w:szCs w:val="24"/>
    </w:rPr>
  </w:style>
  <w:style w:type="paragraph" w:styleId="964" w:customStyle="1">
    <w:name w:val="正文缩进11"/>
    <w:basedOn w:val="750"/>
    <w:next w:val="965"/>
    <w:link w:val="966"/>
    <w:uiPriority w:val="0"/>
    <w:qFormat/>
    <w:pPr>
      <w:ind w:firstLine="420"/>
      <w:jc w:val="left"/>
    </w:pPr>
    <w:rPr>
      <w:rFonts w:eastAsia="楷体_GB2312"/>
      <w:sz w:val="24"/>
    </w:rPr>
  </w:style>
  <w:style w:type="paragraph" w:styleId="965" w:customStyle="1">
    <w:name w:val="正文文本1"/>
    <w:basedOn w:val="750"/>
    <w:next w:val="750"/>
    <w:link w:val="967"/>
    <w:uiPriority w:val="0"/>
    <w:qFormat/>
    <w:pPr>
      <w:spacing w:after="120"/>
    </w:pPr>
    <w:rPr>
      <w:rFonts w:ascii="Tahoma" w:hAnsi="Tahoma" w:eastAsia="Times New Roman"/>
      <w:szCs w:val="24"/>
    </w:rPr>
  </w:style>
  <w:style w:type="character" w:styleId="966" w:customStyle="1">
    <w:name w:val="正文缩进 Char1"/>
    <w:link w:val="964"/>
    <w:uiPriority w:val="0"/>
    <w:qFormat/>
    <w:rPr>
      <w:rFonts w:eastAsia="楷体_GB2312"/>
      <w:sz w:val="24"/>
      <w:lang w:bidi="ar-SA"/>
    </w:rPr>
  </w:style>
  <w:style w:type="character" w:styleId="967" w:customStyle="1">
    <w:name w:val="正文文本 Char"/>
    <w:link w:val="965"/>
    <w:uiPriority w:val="0"/>
    <w:qFormat/>
    <w:rPr>
      <w:rFonts w:ascii="Tahoma" w:hAnsi="Tahoma" w:eastAsia="Times New Roman"/>
      <w:sz w:val="21"/>
      <w:szCs w:val="24"/>
      <w:lang w:val="en-US" w:eastAsia="zh-CN" w:bidi="ar-SA"/>
    </w:rPr>
  </w:style>
  <w:style w:type="paragraph" w:styleId="968" w:customStyle="1">
    <w:name w:val="题注1"/>
    <w:basedOn w:val="750"/>
    <w:next w:val="750"/>
    <w:uiPriority w:val="0"/>
    <w:qFormat/>
    <w:pPr>
      <w:spacing w:before="152" w:after="160"/>
    </w:pPr>
    <w:rPr>
      <w:rFonts w:ascii="Arial" w:hAnsi="Arial" w:eastAsia="黑体" w:cs="Arial"/>
      <w:sz w:val="20"/>
    </w:rPr>
  </w:style>
  <w:style w:type="paragraph" w:styleId="969" w:customStyle="1">
    <w:name w:val="索引 51"/>
    <w:basedOn w:val="750"/>
    <w:next w:val="750"/>
    <w:uiPriority w:val="0"/>
    <w:qFormat/>
    <w:pPr>
      <w:ind w:left="1680"/>
    </w:pPr>
    <w:rPr>
      <w:rFonts w:eastAsia="楷体_GB2312"/>
      <w:sz w:val="26"/>
    </w:rPr>
  </w:style>
  <w:style w:type="paragraph" w:styleId="970" w:customStyle="1">
    <w:name w:val="列表项目符号1"/>
    <w:basedOn w:val="750"/>
    <w:uiPriority w:val="0"/>
    <w:qFormat/>
    <w:pPr>
      <w:numPr>
        <w:ilvl w:val="0"/>
        <w:numId w:val="3"/>
      </w:numPr>
      <w:jc w:val="left"/>
      <w:spacing w:line="360" w:lineRule="auto"/>
    </w:pPr>
    <w:rPr>
      <w:b/>
      <w:sz w:val="24"/>
      <w:szCs w:val="24"/>
    </w:rPr>
  </w:style>
  <w:style w:type="paragraph" w:styleId="971" w:customStyle="1">
    <w:name w:val="文档结构图1"/>
    <w:basedOn w:val="750"/>
    <w:link w:val="972"/>
    <w:uiPriority w:val="0"/>
    <w:qFormat/>
    <w:rPr>
      <w:rFonts w:ascii="宋体"/>
      <w:sz w:val="18"/>
      <w:szCs w:val="18"/>
    </w:rPr>
  </w:style>
  <w:style w:type="character" w:styleId="972" w:customStyle="1">
    <w:name w:val="文档结构图 Char"/>
    <w:link w:val="971"/>
    <w:uiPriority w:val="0"/>
    <w:qFormat/>
    <w:rPr>
      <w:rFonts w:ascii="宋体"/>
      <w:sz w:val="18"/>
      <w:szCs w:val="18"/>
      <w:lang w:bidi="ar-SA"/>
    </w:rPr>
  </w:style>
  <w:style w:type="paragraph" w:styleId="973" w:customStyle="1">
    <w:name w:val="批注文字1"/>
    <w:basedOn w:val="750"/>
    <w:link w:val="974"/>
    <w:uiPriority w:val="0"/>
    <w:qFormat/>
    <w:pPr>
      <w:jc w:val="left"/>
    </w:pPr>
    <w:rPr>
      <w:rFonts w:ascii="Tahoma" w:hAnsi="Tahoma"/>
      <w:szCs w:val="24"/>
    </w:rPr>
  </w:style>
  <w:style w:type="character" w:styleId="974" w:customStyle="1">
    <w:name w:val="批注文字 Char1"/>
    <w:link w:val="973"/>
    <w:uiPriority w:val="0"/>
    <w:semiHidden/>
    <w:qFormat/>
    <w:rPr>
      <w:rFonts w:ascii="Tahoma" w:hAnsi="Tahoma" w:eastAsia="宋体"/>
      <w:sz w:val="21"/>
      <w:szCs w:val="24"/>
      <w:lang w:val="en-US" w:eastAsia="zh-CN" w:bidi="ar-SA"/>
    </w:rPr>
  </w:style>
  <w:style w:type="paragraph" w:styleId="975" w:customStyle="1">
    <w:name w:val="索引 61"/>
    <w:basedOn w:val="750"/>
    <w:next w:val="750"/>
    <w:uiPriority w:val="0"/>
    <w:qFormat/>
    <w:pPr>
      <w:ind w:left="2100"/>
    </w:pPr>
    <w:rPr>
      <w:rFonts w:eastAsia="楷体_GB2312"/>
      <w:sz w:val="26"/>
    </w:rPr>
  </w:style>
  <w:style w:type="paragraph" w:styleId="976" w:customStyle="1">
    <w:name w:val="正文文本 31"/>
    <w:basedOn w:val="750"/>
    <w:uiPriority w:val="0"/>
    <w:qFormat/>
    <w:pPr>
      <w:spacing w:after="120"/>
    </w:pPr>
    <w:rPr>
      <w:sz w:val="16"/>
      <w:szCs w:val="16"/>
    </w:rPr>
  </w:style>
  <w:style w:type="paragraph" w:styleId="977" w:customStyle="1">
    <w:name w:val="正文文本缩进2"/>
    <w:basedOn w:val="750"/>
    <w:next w:val="978"/>
    <w:link w:val="979"/>
    <w:uiPriority w:val="0"/>
    <w:qFormat/>
    <w:pPr>
      <w:ind w:firstLine="425"/>
      <w:spacing w:line="360" w:lineRule="auto"/>
    </w:pPr>
    <w:rPr>
      <w:sz w:val="24"/>
    </w:rPr>
  </w:style>
  <w:style w:type="paragraph" w:styleId="978" w:customStyle="1">
    <w:name w:val="寄信人地址2"/>
    <w:basedOn w:val="750"/>
    <w:uiPriority w:val="0"/>
    <w:qFormat/>
    <w:rPr>
      <w:rFonts w:ascii="Arial" w:hAnsi="Arial" w:eastAsia="楷体_GB2312"/>
      <w:sz w:val="26"/>
    </w:rPr>
  </w:style>
  <w:style w:type="character" w:styleId="979" w:customStyle="1">
    <w:name w:val="正文文本缩进 Char"/>
    <w:link w:val="977"/>
    <w:uiPriority w:val="0"/>
    <w:qFormat/>
    <w:rPr>
      <w:sz w:val="24"/>
      <w:lang w:bidi="ar-SA"/>
    </w:rPr>
  </w:style>
  <w:style w:type="paragraph" w:styleId="980" w:customStyle="1">
    <w:name w:val="列表编号 31"/>
    <w:basedOn w:val="750"/>
    <w:uiPriority w:val="0"/>
    <w:qFormat/>
    <w:pPr>
      <w:numPr>
        <w:ilvl w:val="0"/>
        <w:numId w:val="4"/>
      </w:numPr>
      <w:tabs>
        <w:tab w:val="left" w:pos="1200" w:leader="none"/>
      </w:tabs>
    </w:pPr>
    <w:rPr>
      <w:szCs w:val="24"/>
    </w:rPr>
  </w:style>
  <w:style w:type="paragraph" w:styleId="981" w:customStyle="1">
    <w:name w:val="列表 21"/>
    <w:basedOn w:val="750"/>
    <w:uiPriority w:val="0"/>
    <w:qFormat/>
    <w:pPr>
      <w:ind w:left="100" w:hanging="200"/>
    </w:pPr>
    <w:rPr>
      <w:szCs w:val="24"/>
    </w:rPr>
  </w:style>
  <w:style w:type="paragraph" w:styleId="982" w:customStyle="1">
    <w:name w:val="文本块1"/>
    <w:basedOn w:val="750"/>
    <w:uiPriority w:val="0"/>
    <w:qFormat/>
    <w:pPr>
      <w:ind w:left="630" w:right="-609" w:firstLine="420"/>
      <w:spacing w:line="360" w:lineRule="auto"/>
    </w:pPr>
    <w:rPr>
      <w:rFonts w:hint="eastAsia" w:ascii="仿宋_GB2312" w:eastAsia="仿宋_GB2312"/>
    </w:rPr>
  </w:style>
  <w:style w:type="paragraph" w:styleId="983" w:customStyle="1">
    <w:name w:val="列表项目符号 21"/>
    <w:basedOn w:val="750"/>
    <w:uiPriority w:val="0"/>
    <w:qFormat/>
    <w:pPr>
      <w:numPr>
        <w:ilvl w:val="0"/>
        <w:numId w:val="5"/>
      </w:numPr>
      <w:spacing w:line="312" w:lineRule="atLeast"/>
    </w:pPr>
  </w:style>
  <w:style w:type="paragraph" w:styleId="984" w:customStyle="1">
    <w:name w:val="索引 41"/>
    <w:basedOn w:val="750"/>
    <w:next w:val="750"/>
    <w:uiPriority w:val="0"/>
    <w:qFormat/>
    <w:pPr>
      <w:ind w:left="1260"/>
    </w:pPr>
    <w:rPr>
      <w:rFonts w:eastAsia="楷体_GB2312"/>
      <w:sz w:val="26"/>
    </w:rPr>
  </w:style>
  <w:style w:type="paragraph" w:styleId="985" w:customStyle="1">
    <w:name w:val="目录 51"/>
    <w:basedOn w:val="750"/>
    <w:next w:val="750"/>
    <w:uiPriority w:val="0"/>
    <w:qFormat/>
    <w:pPr>
      <w:ind w:left="1680"/>
    </w:pPr>
    <w:rPr>
      <w:rFonts w:eastAsia="楷体_GB2312"/>
      <w:sz w:val="26"/>
    </w:rPr>
  </w:style>
  <w:style w:type="paragraph" w:styleId="986" w:customStyle="1">
    <w:name w:val="目录 31"/>
    <w:basedOn w:val="750"/>
    <w:next w:val="750"/>
    <w:uiPriority w:val="0"/>
    <w:qFormat/>
    <w:pPr>
      <w:ind w:left="840"/>
    </w:pPr>
    <w:rPr>
      <w:szCs w:val="24"/>
    </w:rPr>
  </w:style>
  <w:style w:type="paragraph" w:styleId="987" w:customStyle="1">
    <w:name w:val="纯文本12"/>
    <w:basedOn w:val="750"/>
    <w:link w:val="988"/>
    <w:uiPriority w:val="0"/>
    <w:qFormat/>
    <w:rPr>
      <w:rFonts w:ascii="宋体" w:hAnsi="Courier New" w:eastAsia="楷体_GB2312"/>
      <w:sz w:val="26"/>
    </w:rPr>
  </w:style>
  <w:style w:type="character" w:styleId="988" w:customStyle="1">
    <w:name w:val="纯文本 Char1"/>
    <w:link w:val="987"/>
    <w:uiPriority w:val="0"/>
    <w:qFormat/>
    <w:rPr>
      <w:rFonts w:ascii="宋体" w:hAnsi="Courier New" w:eastAsia="楷体_GB2312"/>
      <w:sz w:val="26"/>
      <w:lang w:bidi="ar-SA"/>
    </w:rPr>
  </w:style>
  <w:style w:type="paragraph" w:styleId="989" w:customStyle="1">
    <w:name w:val="目录 81"/>
    <w:basedOn w:val="750"/>
    <w:next w:val="750"/>
    <w:uiPriority w:val="0"/>
    <w:qFormat/>
    <w:pPr>
      <w:ind w:left="2940"/>
    </w:pPr>
    <w:rPr>
      <w:rFonts w:eastAsia="楷体_GB2312"/>
      <w:sz w:val="26"/>
    </w:rPr>
  </w:style>
  <w:style w:type="paragraph" w:styleId="990" w:customStyle="1">
    <w:name w:val="索引 31"/>
    <w:basedOn w:val="750"/>
    <w:next w:val="750"/>
    <w:uiPriority w:val="0"/>
    <w:qFormat/>
    <w:pPr>
      <w:ind w:left="840"/>
    </w:pPr>
    <w:rPr>
      <w:rFonts w:eastAsia="楷体_GB2312"/>
      <w:sz w:val="26"/>
    </w:rPr>
  </w:style>
  <w:style w:type="paragraph" w:styleId="991" w:customStyle="1">
    <w:name w:val="日期1"/>
    <w:basedOn w:val="750"/>
    <w:next w:val="750"/>
    <w:link w:val="992"/>
    <w:uiPriority w:val="0"/>
    <w:qFormat/>
    <w:rPr>
      <w:rFonts w:ascii="宋体" w:hAnsi="宋体" w:eastAsia="楷体_GB2312"/>
      <w:sz w:val="24"/>
      <w:szCs w:val="24"/>
    </w:rPr>
  </w:style>
  <w:style w:type="character" w:styleId="992" w:customStyle="1">
    <w:name w:val="日期 Char"/>
    <w:link w:val="991"/>
    <w:uiPriority w:val="0"/>
    <w:qFormat/>
    <w:rPr>
      <w:rFonts w:ascii="宋体" w:hAnsi="宋体" w:eastAsia="楷体_GB2312"/>
      <w:sz w:val="24"/>
      <w:szCs w:val="24"/>
      <w:lang w:val="en-US" w:eastAsia="zh-CN" w:bidi="ar-SA"/>
    </w:rPr>
  </w:style>
  <w:style w:type="paragraph" w:styleId="993" w:customStyle="1">
    <w:name w:val="正文文本缩进 21"/>
    <w:basedOn w:val="750"/>
    <w:uiPriority w:val="0"/>
    <w:qFormat/>
    <w:pPr>
      <w:ind w:left="420"/>
      <w:jc w:val="left"/>
      <w:spacing w:after="120" w:line="480" w:lineRule="auto"/>
      <w:widowControl/>
    </w:pPr>
    <w:rPr>
      <w:sz w:val="24"/>
      <w:szCs w:val="24"/>
    </w:rPr>
  </w:style>
  <w:style w:type="paragraph" w:styleId="994" w:customStyle="1">
    <w:name w:val="批注框文本1"/>
    <w:basedOn w:val="750"/>
    <w:link w:val="995"/>
    <w:uiPriority w:val="0"/>
    <w:qFormat/>
    <w:rPr>
      <w:rFonts w:eastAsia="楷体_GB2312"/>
      <w:sz w:val="18"/>
      <w:szCs w:val="18"/>
    </w:rPr>
  </w:style>
  <w:style w:type="character" w:styleId="995" w:customStyle="1">
    <w:name w:val="批注框文本 Char"/>
    <w:link w:val="994"/>
    <w:uiPriority w:val="0"/>
    <w:qFormat/>
    <w:rPr>
      <w:rFonts w:eastAsia="楷体_GB2312"/>
      <w:sz w:val="18"/>
      <w:szCs w:val="18"/>
      <w:lang w:bidi="ar-SA"/>
    </w:rPr>
  </w:style>
  <w:style w:type="paragraph" w:styleId="996" w:customStyle="1">
    <w:name w:val="页脚1"/>
    <w:basedOn w:val="750"/>
    <w:link w:val="997"/>
    <w:uiPriority w:val="99"/>
    <w:qFormat/>
    <w:pPr>
      <w:jc w:val="left"/>
      <w:tabs>
        <w:tab w:val="center" w:pos="4153" w:leader="none"/>
        <w:tab w:val="right" w:pos="8306" w:leader="none"/>
      </w:tabs>
    </w:pPr>
    <w:rPr>
      <w:sz w:val="18"/>
    </w:rPr>
  </w:style>
  <w:style w:type="character" w:styleId="997" w:customStyle="1">
    <w:name w:val="页脚 Char"/>
    <w:link w:val="996"/>
    <w:uiPriority w:val="99"/>
    <w:qFormat/>
    <w:rPr>
      <w:sz w:val="18"/>
      <w:lang w:bidi="ar-SA"/>
    </w:rPr>
  </w:style>
  <w:style w:type="paragraph" w:styleId="998" w:customStyle="1">
    <w:name w:val="页眉1"/>
    <w:basedOn w:val="750"/>
    <w:link w:val="999"/>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999" w:customStyle="1">
    <w:name w:val="页眉 Char"/>
    <w:link w:val="998"/>
    <w:uiPriority w:val="99"/>
    <w:qFormat/>
    <w:rPr>
      <w:rFonts w:eastAsia="宋体"/>
      <w:sz w:val="18"/>
      <w:lang w:val="en-US" w:eastAsia="zh-CN" w:bidi="ar-SA"/>
    </w:rPr>
  </w:style>
  <w:style w:type="paragraph" w:styleId="1000" w:customStyle="1">
    <w:name w:val="目录 11"/>
    <w:basedOn w:val="750"/>
    <w:next w:val="750"/>
    <w:uiPriority w:val="39"/>
    <w:qFormat/>
    <w:pPr>
      <w:jc w:val="left"/>
    </w:pPr>
    <w:rPr>
      <w:rFonts w:eastAsia="楷体_GB2312"/>
      <w:sz w:val="24"/>
    </w:rPr>
  </w:style>
  <w:style w:type="paragraph" w:styleId="1001" w:customStyle="1">
    <w:name w:val="目录 41"/>
    <w:basedOn w:val="750"/>
    <w:next w:val="750"/>
    <w:uiPriority w:val="0"/>
    <w:qFormat/>
    <w:pPr>
      <w:ind w:left="1260"/>
    </w:pPr>
    <w:rPr>
      <w:rFonts w:eastAsia="楷体_GB2312"/>
      <w:sz w:val="26"/>
    </w:rPr>
  </w:style>
  <w:style w:type="paragraph" w:styleId="1002" w:customStyle="1">
    <w:name w:val="索引标题1"/>
    <w:basedOn w:val="750"/>
    <w:next w:val="1003"/>
    <w:uiPriority w:val="0"/>
    <w:qFormat/>
    <w:rPr>
      <w:rFonts w:eastAsia="楷体_GB2312"/>
      <w:sz w:val="26"/>
    </w:rPr>
  </w:style>
  <w:style w:type="paragraph" w:styleId="1003" w:customStyle="1">
    <w:name w:val="索引 11"/>
    <w:basedOn w:val="750"/>
    <w:next w:val="750"/>
    <w:uiPriority w:val="0"/>
    <w:qFormat/>
  </w:style>
  <w:style w:type="paragraph" w:styleId="1004" w:customStyle="1">
    <w:name w:val="列表1"/>
    <w:basedOn w:val="750"/>
    <w:uiPriority w:val="0"/>
    <w:qFormat/>
    <w:pPr>
      <w:ind w:left="200" w:hanging="200"/>
    </w:pPr>
    <w:rPr>
      <w:szCs w:val="24"/>
    </w:rPr>
  </w:style>
  <w:style w:type="paragraph" w:styleId="1005" w:customStyle="1">
    <w:name w:val="脚注文本1"/>
    <w:basedOn w:val="750"/>
    <w:link w:val="1006"/>
    <w:uiPriority w:val="0"/>
    <w:qFormat/>
    <w:pPr>
      <w:jc w:val="left"/>
    </w:pPr>
    <w:rPr>
      <w:rFonts w:ascii="Tahoma" w:hAnsi="Tahoma" w:eastAsia="楷体_GB2312"/>
      <w:sz w:val="18"/>
      <w:szCs w:val="24"/>
    </w:rPr>
  </w:style>
  <w:style w:type="character" w:styleId="1006" w:customStyle="1">
    <w:name w:val="脚注文本 Char"/>
    <w:link w:val="1005"/>
    <w:uiPriority w:val="0"/>
    <w:qFormat/>
    <w:rPr>
      <w:rFonts w:ascii="Tahoma" w:hAnsi="Tahoma" w:eastAsia="楷体_GB2312"/>
      <w:sz w:val="18"/>
      <w:szCs w:val="24"/>
      <w:lang w:val="en-US" w:eastAsia="zh-CN" w:bidi="ar-SA"/>
    </w:rPr>
  </w:style>
  <w:style w:type="paragraph" w:styleId="1007" w:customStyle="1">
    <w:name w:val="目录 61"/>
    <w:basedOn w:val="750"/>
    <w:next w:val="750"/>
    <w:uiPriority w:val="0"/>
    <w:qFormat/>
    <w:pPr>
      <w:ind w:left="2100"/>
    </w:pPr>
    <w:rPr>
      <w:rFonts w:eastAsia="楷体_GB2312"/>
      <w:sz w:val="26"/>
    </w:rPr>
  </w:style>
  <w:style w:type="paragraph" w:styleId="1008" w:customStyle="1">
    <w:name w:val="正文文本缩进 31"/>
    <w:basedOn w:val="750"/>
    <w:link w:val="1009"/>
    <w:uiPriority w:val="0"/>
    <w:qFormat/>
    <w:pPr>
      <w:ind w:left="420"/>
      <w:spacing w:after="120"/>
    </w:pPr>
    <w:rPr>
      <w:sz w:val="16"/>
      <w:szCs w:val="16"/>
    </w:rPr>
  </w:style>
  <w:style w:type="character" w:styleId="1009" w:customStyle="1">
    <w:name w:val="正文文本缩进 3 Char"/>
    <w:link w:val="1008"/>
    <w:uiPriority w:val="0"/>
    <w:qFormat/>
    <w:rPr>
      <w:rFonts w:eastAsia="宋体"/>
      <w:sz w:val="16"/>
      <w:szCs w:val="16"/>
      <w:lang w:val="en-US" w:eastAsia="zh-CN" w:bidi="ar-SA"/>
    </w:rPr>
  </w:style>
  <w:style w:type="paragraph" w:styleId="1010" w:customStyle="1">
    <w:name w:val="索引 71"/>
    <w:basedOn w:val="750"/>
    <w:next w:val="750"/>
    <w:uiPriority w:val="0"/>
    <w:qFormat/>
    <w:pPr>
      <w:ind w:left="2520"/>
    </w:pPr>
    <w:rPr>
      <w:rFonts w:eastAsia="楷体_GB2312"/>
      <w:sz w:val="26"/>
    </w:rPr>
  </w:style>
  <w:style w:type="paragraph" w:styleId="1011" w:customStyle="1">
    <w:name w:val="索引 91"/>
    <w:basedOn w:val="750"/>
    <w:next w:val="750"/>
    <w:uiPriority w:val="0"/>
    <w:qFormat/>
    <w:pPr>
      <w:ind w:left="3360"/>
    </w:pPr>
    <w:rPr>
      <w:rFonts w:eastAsia="楷体_GB2312"/>
      <w:sz w:val="26"/>
    </w:rPr>
  </w:style>
  <w:style w:type="paragraph" w:styleId="1012" w:customStyle="1">
    <w:name w:val="图表目录1"/>
    <w:basedOn w:val="750"/>
    <w:next w:val="750"/>
    <w:uiPriority w:val="0"/>
    <w:qFormat/>
    <w:pPr>
      <w:ind w:left="420" w:hanging="420"/>
      <w:jc w:val="left"/>
    </w:pPr>
    <w:rPr>
      <w:rFonts w:eastAsia="楷体_GB2312"/>
      <w:smallCaps/>
      <w:sz w:val="24"/>
    </w:rPr>
  </w:style>
  <w:style w:type="paragraph" w:styleId="1013" w:customStyle="1">
    <w:name w:val="目录 21"/>
    <w:basedOn w:val="750"/>
    <w:next w:val="750"/>
    <w:uiPriority w:val="0"/>
    <w:qFormat/>
    <w:pPr>
      <w:ind w:left="420"/>
    </w:pPr>
    <w:rPr>
      <w:szCs w:val="24"/>
    </w:rPr>
  </w:style>
  <w:style w:type="paragraph" w:styleId="1014" w:customStyle="1">
    <w:name w:val="目录 91"/>
    <w:basedOn w:val="750"/>
    <w:next w:val="750"/>
    <w:uiPriority w:val="0"/>
    <w:qFormat/>
    <w:pPr>
      <w:ind w:left="3360"/>
    </w:pPr>
    <w:rPr>
      <w:rFonts w:eastAsia="楷体_GB2312"/>
      <w:sz w:val="26"/>
    </w:rPr>
  </w:style>
  <w:style w:type="paragraph" w:styleId="1015" w:customStyle="1">
    <w:name w:val="正文文本 21"/>
    <w:basedOn w:val="750"/>
    <w:link w:val="1016"/>
    <w:uiPriority w:val="0"/>
    <w:qFormat/>
    <w:pPr>
      <w:jc w:val="center"/>
    </w:pPr>
    <w:rPr>
      <w:rFonts w:ascii="Tahoma" w:hAnsi="Tahoma"/>
      <w:color w:val="000000"/>
      <w:sz w:val="24"/>
      <w:szCs w:val="24"/>
    </w:rPr>
  </w:style>
  <w:style w:type="character" w:styleId="1016" w:customStyle="1">
    <w:name w:val="正文文本 2 Char"/>
    <w:link w:val="1015"/>
    <w:uiPriority w:val="0"/>
    <w:qFormat/>
    <w:rPr>
      <w:rFonts w:ascii="Tahoma" w:hAnsi="Tahoma" w:eastAsia="宋体"/>
      <w:color w:val="000000"/>
      <w:sz w:val="24"/>
      <w:szCs w:val="24"/>
      <w:lang w:val="en-US" w:eastAsia="zh-CN" w:bidi="ar-SA"/>
    </w:rPr>
  </w:style>
  <w:style w:type="paragraph" w:styleId="1017" w:customStyle="1">
    <w:name w:val="HTML 预设格式1"/>
    <w:basedOn w:val="750"/>
    <w:link w:val="10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1018" w:customStyle="1">
    <w:name w:val="HTML 预设格式 Char"/>
    <w:link w:val="1017"/>
    <w:uiPriority w:val="0"/>
    <w:qFormat/>
    <w:rPr>
      <w:rFonts w:ascii="宋体" w:hAnsi="宋体" w:cs="宋体"/>
      <w:sz w:val="24"/>
      <w:szCs w:val="24"/>
    </w:rPr>
  </w:style>
  <w:style w:type="paragraph" w:styleId="1019" w:customStyle="1">
    <w:name w:val="普通(网站)1"/>
    <w:basedOn w:val="750"/>
    <w:uiPriority w:val="0"/>
    <w:qFormat/>
    <w:pPr>
      <w:jc w:val="left"/>
      <w:spacing w:before="100" w:beforeAutospacing="1" w:after="100" w:afterAutospacing="1"/>
      <w:widowControl/>
    </w:pPr>
    <w:rPr>
      <w:rFonts w:ascii="宋体" w:hAnsi="宋体" w:cs="宋体"/>
      <w:sz w:val="24"/>
      <w:szCs w:val="24"/>
    </w:rPr>
  </w:style>
  <w:style w:type="paragraph" w:styleId="1020" w:customStyle="1">
    <w:name w:val="索引 21"/>
    <w:basedOn w:val="750"/>
    <w:next w:val="750"/>
    <w:uiPriority w:val="0"/>
    <w:qFormat/>
    <w:pPr>
      <w:ind w:left="420"/>
    </w:pPr>
    <w:rPr>
      <w:rFonts w:eastAsia="楷体_GB2312"/>
      <w:sz w:val="26"/>
    </w:rPr>
  </w:style>
  <w:style w:type="paragraph" w:styleId="1021" w:customStyle="1">
    <w:name w:val="标题1"/>
    <w:basedOn w:val="750"/>
    <w:next w:val="750"/>
    <w:uiPriority w:val="0"/>
    <w:qFormat/>
    <w:pPr>
      <w:jc w:val="center"/>
      <w:spacing w:before="240" w:after="60"/>
      <w:outlineLvl w:val="0"/>
    </w:pPr>
    <w:rPr>
      <w:rFonts w:ascii="Cambria" w:hAnsi="Cambria"/>
      <w:b/>
      <w:bCs/>
      <w:sz w:val="32"/>
      <w:szCs w:val="32"/>
    </w:rPr>
  </w:style>
  <w:style w:type="paragraph" w:styleId="1022" w:customStyle="1">
    <w:name w:val="批注主题1"/>
    <w:basedOn w:val="973"/>
    <w:next w:val="973"/>
    <w:link w:val="1023"/>
    <w:uiPriority w:val="0"/>
    <w:qFormat/>
    <w:rPr>
      <w:b/>
      <w:bCs/>
    </w:rPr>
  </w:style>
  <w:style w:type="character" w:styleId="1023" w:customStyle="1">
    <w:name w:val="批注主题 Char"/>
    <w:link w:val="1022"/>
    <w:uiPriority w:val="0"/>
    <w:qFormat/>
    <w:rPr>
      <w:rFonts w:ascii="Tahoma" w:hAnsi="Tahoma" w:eastAsia="宋体"/>
      <w:b/>
      <w:bCs/>
      <w:sz w:val="21"/>
      <w:szCs w:val="24"/>
      <w:lang w:val="en-US" w:eastAsia="zh-CN" w:bidi="ar-SA"/>
    </w:rPr>
  </w:style>
  <w:style w:type="paragraph" w:styleId="1024" w:customStyle="1">
    <w:name w:val="正文首行缩进1"/>
    <w:basedOn w:val="965"/>
    <w:link w:val="1025"/>
    <w:uiPriority w:val="0"/>
    <w:qFormat/>
    <w:pPr>
      <w:numPr>
        <w:ilvl w:val="0"/>
        <w:numId w:val="6"/>
      </w:numPr>
      <w:ind w:left="0" w:firstLine="420"/>
      <w:tabs>
        <w:tab w:val="clear" w:pos="780" w:leader="none"/>
      </w:tabs>
    </w:pPr>
    <w:rPr>
      <w:rFonts w:eastAsia="宋体"/>
    </w:rPr>
  </w:style>
  <w:style w:type="character" w:styleId="1025" w:customStyle="1">
    <w:name w:val="正文首行缩进 Char"/>
    <w:link w:val="1024"/>
    <w:uiPriority w:val="0"/>
    <w:qFormat/>
    <w:rPr>
      <w:lang w:val="en-US" w:eastAsia="zh-CN" w:bidi="ar-SA"/>
    </w:rPr>
  </w:style>
  <w:style w:type="paragraph" w:styleId="1026" w:customStyle="1">
    <w:name w:val="正文首行缩进 21"/>
    <w:basedOn w:val="977"/>
    <w:next w:val="1004"/>
    <w:link w:val="1027"/>
    <w:uiPriority w:val="0"/>
    <w:qFormat/>
    <w:pPr>
      <w:ind w:left="420" w:firstLine="420"/>
      <w:spacing w:after="120" w:line="240" w:lineRule="auto"/>
    </w:pPr>
    <w:rPr>
      <w:sz w:val="21"/>
      <w:szCs w:val="24"/>
    </w:rPr>
  </w:style>
  <w:style w:type="character" w:styleId="1027" w:customStyle="1">
    <w:name w:val="正文首行缩进 2 Char"/>
    <w:link w:val="1026"/>
    <w:uiPriority w:val="0"/>
    <w:qFormat/>
    <w:rPr>
      <w:sz w:val="21"/>
      <w:szCs w:val="24"/>
      <w:lang w:bidi="ar-SA"/>
    </w:rPr>
  </w:style>
  <w:style w:type="table" w:styleId="1028" w:customStyle="1">
    <w:name w:val="网格型1"/>
    <w:basedOn w:val="947"/>
    <w:uiPriority w:val="59"/>
    <w:qFormat/>
    <w:pPr>
      <w:jc w:val="both"/>
      <w:widowControl w:val="off"/>
    </w:pPr>
    <w:tblPr>
      <w:tblCellMar>
        <w:left w:w="0" w:type="dxa"/>
        <w:top w:w="0" w:type="dxa"/>
        <w:right w:w="0" w:type="dxa"/>
        <w:bottom w:w="0" w:type="dxa"/>
      </w:tblCellMar>
    </w:tblPr>
  </w:style>
  <w:style w:type="character" w:styleId="1029" w:customStyle="1">
    <w:name w:val="要点1"/>
    <w:uiPriority w:val="0"/>
    <w:qFormat/>
    <w:rPr>
      <w:rFonts w:ascii="Tahoma" w:hAnsi="Tahoma" w:eastAsia="宋体"/>
      <w:b/>
      <w:bCs/>
      <w:sz w:val="24"/>
      <w:szCs w:val="24"/>
      <w:lang w:val="en-US" w:eastAsia="zh-CN" w:bidi="ar-SA"/>
    </w:rPr>
  </w:style>
  <w:style w:type="character" w:styleId="1030" w:customStyle="1">
    <w:name w:val="页码1"/>
    <w:uiPriority w:val="0"/>
    <w:qFormat/>
    <w:rPr>
      <w:lang w:val="en-US" w:eastAsia="zh-CN" w:bidi="ar-SA"/>
    </w:rPr>
  </w:style>
  <w:style w:type="character" w:styleId="1031" w:customStyle="1">
    <w:name w:val="已访问的超链接1"/>
    <w:uiPriority w:val="99"/>
    <w:unhideWhenUsed/>
    <w:qFormat/>
    <w:rPr>
      <w:rFonts w:ascii="Tahoma" w:hAnsi="Tahoma" w:eastAsia="宋体"/>
      <w:color w:val="800080"/>
      <w:sz w:val="24"/>
      <w:szCs w:val="24"/>
      <w:u w:val="single"/>
      <w:lang w:val="en-US" w:eastAsia="zh-CN" w:bidi="ar-SA"/>
    </w:rPr>
  </w:style>
  <w:style w:type="character" w:styleId="1032" w:customStyle="1">
    <w:name w:val="强调1"/>
    <w:uiPriority w:val="0"/>
    <w:qFormat/>
    <w:rPr>
      <w:rFonts w:ascii="Tahoma" w:hAnsi="Tahoma" w:eastAsia="宋体"/>
      <w:i/>
      <w:iCs/>
      <w:sz w:val="24"/>
      <w:szCs w:val="24"/>
      <w:lang w:val="en-US" w:eastAsia="zh-CN" w:bidi="ar-SA"/>
    </w:rPr>
  </w:style>
  <w:style w:type="character" w:styleId="1033" w:customStyle="1">
    <w:name w:val="行号1"/>
    <w:uiPriority w:val="0"/>
    <w:qFormat/>
    <w:rPr>
      <w:lang w:val="en-US" w:eastAsia="zh-CN" w:bidi="ar-SA"/>
    </w:rPr>
  </w:style>
  <w:style w:type="character" w:styleId="1034" w:customStyle="1">
    <w:name w:val="HTML 打字机1"/>
    <w:uiPriority w:val="0"/>
    <w:qFormat/>
    <w:rPr>
      <w:rFonts w:ascii="宋体" w:hAnsi="宋体" w:eastAsia="宋体" w:cs="宋体"/>
      <w:sz w:val="24"/>
      <w:szCs w:val="24"/>
      <w:lang w:val="en-US" w:eastAsia="zh-CN" w:bidi="ar-SA"/>
    </w:rPr>
  </w:style>
  <w:style w:type="character" w:styleId="1035" w:customStyle="1">
    <w:name w:val="超链接1"/>
    <w:uiPriority w:val="99"/>
    <w:qFormat/>
    <w:rPr>
      <w:rFonts w:ascii="Tahoma" w:hAnsi="Tahoma" w:eastAsia="宋体"/>
      <w:color w:val="0000ff"/>
      <w:sz w:val="24"/>
      <w:szCs w:val="24"/>
      <w:u w:val="single"/>
      <w:lang w:val="en-US" w:eastAsia="zh-CN" w:bidi="ar-SA"/>
    </w:rPr>
  </w:style>
  <w:style w:type="character" w:styleId="1036" w:customStyle="1">
    <w:name w:val="批注引用1"/>
    <w:uiPriority w:val="0"/>
    <w:qFormat/>
    <w:rPr>
      <w:rFonts w:ascii="宋体" w:hAnsi="宋体" w:eastAsia="宋体"/>
      <w:sz w:val="21"/>
      <w:szCs w:val="21"/>
      <w:lang w:val="en-US" w:eastAsia="zh-CN" w:bidi="ar-SA"/>
    </w:rPr>
  </w:style>
  <w:style w:type="character" w:styleId="1037" w:customStyle="1">
    <w:name w:val="HTML 引文1"/>
    <w:uiPriority w:val="0"/>
    <w:qFormat/>
    <w:rPr>
      <w:rFonts w:ascii="宋体" w:hAnsi="宋体" w:eastAsia="宋体"/>
      <w:sz w:val="24"/>
      <w:szCs w:val="24"/>
      <w:lang w:val="en-US" w:eastAsia="zh-CN" w:bidi="ar-SA"/>
    </w:rPr>
  </w:style>
  <w:style w:type="character" w:styleId="1038" w:customStyle="1">
    <w:name w:val="脚注引用1"/>
    <w:uiPriority w:val="0"/>
    <w:qFormat/>
    <w:rPr>
      <w:vertAlign w:val="superscript"/>
    </w:rPr>
  </w:style>
  <w:style w:type="paragraph" w:styleId="1039" w:customStyle="1">
    <w:name w:val="正文 New New New New New New New New New New New New New New New12"/>
    <w:uiPriority w:val="0"/>
    <w:qFormat/>
    <w:pPr>
      <w:jc w:val="both"/>
      <w:widowControl w:val="off"/>
    </w:pPr>
    <w:rPr>
      <w:rFonts w:ascii="Times New Roman" w:hAnsi="Times New Roman" w:eastAsia="宋体" w:cs="Times New Roman"/>
      <w:sz w:val="21"/>
      <w:szCs w:val="24"/>
      <w:lang w:val="en-US" w:eastAsia="zh-CN" w:bidi="ar-SA"/>
    </w:rPr>
  </w:style>
  <w:style w:type="character" w:styleId="1040" w:customStyle="1">
    <w:name w:val="Char Char8"/>
    <w:uiPriority w:val="0"/>
    <w:qFormat/>
    <w:rPr>
      <w:sz w:val="18"/>
      <w:szCs w:val="18"/>
    </w:rPr>
  </w:style>
  <w:style w:type="character" w:styleId="1041" w:customStyle="1">
    <w:name w:val="wen Char1"/>
    <w:link w:val="1042"/>
    <w:uiPriority w:val="0"/>
    <w:qFormat/>
    <w:rPr>
      <w:rFonts w:ascii="微软雅黑" w:hAnsi="微软雅黑" w:eastAsia="微软雅黑"/>
      <w:sz w:val="21"/>
      <w:szCs w:val="24"/>
      <w:lang w:val="en-US" w:eastAsia="zh-CN" w:bidi="ar-SA"/>
    </w:rPr>
  </w:style>
  <w:style w:type="paragraph" w:styleId="1042" w:customStyle="1">
    <w:name w:val="wen"/>
    <w:basedOn w:val="750"/>
    <w:link w:val="1041"/>
    <w:uiPriority w:val="0"/>
    <w:qFormat/>
    <w:pPr>
      <w:ind w:firstLine="425"/>
      <w:spacing w:line="269" w:lineRule="auto"/>
    </w:pPr>
    <w:rPr>
      <w:rFonts w:ascii="微软雅黑" w:hAnsi="微软雅黑" w:eastAsia="微软雅黑"/>
      <w:szCs w:val="24"/>
    </w:rPr>
  </w:style>
  <w:style w:type="character" w:styleId="1043" w:customStyle="1">
    <w:name w:val="para1"/>
    <w:uiPriority w:val="0"/>
    <w:qFormat/>
    <w:rPr>
      <w:rFonts w:ascii="Arial" w:hAnsi="Arial" w:cs="Arial"/>
      <w:sz w:val="18"/>
      <w:szCs w:val="18"/>
    </w:rPr>
  </w:style>
  <w:style w:type="character" w:styleId="1044" w:customStyle="1">
    <w:name w:val="arr"/>
    <w:uiPriority w:val="0"/>
    <w:qFormat/>
    <w:rPr>
      <w:rFonts w:ascii="宋体" w:hAnsi="宋体" w:eastAsia="宋体"/>
      <w:sz w:val="24"/>
      <w:szCs w:val="24"/>
      <w:lang w:val="en-US" w:eastAsia="zh-CN" w:bidi="ar-SA"/>
    </w:rPr>
  </w:style>
  <w:style w:type="character" w:styleId="1045" w:customStyle="1">
    <w:name w:val="apple-converted-space"/>
    <w:uiPriority w:val="0"/>
    <w:qFormat/>
    <w:rPr>
      <w:lang w:val="en-US" w:eastAsia="zh-CN" w:bidi="ar-SA"/>
    </w:rPr>
  </w:style>
  <w:style w:type="character" w:styleId="1046" w:customStyle="1">
    <w:name w:val="icon-play"/>
    <w:uiPriority w:val="0"/>
    <w:qFormat/>
    <w:rPr>
      <w:rFonts w:ascii="宋体" w:hAnsi="宋体" w:eastAsia="宋体"/>
      <w:sz w:val="24"/>
      <w:szCs w:val="24"/>
      <w:lang w:val="en-US" w:eastAsia="zh-CN" w:bidi="ar-SA"/>
    </w:rPr>
  </w:style>
  <w:style w:type="character" w:styleId="1047" w:customStyle="1">
    <w:name w:val="icon-doc"/>
    <w:uiPriority w:val="0"/>
    <w:qFormat/>
    <w:rPr>
      <w:rFonts w:ascii="宋体" w:hAnsi="宋体" w:eastAsia="宋体"/>
      <w:sz w:val="24"/>
      <w:szCs w:val="24"/>
      <w:lang w:val="en-US" w:eastAsia="zh-CN" w:bidi="ar-SA"/>
    </w:rPr>
  </w:style>
  <w:style w:type="character" w:styleId="1048" w:customStyle="1">
    <w:name w:val="Char Char5"/>
    <w:uiPriority w:val="0"/>
    <w:qFormat/>
    <w:rPr>
      <w:rFonts w:ascii="宋体" w:hAnsi="宋体" w:eastAsia="楷体_GB2312"/>
      <w:sz w:val="24"/>
      <w:szCs w:val="24"/>
      <w:lang w:val="en-US" w:eastAsia="zh-CN" w:bidi="ar-SA"/>
    </w:rPr>
  </w:style>
  <w:style w:type="character" w:styleId="1049" w:customStyle="1">
    <w:name w:val="批注文字 Char"/>
    <w:uiPriority w:val="0"/>
    <w:qFormat/>
    <w:rPr>
      <w:rFonts w:ascii="宋体" w:eastAsia="宋体"/>
      <w:sz w:val="28"/>
      <w:lang w:val="en-US" w:eastAsia="zh-CN" w:bidi="ar-SA"/>
    </w:rPr>
  </w:style>
  <w:style w:type="character" w:styleId="1050" w:customStyle="1">
    <w:name w:val="icon-down"/>
    <w:uiPriority w:val="0"/>
    <w:qFormat/>
    <w:rPr>
      <w:rFonts w:ascii="宋体" w:hAnsi="宋体" w:eastAsia="宋体"/>
      <w:sz w:val="24"/>
      <w:szCs w:val="24"/>
      <w:lang w:val="en-US" w:eastAsia="zh-CN" w:bidi="ar-SA"/>
    </w:rPr>
  </w:style>
  <w:style w:type="character" w:styleId="1051" w:customStyle="1">
    <w:name w:val="style181"/>
    <w:uiPriority w:val="0"/>
    <w:qFormat/>
    <w:rPr>
      <w:sz w:val="18"/>
      <w:szCs w:val="18"/>
    </w:rPr>
  </w:style>
  <w:style w:type="character" w:styleId="1052" w:customStyle="1">
    <w:name w:val="icon-game"/>
    <w:uiPriority w:val="0"/>
    <w:qFormat/>
    <w:rPr>
      <w:rFonts w:ascii="宋体" w:hAnsi="宋体" w:eastAsia="宋体"/>
      <w:sz w:val="24"/>
      <w:szCs w:val="24"/>
      <w:lang w:val="en-US" w:eastAsia="zh-CN" w:bidi="ar-SA"/>
    </w:rPr>
  </w:style>
  <w:style w:type="character" w:styleId="1053" w:customStyle="1">
    <w:name w:val="表正文 Char"/>
    <w:uiPriority w:val="0"/>
    <w:qFormat/>
    <w:rPr>
      <w:rFonts w:eastAsia="楷体_GB2312"/>
      <w:sz w:val="24"/>
    </w:rPr>
  </w:style>
  <w:style w:type="character" w:styleId="1054" w:customStyle="1">
    <w:name w:val="size31"/>
    <w:uiPriority w:val="0"/>
    <w:qFormat/>
    <w:rPr>
      <w:rFonts w:ascii="Arial" w:hAnsi="Arial" w:eastAsia="宋体" w:cs="Arial"/>
      <w:b/>
      <w:bCs/>
      <w:color w:val="2d2d2d"/>
      <w:sz w:val="18"/>
      <w:szCs w:val="18"/>
      <w:lang w:val="en-US" w:eastAsia="en-US" w:bidi="ar-SA"/>
    </w:rPr>
  </w:style>
  <w:style w:type="character" w:styleId="1055" w:customStyle="1">
    <w:name w:val="style221"/>
    <w:uiPriority w:val="0"/>
    <w:qFormat/>
    <w:rPr>
      <w:b/>
      <w:bCs/>
      <w:color w:val="000099"/>
    </w:rPr>
  </w:style>
  <w:style w:type="character" w:styleId="1056" w:customStyle="1">
    <w:name w:val="Char Char7"/>
    <w:uiPriority w:val="0"/>
    <w:qFormat/>
    <w:rPr>
      <w:rFonts w:ascii="Times New Roman" w:hAnsi="Times New Roman" w:eastAsia="宋体" w:cs="Times New Roman"/>
      <w:sz w:val="24"/>
      <w:szCs w:val="24"/>
    </w:rPr>
  </w:style>
  <w:style w:type="character" w:styleId="1057" w:customStyle="1">
    <w:name w:val="style141"/>
    <w:uiPriority w:val="0"/>
    <w:qFormat/>
    <w:rPr>
      <w:rFonts w:hint="eastAsia" w:ascii="宋体" w:hAnsi="宋体" w:eastAsia="宋体"/>
    </w:rPr>
  </w:style>
  <w:style w:type="character" w:styleId="1058" w:customStyle="1">
    <w:name w:val="z-窗体顶端 Char"/>
    <w:link w:val="1059"/>
    <w:uiPriority w:val="0"/>
    <w:qFormat/>
    <w:rPr>
      <w:rFonts w:ascii="Arial" w:hAnsi="Tahoma" w:eastAsia="宋体"/>
      <w:vanish/>
      <w:sz w:val="16"/>
      <w:szCs w:val="24"/>
      <w:lang w:val="en-US" w:eastAsia="zh-CN" w:bidi="ar-SA"/>
    </w:rPr>
  </w:style>
  <w:style w:type="paragraph" w:styleId="1059" w:customStyle="1">
    <w:name w:val="z-窗体顶端1"/>
    <w:basedOn w:val="750"/>
    <w:next w:val="750"/>
    <w:link w:val="1058"/>
    <w:uiPriority w:val="0"/>
    <w:qFormat/>
    <w:pPr>
      <w:jc w:val="center"/>
      <w:pBdr>
        <w:bottom w:val="single" w:color="000000" w:sz="6" w:space="1"/>
      </w:pBdr>
    </w:pPr>
    <w:rPr>
      <w:rFonts w:ascii="Arial" w:hAnsi="Tahoma"/>
      <w:vanish/>
      <w:sz w:val="16"/>
      <w:szCs w:val="24"/>
    </w:rPr>
  </w:style>
  <w:style w:type="character" w:styleId="1060" w:customStyle="1">
    <w:name w:val="纯文本 Char Char Char Char Char Char Char Char Char Char"/>
    <w:uiPriority w:val="0"/>
    <w:qFormat/>
    <w:rPr>
      <w:rFonts w:ascii="宋体" w:hAnsi="Courier New" w:eastAsia="楷体_GB2312"/>
      <w:sz w:val="26"/>
      <w:lang w:val="en-US" w:eastAsia="zh-CN" w:bidi="ar-SA"/>
    </w:rPr>
  </w:style>
  <w:style w:type="character" w:styleId="1061" w:customStyle="1">
    <w:name w:val="样式1 Char Char"/>
    <w:link w:val="1062"/>
    <w:uiPriority w:val="0"/>
    <w:qFormat/>
    <w:rPr>
      <w:rFonts w:ascii="宋体" w:hAnsi="宋体" w:eastAsia="微软雅黑"/>
      <w:bCs/>
      <w:sz w:val="18"/>
    </w:rPr>
  </w:style>
  <w:style w:type="paragraph" w:styleId="1062" w:customStyle="1">
    <w:name w:val="样式1"/>
    <w:basedOn w:val="750"/>
    <w:link w:val="1061"/>
    <w:uiPriority w:val="0"/>
    <w:qFormat/>
    <w:pPr>
      <w:spacing w:line="360" w:lineRule="auto"/>
    </w:pPr>
    <w:rPr>
      <w:rFonts w:ascii="宋体" w:hAnsi="宋体" w:eastAsia="微软雅黑"/>
      <w:bCs/>
      <w:sz w:val="18"/>
    </w:rPr>
  </w:style>
  <w:style w:type="character" w:styleId="1063" w:customStyle="1">
    <w:name w:val="纯文本 Char"/>
    <w:uiPriority w:val="99"/>
    <w:qFormat/>
    <w:rPr>
      <w:rFonts w:ascii="宋体" w:hAnsi="Courier New" w:eastAsia="楷体_GB2312"/>
      <w:sz w:val="28"/>
      <w:lang w:val="en-US" w:eastAsia="zh-CN" w:bidi="ar-SA"/>
    </w:rPr>
  </w:style>
  <w:style w:type="character" w:styleId="1064" w:customStyle="1">
    <w:name w:val="Char Char1"/>
    <w:uiPriority w:val="0"/>
    <w:qFormat/>
    <w:rPr>
      <w:rFonts w:ascii="宋体" w:hAnsi="Courier New" w:eastAsia="楷体_GB2312"/>
      <w:sz w:val="28"/>
      <w:szCs w:val="24"/>
      <w:lang w:val="en-US" w:eastAsia="zh-CN" w:bidi="ar-SA"/>
    </w:rPr>
  </w:style>
  <w:style w:type="character" w:styleId="1065" w:customStyle="1">
    <w:name w:val="s1"/>
    <w:uiPriority w:val="0"/>
    <w:qFormat/>
  </w:style>
  <w:style w:type="character" w:styleId="1066" w:customStyle="1">
    <w:name w:val="del1"/>
    <w:uiPriority w:val="0"/>
    <w:qFormat/>
    <w:rPr>
      <w:rFonts w:ascii="宋体" w:hAnsi="宋体" w:eastAsia="宋体"/>
      <w:vanish/>
      <w:color w:val="666666"/>
      <w:sz w:val="18"/>
      <w:szCs w:val="18"/>
      <w:u w:val="single"/>
      <w:lang w:val="en-US" w:eastAsia="zh-CN" w:bidi="ar-SA"/>
    </w:rPr>
  </w:style>
  <w:style w:type="character" w:styleId="1067" w:customStyle="1">
    <w:name w:val="表格 Char Char"/>
    <w:link w:val="1068"/>
    <w:uiPriority w:val="0"/>
    <w:qFormat/>
    <w:rPr>
      <w:rFonts w:ascii="仿宋_GB2312" w:hAnsi="宋体" w:eastAsia="仿宋_GB2312"/>
      <w:sz w:val="21"/>
      <w:szCs w:val="21"/>
    </w:rPr>
  </w:style>
  <w:style w:type="paragraph" w:styleId="1068" w:customStyle="1">
    <w:name w:val="表格"/>
    <w:basedOn w:val="750"/>
    <w:link w:val="1067"/>
    <w:uiPriority w:val="0"/>
    <w:qFormat/>
    <w:pPr>
      <w:spacing w:after="120"/>
      <w:framePr w:hSpace="180" w:wrap="around" w:vAnchor="page" w:hAnchor="margin" w:y="2377"/>
    </w:pPr>
    <w:rPr>
      <w:rFonts w:ascii="仿宋_GB2312" w:hAnsi="宋体" w:eastAsia="仿宋_GB2312"/>
      <w:szCs w:val="21"/>
    </w:rPr>
  </w:style>
  <w:style w:type="character" w:styleId="1069" w:customStyle="1">
    <w:name w:val="表格正文 Char"/>
    <w:link w:val="1070"/>
    <w:uiPriority w:val="0"/>
    <w:qFormat/>
    <w:rPr>
      <w:sz w:val="24"/>
      <w:szCs w:val="24"/>
    </w:rPr>
  </w:style>
  <w:style w:type="paragraph" w:styleId="1070" w:customStyle="1">
    <w:name w:val="表格正文"/>
    <w:basedOn w:val="750"/>
    <w:next w:val="1071"/>
    <w:link w:val="1069"/>
    <w:uiPriority w:val="0"/>
    <w:qFormat/>
    <w:pPr>
      <w:jc w:val="left"/>
      <w:spacing w:line="300" w:lineRule="auto"/>
    </w:pPr>
    <w:rPr>
      <w:sz w:val="24"/>
      <w:szCs w:val="24"/>
    </w:rPr>
  </w:style>
  <w:style w:type="paragraph" w:styleId="1071" w:customStyle="1">
    <w:name w:val="此正文"/>
    <w:basedOn w:val="750"/>
    <w:uiPriority w:val="0"/>
    <w:qFormat/>
    <w:pPr>
      <w:ind w:firstLine="200"/>
      <w:spacing w:line="360" w:lineRule="auto"/>
    </w:pPr>
    <w:rPr>
      <w:sz w:val="24"/>
      <w:szCs w:val="24"/>
    </w:rPr>
  </w:style>
  <w:style w:type="character" w:styleId="1072" w:customStyle="1">
    <w:name w:val="ca-11"/>
    <w:uiPriority w:val="0"/>
    <w:qFormat/>
    <w:rPr>
      <w:rFonts w:hint="eastAsia" w:ascii="宋体" w:hAnsi="宋体" w:eastAsia="宋体"/>
      <w:sz w:val="24"/>
      <w:szCs w:val="24"/>
    </w:rPr>
  </w:style>
  <w:style w:type="character" w:styleId="1073" w:customStyle="1">
    <w:name w:val="Plain Text Char"/>
    <w:uiPriority w:val="0"/>
    <w:qFormat/>
    <w:rPr>
      <w:rFonts w:ascii="宋体" w:hAnsi="Courier New" w:eastAsia="楷体_GB2312"/>
      <w:sz w:val="26"/>
    </w:rPr>
  </w:style>
  <w:style w:type="character" w:styleId="1074" w:customStyle="1">
    <w:name w:val="style21"/>
    <w:uiPriority w:val="0"/>
    <w:qFormat/>
    <w:rPr>
      <w:rFonts w:ascii="Tahoma" w:hAnsi="Tahoma" w:eastAsia="宋体"/>
      <w:color w:val="2e65b5"/>
      <w:sz w:val="24"/>
      <w:szCs w:val="24"/>
      <w:lang w:val="en-US" w:eastAsia="zh-CN" w:bidi="ar-SA"/>
    </w:rPr>
  </w:style>
  <w:style w:type="character" w:styleId="1075" w:customStyle="1">
    <w:name w:val="z-窗体底端 Char"/>
    <w:link w:val="1076"/>
    <w:uiPriority w:val="0"/>
    <w:qFormat/>
    <w:rPr>
      <w:rFonts w:ascii="Arial" w:hAnsi="Tahoma" w:eastAsia="宋体"/>
      <w:vanish/>
      <w:sz w:val="16"/>
      <w:szCs w:val="24"/>
      <w:lang w:val="en-US" w:eastAsia="zh-CN" w:bidi="ar-SA"/>
    </w:rPr>
  </w:style>
  <w:style w:type="paragraph" w:styleId="1076" w:customStyle="1">
    <w:name w:val="z-窗体底端1"/>
    <w:basedOn w:val="750"/>
    <w:next w:val="750"/>
    <w:link w:val="1075"/>
    <w:uiPriority w:val="0"/>
    <w:qFormat/>
    <w:pPr>
      <w:jc w:val="center"/>
      <w:pBdr>
        <w:top w:val="single" w:color="000000" w:sz="6" w:space="1"/>
      </w:pBdr>
    </w:pPr>
    <w:rPr>
      <w:rFonts w:ascii="Arial" w:hAnsi="Tahoma"/>
      <w:vanish/>
      <w:sz w:val="16"/>
      <w:szCs w:val="24"/>
    </w:rPr>
  </w:style>
  <w:style w:type="character" w:styleId="1077" w:customStyle="1">
    <w:name w:val="param-name"/>
    <w:uiPriority w:val="0"/>
    <w:qFormat/>
    <w:rPr>
      <w:lang w:val="en-US" w:eastAsia="zh-CN" w:bidi="ar-SA"/>
    </w:rPr>
  </w:style>
  <w:style w:type="character" w:styleId="1078" w:customStyle="1">
    <w:name w:val="正文首行缩进2字 Char"/>
    <w:link w:val="1079"/>
    <w:uiPriority w:val="0"/>
    <w:qFormat/>
    <w:rPr>
      <w:rFonts w:eastAsia="楷体_GB2312"/>
      <w:sz w:val="24"/>
      <w:szCs w:val="24"/>
    </w:rPr>
  </w:style>
  <w:style w:type="paragraph" w:styleId="1079" w:customStyle="1">
    <w:name w:val="正文首行缩进2字"/>
    <w:basedOn w:val="750"/>
    <w:link w:val="1078"/>
    <w:uiPriority w:val="0"/>
    <w:qFormat/>
    <w:pPr>
      <w:ind w:firstLine="540"/>
      <w:spacing w:line="288" w:lineRule="auto"/>
    </w:pPr>
    <w:rPr>
      <w:rFonts w:eastAsia="楷体_GB2312"/>
      <w:sz w:val="24"/>
      <w:szCs w:val="24"/>
    </w:rPr>
  </w:style>
  <w:style w:type="character" w:styleId="1080" w:customStyle="1">
    <w:name w:val="Char Char3"/>
    <w:uiPriority w:val="0"/>
    <w:qFormat/>
    <w:rPr>
      <w:rFonts w:eastAsia="楷体_GB2312"/>
      <w:sz w:val="24"/>
      <w:lang w:val="en-US" w:eastAsia="zh-CN" w:bidi="ar-SA"/>
    </w:rPr>
  </w:style>
  <w:style w:type="character" w:styleId="1081" w:customStyle="1">
    <w:name w:val="style4 style24"/>
    <w:uiPriority w:val="0"/>
    <w:qFormat/>
    <w:rPr>
      <w:lang w:val="en-US" w:eastAsia="zh-CN" w:bidi="ar-SA"/>
    </w:rPr>
  </w:style>
  <w:style w:type="character" w:styleId="1082" w:customStyle="1">
    <w:name w:val="ca-1"/>
    <w:uiPriority w:val="0"/>
    <w:qFormat/>
    <w:rPr>
      <w:lang w:val="en-US" w:eastAsia="zh-CN" w:bidi="ar-SA"/>
    </w:rPr>
  </w:style>
  <w:style w:type="character" w:styleId="1083" w:customStyle="1">
    <w:name w:val="ca-0"/>
    <w:uiPriority w:val="0"/>
    <w:qFormat/>
    <w:rPr>
      <w:lang w:val="en-US" w:eastAsia="zh-CN" w:bidi="ar-SA"/>
    </w:rPr>
  </w:style>
  <w:style w:type="character" w:styleId="1084" w:customStyle="1">
    <w:name w:val="apple-style-span"/>
    <w:uiPriority w:val="0"/>
    <w:qFormat/>
    <w:rPr>
      <w:lang w:val="en-US" w:eastAsia="zh-CN" w:bidi="ar-SA"/>
    </w:rPr>
  </w:style>
  <w:style w:type="character" w:styleId="1085" w:customStyle="1">
    <w:name w:val="A8"/>
    <w:uiPriority w:val="0"/>
    <w:qFormat/>
    <w:rPr>
      <w:rFonts w:ascii="华文细黑." w:eastAsia="华文细黑." w:cs="华文细黑."/>
      <w:color w:val="000000"/>
      <w:sz w:val="14"/>
      <w:szCs w:val="14"/>
    </w:rPr>
  </w:style>
  <w:style w:type="character" w:styleId="1086" w:customStyle="1">
    <w:name w:val="para"/>
    <w:uiPriority w:val="0"/>
    <w:qFormat/>
    <w:rPr>
      <w:lang w:val="en-US" w:eastAsia="zh-CN" w:bidi="ar-SA"/>
    </w:rPr>
  </w:style>
  <w:style w:type="character" w:styleId="1087" w:customStyle="1">
    <w:name w:val="无间隔 Char"/>
    <w:link w:val="1088"/>
    <w:uiPriority w:val="0"/>
    <w:qFormat/>
    <w:rPr>
      <w:rFonts w:ascii="Calibri" w:hAnsi="Calibri"/>
      <w:sz w:val="22"/>
      <w:szCs w:val="22"/>
      <w:lang w:val="en-US" w:eastAsia="zh-CN" w:bidi="ar-SA"/>
    </w:rPr>
  </w:style>
  <w:style w:type="paragraph" w:styleId="1088" w:customStyle="1">
    <w:name w:val="无间隔1"/>
    <w:link w:val="1087"/>
    <w:uiPriority w:val="0"/>
    <w:qFormat/>
    <w:rPr>
      <w:rFonts w:ascii="Times New Roman" w:hAnsi="Times New Roman" w:eastAsia="宋体" w:cs="Times New Roman"/>
      <w:sz w:val="22"/>
      <w:szCs w:val="22"/>
      <w:lang w:val="en-US" w:eastAsia="zh-CN" w:bidi="ar-SA"/>
    </w:rPr>
  </w:style>
  <w:style w:type="character" w:styleId="1089" w:customStyle="1">
    <w:name w:val="del"/>
    <w:uiPriority w:val="0"/>
    <w:qFormat/>
    <w:rPr>
      <w:rFonts w:ascii="宋体" w:hAnsi="宋体" w:eastAsia="宋体"/>
      <w:sz w:val="24"/>
      <w:szCs w:val="24"/>
      <w:lang w:val="en-US" w:eastAsia="zh-CN" w:bidi="ar-SA"/>
    </w:rPr>
  </w:style>
  <w:style w:type="character" w:styleId="1090" w:customStyle="1">
    <w:name w:val="正文缩进 Char"/>
    <w:uiPriority w:val="0"/>
    <w:qFormat/>
    <w:rPr>
      <w:rFonts w:eastAsia="楷体_GB2312"/>
      <w:sz w:val="24"/>
      <w:lang w:bidi="ar-SA"/>
    </w:rPr>
  </w:style>
  <w:style w:type="character" w:styleId="1091" w:customStyle="1">
    <w:name w:val="纯文本 Char2"/>
    <w:link w:val="768"/>
    <w:uiPriority w:val="0"/>
    <w:qFormat/>
    <w:rPr>
      <w:rFonts w:ascii="宋体" w:hAnsi="Courier New" w:eastAsia="楷体_GB2312"/>
      <w:sz w:val="26"/>
      <w:lang w:val="en-US" w:eastAsia="zh-CN" w:bidi="ar-SA"/>
    </w:rPr>
  </w:style>
  <w:style w:type="character" w:styleId="1092" w:customStyle="1">
    <w:name w:val="日期 Char1"/>
    <w:uiPriority w:val="0"/>
    <w:qFormat/>
    <w:rPr>
      <w:rFonts w:ascii="宋体" w:hAnsi="宋体" w:eastAsia="宋体"/>
      <w:sz w:val="21"/>
      <w:szCs w:val="24"/>
      <w:lang w:val="en-US" w:eastAsia="zh-CN" w:bidi="ar-SA"/>
    </w:rPr>
  </w:style>
  <w:style w:type="character" w:styleId="1093" w:customStyle="1">
    <w:name w:val="Char Char10"/>
    <w:uiPriority w:val="0"/>
    <w:qFormat/>
    <w:rPr>
      <w:rFonts w:ascii="Times New Roman" w:hAnsi="Times New Roman" w:eastAsia="宋体" w:cs="Times New Roman"/>
      <w:b/>
      <w:bCs/>
      <w:sz w:val="28"/>
      <w:szCs w:val="28"/>
    </w:rPr>
  </w:style>
  <w:style w:type="character" w:styleId="1094" w:customStyle="1">
    <w:name w:val="s_font_weight1"/>
    <w:uiPriority w:val="0"/>
    <w:qFormat/>
    <w:rPr>
      <w:rFonts w:ascii="Tahoma" w:hAnsi="Tahoma" w:eastAsia="宋体"/>
      <w:sz w:val="24"/>
      <w:szCs w:val="24"/>
      <w:lang w:val="en-US" w:eastAsia="zh-CN" w:bidi="ar-SA"/>
    </w:rPr>
  </w:style>
  <w:style w:type="character" w:styleId="1095" w:customStyle="1">
    <w:name w:val="Char Char9"/>
    <w:uiPriority w:val="0"/>
    <w:qFormat/>
    <w:rPr>
      <w:sz w:val="18"/>
      <w:szCs w:val="18"/>
    </w:rPr>
  </w:style>
  <w:style w:type="character" w:styleId="1096" w:customStyle="1">
    <w:name w:val="icon-read"/>
    <w:uiPriority w:val="0"/>
    <w:qFormat/>
    <w:rPr>
      <w:rFonts w:ascii="宋体" w:hAnsi="宋体" w:eastAsia="宋体"/>
      <w:sz w:val="24"/>
      <w:szCs w:val="24"/>
      <w:lang w:val="en-US" w:eastAsia="zh-CN" w:bidi="ar-SA"/>
    </w:rPr>
  </w:style>
  <w:style w:type="paragraph" w:styleId="1097" w:customStyle="1">
    <w:name w:val="Char Char Char Char Char Char Char Char Char1 Char"/>
    <w:basedOn w:val="971"/>
    <w:uiPriority w:val="0"/>
    <w:qFormat/>
    <w:pPr>
      <w:spacing w:line="360" w:lineRule="auto"/>
      <w:shd w:val="clear" w:color="auto" w:fill="000080"/>
      <w:tabs>
        <w:tab w:val="left" w:pos="360" w:leader="none"/>
      </w:tabs>
    </w:pPr>
    <w:rPr>
      <w:rFonts w:ascii="Times New Roman"/>
      <w:sz w:val="24"/>
      <w:szCs w:val="20"/>
    </w:rPr>
  </w:style>
  <w:style w:type="paragraph" w:styleId="1098" w:customStyle="1">
    <w:name w:val="Pa1"/>
    <w:basedOn w:val="750"/>
    <w:next w:val="750"/>
    <w:uiPriority w:val="0"/>
    <w:qFormat/>
    <w:pPr>
      <w:jc w:val="left"/>
      <w:spacing w:line="241" w:lineRule="atLeast"/>
    </w:pPr>
    <w:rPr>
      <w:rFonts w:ascii="华文细黑" w:eastAsia="华文细黑"/>
      <w:sz w:val="24"/>
      <w:szCs w:val="24"/>
    </w:rPr>
  </w:style>
  <w:style w:type="paragraph" w:styleId="1099" w:customStyle="1">
    <w:name w:val="样式5"/>
    <w:basedOn w:val="1021"/>
    <w:uiPriority w:val="0"/>
    <w:qFormat/>
    <w:rPr>
      <w:rFonts w:ascii="Arial" w:hAnsi="Arial" w:cs="Arial"/>
    </w:rPr>
  </w:style>
  <w:style w:type="paragraph" w:styleId="1100" w:customStyle="1">
    <w:name w:val="样式 列表编号 + 段后: 0.5 行"/>
    <w:basedOn w:val="963"/>
    <w:uiPriority w:val="0"/>
    <w:qFormat/>
    <w:pPr>
      <w:numPr>
        <w:ilvl w:val="0"/>
        <w:numId w:val="0"/>
      </w:numPr>
      <w:ind w:left="780" w:hanging="420"/>
      <w:spacing w:after="120"/>
    </w:pPr>
    <w:rPr>
      <w:rFonts w:cs="宋体"/>
    </w:rPr>
  </w:style>
  <w:style w:type="paragraph" w:styleId="1101" w:customStyle="1">
    <w:name w:val="带上框线页脚"/>
    <w:basedOn w:val="750"/>
    <w:uiPriority w:val="0"/>
    <w:qFormat/>
    <w:pPr>
      <w:jc w:val="left"/>
      <w:widowControl/>
      <w:pBdr>
        <w:top w:val="single" w:color="000000" w:sz="4" w:space="1"/>
      </w:pBdr>
    </w:pPr>
    <w:rPr>
      <w:sz w:val="18"/>
    </w:rPr>
  </w:style>
  <w:style w:type="paragraph" w:styleId="1102" w:customStyle="1">
    <w:name w:val="Char"/>
    <w:basedOn w:val="971"/>
    <w:uiPriority w:val="0"/>
    <w:qFormat/>
    <w:pPr>
      <w:ind w:left="874" w:hanging="420"/>
      <w:jc w:val="left"/>
      <w:shd w:val="clear" w:color="auto" w:fill="000080"/>
      <w:widowControl/>
      <w:tabs>
        <w:tab w:val="left" w:pos="874" w:leader="none"/>
      </w:tabs>
    </w:pPr>
    <w:rPr>
      <w:rFonts w:ascii="Tahoma" w:hAnsi="Tahoma" w:cs="宋体"/>
      <w:sz w:val="21"/>
      <w:szCs w:val="20"/>
    </w:rPr>
  </w:style>
  <w:style w:type="paragraph" w:styleId="1103" w:customStyle="1">
    <w:name w:val="Char Char3 Char Char Char Char Char Char Char Char Char Char Char Char Char Char Char Char Char Char"/>
    <w:basedOn w:val="750"/>
    <w:uiPriority w:val="0"/>
    <w:qFormat/>
    <w:pPr>
      <w:ind w:firstLine="200"/>
      <w:jc w:val="left"/>
      <w:spacing w:after="160" w:line="360" w:lineRule="auto"/>
      <w:widowControl/>
    </w:pPr>
    <w:rPr>
      <w:rFonts w:ascii="宋体" w:hAnsi="宋体"/>
      <w:sz w:val="24"/>
      <w:szCs w:val="24"/>
    </w:rPr>
  </w:style>
  <w:style w:type="paragraph" w:styleId="1104" w:customStyle="1">
    <w:name w:val="表头"/>
    <w:basedOn w:val="968"/>
    <w:uiPriority w:val="0"/>
    <w:qFormat/>
    <w:pPr>
      <w:jc w:val="center"/>
      <w:keepLines/>
      <w:keepNext/>
      <w:spacing w:before="120" w:after="120" w:line="300" w:lineRule="auto"/>
      <w:widowControl/>
    </w:pPr>
    <w:rPr>
      <w:rFonts w:cs="Times New Roman"/>
      <w:sz w:val="21"/>
    </w:rPr>
  </w:style>
  <w:style w:type="paragraph" w:styleId="1105" w:customStyle="1">
    <w:name w:val="Pa8"/>
    <w:basedOn w:val="750"/>
    <w:next w:val="750"/>
    <w:uiPriority w:val="0"/>
    <w:qFormat/>
    <w:pPr>
      <w:jc w:val="left"/>
      <w:spacing w:line="481" w:lineRule="atLeast"/>
    </w:pPr>
    <w:rPr>
      <w:rFonts w:ascii="微软雅黑." w:eastAsia="微软雅黑."/>
      <w:sz w:val="24"/>
      <w:szCs w:val="24"/>
    </w:rPr>
  </w:style>
  <w:style w:type="paragraph" w:styleId="1106" w:customStyle="1">
    <w:name w:val="xl102"/>
    <w:basedOn w:val="750"/>
    <w:uiPriority w:val="0"/>
    <w:qFormat/>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07" w:customStyle="1">
    <w:name w:val="修订1"/>
    <w:uiPriority w:val="99"/>
    <w:semiHidden/>
    <w:qFormat/>
    <w:rPr>
      <w:rFonts w:ascii="Times New Roman" w:hAnsi="Times New Roman" w:eastAsia="楷体_GB2312" w:cs="Times New Roman"/>
      <w:sz w:val="26"/>
      <w:lang w:val="en-US" w:eastAsia="zh-CN" w:bidi="ar-SA"/>
    </w:rPr>
  </w:style>
  <w:style w:type="paragraph" w:styleId="1108" w:customStyle="1">
    <w:name w:val="正文 A"/>
    <w:uiPriority w:val="99"/>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109" w:customStyle="1">
    <w:name w:val="多级符号2"/>
    <w:basedOn w:val="750"/>
    <w:uiPriority w:val="0"/>
    <w:qFormat/>
    <w:pPr>
      <w:numPr>
        <w:ilvl w:val="0"/>
        <w:numId w:val="7"/>
      </w:numPr>
      <w:jc w:val="left"/>
      <w:spacing w:line="360" w:lineRule="auto"/>
    </w:pPr>
    <w:rPr>
      <w:rFonts w:eastAsia="仿宋_GB2312"/>
      <w:sz w:val="24"/>
      <w:szCs w:val="24"/>
    </w:rPr>
  </w:style>
  <w:style w:type="paragraph" w:styleId="1110" w:customStyle="1">
    <w:name w:val="Definition Term"/>
    <w:basedOn w:val="750"/>
    <w:next w:val="750"/>
    <w:uiPriority w:val="0"/>
    <w:qFormat/>
    <w:pPr>
      <w:jc w:val="left"/>
    </w:pPr>
    <w:rPr>
      <w:sz w:val="24"/>
    </w:rPr>
  </w:style>
  <w:style w:type="paragraph" w:styleId="1111" w:customStyle="1">
    <w:name w:val="pic-info"/>
    <w:basedOn w:val="750"/>
    <w:uiPriority w:val="0"/>
    <w:qFormat/>
    <w:pPr>
      <w:jc w:val="left"/>
      <w:spacing w:before="100" w:beforeAutospacing="1" w:after="100" w:afterAutospacing="1"/>
      <w:widowControl/>
    </w:pPr>
    <w:rPr>
      <w:rFonts w:ascii="宋体" w:hAnsi="宋体" w:cs="宋体"/>
      <w:sz w:val="24"/>
      <w:szCs w:val="24"/>
    </w:rPr>
  </w:style>
  <w:style w:type="paragraph" w:styleId="1112" w:customStyle="1">
    <w:name w:val="Javis"/>
    <w:basedOn w:val="750"/>
    <w:uiPriority w:val="0"/>
    <w:qFormat/>
    <w:pPr>
      <w:ind w:right="210"/>
      <w:spacing w:line="360" w:lineRule="auto"/>
    </w:pPr>
    <w:rPr>
      <w:rFonts w:cs="宋体"/>
      <w:sz w:val="24"/>
    </w:rPr>
  </w:style>
  <w:style w:type="paragraph" w:styleId="1113" w:customStyle="1">
    <w:name w:val="text12"/>
    <w:basedOn w:val="750"/>
    <w:uiPriority w:val="0"/>
    <w:qFormat/>
    <w:pPr>
      <w:ind w:firstLine="480"/>
      <w:jc w:val="left"/>
      <w:spacing w:before="100" w:beforeAutospacing="1" w:after="100" w:afterAutospacing="1"/>
      <w:widowControl/>
    </w:pPr>
    <w:rPr>
      <w:rFonts w:ascii="Arial Unicode MS" w:hAnsi="Arial Unicode MS"/>
      <w:sz w:val="24"/>
      <w:szCs w:val="24"/>
    </w:rPr>
  </w:style>
  <w:style w:type="paragraph" w:styleId="1114" w:customStyle="1">
    <w:name w:val="xl73"/>
    <w:basedOn w:val="750"/>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115" w:customStyle="1">
    <w:name w:val="Char Char Char Char"/>
    <w:basedOn w:val="750"/>
    <w:uiPriority w:val="0"/>
    <w:qFormat/>
    <w:rPr>
      <w:rFonts w:ascii="仿宋_GB2312" w:eastAsia="仿宋_GB2312"/>
      <w:b/>
      <w:sz w:val="32"/>
      <w:szCs w:val="32"/>
    </w:rPr>
  </w:style>
  <w:style w:type="paragraph" w:styleId="1116" w:customStyle="1">
    <w:name w:val="正文符号1"/>
    <w:basedOn w:val="1079"/>
    <w:uiPriority w:val="0"/>
    <w:qFormat/>
    <w:pPr>
      <w:numPr>
        <w:ilvl w:val="0"/>
        <w:numId w:val="8"/>
      </w:numPr>
      <w:ind w:left="975" w:hanging="340"/>
      <w:tabs>
        <w:tab w:val="left" w:pos="840" w:leader="none"/>
        <w:tab w:val="left" w:pos="975" w:leader="none"/>
        <w:tab w:val="left" w:pos="1080" w:leader="none"/>
      </w:tabs>
    </w:pPr>
  </w:style>
  <w:style w:type="paragraph" w:styleId="1117" w:customStyle="1">
    <w:name w:val="Char Char2 Char Char"/>
    <w:basedOn w:val="750"/>
    <w:uiPriority w:val="0"/>
    <w:qFormat/>
    <w:rPr>
      <w:rFonts w:ascii="Tahoma" w:hAnsi="Tahoma"/>
      <w:sz w:val="24"/>
    </w:rPr>
  </w:style>
  <w:style w:type="paragraph" w:styleId="1118" w:customStyle="1">
    <w:name w:val="Char Char Char Char Char Char Char Char Char Char"/>
    <w:basedOn w:val="971"/>
    <w:uiPriority w:val="0"/>
    <w:qFormat/>
    <w:pPr>
      <w:shd w:val="clear" w:color="auto" w:fill="000080"/>
    </w:pPr>
    <w:rPr>
      <w:rFonts w:ascii="Tahoma" w:hAnsi="Tahoma" w:cs="Tahoma"/>
      <w:sz w:val="24"/>
      <w:szCs w:val="24"/>
    </w:rPr>
  </w:style>
  <w:style w:type="paragraph" w:styleId="1119">
    <w:name w:val="List Paragraph"/>
    <w:basedOn w:val="750"/>
    <w:uiPriority w:val="0"/>
    <w:qFormat/>
    <w:pPr>
      <w:contextualSpacing/>
      <w:ind w:left="720"/>
      <w:spacing w:line="360" w:lineRule="auto"/>
    </w:pPr>
    <w:rPr>
      <w:rFonts w:eastAsia="Arial"/>
      <w:color w:val="000000"/>
      <w:szCs w:val="24"/>
    </w:rPr>
  </w:style>
  <w:style w:type="paragraph" w:styleId="1120" w:customStyle="1">
    <w:name w:val="font8"/>
    <w:basedOn w:val="750"/>
    <w:uiPriority w:val="0"/>
    <w:qFormat/>
    <w:pPr>
      <w:jc w:val="left"/>
      <w:spacing w:before="100" w:beforeAutospacing="1" w:after="100" w:afterAutospacing="1"/>
      <w:widowControl/>
    </w:pPr>
    <w:rPr>
      <w:sz w:val="22"/>
      <w:szCs w:val="22"/>
    </w:rPr>
  </w:style>
  <w:style w:type="paragraph" w:styleId="1121" w:customStyle="1">
    <w:name w:val="Definition List"/>
    <w:basedOn w:val="750"/>
    <w:next w:val="750"/>
    <w:uiPriority w:val="0"/>
    <w:qFormat/>
    <w:pPr>
      <w:ind w:left="360"/>
      <w:jc w:val="left"/>
    </w:pPr>
    <w:rPr>
      <w:sz w:val="24"/>
    </w:rPr>
  </w:style>
  <w:style w:type="paragraph" w:styleId="1122" w:customStyle="1">
    <w:name w:val="Default Paragraph Font Para Char"/>
    <w:basedOn w:val="750"/>
    <w:uiPriority w:val="0"/>
    <w:qFormat/>
    <w:pPr>
      <w:jc w:val="left"/>
      <w:spacing w:after="160" w:line="240" w:lineRule="exact"/>
      <w:widowControl/>
    </w:pPr>
    <w:rPr>
      <w:rFonts w:ascii="Verdana" w:hAnsi="Verdana"/>
      <w:sz w:val="20"/>
      <w:lang w:eastAsia="en-US"/>
    </w:rPr>
  </w:style>
  <w:style w:type="paragraph" w:styleId="1123" w:customStyle="1">
    <w:name w:val="Plain Text1"/>
    <w:basedOn w:val="750"/>
    <w:uiPriority w:val="0"/>
    <w:qFormat/>
    <w:rPr>
      <w:rFonts w:ascii="宋体" w:hAnsi="Courier New" w:eastAsia="楷体_GB2312"/>
      <w:sz w:val="26"/>
      <w:szCs w:val="22"/>
    </w:rPr>
  </w:style>
  <w:style w:type="paragraph" w:styleId="1124" w:customStyle="1">
    <w:name w:val="正文编号1级head"/>
    <w:basedOn w:val="1125"/>
    <w:next w:val="1125"/>
    <w:uiPriority w:val="0"/>
    <w:qFormat/>
    <w:pPr>
      <w:ind w:left="360" w:hanging="360"/>
      <w:tabs>
        <w:tab w:val="left" w:pos="360" w:leader="none"/>
        <w:tab w:val="left" w:pos="840" w:leader="none"/>
      </w:tabs>
    </w:pPr>
  </w:style>
  <w:style w:type="paragraph" w:styleId="1125" w:customStyle="1">
    <w:name w:val="正文编号1级"/>
    <w:basedOn w:val="1026"/>
    <w:uiPriority w:val="0"/>
    <w:qFormat/>
    <w:pPr>
      <w:ind w:left="840" w:hanging="420"/>
      <w:spacing w:after="0" w:line="300" w:lineRule="auto"/>
      <w:tabs>
        <w:tab w:val="left" w:pos="840" w:leader="none"/>
      </w:tabs>
    </w:pPr>
    <w:rPr>
      <w:rFonts w:ascii="宋体"/>
      <w:szCs w:val="21"/>
    </w:rPr>
  </w:style>
  <w:style w:type="paragraph" w:styleId="1126" w:customStyle="1">
    <w:name w:val="font7"/>
    <w:basedOn w:val="750"/>
    <w:uiPriority w:val="0"/>
    <w:qFormat/>
    <w:pPr>
      <w:jc w:val="left"/>
      <w:spacing w:before="100" w:beforeAutospacing="1" w:after="100" w:afterAutospacing="1"/>
      <w:widowControl/>
    </w:pPr>
    <w:rPr>
      <w:sz w:val="20"/>
    </w:rPr>
  </w:style>
  <w:style w:type="paragraph" w:styleId="1127" w:customStyle="1">
    <w:name w:val="Table Text"/>
    <w:basedOn w:val="750"/>
    <w:uiPriority w:val="0"/>
    <w:qFormat/>
    <w:pPr>
      <w:jc w:val="left"/>
      <w:widowControl/>
      <w:tabs>
        <w:tab w:val="decimal" w:pos="0" w:leader="none"/>
      </w:tabs>
    </w:pPr>
    <w:rPr>
      <w:rFonts w:eastAsia="Times New Roman"/>
      <w:lang w:eastAsia="en-US"/>
    </w:rPr>
  </w:style>
  <w:style w:type="paragraph" w:styleId="1128" w:customStyle="1">
    <w:name w:val="xl105"/>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29" w:customStyle="1">
    <w:name w:val="Char2"/>
    <w:basedOn w:val="750"/>
    <w:uiPriority w:val="0"/>
    <w:qFormat/>
    <w:pPr>
      <w:ind w:left="432" w:hanging="432"/>
    </w:pPr>
    <w:rPr>
      <w:sz w:val="24"/>
      <w:szCs w:val="24"/>
    </w:rPr>
  </w:style>
  <w:style w:type="paragraph" w:styleId="1130" w:customStyle="1">
    <w:name w:val="南通方案正文"/>
    <w:basedOn w:val="750"/>
    <w:uiPriority w:val="0"/>
    <w:qFormat/>
    <w:pPr>
      <w:ind w:firstLine="480"/>
      <w:spacing w:line="360" w:lineRule="auto"/>
    </w:pPr>
    <w:rPr>
      <w:sz w:val="24"/>
    </w:rPr>
  </w:style>
  <w:style w:type="paragraph" w:styleId="1131" w:customStyle="1">
    <w:name w:val="样式2"/>
    <w:basedOn w:val="937"/>
    <w:uiPriority w:val="0"/>
    <w:qFormat/>
    <w:pPr>
      <w:spacing w:line="578" w:lineRule="atLeast"/>
    </w:pPr>
    <w:rPr>
      <w:rFonts w:ascii="宋体" w:hAnsi="宋体" w:eastAsia="宋体"/>
      <w:bCs/>
      <w:szCs w:val="44"/>
    </w:rPr>
  </w:style>
  <w:style w:type="paragraph" w:styleId="1132" w:customStyle="1">
    <w:name w:val="Char1"/>
    <w:basedOn w:val="971"/>
    <w:uiPriority w:val="0"/>
    <w:qFormat/>
    <w:pPr>
      <w:ind w:left="357"/>
      <w:jc w:val="left"/>
      <w:spacing w:line="436" w:lineRule="exact"/>
      <w:shd w:val="clear" w:color="auto" w:fill="000080"/>
      <w:outlineLvl w:val="3"/>
    </w:pPr>
    <w:rPr>
      <w:rFonts w:ascii="Tahoma" w:hAnsi="Tahoma"/>
      <w:b/>
      <w:sz w:val="24"/>
      <w:szCs w:val="24"/>
    </w:rPr>
  </w:style>
  <w:style w:type="paragraph" w:styleId="1133" w:customStyle="1">
    <w:name w:val="正文1"/>
    <w:basedOn w:val="750"/>
    <w:uiPriority w:val="0"/>
    <w:qFormat/>
    <w:pPr>
      <w:jc w:val="left"/>
      <w:spacing w:before="100" w:beforeAutospacing="1" w:after="100" w:afterAutospacing="1"/>
      <w:widowControl/>
      <w:tabs>
        <w:tab w:val="left" w:pos="780" w:leader="none"/>
      </w:tabs>
    </w:pPr>
    <w:rPr>
      <w:rFonts w:ascii="宋体" w:cs="宋体"/>
      <w:szCs w:val="21"/>
    </w:rPr>
  </w:style>
  <w:style w:type="paragraph" w:styleId="1134" w:customStyle="1">
    <w:name w:val="xl22"/>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35" w:customStyle="1">
    <w:name w:val="xl66"/>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36" w:customStyle="1">
    <w:name w:val="小四 段落 宋体 Char Char"/>
    <w:basedOn w:val="750"/>
    <w:uiPriority w:val="0"/>
    <w:qFormat/>
    <w:pPr>
      <w:ind w:firstLine="480"/>
      <w:spacing w:line="360" w:lineRule="auto"/>
    </w:pPr>
    <w:rPr>
      <w:rFonts w:ascii="宋体" w:hAnsi="宋体"/>
      <w:sz w:val="24"/>
      <w:szCs w:val="24"/>
    </w:rPr>
  </w:style>
  <w:style w:type="paragraph" w:styleId="1137" w:customStyle="1">
    <w:name w:val="reader-word-layer"/>
    <w:basedOn w:val="750"/>
    <w:uiPriority w:val="0"/>
    <w:qFormat/>
    <w:pPr>
      <w:jc w:val="left"/>
      <w:spacing w:before="100" w:beforeAutospacing="1" w:after="100" w:afterAutospacing="1"/>
      <w:widowControl/>
    </w:pPr>
    <w:rPr>
      <w:rFonts w:ascii="宋体" w:hAnsi="宋体" w:cs="宋体"/>
      <w:sz w:val="24"/>
      <w:szCs w:val="24"/>
    </w:rPr>
  </w:style>
  <w:style w:type="paragraph" w:styleId="1138" w:customStyle="1">
    <w:name w:val="+正文"/>
    <w:basedOn w:val="750"/>
    <w:uiPriority w:val="0"/>
    <w:qFormat/>
    <w:pPr>
      <w:ind w:firstLine="200"/>
      <w:spacing w:line="360" w:lineRule="auto"/>
    </w:pPr>
  </w:style>
  <w:style w:type="paragraph" w:styleId="1139" w:customStyle="1">
    <w:name w:val="样式6"/>
    <w:basedOn w:val="938"/>
    <w:uiPriority w:val="0"/>
    <w:qFormat/>
    <w:pPr>
      <w:spacing w:line="240" w:lineRule="auto"/>
    </w:pPr>
  </w:style>
  <w:style w:type="paragraph" w:styleId="1140" w:customStyle="1">
    <w:name w:val="xl24"/>
    <w:basedOn w:val="750"/>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141" w:customStyle="1">
    <w:name w:val="a1"/>
    <w:basedOn w:val="750"/>
    <w:uiPriority w:val="0"/>
    <w:qFormat/>
    <w:pPr>
      <w:jc w:val="left"/>
      <w:spacing w:before="100" w:beforeAutospacing="1" w:after="100" w:afterAutospacing="1"/>
      <w:widowControl/>
    </w:pPr>
    <w:rPr>
      <w:rFonts w:ascii="宋体" w:hAnsi="宋体" w:cs="宋体"/>
      <w:sz w:val="24"/>
      <w:szCs w:val="24"/>
    </w:rPr>
  </w:style>
  <w:style w:type="paragraph" w:styleId="1142" w:customStyle="1">
    <w:name w:val="Char3"/>
    <w:basedOn w:val="750"/>
    <w:uiPriority w:val="0"/>
    <w:qFormat/>
    <w:pPr>
      <w:ind w:firstLine="200"/>
      <w:spacing w:line="360" w:lineRule="auto"/>
    </w:pPr>
    <w:rPr>
      <w:szCs w:val="24"/>
    </w:rPr>
  </w:style>
  <w:style w:type="paragraph" w:styleId="1143" w:customStyle="1">
    <w:name w:val="style23"/>
    <w:basedOn w:val="750"/>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144" w:customStyle="1">
    <w:name w:val="Char Char Char Char Char Char Char"/>
    <w:basedOn w:val="750"/>
    <w:uiPriority w:val="0"/>
    <w:qFormat/>
    <w:rPr>
      <w:rFonts w:ascii="仿宋_GB2312" w:eastAsia="仿宋_GB2312"/>
      <w:b/>
      <w:sz w:val="32"/>
      <w:szCs w:val="32"/>
    </w:rPr>
  </w:style>
  <w:style w:type="paragraph" w:styleId="1145" w:customStyle="1">
    <w:name w:val="Bullet"/>
    <w:basedOn w:val="750"/>
    <w:uiPriority w:val="0"/>
    <w:qFormat/>
    <w:pPr>
      <w:ind w:left="420" w:right="709" w:hanging="420"/>
      <w:spacing w:before="60" w:after="60"/>
      <w:tabs>
        <w:tab w:val="left" w:pos="2552" w:leader="none"/>
      </w:tabs>
    </w:pPr>
    <w:rPr>
      <w:rFonts w:eastAsia="2OcuAe"/>
      <w:spacing w:val="2"/>
      <w:sz w:val="20"/>
      <w:lang w:eastAsia="zh-TW"/>
    </w:rPr>
  </w:style>
  <w:style w:type="paragraph" w:styleId="1146" w:customStyle="1">
    <w:name w:val="xl71"/>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147" w:customStyle="1">
    <w:name w:val="默认段落字体 Para Char Char Char Char Char Char Char"/>
    <w:basedOn w:val="971"/>
    <w:uiPriority w:val="0"/>
    <w:qFormat/>
    <w:pPr>
      <w:ind w:left="357"/>
      <w:jc w:val="left"/>
      <w:spacing w:line="436" w:lineRule="exact"/>
      <w:shd w:val="clear" w:color="auto" w:fill="000080"/>
      <w:outlineLvl w:val="3"/>
    </w:pPr>
    <w:rPr>
      <w:rFonts w:ascii="Tahoma" w:hAnsi="Tahoma"/>
      <w:b/>
      <w:sz w:val="24"/>
      <w:szCs w:val="24"/>
    </w:rPr>
  </w:style>
  <w:style w:type="paragraph" w:styleId="1148" w:customStyle="1">
    <w:name w:val="正文－恩普"/>
    <w:basedOn w:val="964"/>
    <w:uiPriority w:val="0"/>
    <w:qFormat/>
    <w:pPr>
      <w:ind w:firstLine="200"/>
      <w:jc w:val="both"/>
      <w:spacing w:line="360" w:lineRule="auto"/>
    </w:pPr>
  </w:style>
  <w:style w:type="paragraph" w:styleId="1149" w:customStyle="1">
    <w:name w:val="段落正文 Char Char"/>
    <w:basedOn w:val="750"/>
    <w:uiPriority w:val="0"/>
    <w:qFormat/>
    <w:pPr>
      <w:ind w:firstLine="461"/>
      <w:spacing w:line="360" w:lineRule="auto"/>
    </w:pPr>
    <w:rPr>
      <w:rFonts w:ascii="宋体" w:hAnsi="宋体"/>
      <w:sz w:val="24"/>
      <w:szCs w:val="24"/>
    </w:rPr>
  </w:style>
  <w:style w:type="paragraph" w:styleId="1150" w:customStyle="1">
    <w:name w:val="p17"/>
    <w:basedOn w:val="750"/>
    <w:uiPriority w:val="0"/>
    <w:qFormat/>
    <w:pPr>
      <w:widowControl/>
    </w:pPr>
    <w:rPr>
      <w:szCs w:val="21"/>
    </w:rPr>
  </w:style>
  <w:style w:type="paragraph" w:styleId="1151" w:customStyle="1">
    <w:name w:val="正文段"/>
    <w:basedOn w:val="750"/>
    <w:uiPriority w:val="0"/>
    <w:qFormat/>
    <w:pPr>
      <w:ind w:firstLine="200"/>
      <w:widowControl/>
    </w:pPr>
    <w:rPr>
      <w:sz w:val="24"/>
    </w:rPr>
  </w:style>
  <w:style w:type="paragraph" w:styleId="1152" w:customStyle="1">
    <w:name w:val="正文标准"/>
    <w:basedOn w:val="750"/>
    <w:uiPriority w:val="0"/>
    <w:qFormat/>
    <w:pPr>
      <w:ind w:firstLine="200"/>
      <w:spacing w:line="360" w:lineRule="auto"/>
    </w:pPr>
    <w:rPr>
      <w:rFonts w:eastAsia="MS Gothic"/>
      <w:sz w:val="24"/>
      <w:szCs w:val="21"/>
    </w:rPr>
  </w:style>
  <w:style w:type="paragraph" w:styleId="1153" w:customStyle="1">
    <w:name w:val="Char Char Char Char Char Char Char Char Char Char Char Char Char Char Char Char"/>
    <w:basedOn w:val="750"/>
    <w:uiPriority w:val="0"/>
    <w:qFormat/>
    <w:rPr>
      <w:rFonts w:ascii="Tahoma" w:hAnsi="Tahoma"/>
      <w:sz w:val="24"/>
      <w:szCs w:val="24"/>
    </w:rPr>
  </w:style>
  <w:style w:type="paragraph" w:styleId="1154" w:customStyle="1">
    <w:name w:val="p0"/>
    <w:basedOn w:val="750"/>
    <w:uiPriority w:val="0"/>
    <w:qFormat/>
    <w:pPr>
      <w:widowControl/>
    </w:pPr>
    <w:rPr>
      <w:szCs w:val="21"/>
    </w:rPr>
  </w:style>
  <w:style w:type="paragraph" w:styleId="1155" w:customStyle="1">
    <w:name w:val="xl68"/>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56" w:customStyle="1">
    <w:name w:val="pa-14"/>
    <w:basedOn w:val="750"/>
    <w:uiPriority w:val="0"/>
    <w:qFormat/>
    <w:pPr>
      <w:jc w:val="left"/>
      <w:spacing w:before="100" w:beforeAutospacing="1" w:after="100" w:afterAutospacing="1"/>
      <w:widowControl/>
    </w:pPr>
    <w:rPr>
      <w:rFonts w:ascii="宋体" w:hAnsi="宋体" w:cs="宋体"/>
      <w:sz w:val="24"/>
      <w:szCs w:val="24"/>
    </w:rPr>
  </w:style>
  <w:style w:type="paragraph" w:styleId="1157" w:customStyle="1">
    <w:name w:val="xl100"/>
    <w:basedOn w:val="75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58" w:customStyle="1">
    <w:name w:val="xl103"/>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59" w:customStyle="1">
    <w:name w:val="图"/>
    <w:basedOn w:val="750"/>
    <w:uiPriority w:val="0"/>
    <w:qFormat/>
    <w:pPr>
      <w:numPr>
        <w:ilvl w:val="0"/>
        <w:numId w:val="9"/>
      </w:numPr>
      <w:ind w:left="0" w:firstLine="0"/>
      <w:jc w:val="center"/>
      <w:keepNext/>
      <w:spacing w:before="60" w:after="60" w:line="300" w:lineRule="auto"/>
    </w:pPr>
    <w:rPr>
      <w:spacing w:val="20"/>
      <w:sz w:val="24"/>
    </w:rPr>
  </w:style>
  <w:style w:type="paragraph" w:styleId="1160" w:customStyle="1">
    <w:name w:val="Char11"/>
    <w:basedOn w:val="971"/>
    <w:uiPriority w:val="0"/>
    <w:qFormat/>
    <w:pPr>
      <w:ind w:left="357"/>
      <w:jc w:val="left"/>
      <w:spacing w:line="436" w:lineRule="exact"/>
      <w:shd w:val="clear" w:color="auto" w:fill="000080"/>
      <w:outlineLvl w:val="3"/>
    </w:pPr>
    <w:rPr>
      <w:rFonts w:ascii="Tahoma" w:hAnsi="Tahoma"/>
      <w:b/>
      <w:sz w:val="24"/>
      <w:szCs w:val="24"/>
    </w:rPr>
  </w:style>
  <w:style w:type="paragraph" w:styleId="1161" w:customStyle="1">
    <w:name w:val="样式 正文缩进 + 首行缩进:  2 字符"/>
    <w:basedOn w:val="964"/>
    <w:uiPriority w:val="0"/>
    <w:qFormat/>
    <w:pPr>
      <w:ind w:firstLine="200"/>
      <w:spacing w:line="360" w:lineRule="auto"/>
    </w:pPr>
    <w:rPr>
      <w:rFonts w:ascii="Calibri" w:hAnsi="Calibri"/>
      <w:szCs w:val="22"/>
    </w:rPr>
  </w:style>
  <w:style w:type="paragraph" w:styleId="1162" w:customStyle="1">
    <w:name w:val="Char Char1 Char Char Char Char Char Char Char Char"/>
    <w:basedOn w:val="750"/>
    <w:uiPriority w:val="0"/>
    <w:qFormat/>
    <w:pPr>
      <w:jc w:val="left"/>
      <w:spacing w:after="160" w:line="240" w:lineRule="exact"/>
      <w:widowControl/>
    </w:pPr>
    <w:rPr>
      <w:rFonts w:ascii="Verdana" w:hAnsi="Verdana"/>
      <w:sz w:val="20"/>
      <w:lang w:eastAsia="en-US"/>
    </w:rPr>
  </w:style>
  <w:style w:type="paragraph" w:styleId="1163" w:customStyle="1">
    <w:name w:val="Char Char Char Char Char Char1 Char"/>
    <w:basedOn w:val="750"/>
    <w:uiPriority w:val="0"/>
    <w:qFormat/>
    <w:rPr>
      <w:rFonts w:ascii="Tahoma" w:hAnsi="Tahoma"/>
      <w:sz w:val="24"/>
    </w:rPr>
  </w:style>
  <w:style w:type="paragraph" w:styleId="1164" w:customStyle="1">
    <w:name w:val="样式 标题 3 + 小四 非加粗 段前: 0 磅 段后: 0 磅 行距: 单倍行距"/>
    <w:basedOn w:val="939"/>
    <w:uiPriority w:val="0"/>
    <w:qFormat/>
    <w:pPr>
      <w:numPr>
        <w:ilvl w:val="2"/>
        <w:numId w:val="10"/>
      </w:numPr>
      <w:jc w:val="left"/>
      <w:keepLines w:val="0"/>
      <w:keepNext w:val="0"/>
      <w:spacing w:before="120" w:after="120" w:line="240" w:lineRule="auto"/>
      <w:tabs>
        <w:tab w:val="left" w:pos="240" w:leader="none"/>
      </w:tabs>
    </w:pPr>
    <w:rPr>
      <w:b w:val="0"/>
      <w:bCs w:val="0"/>
      <w:color w:val="000000"/>
      <w:sz w:val="24"/>
      <w:szCs w:val="20"/>
    </w:rPr>
  </w:style>
  <w:style w:type="paragraph" w:styleId="1165" w:customStyle="1">
    <w:name w:val="xl70"/>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6" w:customStyle="1">
    <w:name w:val="xl65"/>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7" w:customStyle="1">
    <w:name w:val="xl69"/>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8" w:customStyle="1">
    <w:name w:val="xl64"/>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9" w:customStyle="1">
    <w:name w:val="标书标准正文"/>
    <w:basedOn w:val="750"/>
    <w:uiPriority w:val="0"/>
    <w:qFormat/>
    <w:pPr>
      <w:ind w:firstLine="540"/>
      <w:spacing w:line="360" w:lineRule="auto"/>
    </w:pPr>
    <w:rPr>
      <w:sz w:val="24"/>
      <w:szCs w:val="24"/>
    </w:rPr>
  </w:style>
  <w:style w:type="paragraph" w:styleId="1170" w:customStyle="1">
    <w:name w:val="_Style 12"/>
    <w:basedOn w:val="971"/>
    <w:uiPriority w:val="0"/>
    <w:qFormat/>
    <w:pPr>
      <w:jc w:val="left"/>
      <w:spacing w:line="360" w:lineRule="auto"/>
      <w:shd w:val="clear" w:color="auto" w:fill="000080"/>
      <w:widowControl/>
    </w:pPr>
    <w:rPr>
      <w:rFonts w:ascii="Times New Roman"/>
      <w:sz w:val="24"/>
      <w:szCs w:val="24"/>
    </w:rPr>
  </w:style>
  <w:style w:type="paragraph" w:styleId="1171" w:customStyle="1">
    <w:name w:val="Char Char Char"/>
    <w:basedOn w:val="750"/>
    <w:uiPriority w:val="0"/>
    <w:qFormat/>
    <w:rPr>
      <w:rFonts w:ascii="Tahoma" w:hAnsi="Tahoma"/>
      <w:sz w:val="24"/>
    </w:rPr>
  </w:style>
  <w:style w:type="paragraph" w:styleId="1172" w:customStyle="1">
    <w:name w:val="Char Char Char1"/>
    <w:basedOn w:val="971"/>
    <w:uiPriority w:val="0"/>
    <w:qFormat/>
    <w:pPr>
      <w:spacing w:line="360" w:lineRule="auto"/>
      <w:shd w:val="clear" w:color="auto" w:fill="000080"/>
    </w:pPr>
    <w:rPr>
      <w:rFonts w:ascii="Tahoma" w:hAnsi="Tahoma"/>
      <w:sz w:val="24"/>
      <w:szCs w:val="24"/>
    </w:rPr>
  </w:style>
  <w:style w:type="paragraph" w:styleId="1173" w:customStyle="1">
    <w:name w:val="列出段落1"/>
    <w:basedOn w:val="750"/>
    <w:uiPriority w:val="99"/>
    <w:qFormat/>
    <w:pPr>
      <w:ind w:firstLine="420"/>
    </w:pPr>
    <w:rPr>
      <w:szCs w:val="24"/>
    </w:rPr>
  </w:style>
  <w:style w:type="paragraph" w:styleId="1174" w:customStyle="1">
    <w:name w:val="正文首行缩进两字符"/>
    <w:basedOn w:val="750"/>
    <w:uiPriority w:val="0"/>
    <w:qFormat/>
    <w:pPr>
      <w:ind w:firstLine="200"/>
      <w:spacing w:line="360" w:lineRule="auto"/>
    </w:pPr>
    <w:rPr>
      <w:szCs w:val="24"/>
    </w:rPr>
  </w:style>
  <w:style w:type="paragraph" w:styleId="1175" w:customStyle="1">
    <w:name w:val="正式行文"/>
    <w:basedOn w:val="750"/>
    <w:uiPriority w:val="0"/>
    <w:qFormat/>
    <w:pPr>
      <w:numPr>
        <w:ilvl w:val="0"/>
        <w:numId w:val="11"/>
      </w:numPr>
      <w:ind w:left="0" w:firstLine="200"/>
      <w:spacing w:line="360" w:lineRule="auto"/>
      <w:tabs>
        <w:tab w:val="clear" w:pos="0" w:leader="none"/>
      </w:tabs>
    </w:pPr>
    <w:rPr>
      <w:sz w:val="24"/>
      <w:szCs w:val="24"/>
    </w:rPr>
  </w:style>
  <w:style w:type="paragraph" w:styleId="1176" w:customStyle="1">
    <w:name w:val="tabletext"/>
    <w:basedOn w:val="750"/>
    <w:uiPriority w:val="0"/>
    <w:qFormat/>
    <w:pPr>
      <w:jc w:val="left"/>
      <w:spacing w:before="100" w:beforeAutospacing="1" w:after="100" w:afterAutospacing="1"/>
      <w:widowControl/>
    </w:pPr>
    <w:rPr>
      <w:rFonts w:ascii="宋体" w:hAnsi="宋体" w:cs="宋体"/>
      <w:sz w:val="24"/>
      <w:szCs w:val="24"/>
    </w:rPr>
  </w:style>
  <w:style w:type="paragraph" w:styleId="1177" w:customStyle="1">
    <w:name w:val="样式 表格正文 + 两端对齐"/>
    <w:basedOn w:val="750"/>
    <w:uiPriority w:val="0"/>
    <w:qFormat/>
    <w:pPr>
      <w:spacing w:line="300" w:lineRule="auto"/>
    </w:pPr>
    <w:rPr>
      <w:sz w:val="24"/>
    </w:rPr>
  </w:style>
  <w:style w:type="paragraph" w:styleId="1178" w:customStyle="1">
    <w:name w:val="style2"/>
    <w:basedOn w:val="750"/>
    <w:uiPriority w:val="0"/>
    <w:qFormat/>
    <w:pPr>
      <w:jc w:val="left"/>
      <w:spacing w:before="100" w:beforeAutospacing="1" w:after="100" w:afterAutospacing="1"/>
      <w:widowControl/>
    </w:pPr>
    <w:rPr>
      <w:rFonts w:hint="eastAsia" w:ascii="宋体" w:hAnsi="宋体" w:cs="Arial Unicode MS"/>
      <w:sz w:val="18"/>
      <w:szCs w:val="18"/>
    </w:rPr>
  </w:style>
  <w:style w:type="paragraph" w:styleId="1179" w:customStyle="1">
    <w:name w:val="Default"/>
    <w:uiPriority w:val="0"/>
    <w:qFormat/>
    <w:pPr>
      <w:widowControl w:val="off"/>
    </w:pPr>
    <w:rPr>
      <w:rFonts w:ascii="宋体ラ..." w:hAnsi="Times New Roman" w:eastAsia="宋体ラ..." w:cs="宋体ラ..."/>
      <w:color w:val="000000"/>
      <w:sz w:val="24"/>
      <w:szCs w:val="24"/>
      <w:lang w:val="en-US" w:eastAsia="zh-CN" w:bidi="ar-SA"/>
    </w:rPr>
  </w:style>
  <w:style w:type="paragraph" w:styleId="1180" w:customStyle="1">
    <w:name w:val="Pa3"/>
    <w:basedOn w:val="750"/>
    <w:next w:val="750"/>
    <w:uiPriority w:val="0"/>
    <w:qFormat/>
    <w:pPr>
      <w:jc w:val="left"/>
      <w:spacing w:line="181" w:lineRule="atLeast"/>
    </w:pPr>
    <w:rPr>
      <w:rFonts w:ascii="微软雅黑." w:eastAsia="微软雅黑."/>
      <w:sz w:val="24"/>
      <w:szCs w:val="24"/>
    </w:rPr>
  </w:style>
  <w:style w:type="paragraph" w:styleId="1181" w:customStyle="1">
    <w:name w:val="样式4"/>
    <w:basedOn w:val="1021"/>
    <w:uiPriority w:val="0"/>
    <w:qFormat/>
    <w:pPr>
      <w:spacing w:line="480" w:lineRule="auto"/>
      <w:tabs>
        <w:tab w:val="right" w:pos="8494" w:leader="dot"/>
      </w:tabs>
    </w:pPr>
    <w:rPr>
      <w:rFonts w:ascii="Arial" w:hAnsi="Arial" w:eastAsia="黑体" w:cs="Arial"/>
      <w:b w:val="0"/>
      <w:bCs w:val="0"/>
    </w:rPr>
  </w:style>
  <w:style w:type="paragraph" w:styleId="1182" w:customStyle="1">
    <w:name w:val="Char Char"/>
    <w:basedOn w:val="750"/>
    <w:uiPriority w:val="0"/>
    <w:qFormat/>
    <w:rPr>
      <w:rFonts w:ascii="Tahoma" w:hAnsi="Tahoma"/>
      <w:sz w:val="24"/>
    </w:rPr>
  </w:style>
  <w:style w:type="paragraph" w:styleId="1183" w:customStyle="1">
    <w:name w:val="缩正文"/>
    <w:basedOn w:val="1026"/>
    <w:uiPriority w:val="0"/>
    <w:qFormat/>
    <w:pPr>
      <w:ind w:left="2268" w:firstLine="0"/>
    </w:pPr>
    <w:rPr>
      <w:szCs w:val="20"/>
    </w:rPr>
  </w:style>
  <w:style w:type="paragraph" w:styleId="1184" w:customStyle="1">
    <w:name w:val="剑鱼三"/>
    <w:basedOn w:val="750"/>
    <w:next w:val="750"/>
    <w:uiPriority w:val="0"/>
    <w:qFormat/>
    <w:pPr>
      <w:numPr>
        <w:ilvl w:val="1"/>
        <w:numId w:val="4"/>
      </w:numPr>
    </w:pPr>
    <w:rPr>
      <w:rFonts w:ascii="Arial" w:hAnsi="Arial"/>
      <w:b/>
      <w:szCs w:val="21"/>
    </w:rPr>
  </w:style>
  <w:style w:type="paragraph" w:styleId="1185" w:customStyle="1">
    <w:name w:val="font9"/>
    <w:basedOn w:val="750"/>
    <w:uiPriority w:val="0"/>
    <w:qFormat/>
    <w:pPr>
      <w:jc w:val="left"/>
      <w:spacing w:before="100" w:beforeAutospacing="1" w:after="100" w:afterAutospacing="1"/>
      <w:widowControl/>
    </w:pPr>
    <w:rPr>
      <w:rFonts w:ascii="宋体" w:hAnsi="宋体" w:cs="宋体"/>
      <w:sz w:val="22"/>
      <w:szCs w:val="22"/>
    </w:rPr>
  </w:style>
  <w:style w:type="paragraph" w:styleId="1186" w:customStyle="1">
    <w:name w:val="默认段落字体 Para Char Char Char Char"/>
    <w:basedOn w:val="750"/>
    <w:uiPriority w:val="0"/>
    <w:qFormat/>
    <w:rPr>
      <w:szCs w:val="24"/>
    </w:rPr>
  </w:style>
  <w:style w:type="paragraph" w:styleId="1187" w:customStyle="1">
    <w:name w:val="xl52"/>
    <w:basedOn w:val="750"/>
    <w:uiPriority w:val="0"/>
    <w:qFormat/>
    <w:pPr>
      <w:jc w:val="center"/>
      <w:spacing w:before="100" w:after="100"/>
      <w:widowControl/>
      <w:pBdr>
        <w:left w:val="single" w:color="000000" w:sz="6" w:space="0"/>
        <w:bottom w:val="single" w:color="000000" w:sz="6" w:space="0"/>
        <w:right w:val="single" w:color="000000" w:sz="6" w:space="0"/>
      </w:pBdr>
    </w:pPr>
    <w:rPr>
      <w:rFonts w:ascii="宋体" w:hAnsi="宋体"/>
      <w:b/>
    </w:rPr>
  </w:style>
  <w:style w:type="paragraph" w:styleId="1188">
    <w:name w:val="No Spacing"/>
    <w:uiPriority w:val="0"/>
    <w:qFormat/>
    <w:pPr>
      <w:ind w:firstLine="200"/>
      <w:spacing w:line="360" w:lineRule="auto"/>
    </w:pPr>
    <w:rPr>
      <w:rFonts w:ascii="宋体" w:hAnsi="宋体" w:eastAsia="宋体" w:cs="Times New Roman"/>
      <w:sz w:val="24"/>
      <w:szCs w:val="22"/>
      <w:lang w:val="en-US" w:eastAsia="zh-CN" w:bidi="ar-SA"/>
    </w:rPr>
  </w:style>
  <w:style w:type="paragraph" w:styleId="1189" w:customStyle="1">
    <w:name w:val="xl104"/>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90" w:customStyle="1">
    <w:name w:val="_Style 4"/>
    <w:basedOn w:val="750"/>
    <w:uiPriority w:val="0"/>
    <w:qFormat/>
    <w:pPr>
      <w:ind w:firstLine="420"/>
      <w:jc w:val="left"/>
      <w:widowControl/>
    </w:pPr>
    <w:rPr>
      <w:rFonts w:ascii="Calibri" w:hAnsi="Calibri"/>
      <w:sz w:val="24"/>
      <w:szCs w:val="22"/>
    </w:rPr>
  </w:style>
  <w:style w:type="paragraph" w:styleId="1191" w:customStyle="1">
    <w:name w:val="普通(Web)9"/>
    <w:basedOn w:val="750"/>
    <w:uiPriority w:val="0"/>
    <w:qFormat/>
    <w:pPr>
      <w:jc w:val="left"/>
      <w:spacing w:before="100" w:beforeAutospacing="1" w:after="100" w:afterAutospacing="1"/>
      <w:widowControl/>
    </w:pPr>
    <w:rPr>
      <w:rFonts w:ascii="宋体" w:hAnsi="宋体" w:cs="宋体"/>
      <w:szCs w:val="21"/>
    </w:rPr>
  </w:style>
  <w:style w:type="paragraph" w:styleId="1192" w:customStyle="1">
    <w:name w:val="xl67"/>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93" w:customStyle="1">
    <w:name w:val="IBM 正文"/>
    <w:basedOn w:val="750"/>
    <w:uiPriority w:val="0"/>
    <w:qFormat/>
    <w:pPr>
      <w:spacing w:line="400" w:lineRule="exact"/>
    </w:pPr>
    <w:rPr>
      <w:spacing w:val="20"/>
      <w:sz w:val="24"/>
    </w:rPr>
  </w:style>
  <w:style w:type="paragraph" w:styleId="1194" w:customStyle="1">
    <w:name w:val="纯文本2"/>
    <w:basedOn w:val="750"/>
    <w:uiPriority w:val="0"/>
    <w:qFormat/>
    <w:rPr>
      <w:rFonts w:ascii="宋体" w:hAnsi="Courier New" w:eastAsia="楷体_GB2312"/>
      <w:sz w:val="26"/>
    </w:rPr>
  </w:style>
  <w:style w:type="paragraph" w:styleId="1195" w:customStyle="1">
    <w:name w:val="000左齐平"/>
    <w:basedOn w:val="750"/>
    <w:uiPriority w:val="0"/>
    <w:qFormat/>
    <w:pPr>
      <w:jc w:val="left"/>
    </w:pPr>
    <w:rPr>
      <w:rFonts w:ascii="Calibri" w:hAnsi="Calibri"/>
      <w:color w:val="000000"/>
      <w:szCs w:val="22"/>
    </w:rPr>
  </w:style>
  <w:style w:type="paragraph" w:styleId="1196" w:customStyle="1">
    <w:name w:val="表格内文"/>
    <w:basedOn w:val="750"/>
    <w:uiPriority w:val="0"/>
    <w:qFormat/>
    <w:pPr>
      <w:spacing w:line="360" w:lineRule="auto"/>
    </w:pPr>
    <w:rPr>
      <w:rFonts w:ascii="宋体" w:hAnsi="宋体"/>
      <w:color w:val="000000"/>
    </w:rPr>
  </w:style>
  <w:style w:type="paragraph" w:styleId="1197" w:customStyle="1">
    <w:name w:val="缺省文本"/>
    <w:basedOn w:val="750"/>
    <w:uiPriority w:val="0"/>
    <w:qFormat/>
    <w:pPr>
      <w:jc w:val="left"/>
    </w:pPr>
    <w:rPr>
      <w:sz w:val="24"/>
    </w:rPr>
  </w:style>
  <w:style w:type="paragraph" w:styleId="1198" w:customStyle="1">
    <w:name w:val="样式 样式 标题 2 + (中文) 宋体 小四 非加粗 段前: 0 磅 段后: 0 磅 行距: 单倍行距 + 行距: 固定值 2..."/>
    <w:basedOn w:val="750"/>
    <w:uiPriority w:val="0"/>
    <w:qFormat/>
    <w:pPr>
      <w:numPr>
        <w:ilvl w:val="1"/>
        <w:numId w:val="5"/>
      </w:numPr>
      <w:ind w:left="360"/>
      <w:keepLines/>
      <w:keepNext/>
      <w:spacing w:before="120" w:after="120" w:line="400" w:lineRule="atLeast"/>
      <w:outlineLvl w:val="1"/>
    </w:pPr>
    <w:rPr>
      <w:rFonts w:ascii="Arial" w:hAnsi="Arial"/>
      <w:b/>
      <w:sz w:val="28"/>
      <w:szCs w:val="30"/>
    </w:rPr>
  </w:style>
  <w:style w:type="paragraph" w:styleId="1199" w:customStyle="1">
    <w:name w:val="纯文本11"/>
    <w:basedOn w:val="750"/>
    <w:uiPriority w:val="0"/>
    <w:qFormat/>
    <w:pPr>
      <w:jc w:val="left"/>
      <w:widowControl/>
    </w:pPr>
    <w:rPr>
      <w:rFonts w:ascii="宋体" w:hAnsi="Courier New" w:eastAsia="楷体_GB2312"/>
      <w:sz w:val="26"/>
      <w:szCs w:val="24"/>
    </w:rPr>
  </w:style>
  <w:style w:type="paragraph" w:styleId="1200" w:customStyle="1">
    <w:name w:val="分发表内容"/>
    <w:basedOn w:val="750"/>
    <w:uiPriority w:val="0"/>
    <w:qFormat/>
    <w:pPr>
      <w:jc w:val="center"/>
      <w:spacing w:before="120" w:after="120"/>
    </w:pPr>
    <w:rPr>
      <w:rFonts w:ascii="昆仑仿宋" w:eastAsia="昆仑仿宋"/>
    </w:rPr>
  </w:style>
  <w:style w:type="paragraph" w:styleId="1201" w:customStyle="1">
    <w:name w:val="Char Char Char Char Char Char Char Char Char Char Char Char Char Char Char Char1"/>
    <w:basedOn w:val="750"/>
    <w:uiPriority w:val="0"/>
    <w:qFormat/>
    <w:pPr>
      <w:tabs>
        <w:tab w:val="left" w:pos="360" w:leader="none"/>
      </w:tabs>
    </w:pPr>
    <w:rPr>
      <w:sz w:val="24"/>
      <w:szCs w:val="24"/>
    </w:rPr>
  </w:style>
  <w:style w:type="paragraph" w:styleId="1202" w:customStyle="1">
    <w:name w:val="Char Char1 Char Char Char Char Char Char Char"/>
    <w:basedOn w:val="750"/>
    <w:uiPriority w:val="0"/>
    <w:qFormat/>
    <w:rPr>
      <w:rFonts w:eastAsia="楷体_GB2312"/>
      <w:sz w:val="26"/>
    </w:rPr>
  </w:style>
  <w:style w:type="paragraph" w:styleId="1203" w:customStyle="1">
    <w:name w:val="文档正文"/>
    <w:basedOn w:val="750"/>
    <w:uiPriority w:val="0"/>
    <w:qFormat/>
    <w:pPr>
      <w:ind w:firstLine="567"/>
      <w:spacing w:line="500" w:lineRule="exact"/>
    </w:pPr>
    <w:rPr>
      <w:rFonts w:ascii="仿宋_GB2312" w:eastAsia="仿宋_GB2312"/>
      <w:sz w:val="28"/>
    </w:rPr>
  </w:style>
  <w:style w:type="paragraph" w:styleId="1204" w:customStyle="1">
    <w:name w:val="l18"/>
    <w:basedOn w:val="750"/>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205" w:customStyle="1">
    <w:name w:val="xl72"/>
    <w:basedOn w:val="75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206" w:customStyle="1">
    <w:name w:val="正文文本 Char Char"/>
    <w:basedOn w:val="750"/>
    <w:uiPriority w:val="0"/>
    <w:qFormat/>
    <w:pPr>
      <w:jc w:val="center"/>
    </w:pPr>
    <w:rPr>
      <w:szCs w:val="24"/>
    </w:rPr>
  </w:style>
  <w:style w:type="paragraph" w:styleId="1207" w:customStyle="1">
    <w:name w:val="Char Char Char Char1"/>
    <w:basedOn w:val="750"/>
    <w:uiPriority w:val="0"/>
    <w:qFormat/>
    <w:pPr>
      <w:spacing w:line="360" w:lineRule="atLeast"/>
    </w:pPr>
  </w:style>
  <w:style w:type="paragraph" w:styleId="1208" w:customStyle="1">
    <w:name w:val="font6"/>
    <w:basedOn w:val="750"/>
    <w:uiPriority w:val="0"/>
    <w:qFormat/>
    <w:pPr>
      <w:jc w:val="left"/>
      <w:spacing w:before="100" w:beforeAutospacing="1" w:after="100" w:afterAutospacing="1"/>
      <w:widowControl/>
    </w:pPr>
    <w:rPr>
      <w:rFonts w:ascii="宋体" w:hAnsi="宋体" w:cs="宋体"/>
      <w:sz w:val="18"/>
      <w:szCs w:val="18"/>
    </w:rPr>
  </w:style>
  <w:style w:type="paragraph" w:styleId="1209" w:customStyle="1">
    <w:name w:val="font5"/>
    <w:basedOn w:val="750"/>
    <w:uiPriority w:val="0"/>
    <w:qFormat/>
    <w:pPr>
      <w:jc w:val="left"/>
      <w:spacing w:before="100" w:beforeAutospacing="1" w:after="100" w:afterAutospacing="1"/>
      <w:widowControl/>
    </w:pPr>
    <w:rPr>
      <w:rFonts w:ascii="宋体" w:hAnsi="宋体" w:cs="宋体"/>
      <w:sz w:val="18"/>
      <w:szCs w:val="18"/>
    </w:rPr>
  </w:style>
  <w:style w:type="paragraph" w:styleId="1210" w:customStyle="1">
    <w:name w:val="xl101"/>
    <w:basedOn w:val="750"/>
    <w:uiPriority w:val="0"/>
    <w:qFormat/>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211" w:customStyle="1">
    <w:name w:val="Char Char2"/>
    <w:basedOn w:val="750"/>
    <w:uiPriority w:val="0"/>
    <w:qFormat/>
    <w:rPr>
      <w:szCs w:val="21"/>
    </w:rPr>
  </w:style>
  <w:style w:type="paragraph" w:styleId="1212" w:customStyle="1">
    <w:name w:val="纯文本1"/>
    <w:basedOn w:val="750"/>
    <w:uiPriority w:val="0"/>
    <w:qFormat/>
    <w:rPr>
      <w:rFonts w:ascii="宋体" w:hAnsi="Courier New" w:eastAsia="楷体_GB2312"/>
      <w:sz w:val="26"/>
    </w:rPr>
  </w:style>
  <w:style w:type="paragraph" w:styleId="1213" w:customStyle="1">
    <w:name w:val="wfxRecipient"/>
    <w:basedOn w:val="750"/>
    <w:uiPriority w:val="0"/>
    <w:qFormat/>
    <w:pPr>
      <w:jc w:val="left"/>
      <w:widowControl/>
    </w:pPr>
    <w:rPr>
      <w:sz w:val="20"/>
      <w:lang w:eastAsia="en-US"/>
    </w:rPr>
  </w:style>
  <w:style w:type="paragraph" w:styleId="1214" w:customStyle="1">
    <w:name w:val="Char1 Char Char Char"/>
    <w:basedOn w:val="750"/>
    <w:uiPriority w:val="0"/>
    <w:qFormat/>
    <w:rPr>
      <w:szCs w:val="24"/>
    </w:rPr>
  </w:style>
  <w:style w:type="paragraph" w:styleId="1215" w:customStyle="1">
    <w:name w:val="财政-标题一"/>
    <w:basedOn w:val="750"/>
    <w:uiPriority w:val="0"/>
    <w:qFormat/>
    <w:pPr>
      <w:numPr>
        <w:ilvl w:val="0"/>
        <w:numId w:val="12"/>
      </w:numPr>
      <w:outlineLvl w:val="0"/>
    </w:pPr>
    <w:rPr>
      <w:rFonts w:ascii="Calibri" w:hAnsi="Calibri" w:eastAsia="华文中宋"/>
      <w:b/>
      <w:sz w:val="44"/>
      <w:szCs w:val="21"/>
    </w:rPr>
  </w:style>
  <w:style w:type="paragraph" w:styleId="1216" w:customStyle="1">
    <w:name w:val="财政-标题三"/>
    <w:basedOn w:val="750"/>
    <w:uiPriority w:val="0"/>
    <w:qFormat/>
    <w:pPr>
      <w:numPr>
        <w:ilvl w:val="2"/>
        <w:numId w:val="13"/>
      </w:numPr>
      <w:outlineLvl w:val="2"/>
    </w:pPr>
    <w:rPr>
      <w:rFonts w:ascii="Calibri" w:hAnsi="Calibri"/>
      <w:b/>
      <w:sz w:val="32"/>
      <w:szCs w:val="21"/>
    </w:rPr>
  </w:style>
  <w:style w:type="paragraph" w:styleId="1217" w:customStyle="1">
    <w:name w:val="纯文本3"/>
    <w:basedOn w:val="750"/>
    <w:uiPriority w:val="0"/>
    <w:qFormat/>
    <w:rPr>
      <w:rFonts w:ascii="宋体" w:hAnsi="Courier New" w:eastAsia="楷体_GB2312"/>
      <w:sz w:val="26"/>
    </w:rPr>
  </w:style>
  <w:style w:type="character" w:styleId="1218" w:customStyle="1">
    <w:name w:val="正文缩进 字符"/>
    <w:uiPriority w:val="0"/>
    <w:qFormat/>
    <w:rPr>
      <w:rFonts w:ascii="Times New Roman" w:hAnsi="Times New Roman" w:eastAsia="楷体_GB2312" w:cs="Times New Roman"/>
      <w:sz w:val="24"/>
      <w:lang w:val="en-US" w:eastAsia="zh-CN" w:bidi="ar-SA"/>
    </w:rPr>
  </w:style>
  <w:style w:type="character" w:styleId="1219" w:customStyle="1">
    <w:name w:val="纯文本 字符1"/>
    <w:uiPriority w:val="0"/>
    <w:qFormat/>
    <w:rPr>
      <w:rFonts w:ascii="宋体" w:hAnsi="Courier New" w:eastAsia="楷体_GB2312" w:cs="Times New Roman"/>
      <w:sz w:val="26"/>
      <w:lang w:val="en-US" w:eastAsia="zh-CN" w:bidi="ar-SA"/>
    </w:rPr>
  </w:style>
  <w:style w:type="character" w:styleId="1220" w:customStyle="1">
    <w:name w:val="批注框文本 字符"/>
    <w:uiPriority w:val="0"/>
    <w:qFormat/>
    <w:rPr>
      <w:rFonts w:ascii="Times New Roman" w:hAnsi="Times New Roman" w:eastAsia="宋体" w:cs="Times New Roman"/>
      <w:sz w:val="18"/>
      <w:szCs w:val="18"/>
    </w:rPr>
  </w:style>
  <w:style w:type="character" w:styleId="1221" w:customStyle="1">
    <w:name w:val="标题3 Char"/>
    <w:link w:val="1222"/>
    <w:uiPriority w:val="0"/>
    <w:qFormat/>
    <w:rPr>
      <w:szCs w:val="24"/>
    </w:rPr>
  </w:style>
  <w:style w:type="paragraph" w:styleId="1222" w:customStyle="1">
    <w:name w:val="标题3"/>
    <w:basedOn w:val="750"/>
    <w:link w:val="1221"/>
    <w:uiPriority w:val="0"/>
    <w:qFormat/>
    <w:pPr>
      <w:ind w:left="1364" w:hanging="1080"/>
    </w:pPr>
    <w:rPr>
      <w:sz w:val="20"/>
      <w:szCs w:val="24"/>
    </w:rPr>
  </w:style>
  <w:style w:type="character" w:styleId="1223" w:customStyle="1">
    <w:name w:val="纯文本 字符"/>
    <w:uiPriority w:val="0"/>
    <w:qFormat/>
    <w:rPr>
      <w:rFonts w:ascii="宋体" w:hAnsi="宋体" w:cs="宋体"/>
      <w:color w:val="000000"/>
      <w:sz w:val="26"/>
      <w:szCs w:val="26"/>
    </w:rPr>
  </w:style>
  <w:style w:type="paragraph" w:styleId="1224" w:customStyle="1">
    <w:name w:val="正文缩进1"/>
    <w:uiPriority w:val="0"/>
    <w:qFormat/>
    <w:pPr>
      <w:ind w:firstLine="420"/>
      <w:widowControl w:val="off"/>
    </w:pPr>
    <w:rPr>
      <w:rFonts w:ascii="Times New Roman" w:hAnsi="Times New Roman" w:eastAsia="Arial Unicode MS" w:cs="Arial Unicode MS"/>
      <w:color w:val="000000"/>
      <w:sz w:val="24"/>
      <w:szCs w:val="24"/>
      <w:lang w:val="de-DE" w:eastAsia="zh-CN" w:bidi="ar-SA"/>
    </w:rPr>
  </w:style>
  <w:style w:type="paragraph" w:styleId="1225" w:customStyle="1">
    <w:name w:val="正文 B"/>
    <w:uiPriority w:val="0"/>
    <w:qFormat/>
    <w:rPr>
      <w:rFonts w:ascii="Times New Roman" w:hAnsi="Times New Roman" w:eastAsia="Times New Roman" w:cs="Times New Roman"/>
      <w:color w:val="000000"/>
      <w:sz w:val="24"/>
      <w:szCs w:val="24"/>
      <w:lang w:val="en-US" w:eastAsia="zh-CN" w:bidi="ar-SA"/>
    </w:rPr>
  </w:style>
  <w:style w:type="paragraph" w:styleId="1226" w:customStyle="1">
    <w:name w:val="列出段落2"/>
    <w:basedOn w:val="750"/>
    <w:uiPriority w:val="34"/>
    <w:qFormat/>
    <w:pPr>
      <w:ind w:firstLine="420"/>
    </w:pPr>
    <w:rPr>
      <w:rFonts w:ascii="Calibri" w:hAnsi="Calibri"/>
    </w:rPr>
  </w:style>
  <w:style w:type="character" w:styleId="1227" w:customStyle="1">
    <w:name w:val="font51"/>
    <w:basedOn w:val="946"/>
    <w:uiPriority w:val="0"/>
    <w:qFormat/>
    <w:rPr>
      <w:rFonts w:ascii="仿宋_GB2312" w:eastAsia="仿宋_GB2312" w:cs="仿宋_GB2312"/>
      <w:color w:val="ff0000"/>
      <w:sz w:val="24"/>
      <w:szCs w:val="24"/>
      <w:u w:val="none"/>
    </w:rPr>
  </w:style>
  <w:style w:type="character" w:styleId="1228" w:customStyle="1">
    <w:name w:val="font21"/>
    <w:basedOn w:val="946"/>
    <w:uiPriority w:val="0"/>
    <w:qFormat/>
    <w:rPr>
      <w:rFonts w:ascii="仿宋_GB2312" w:eastAsia="仿宋_GB2312" w:cs="仿宋_GB2312"/>
      <w:color w:val="000000"/>
      <w:sz w:val="24"/>
      <w:szCs w:val="24"/>
      <w:u w:val="none"/>
    </w:rPr>
  </w:style>
  <w:style w:type="character" w:styleId="1229" w:customStyle="1">
    <w:name w:val="font61"/>
    <w:basedOn w:val="946"/>
    <w:uiPriority w:val="0"/>
    <w:qFormat/>
    <w:rPr>
      <w:rFonts w:hint="eastAsia" w:ascii="宋体" w:hAnsi="宋体" w:eastAsia="宋体" w:cs="宋体"/>
      <w:color w:val="000000"/>
      <w:sz w:val="24"/>
      <w:szCs w:val="24"/>
      <w:u w:val="none"/>
    </w:rPr>
  </w:style>
  <w:style w:type="paragraph" w:styleId="1230" w:customStyle="1">
    <w:name w:val="无间隔11"/>
    <w:uiPriority w:val="0"/>
    <w:qFormat/>
    <w:pPr>
      <w:jc w:val="both"/>
      <w:widowControl w:val="off"/>
    </w:pPr>
    <w:rPr>
      <w:rFonts w:ascii="Calibri" w:hAnsi="Calibri" w:eastAsia="宋体" w:cs="Times New Roman"/>
      <w:sz w:val="21"/>
      <w:szCs w:val="22"/>
      <w:lang w:val="en-US" w:eastAsia="zh-CN" w:bidi="ar-SA"/>
    </w:rPr>
  </w:style>
  <w:style w:type="paragraph" w:styleId="1231" w:customStyle="1">
    <w:name w:val="纯文本6"/>
    <w:basedOn w:val="750"/>
    <w:uiPriority w:val="0"/>
    <w:qFormat/>
    <w:rPr>
      <w:rFonts w:ascii="宋体" w:hAnsi="Courier New" w:eastAsia="楷体_GB2312"/>
      <w:sz w:val="26"/>
    </w:rPr>
  </w:style>
  <w:style w:type="character" w:styleId="1232" w:customStyle="1">
    <w:name w:val="font11"/>
    <w:uiPriority w:val="0"/>
    <w:qFormat/>
    <w:rPr>
      <w:rFonts w:hint="eastAsia" w:ascii="宋体" w:hAnsi="宋体" w:eastAsia="宋体" w:cs="宋体"/>
      <w:color w:val="000000"/>
      <w:sz w:val="21"/>
      <w:szCs w:val="21"/>
      <w:u w:val="none"/>
    </w:rPr>
  </w:style>
  <w:style w:type="paragraph" w:styleId="1233" w:customStyle="1">
    <w:name w:val="纯文本111"/>
    <w:uiPriority w:val="0"/>
    <w:qFormat/>
    <w:pPr>
      <w:jc w:val="both"/>
      <w:widowControl w:val="off"/>
    </w:pPr>
    <w:rPr>
      <w:rFonts w:ascii="宋体" w:hAnsi="Courier New" w:eastAsia="楷体_GB2312" w:cs="Calibri"/>
      <w:sz w:val="28"/>
      <w:szCs w:val="24"/>
      <w:lang w:val="en-US" w:eastAsia="zh-CN" w:bidi="ar-SA"/>
    </w:rPr>
  </w:style>
  <w:style w:type="table" w:styleId="1234" w:customStyle="1">
    <w:name w:val="Table Normal"/>
    <w:uiPriority w:val="0"/>
    <w:qFormat/>
    <w:rPr>
      <w:rFonts w:eastAsia="Times New Roman"/>
    </w:rPr>
    <w:tblPr>
      <w:tblCellMar>
        <w:left w:w="0" w:type="dxa"/>
        <w:top w:w="0" w:type="dxa"/>
        <w:right w:w="0" w:type="dxa"/>
        <w:bottom w:w="0" w:type="dxa"/>
      </w:tblCellMar>
    </w:tblPr>
  </w:style>
  <w:style w:type="numbering" w:styleId="12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江苏金港项目</dc:creator>
  <cp:lastModifiedBy>符美婷</cp:lastModifiedBy>
  <cp:revision>4</cp:revision>
  <dcterms:created xsi:type="dcterms:W3CDTF">2026-07-06T01:31:00Z</dcterms:created>
  <dcterms:modified xsi:type="dcterms:W3CDTF">2026-07-29T02:37:50Z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eyJoZGlkIjoiMzEwNTM5NzYwMDRjMzkwZTVkZjY2ODkwMGIxNGU0OTUiLCJ1c2VySWQiOiIxNDQ0NjY2NjUyIn0=</vt:lpwstr>
  </property>
  <property fmtid="{D5CDD505-2E9C-101B-9397-08002B2CF9AE}" pid="3" name="KSOProductBuildVer">
    <vt:lpwstr>2052-12.1.0.26895</vt:lpwstr>
  </property>
  <property fmtid="{D5CDD505-2E9C-101B-9397-08002B2CF9AE}" pid="4" name="ICV">
    <vt:lpwstr>6B0E628F09F54335B0129F14EB4B880A_13</vt:lpwstr>
  </property>
</Properties>
</file>