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left"/>
        <w:spacing w:line="360" w:lineRule="auto"/>
        <w:shd w:val="clear" w:color="auto" w:fill="ffffff"/>
        <w:rPr>
          <w:rStyle w:val="883"/>
          <w:rFonts w:ascii="宋体"/>
          <w:b/>
          <w:color w:val="000000"/>
          <w:sz w:val="24"/>
          <w:highlight w:val="none"/>
        </w:rPr>
      </w:pPr>
      <w:r>
        <w:rPr>
          <w:rStyle w:val="883"/>
          <w:rFonts w:ascii="宋体"/>
          <w:b/>
          <w:color w:val="000000"/>
          <w:sz w:val="24"/>
          <w:highlight w:val="none"/>
        </w:rPr>
      </w:r>
      <w:r/>
    </w:p>
    <w:p>
      <w:pPr>
        <w:pStyle w:val="760"/>
        <w:spacing w:line="360" w:lineRule="auto"/>
        <w:rPr>
          <w:rStyle w:val="883"/>
          <w:color w:val="000000"/>
          <w:highlight w:val="none"/>
        </w:rPr>
      </w:pPr>
      <w:r>
        <w:rPr>
          <w:rStyle w:val="883"/>
          <w:color w:val="000000"/>
          <w:highlight w:val="none"/>
        </w:rPr>
      </w:r>
      <w:r/>
    </w:p>
    <w:p>
      <w:pPr>
        <w:pStyle w:val="760"/>
        <w:jc w:val="center"/>
        <w:spacing w:line="360" w:lineRule="auto"/>
        <w:shd w:val="clear" w:color="auto" w:fill="ffffff"/>
        <w:rPr>
          <w:rStyle w:val="883"/>
          <w:rFonts w:ascii="宋体"/>
          <w:b/>
          <w:color w:val="000000"/>
          <w:sz w:val="48"/>
          <w:szCs w:val="48"/>
          <w:highlight w:val="none"/>
        </w:rPr>
      </w:pPr>
      <w:r>
        <w:rPr>
          <w:rStyle w:val="883"/>
          <w:rFonts w:ascii="宋体"/>
          <w:b/>
          <w:color w:val="000000"/>
          <w:sz w:val="48"/>
          <w:szCs w:val="48"/>
          <w:highlight w:val="none"/>
        </w:rPr>
      </w:r>
      <w:r/>
    </w:p>
    <w:p>
      <w:pPr>
        <w:pStyle w:val="760"/>
        <w:spacing w:line="360" w:lineRule="auto"/>
        <w:shd w:val="clear" w:color="auto" w:fill="ffffff"/>
        <w:rPr>
          <w:rStyle w:val="883"/>
          <w:rFonts w:ascii="宋体"/>
          <w:b/>
          <w:color w:val="000000"/>
          <w:sz w:val="32"/>
          <w:szCs w:val="32"/>
          <w:highlight w:val="none"/>
        </w:rPr>
      </w:pPr>
      <w:r>
        <w:rPr>
          <w:rStyle w:val="883"/>
          <w:rFonts w:ascii="宋体"/>
          <w:b/>
          <w:color w:val="000000"/>
          <w:sz w:val="32"/>
          <w:szCs w:val="32"/>
          <w:highlight w:val="none"/>
        </w:rPr>
      </w:r>
      <w:r/>
    </w:p>
    <w:p>
      <w:pPr>
        <w:pStyle w:val="760"/>
        <w:jc w:val="center"/>
        <w:spacing w:line="360" w:lineRule="auto"/>
        <w:rPr>
          <w:rStyle w:val="883"/>
          <w:rFonts w:ascii="宋体"/>
          <w:b/>
          <w:color w:val="000000"/>
          <w:sz w:val="72"/>
          <w:szCs w:val="72"/>
          <w:highlight w:val="none"/>
        </w:rPr>
      </w:pPr>
      <w:r>
        <w:rPr>
          <w:rStyle w:val="883"/>
          <w:rFonts w:hint="eastAsia" w:ascii="宋体" w:hAnsi="宋体"/>
          <w:b/>
          <w:color w:val="000000"/>
          <w:sz w:val="72"/>
          <w:szCs w:val="72"/>
          <w:highlight w:val="none"/>
        </w:rPr>
        <w:t xml:space="preserve">公开招标文件</w:t>
      </w:r>
      <w:r>
        <w:rPr>
          <w:rStyle w:val="883"/>
          <w:rFonts w:ascii="宋体"/>
          <w:b/>
          <w:color w:val="000000"/>
          <w:sz w:val="72"/>
          <w:szCs w:val="72"/>
          <w:highlight w:val="none"/>
        </w:rPr>
      </w:r>
      <w:r/>
    </w:p>
    <w:p>
      <w:pPr>
        <w:pStyle w:val="760"/>
        <w:ind w:firstLine="1446"/>
        <w:spacing w:line="360" w:lineRule="auto"/>
        <w:shd w:val="clear" w:color="auto" w:fill="ffffff"/>
        <w:rPr>
          <w:rStyle w:val="883"/>
          <w:rFonts w:ascii="宋体"/>
          <w:b/>
          <w:color w:val="000000"/>
          <w:sz w:val="36"/>
          <w:szCs w:val="36"/>
          <w:highlight w:val="none"/>
        </w:rPr>
      </w:pPr>
      <w:r>
        <w:rPr>
          <w:rStyle w:val="883"/>
          <w:rFonts w:ascii="宋体"/>
          <w:b/>
          <w:color w:val="000000"/>
          <w:sz w:val="36"/>
          <w:szCs w:val="36"/>
          <w:highlight w:val="none"/>
        </w:rPr>
      </w:r>
      <w:r/>
    </w:p>
    <w:p>
      <w:pPr>
        <w:pStyle w:val="760"/>
        <w:ind w:firstLine="1446"/>
        <w:spacing w:line="360" w:lineRule="auto"/>
        <w:shd w:val="clear" w:color="auto" w:fill="ffffff"/>
        <w:rPr>
          <w:rStyle w:val="883"/>
          <w:rFonts w:ascii="宋体"/>
          <w:b/>
          <w:color w:val="000000"/>
          <w:sz w:val="36"/>
          <w:szCs w:val="36"/>
          <w:highlight w:val="none"/>
        </w:rPr>
      </w:pPr>
      <w:r>
        <w:rPr>
          <w:rStyle w:val="883"/>
          <w:rFonts w:ascii="宋体"/>
          <w:b/>
          <w:color w:val="000000"/>
          <w:sz w:val="36"/>
          <w:szCs w:val="36"/>
          <w:highlight w:val="none"/>
        </w:rPr>
      </w:r>
      <w:r/>
    </w:p>
    <w:p>
      <w:pPr>
        <w:pStyle w:val="760"/>
        <w:ind w:firstLine="1446"/>
        <w:spacing w:line="360" w:lineRule="auto"/>
        <w:shd w:val="clear" w:color="auto" w:fill="ffffff"/>
        <w:rPr>
          <w:rStyle w:val="883"/>
          <w:rFonts w:ascii="宋体"/>
          <w:b/>
          <w:color w:val="000000"/>
          <w:sz w:val="36"/>
          <w:szCs w:val="36"/>
          <w:highlight w:val="none"/>
        </w:rPr>
      </w:pPr>
      <w:r>
        <w:rPr>
          <w:rStyle w:val="883"/>
          <w:rFonts w:ascii="宋体"/>
          <w:b/>
          <w:color w:val="000000"/>
          <w:sz w:val="36"/>
          <w:szCs w:val="36"/>
          <w:highlight w:val="none"/>
        </w:rPr>
      </w:r>
      <w:r/>
    </w:p>
    <w:p>
      <w:pPr>
        <w:pStyle w:val="760"/>
        <w:ind w:firstLine="1446"/>
        <w:spacing w:line="360" w:lineRule="auto"/>
        <w:shd w:val="clear" w:color="auto" w:fill="ffffff"/>
        <w:rPr>
          <w:rStyle w:val="883"/>
          <w:rFonts w:ascii="宋体"/>
          <w:b/>
          <w:color w:val="000000"/>
          <w:sz w:val="36"/>
          <w:szCs w:val="36"/>
          <w:highlight w:val="none"/>
        </w:rPr>
      </w:pPr>
      <w:r>
        <w:rPr>
          <w:rStyle w:val="883"/>
          <w:rFonts w:ascii="宋体"/>
          <w:b/>
          <w:color w:val="000000"/>
          <w:sz w:val="36"/>
          <w:szCs w:val="36"/>
          <w:highlight w:val="none"/>
        </w:rPr>
      </w:r>
      <w:r/>
    </w:p>
    <w:p>
      <w:pPr>
        <w:pStyle w:val="760"/>
        <w:ind w:firstLine="1084"/>
        <w:jc w:val="both"/>
        <w:spacing w:line="360" w:lineRule="auto"/>
        <w:rPr>
          <w:rStyle w:val="883"/>
          <w:rFonts w:hint="eastAsia" w:ascii="宋体" w:hAnsi="宋体" w:eastAsia="宋体"/>
          <w:b/>
          <w:color w:val="000000"/>
          <w:sz w:val="36"/>
          <w:szCs w:val="36"/>
          <w:highlight w:val="none"/>
          <w:lang w:eastAsia="zh-CN"/>
        </w:rPr>
        <w:outlineLvl w:val="0"/>
      </w:pPr>
      <w:r/>
      <w:bookmarkStart w:id="0" w:name="_Toc12644"/>
      <w:r>
        <w:rPr>
          <w:rStyle w:val="883"/>
          <w:rFonts w:hint="eastAsia" w:ascii="宋体" w:hAnsi="宋体"/>
          <w:b/>
          <w:color w:val="000000"/>
          <w:sz w:val="36"/>
          <w:szCs w:val="36"/>
          <w:highlight w:val="none"/>
        </w:rPr>
        <w:t xml:space="preserve">项目编号：</w:t>
      </w:r>
      <w:bookmarkEnd w:id="0"/>
      <w:r/>
      <w:bookmarkStart w:id="1" w:name="_Toc9547"/>
      <w:r>
        <w:rPr>
          <w:rStyle w:val="883"/>
          <w:rFonts w:hint="eastAsia" w:ascii="宋体" w:hAnsi="宋体"/>
          <w:b/>
          <w:color w:val="000000"/>
          <w:sz w:val="36"/>
          <w:szCs w:val="36"/>
          <w:highlight w:val="none"/>
          <w:lang w:eastAsia="zh-CN"/>
        </w:rPr>
        <w:t xml:space="preserve">JSZC-320115-NJJC-G2026-0068</w:t>
      </w:r>
      <w:r>
        <w:rPr>
          <w:rStyle w:val="883"/>
          <w:rFonts w:hint="eastAsia" w:ascii="宋体" w:hAnsi="宋体" w:eastAsia="宋体"/>
          <w:b/>
          <w:color w:val="000000"/>
          <w:sz w:val="36"/>
          <w:szCs w:val="36"/>
          <w:highlight w:val="none"/>
          <w:lang w:eastAsia="zh-CN"/>
        </w:rPr>
      </w:r>
      <w:r/>
    </w:p>
    <w:p>
      <w:pPr>
        <w:pStyle w:val="760"/>
        <w:ind w:firstLine="1084"/>
        <w:jc w:val="left"/>
        <w:spacing w:line="360" w:lineRule="auto"/>
        <w:rPr>
          <w:rStyle w:val="883"/>
          <w:rFonts w:hint="eastAsia" w:ascii="宋体" w:hAnsi="宋体"/>
          <w:b/>
          <w:color w:val="000000"/>
          <w:sz w:val="36"/>
          <w:szCs w:val="36"/>
          <w:highlight w:val="none"/>
        </w:rPr>
        <w:outlineLvl w:val="0"/>
      </w:pPr>
      <w:r>
        <w:rPr>
          <w:rStyle w:val="883"/>
          <w:rFonts w:hint="eastAsia" w:ascii="宋体" w:hAnsi="宋体"/>
          <w:b/>
          <w:color w:val="000000"/>
          <w:sz w:val="36"/>
          <w:szCs w:val="36"/>
          <w:highlight w:val="none"/>
        </w:rPr>
      </w:r>
      <w:r/>
    </w:p>
    <w:p>
      <w:pPr>
        <w:pStyle w:val="760"/>
        <w:ind w:firstLine="1084"/>
        <w:jc w:val="left"/>
        <w:spacing w:line="360" w:lineRule="auto"/>
        <w:rPr>
          <w:rStyle w:val="883"/>
          <w:rFonts w:hint="eastAsia" w:ascii="宋体"/>
          <w:b/>
          <w:color w:val="000000"/>
          <w:sz w:val="36"/>
          <w:szCs w:val="36"/>
          <w:highlight w:val="none"/>
        </w:rPr>
        <w:outlineLvl w:val="0"/>
      </w:pPr>
      <w:r>
        <w:rPr>
          <w:rStyle w:val="883"/>
          <w:rFonts w:hint="eastAsia" w:ascii="宋体" w:hAnsi="宋体"/>
          <w:b/>
          <w:color w:val="000000"/>
          <w:sz w:val="36"/>
          <w:szCs w:val="36"/>
          <w:highlight w:val="none"/>
        </w:rPr>
        <w:t xml:space="preserve">项目名称：</w:t>
      </w:r>
      <w:bookmarkEnd w:id="1"/>
      <w:r>
        <w:rPr>
          <w:rStyle w:val="883"/>
          <w:rFonts w:hint="eastAsia" w:ascii="宋体" w:hAnsi="宋体"/>
          <w:b/>
          <w:color w:val="000000"/>
          <w:sz w:val="36"/>
          <w:szCs w:val="36"/>
          <w:highlight w:val="none"/>
        </w:rPr>
        <w:t xml:space="preserve">陆郎、铜井消防站装备器材采购</w:t>
      </w:r>
      <w:r>
        <w:rPr>
          <w:rStyle w:val="883"/>
          <w:rFonts w:hint="eastAsia" w:ascii="宋体"/>
          <w:b/>
          <w:color w:val="000000"/>
          <w:sz w:val="36"/>
          <w:szCs w:val="36"/>
          <w:highlight w:val="none"/>
        </w:rPr>
      </w:r>
      <w:r/>
    </w:p>
    <w:p>
      <w:pPr>
        <w:pStyle w:val="880"/>
        <w:ind w:firstLine="1084"/>
        <w:spacing w:line="360" w:lineRule="auto"/>
        <w:rPr>
          <w:rStyle w:val="883"/>
          <w:rFonts w:ascii="宋体" w:hAnsi="宋体"/>
          <w:b/>
          <w:color w:val="000000"/>
          <w:sz w:val="36"/>
          <w:szCs w:val="36"/>
          <w:highlight w:val="none"/>
        </w:rPr>
      </w:pPr>
      <w:r>
        <w:rPr>
          <w:rStyle w:val="883"/>
          <w:rFonts w:ascii="宋体" w:hAnsi="宋体"/>
          <w:b/>
          <w:color w:val="000000"/>
          <w:sz w:val="36"/>
          <w:szCs w:val="36"/>
          <w:highlight w:val="none"/>
        </w:rPr>
      </w:r>
      <w:r/>
    </w:p>
    <w:p>
      <w:pPr>
        <w:pStyle w:val="880"/>
        <w:ind w:firstLine="1084"/>
        <w:spacing w:line="360" w:lineRule="auto"/>
        <w:rPr>
          <w:color w:val="000000"/>
          <w:highlight w:val="none"/>
        </w:rPr>
      </w:pPr>
      <w:r>
        <w:rPr>
          <w:rStyle w:val="883"/>
          <w:rFonts w:ascii="宋体" w:hAnsi="宋体"/>
          <w:b/>
          <w:color w:val="000000"/>
          <w:sz w:val="36"/>
          <w:szCs w:val="36"/>
          <w:highlight w:val="none"/>
        </w:rPr>
        <w:t xml:space="preserve">项目类型</w:t>
      </w:r>
      <w:r>
        <w:rPr>
          <w:rStyle w:val="883"/>
          <w:rFonts w:hint="eastAsia" w:ascii="宋体" w:hAnsi="宋体"/>
          <w:b/>
          <w:color w:val="000000"/>
          <w:sz w:val="36"/>
          <w:szCs w:val="36"/>
          <w:highlight w:val="none"/>
        </w:rPr>
        <w:t xml:space="preserve">：货物类</w:t>
      </w:r>
      <w:r>
        <w:rPr>
          <w:color w:val="000000"/>
          <w:highlight w:val="none"/>
        </w:rPr>
      </w:r>
      <w:r/>
    </w:p>
    <w:p>
      <w:pPr>
        <w:pStyle w:val="760"/>
        <w:jc w:val="center"/>
        <w:spacing w:line="360" w:lineRule="auto"/>
        <w:rPr>
          <w:rStyle w:val="883"/>
          <w:rFonts w:ascii="宋体"/>
          <w:b/>
          <w:color w:val="000000"/>
          <w:sz w:val="36"/>
          <w:szCs w:val="36"/>
          <w:highlight w:val="none"/>
        </w:rPr>
      </w:pPr>
      <w:r>
        <w:rPr>
          <w:rStyle w:val="883"/>
          <w:rFonts w:ascii="宋体"/>
          <w:b/>
          <w:color w:val="000000"/>
          <w:sz w:val="36"/>
          <w:szCs w:val="36"/>
          <w:highlight w:val="none"/>
        </w:rPr>
      </w:r>
      <w:r/>
    </w:p>
    <w:p>
      <w:pPr>
        <w:pStyle w:val="760"/>
        <w:jc w:val="center"/>
        <w:spacing w:line="360" w:lineRule="auto"/>
        <w:rPr>
          <w:rStyle w:val="883"/>
          <w:rFonts w:ascii="宋体"/>
          <w:b/>
          <w:color w:val="000000"/>
          <w:sz w:val="36"/>
          <w:szCs w:val="36"/>
          <w:highlight w:val="none"/>
        </w:rPr>
      </w:pPr>
      <w:r>
        <w:rPr>
          <w:rStyle w:val="883"/>
          <w:rFonts w:ascii="宋体"/>
          <w:b/>
          <w:color w:val="000000"/>
          <w:sz w:val="36"/>
          <w:szCs w:val="36"/>
          <w:highlight w:val="none"/>
        </w:rPr>
      </w:r>
      <w:r/>
    </w:p>
    <w:p>
      <w:pPr>
        <w:pStyle w:val="760"/>
        <w:spacing w:line="360" w:lineRule="auto"/>
        <w:rPr>
          <w:rStyle w:val="883"/>
          <w:rFonts w:ascii="宋体"/>
          <w:b/>
          <w:color w:val="000000"/>
          <w:sz w:val="36"/>
          <w:szCs w:val="36"/>
          <w:highlight w:val="none"/>
        </w:rPr>
      </w:pPr>
      <w:r>
        <w:rPr>
          <w:rStyle w:val="883"/>
          <w:rFonts w:ascii="宋体"/>
          <w:b/>
          <w:color w:val="000000"/>
          <w:sz w:val="36"/>
          <w:szCs w:val="36"/>
          <w:highlight w:val="none"/>
        </w:rPr>
      </w:r>
      <w:r/>
    </w:p>
    <w:p>
      <w:pPr>
        <w:pStyle w:val="760"/>
        <w:spacing w:line="360" w:lineRule="auto"/>
        <w:rPr>
          <w:rStyle w:val="883"/>
          <w:rFonts w:hint="eastAsia" w:ascii="宋体"/>
          <w:b/>
          <w:color w:val="000000"/>
          <w:sz w:val="36"/>
          <w:szCs w:val="36"/>
          <w:highlight w:val="none"/>
        </w:rPr>
      </w:pPr>
      <w:r>
        <w:rPr>
          <w:rStyle w:val="883"/>
          <w:rFonts w:hint="eastAsia" w:ascii="宋体"/>
          <w:b/>
          <w:color w:val="000000"/>
          <w:sz w:val="36"/>
          <w:szCs w:val="36"/>
          <w:highlight w:val="none"/>
        </w:rPr>
      </w:r>
      <w:r/>
    </w:p>
    <w:p>
      <w:pPr>
        <w:pStyle w:val="760"/>
        <w:spacing w:line="360" w:lineRule="auto"/>
        <w:rPr>
          <w:rStyle w:val="883"/>
          <w:rFonts w:ascii="宋体"/>
          <w:b/>
          <w:color w:val="000000"/>
          <w:sz w:val="36"/>
          <w:szCs w:val="36"/>
          <w:highlight w:val="none"/>
        </w:rPr>
      </w:pPr>
      <w:r>
        <w:rPr>
          <w:rStyle w:val="883"/>
          <w:rFonts w:ascii="宋体"/>
          <w:b/>
          <w:color w:val="000000"/>
          <w:sz w:val="36"/>
          <w:szCs w:val="36"/>
          <w:highlight w:val="none"/>
        </w:rPr>
      </w:r>
      <w:r/>
    </w:p>
    <w:p>
      <w:pPr>
        <w:pStyle w:val="760"/>
        <w:ind w:left="698"/>
        <w:jc w:val="left"/>
        <w:spacing w:line="360" w:lineRule="auto"/>
        <w:widowControl w:val="off"/>
        <w:rPr>
          <w:rStyle w:val="883"/>
          <w:b/>
          <w:color w:val="000000"/>
          <w:sz w:val="36"/>
          <w:szCs w:val="36"/>
          <w:highlight w:val="none"/>
        </w:rPr>
        <w:outlineLvl w:val="0"/>
      </w:pPr>
      <w:r/>
      <w:bookmarkStart w:id="2" w:name="_Toc29198"/>
      <w:r>
        <w:rPr>
          <w:rStyle w:val="883"/>
          <w:rFonts w:hint="eastAsia"/>
          <w:b/>
          <w:color w:val="000000"/>
          <w:sz w:val="36"/>
          <w:szCs w:val="36"/>
          <w:highlight w:val="none"/>
        </w:rPr>
        <w:t xml:space="preserve">采购人：南京市江宁区人民政府江宁街道办事处</w:t>
      </w:r>
      <w:bookmarkEnd w:id="2"/>
      <w:r>
        <w:rPr>
          <w:rStyle w:val="883"/>
          <w:b/>
          <w:color w:val="000000"/>
          <w:sz w:val="36"/>
          <w:szCs w:val="36"/>
          <w:highlight w:val="none"/>
        </w:rPr>
      </w:r>
      <w:r/>
    </w:p>
    <w:p>
      <w:pPr>
        <w:pStyle w:val="760"/>
        <w:ind w:left="698"/>
        <w:jc w:val="left"/>
        <w:spacing w:line="360" w:lineRule="auto"/>
        <w:widowControl w:val="off"/>
        <w:rPr>
          <w:rStyle w:val="883"/>
          <w:b/>
          <w:color w:val="000000"/>
          <w:sz w:val="36"/>
          <w:szCs w:val="36"/>
          <w:highlight w:val="none"/>
        </w:rPr>
        <w:outlineLvl w:val="0"/>
      </w:pPr>
      <w:r/>
      <w:bookmarkStart w:id="3" w:name="_Toc32592"/>
      <w:r>
        <w:rPr>
          <w:rStyle w:val="883"/>
          <w:rFonts w:hint="eastAsia"/>
          <w:b/>
          <w:color w:val="000000"/>
          <w:sz w:val="36"/>
          <w:szCs w:val="36"/>
          <w:highlight w:val="none"/>
        </w:rPr>
        <w:t xml:space="preserve">采购代理机构：南京江城工程项目管理有限公司</w:t>
      </w:r>
      <w:bookmarkEnd w:id="3"/>
      <w:r>
        <w:rPr>
          <w:rStyle w:val="883"/>
          <w:b/>
          <w:color w:val="000000"/>
          <w:sz w:val="36"/>
          <w:szCs w:val="36"/>
          <w:highlight w:val="none"/>
        </w:rPr>
      </w:r>
      <w:r/>
    </w:p>
    <w:p>
      <w:pPr>
        <w:pStyle w:val="760"/>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七</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760"/>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760"/>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760"/>
        <w:spacing w:line="360" w:lineRule="auto"/>
        <w:rPr>
          <w:color w:val="000000"/>
          <w:highlight w:val="none"/>
        </w:rPr>
      </w:pPr>
      <w:r>
        <w:rPr>
          <w:color w:val="000000"/>
          <w:highlight w:val="none"/>
        </w:rPr>
      </w:r>
      <w:r/>
    </w:p>
    <w:p>
      <w:pPr>
        <w:pStyle w:val="760"/>
        <w:jc w:val="center"/>
        <w:spacing w:line="360" w:lineRule="auto"/>
        <w:rPr>
          <w:rFonts w:ascii="宋体" w:hAnsi="宋体"/>
          <w:b/>
          <w:bCs/>
          <w:color w:val="000000"/>
          <w:sz w:val="36"/>
          <w:szCs w:val="44"/>
          <w:highlight w:val="none"/>
        </w:rPr>
      </w:pP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rPr>
          <w:rFonts w:ascii="宋体" w:hAnsi="宋体"/>
          <w:b/>
          <w:bCs/>
          <w:color w:val="000000"/>
          <w:sz w:val="36"/>
          <w:szCs w:val="44"/>
          <w:highlight w:val="none"/>
        </w:rPr>
      </w:r>
      <w:r/>
    </w:p>
    <w:p>
      <w:pPr>
        <w:pStyle w:val="760"/>
        <w:jc w:val="center"/>
        <w:spacing w:line="360" w:lineRule="auto"/>
        <w:rPr>
          <w:color w:val="000000"/>
          <w:highlight w:val="none"/>
        </w:rPr>
      </w:pPr>
      <w:r>
        <w:rPr>
          <w:rFonts w:ascii="黑体" w:hAnsi="黑体" w:eastAsia="黑体" w:cs="黑体"/>
          <w:color w:val="000000"/>
          <w:sz w:val="36"/>
          <w:szCs w:val="36"/>
          <w:highlight w:val="none"/>
        </w:rPr>
        <w:fldChar w:fldCharType="begin"/>
      </w:r>
      <w:r>
        <w:rPr>
          <w:rFonts w:ascii="黑体" w:hAnsi="黑体" w:eastAsia="黑体" w:cs="黑体"/>
          <w:color w:val="000000"/>
          <w:sz w:val="36"/>
          <w:szCs w:val="36"/>
          <w:highlight w:val="none"/>
        </w:rPr>
        <w:instrText xml:space="preserve">TOC \o "1-1" \h \u </w:instrText>
      </w:r>
      <w:r>
        <w:rPr>
          <w:rFonts w:ascii="黑体" w:hAnsi="黑体" w:eastAsia="黑体" w:cs="黑体"/>
          <w:color w:val="000000"/>
          <w:sz w:val="36"/>
          <w:szCs w:val="36"/>
          <w:highlight w:val="none"/>
        </w:rPr>
        <w:fldChar w:fldCharType="separate"/>
      </w:r>
      <w:r>
        <w:rPr>
          <w:color w:val="000000"/>
          <w:highlight w:val="none"/>
        </w:rPr>
      </w:r>
      <w:r/>
    </w:p>
    <w:p>
      <w:pPr>
        <w:pStyle w:val="907"/>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_Toc30229 </w:instrText>
      </w:r>
      <w:r>
        <w:rPr>
          <w:rFonts w:ascii="黑体" w:hAnsi="黑体" w:eastAsia="黑体" w:cs="黑体"/>
          <w:b/>
          <w:bCs/>
          <w:color w:val="000000"/>
          <w:sz w:val="24"/>
          <w:szCs w:val="48"/>
          <w:highlight w:val="none"/>
        </w:rPr>
        <w:fldChar w:fldCharType="separate"/>
      </w:r>
      <w:r>
        <w:rPr>
          <w:rFonts w:hint="eastAsia"/>
          <w:b/>
          <w:bCs/>
          <w:color w:val="000000"/>
          <w:sz w:val="24"/>
          <w:szCs w:val="44"/>
          <w:highlight w:val="none"/>
        </w:rPr>
        <w:t xml:space="preserve">第一章 投标邀请书（招标公告）</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_Toc30229 \h </w:instrText>
      </w:r>
      <w:r>
        <w:rPr>
          <w:b/>
          <w:bCs/>
          <w:color w:val="000000"/>
          <w:sz w:val="24"/>
          <w:szCs w:val="24"/>
          <w:highlight w:val="none"/>
        </w:rPr>
        <w:fldChar w:fldCharType="separate"/>
      </w:r>
      <w:r>
        <w:rPr>
          <w:b/>
          <w:bCs/>
          <w:color w:val="000000"/>
          <w:sz w:val="24"/>
          <w:szCs w:val="24"/>
          <w:highlight w:val="none"/>
        </w:rPr>
        <w:t xml:space="preserve">3</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07"/>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_Toc2713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第三章 评标标准</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_Toc2713 \h </w:instrText>
      </w:r>
      <w:r>
        <w:rPr>
          <w:b/>
          <w:bCs/>
          <w:color w:val="000000"/>
          <w:sz w:val="24"/>
          <w:szCs w:val="24"/>
          <w:highlight w:val="none"/>
        </w:rPr>
        <w:fldChar w:fldCharType="separate"/>
      </w:r>
      <w:r>
        <w:rPr>
          <w:b/>
          <w:bCs/>
          <w:color w:val="000000"/>
          <w:sz w:val="24"/>
          <w:szCs w:val="24"/>
          <w:highlight w:val="none"/>
        </w:rPr>
        <w:t xml:space="preserve">20</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07"/>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_Toc9546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第四章 招标项目的技术规格、要求和数量等</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_Toc9546 \h </w:instrText>
      </w:r>
      <w:r>
        <w:rPr>
          <w:b/>
          <w:bCs/>
          <w:color w:val="000000"/>
          <w:sz w:val="24"/>
          <w:szCs w:val="24"/>
          <w:highlight w:val="none"/>
        </w:rPr>
        <w:fldChar w:fldCharType="separate"/>
      </w:r>
      <w:r>
        <w:rPr>
          <w:b/>
          <w:bCs/>
          <w:color w:val="000000"/>
          <w:sz w:val="24"/>
          <w:szCs w:val="24"/>
          <w:highlight w:val="none"/>
        </w:rPr>
        <w:t xml:space="preserve">28</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07"/>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_Toc17519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第五章 合同主要条款及格式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_Toc17519 \h </w:instrText>
      </w:r>
      <w:r>
        <w:rPr>
          <w:b/>
          <w:bCs/>
          <w:color w:val="000000"/>
          <w:sz w:val="24"/>
          <w:szCs w:val="24"/>
          <w:highlight w:val="none"/>
        </w:rPr>
        <w:fldChar w:fldCharType="separate"/>
      </w:r>
      <w:r>
        <w:rPr>
          <w:b/>
          <w:bCs/>
          <w:color w:val="000000"/>
          <w:sz w:val="24"/>
          <w:szCs w:val="24"/>
          <w:highlight w:val="none"/>
        </w:rPr>
        <w:t xml:space="preserve">32</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07"/>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_Toc29062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第六章 附    件</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_Toc29062 \h </w:instrText>
      </w:r>
      <w:r>
        <w:rPr>
          <w:b/>
          <w:bCs/>
          <w:color w:val="000000"/>
          <w:sz w:val="24"/>
          <w:szCs w:val="24"/>
          <w:highlight w:val="none"/>
        </w:rPr>
        <w:fldChar w:fldCharType="separate"/>
      </w:r>
      <w:r>
        <w:rPr>
          <w:b/>
          <w:bCs/>
          <w:color w:val="000000"/>
          <w:sz w:val="24"/>
          <w:szCs w:val="24"/>
          <w:highlight w:val="none"/>
        </w:rPr>
        <w:t xml:space="preserve">35</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fldChar w:fldCharType="end"/>
      </w: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0"/>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761"/>
        <w:spacing w:line="360" w:lineRule="auto"/>
        <w:rPr>
          <w:color w:val="000000"/>
          <w:sz w:val="32"/>
          <w:szCs w:val="32"/>
          <w:highlight w:val="none"/>
        </w:rPr>
      </w:pPr>
      <w:r>
        <w:rPr>
          <w:rFonts w:hint="eastAsia"/>
          <w:color w:val="000000"/>
          <w:sz w:val="32"/>
          <w:szCs w:val="32"/>
          <w:highlight w:val="none"/>
        </w:rPr>
        <w:t xml:space="preserve"> </w:t>
      </w:r>
      <w:bookmarkStart w:id="4" w:name="_Toc30229"/>
      <w:r>
        <w:rPr>
          <w:rFonts w:hint="eastAsia"/>
          <w:color w:val="000000"/>
          <w:sz w:val="32"/>
          <w:szCs w:val="32"/>
          <w:highlight w:val="none"/>
        </w:rPr>
        <w:t xml:space="preserve">第一章 投标邀请书（招标公告）</w:t>
      </w:r>
      <w:bookmarkEnd w:id="4"/>
      <w:r>
        <w:rPr>
          <w:color w:val="000000"/>
          <w:sz w:val="32"/>
          <w:szCs w:val="32"/>
          <w:highlight w:val="none"/>
        </w:rPr>
      </w:r>
      <w:r/>
    </w:p>
    <w:p>
      <w:pPr>
        <w:pStyle w:val="760"/>
        <w:ind w:firstLine="632"/>
        <w:jc w:val="left"/>
        <w:spacing w:line="360" w:lineRule="auto"/>
        <w:widowControl w:val="off"/>
        <w:rPr>
          <w:rStyle w:val="883"/>
          <w:rFonts w:ascii="宋体"/>
          <w:bCs/>
          <w:color w:val="000000"/>
          <w:szCs w:val="21"/>
          <w:highlight w:val="none"/>
        </w:rPr>
      </w:pPr>
      <w:r>
        <w:rPr>
          <w:rStyle w:val="883"/>
          <w:rFonts w:hint="eastAsia" w:ascii="宋体" w:hAnsi="宋体"/>
          <w:b/>
          <w:color w:val="000000"/>
          <w:szCs w:val="21"/>
          <w:highlight w:val="none"/>
        </w:rPr>
        <w:t xml:space="preserve">陆郎、铜井消防站装备器材采购</w:t>
      </w:r>
      <w:r>
        <w:rPr>
          <w:rStyle w:val="883"/>
          <w:rFonts w:hint="eastAsia" w:ascii="宋体" w:hAnsi="宋体"/>
          <w:bCs/>
          <w:color w:val="000000"/>
          <w:szCs w:val="21"/>
          <w:highlight w:val="none"/>
        </w:rPr>
        <w:t xml:space="preserve">的潜在供应商应</w:t>
      </w:r>
      <w:r>
        <w:rPr>
          <w:rStyle w:val="883"/>
          <w:rFonts w:hint="eastAsia" w:ascii="宋体" w:hAnsi="宋体"/>
          <w:bCs/>
          <w:color w:val="000000"/>
          <w:szCs w:val="21"/>
          <w:highlight w:val="none"/>
          <w:lang w:val="en-US" w:eastAsia="zh-CN"/>
        </w:rPr>
        <w:t xml:space="preserve">在</w:t>
      </w:r>
      <w:r>
        <w:rPr>
          <w:rStyle w:val="883"/>
          <w:rFonts w:hint="eastAsia" w:ascii="宋体" w:hAnsi="宋体"/>
          <w:bCs/>
          <w:color w:val="000000"/>
          <w:szCs w:val="21"/>
          <w:highlight w:val="none"/>
          <w:u w:val="single"/>
        </w:rPr>
        <w:t xml:space="preserve">江苏政府采购网</w:t>
      </w:r>
      <w:r>
        <w:rPr>
          <w:rStyle w:val="883"/>
          <w:rFonts w:hint="eastAsia" w:ascii="宋体" w:hAnsi="宋体"/>
          <w:bCs/>
          <w:color w:val="000000"/>
          <w:szCs w:val="21"/>
          <w:highlight w:val="none"/>
        </w:rPr>
        <w:t xml:space="preserve"> 获取招标文件，并于</w:t>
      </w:r>
      <w:r>
        <w:rPr>
          <w:rStyle w:val="883"/>
          <w:rFonts w:hint="eastAsia" w:ascii="宋体" w:hAnsi="宋体"/>
          <w:bCs/>
          <w:color w:val="000000"/>
          <w:szCs w:val="21"/>
          <w:highlight w:val="none"/>
          <w:lang w:eastAsia="zh-CN"/>
        </w:rPr>
        <w:t xml:space="preserve">2026年8月5日14时30分</w:t>
      </w:r>
      <w:r>
        <w:rPr>
          <w:rStyle w:val="883"/>
          <w:rFonts w:hint="eastAsia" w:ascii="宋体" w:hAnsi="宋体"/>
          <w:bCs/>
          <w:color w:val="000000"/>
          <w:szCs w:val="21"/>
          <w:highlight w:val="none"/>
        </w:rPr>
        <w:t xml:space="preserve">（北京时间）前递交投标文件。</w:t>
      </w:r>
      <w:r>
        <w:rPr>
          <w:rStyle w:val="883"/>
          <w:rFonts w:ascii="宋体"/>
          <w:bCs/>
          <w:color w:val="000000"/>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bookmarkStart w:id="5" w:name="_Toc28359002"/>
      <w:r/>
      <w:bookmarkStart w:id="6" w:name="_Toc35393790"/>
      <w:r/>
      <w:bookmarkStart w:id="7" w:name="_Toc35393621"/>
      <w:r/>
      <w:bookmarkStart w:id="8" w:name="_Toc28359079"/>
      <w:r/>
      <w:bookmarkStart w:id="9"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5"/>
      <w:r/>
      <w:bookmarkEnd w:id="6"/>
      <w:r/>
      <w:bookmarkEnd w:id="7"/>
      <w:r/>
      <w:bookmarkEnd w:id="8"/>
      <w:r>
        <w:rPr>
          <w:rFonts w:ascii="宋体" w:hAnsi="宋体" w:eastAsia="宋体" w:cs="宋体"/>
          <w:b w:val="0"/>
          <w:color w:val="000000"/>
          <w:sz w:val="21"/>
          <w:szCs w:val="21"/>
          <w:highlight w:val="none"/>
        </w:rPr>
      </w:r>
      <w:r/>
    </w:p>
    <w:p>
      <w:pPr>
        <w:pStyle w:val="760"/>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b/>
          <w:color w:val="000000"/>
          <w:szCs w:val="21"/>
          <w:highlight w:val="none"/>
          <w:lang w:eastAsia="zh-CN"/>
        </w:rPr>
        <w:t xml:space="preserve">JSZC-320115-NJJC-G2026-0068</w:t>
      </w:r>
      <w:r>
        <w:rPr>
          <w:rFonts w:hint="eastAsia" w:ascii="宋体" w:hAnsi="宋体" w:eastAsia="宋体"/>
          <w:b/>
          <w:color w:val="000000"/>
          <w:szCs w:val="21"/>
          <w:highlight w:val="none"/>
          <w:lang w:eastAsia="zh-CN"/>
        </w:rPr>
      </w:r>
      <w:r/>
    </w:p>
    <w:p>
      <w:pPr>
        <w:pStyle w:val="760"/>
        <w:ind w:firstLine="420"/>
        <w:spacing w:line="36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项目名称：</w:t>
      </w:r>
      <w:r>
        <w:rPr>
          <w:rFonts w:hint="eastAsia" w:ascii="宋体" w:hAnsi="宋体"/>
          <w:b/>
          <w:color w:val="000000"/>
          <w:szCs w:val="21"/>
          <w:highlight w:val="none"/>
        </w:rPr>
        <w:t xml:space="preserve">陆郎、铜井消防站装备器材采购</w:t>
      </w:r>
      <w:r>
        <w:rPr>
          <w:rFonts w:hint="eastAsia" w:ascii="宋体" w:hAnsi="宋体"/>
          <w:b/>
          <w:color w:val="000000"/>
          <w:szCs w:val="21"/>
          <w:highlight w:val="none"/>
        </w:rPr>
      </w:r>
      <w:r/>
    </w:p>
    <w:p>
      <w:pPr>
        <w:pStyle w:val="760"/>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预算金额：220万元</w:t>
      </w:r>
      <w:r>
        <w:rPr>
          <w:rFonts w:hint="eastAsia" w:ascii="宋体" w:hAnsi="宋体"/>
          <w:bCs/>
          <w:color w:val="000000"/>
          <w:szCs w:val="21"/>
          <w:highlight w:val="none"/>
        </w:rPr>
      </w:r>
      <w:r/>
    </w:p>
    <w:p>
      <w:pPr>
        <w:pStyle w:val="760"/>
        <w:ind w:firstLine="422"/>
        <w:spacing w:line="360" w:lineRule="auto"/>
        <w:widowControl w:val="off"/>
        <w:rPr>
          <w:rFonts w:hint="eastAsia" w:ascii="宋体" w:hAnsi="宋体"/>
          <w:bCs/>
          <w:color w:val="000000"/>
          <w:szCs w:val="21"/>
          <w:highlight w:val="none"/>
        </w:rPr>
      </w:pPr>
      <w:r>
        <w:rPr>
          <w:rFonts w:hint="eastAsia" w:ascii="宋体" w:hAnsi="宋体"/>
          <w:b/>
          <w:bCs w:val="0"/>
          <w:color w:val="000000"/>
          <w:szCs w:val="21"/>
          <w:highlight w:val="none"/>
        </w:rPr>
        <w:t xml:space="preserve">最高限价（如有）</w:t>
      </w:r>
      <w:r>
        <w:rPr>
          <w:rFonts w:hint="eastAsia" w:ascii="宋体" w:hAnsi="宋体"/>
          <w:bCs/>
          <w:color w:val="000000"/>
          <w:szCs w:val="21"/>
          <w:highlight w:val="none"/>
        </w:rPr>
        <w:t xml:space="preserve">：201</w:t>
      </w:r>
      <w:r>
        <w:rPr>
          <w:rFonts w:hint="eastAsia" w:ascii="宋体" w:hAnsi="宋体"/>
          <w:bCs/>
          <w:color w:val="000000"/>
          <w:szCs w:val="21"/>
          <w:highlight w:val="none"/>
          <w:lang w:val="en-US" w:eastAsia="zh-CN"/>
        </w:rPr>
        <w:t xml:space="preserve">.</w:t>
      </w:r>
      <w:r>
        <w:rPr>
          <w:rFonts w:hint="eastAsia" w:ascii="宋体" w:hAnsi="宋体"/>
          <w:bCs/>
          <w:color w:val="000000"/>
          <w:szCs w:val="21"/>
          <w:highlight w:val="none"/>
        </w:rPr>
        <w:t xml:space="preserve">079万元，不得超出最高限价的报价，将作无效投标处理。</w:t>
      </w:r>
      <w:r>
        <w:rPr>
          <w:rFonts w:hint="eastAsia" w:ascii="宋体" w:hAnsi="宋体"/>
          <w:bCs/>
          <w:color w:val="000000"/>
          <w:szCs w:val="21"/>
          <w:highlight w:val="none"/>
        </w:rPr>
      </w:r>
      <w:r/>
    </w:p>
    <w:p>
      <w:pPr>
        <w:pStyle w:val="760"/>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为陆郎、铜井两处消防站采购增补所需器材装备，其中包含防护类、救生类、灭火类、破拆类等8类70种器材装备，具体内容详见采购需求。</w:t>
      </w:r>
      <w:r>
        <w:rPr>
          <w:rFonts w:hint="eastAsia" w:ascii="宋体" w:hAnsi="宋体"/>
          <w:bCs/>
          <w:color w:val="000000"/>
          <w:szCs w:val="21"/>
          <w:highlight w:val="none"/>
        </w:rPr>
      </w:r>
      <w:r/>
    </w:p>
    <w:p>
      <w:pPr>
        <w:pStyle w:val="760"/>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lang w:eastAsia="zh-CN"/>
        </w:rPr>
        <w:t xml:space="preserve">合同签订后60天内将货物安装调试完毕交付采购人正常使用</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p>
      <w:pPr>
        <w:pStyle w:val="760"/>
        <w:ind w:firstLine="420"/>
        <w:spacing w:line="360" w:lineRule="auto"/>
        <w:widowControl w:val="off"/>
        <w:rPr>
          <w:rFonts w:hint="eastAsia" w:ascii="宋体" w:hAnsi="宋体"/>
          <w:color w:val="000000"/>
          <w:szCs w:val="21"/>
          <w:highlight w:val="none"/>
        </w:rPr>
      </w:pPr>
      <w:r/>
      <w:bookmarkEnd w:id="9"/>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760"/>
        <w:ind w:firstLine="422"/>
        <w:jc w:val="left"/>
        <w:spacing w:line="360" w:lineRule="auto"/>
        <w:widowControl w:val="off"/>
        <w:rPr>
          <w:rFonts w:ascii="宋体" w:hAnsi="宋体"/>
          <w:b/>
          <w:bCs/>
          <w:color w:val="000000"/>
          <w:szCs w:val="21"/>
          <w:highlight w:val="none"/>
        </w:rPr>
      </w:pPr>
      <w:r>
        <w:rPr>
          <w:rFonts w:hint="eastAsia" w:ascii="宋体" w:hAnsi="宋体"/>
          <w:b/>
          <w:bCs/>
          <w:color w:val="000000"/>
          <w:szCs w:val="21"/>
          <w:highlight w:val="none"/>
        </w:rPr>
        <w:t xml:space="preserve">5.本项目所属行业：工业</w:t>
      </w:r>
      <w:r>
        <w:rPr>
          <w:rFonts w:ascii="宋体" w:hAnsi="宋体"/>
          <w:b/>
          <w:bCs/>
          <w:color w:val="000000"/>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bookmarkStart w:id="10" w:name="_Toc35393622"/>
      <w:r/>
      <w:bookmarkStart w:id="11" w:name="_Toc35393791"/>
      <w:r/>
      <w:bookmarkStart w:id="12" w:name="_Toc28359080"/>
      <w:r/>
      <w:bookmarkStart w:id="13" w:name="_Toc28359003"/>
      <w:r>
        <w:rPr>
          <w:rFonts w:hint="eastAsia" w:ascii="宋体" w:hAnsi="宋体" w:eastAsia="宋体" w:cs="宋体"/>
          <w:b w:val="0"/>
          <w:color w:val="000000"/>
          <w:sz w:val="21"/>
          <w:szCs w:val="21"/>
          <w:highlight w:val="none"/>
        </w:rPr>
        <w:t xml:space="preserve">二、申请人的资格要求：</w:t>
      </w:r>
      <w:bookmarkEnd w:id="10"/>
      <w:r/>
      <w:bookmarkEnd w:id="11"/>
      <w:r/>
      <w:bookmarkEnd w:id="12"/>
      <w:r/>
      <w:bookmarkEnd w:id="13"/>
      <w:r>
        <w:rPr>
          <w:rFonts w:ascii="宋体" w:hAnsi="宋体" w:eastAsia="宋体" w:cs="宋体"/>
          <w:b w:val="0"/>
          <w:color w:val="000000"/>
          <w:sz w:val="21"/>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4" w:name="_Toc35393792"/>
      <w:r/>
      <w:bookmarkStart w:id="15" w:name="_Toc35393623"/>
      <w:r/>
      <w:bookmarkStart w:id="16" w:name="_Toc28359081"/>
      <w:r/>
      <w:bookmarkStart w:id="17" w:name="_Toc28359004"/>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760"/>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760"/>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w:t>
      </w:r>
      <w:r>
        <w:rPr>
          <w:rFonts w:hint="eastAsia" w:ascii="宋体" w:hAnsi="宋体"/>
          <w:b/>
          <w:bCs/>
          <w:color w:val="000000"/>
          <w:szCs w:val="21"/>
          <w:highlight w:val="none"/>
        </w:rPr>
      </w:r>
      <w:r/>
    </w:p>
    <w:p>
      <w:pPr>
        <w:pStyle w:val="760"/>
        <w:ind w:firstLine="420"/>
        <w:jc w:val="left"/>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760"/>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760"/>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760"/>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760"/>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760"/>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highlight w:val="none"/>
        </w:rPr>
        <w:t xml:space="preserve">[2018]10</w:t>
      </w:r>
      <w:r>
        <w:rPr>
          <w:rFonts w:hint="eastAsia" w:ascii="宋体" w:hAnsi="宋体" w:cs="宋体"/>
          <w:color w:val="000000"/>
          <w:szCs w:val="21"/>
          <w:highlight w:val="none"/>
        </w:rPr>
        <w:t xml:space="preserve">号第十一条、十二条所列严重失信行为情形的供应商参加本项目的采购活动。</w:t>
      </w:r>
      <w:r>
        <w:rPr>
          <w:rFonts w:hint="eastAsia" w:ascii="宋体" w:hAnsi="宋体" w:cs="宋体"/>
          <w:color w:val="000000"/>
          <w:szCs w:val="21"/>
          <w:highlight w:val="none"/>
        </w:rPr>
      </w:r>
      <w:r/>
    </w:p>
    <w:p>
      <w:pPr>
        <w:pStyle w:val="784"/>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760"/>
        <w:ind w:firstLine="420"/>
        <w:jc w:val="left"/>
        <w:spacing w:line="360" w:lineRule="auto"/>
        <w:widowControl w:val="off"/>
        <w:rPr>
          <w:rFonts w:eastAsia="Calibri"/>
          <w:color w:val="000000"/>
          <w:szCs w:val="21"/>
          <w:highlight w:val="none"/>
        </w:rPr>
      </w:pPr>
      <w:r>
        <w:rPr>
          <w:rFonts w:hint="eastAsia" w:ascii="宋体" w:hAnsi="宋体" w:cs="宋体"/>
          <w:color w:val="000000"/>
          <w:szCs w:val="21"/>
          <w:highlight w:val="none"/>
        </w:rPr>
        <w:t xml:space="preserve">2.6本项目不接受进口产品投标</w:t>
      </w:r>
      <w:r>
        <w:rPr>
          <w:rFonts w:eastAsia="Calibri"/>
          <w:color w:val="000000"/>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三、获取招标文件</w:t>
      </w:r>
      <w:bookmarkEnd w:id="14"/>
      <w:r/>
      <w:bookmarkEnd w:id="15"/>
      <w:r/>
      <w:bookmarkEnd w:id="16"/>
      <w:r/>
      <w:bookmarkEnd w:id="17"/>
      <w:r>
        <w:rPr>
          <w:rFonts w:ascii="宋体" w:hAnsi="宋体" w:eastAsia="宋体" w:cs="宋体"/>
          <w:b w:val="0"/>
          <w:color w:val="000000"/>
          <w:sz w:val="21"/>
          <w:szCs w:val="21"/>
          <w:highlight w:val="none"/>
        </w:rPr>
      </w:r>
      <w:r/>
    </w:p>
    <w:p>
      <w:pPr>
        <w:pStyle w:val="760"/>
        <w:ind w:firstLine="54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760"/>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地点:江苏政府采购网苏采云系统</w:t>
      </w:r>
      <w:r>
        <w:rPr>
          <w:rFonts w:hint="eastAsia" w:ascii="宋体" w:hAnsi="宋体" w:cs="宋体"/>
          <w:color w:val="000000"/>
          <w:szCs w:val="21"/>
          <w:highlight w:val="none"/>
        </w:rPr>
      </w:r>
      <w:r/>
    </w:p>
    <w:p>
      <w:pPr>
        <w:pStyle w:val="760"/>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760"/>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b w:val="0"/>
          <w:color w:val="000000"/>
          <w:sz w:val="21"/>
          <w:szCs w:val="21"/>
          <w:highlight w:val="none"/>
        </w:rPr>
        <w:t xml:space="preserve">四、提交投标文件</w:t>
      </w:r>
      <w:bookmarkEnd w:id="18"/>
      <w:r/>
      <w:bookmarkEnd w:id="19"/>
      <w:r>
        <w:rPr>
          <w:rFonts w:hint="eastAsia" w:ascii="宋体" w:hAnsi="宋体" w:eastAsia="宋体" w:cs="宋体"/>
          <w:b w:val="0"/>
          <w:color w:val="000000"/>
          <w:sz w:val="21"/>
          <w:szCs w:val="21"/>
          <w:highlight w:val="none"/>
        </w:rPr>
        <w:t xml:space="preserve">截止时间、开标时间和地点</w:t>
      </w:r>
      <w:bookmarkEnd w:id="20"/>
      <w:r/>
      <w:bookmarkEnd w:id="21"/>
      <w:r>
        <w:rPr>
          <w:rFonts w:ascii="宋体" w:hAnsi="宋体" w:eastAsia="宋体" w:cs="宋体"/>
          <w:b w:val="0"/>
          <w:color w:val="000000"/>
          <w:sz w:val="21"/>
          <w:szCs w:val="21"/>
          <w:highlight w:val="none"/>
        </w:rPr>
      </w:r>
      <w:r/>
    </w:p>
    <w:p>
      <w:pPr>
        <w:pStyle w:val="760"/>
        <w:ind w:firstLine="420"/>
        <w:spacing w:line="360" w:lineRule="auto"/>
        <w:widowControl w:val="off"/>
        <w:rPr>
          <w:rFonts w:ascii="宋体"/>
          <w:bCs/>
          <w:color w:val="000000"/>
          <w:szCs w:val="21"/>
          <w:highlight w:val="none"/>
        </w:rPr>
      </w:pPr>
      <w:r>
        <w:rPr>
          <w:rStyle w:val="883"/>
          <w:rFonts w:hint="eastAsia" w:ascii="宋体" w:hAnsi="宋体"/>
          <w:bCs/>
          <w:color w:val="000000"/>
          <w:szCs w:val="21"/>
          <w:highlight w:val="none"/>
          <w:lang w:eastAsia="zh-CN"/>
        </w:rPr>
        <w:t xml:space="preserve">2026年8月5日14时30分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760"/>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883"/>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bookmarkStart w:id="22" w:name="_Toc35393625"/>
      <w:r/>
      <w:bookmarkStart w:id="23" w:name="_Toc28359007"/>
      <w:r/>
      <w:bookmarkStart w:id="24" w:name="_Toc35393794"/>
      <w:r/>
      <w:bookmarkStart w:id="25" w:name="_Toc28359084"/>
      <w:r>
        <w:rPr>
          <w:rFonts w:hint="eastAsia" w:ascii="宋体" w:hAnsi="宋体" w:eastAsia="宋体" w:cs="宋体"/>
          <w:b w:val="0"/>
          <w:color w:val="000000"/>
          <w:sz w:val="21"/>
          <w:szCs w:val="21"/>
          <w:highlight w:val="none"/>
        </w:rPr>
        <w:t xml:space="preserve">五、公告期限</w:t>
      </w:r>
      <w:bookmarkEnd w:id="22"/>
      <w:r/>
      <w:bookmarkEnd w:id="23"/>
      <w:r/>
      <w:bookmarkEnd w:id="24"/>
      <w:r/>
      <w:bookmarkEnd w:id="25"/>
      <w:r>
        <w:rPr>
          <w:rFonts w:ascii="宋体" w:hAnsi="宋体" w:eastAsia="宋体" w:cs="宋体"/>
          <w:b w:val="0"/>
          <w:color w:val="000000"/>
          <w:sz w:val="21"/>
          <w:szCs w:val="21"/>
          <w:highlight w:val="none"/>
        </w:rPr>
      </w:r>
      <w:r/>
    </w:p>
    <w:p>
      <w:pPr>
        <w:pStyle w:val="760"/>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bookmarkStart w:id="26" w:name="_Toc35393626"/>
      <w:r/>
      <w:bookmarkStart w:id="27" w:name="_Toc35393795"/>
      <w:r>
        <w:rPr>
          <w:rFonts w:hint="eastAsia" w:ascii="宋体" w:hAnsi="宋体" w:eastAsia="宋体" w:cs="宋体"/>
          <w:b w:val="0"/>
          <w:color w:val="000000"/>
          <w:sz w:val="21"/>
          <w:szCs w:val="21"/>
          <w:highlight w:val="none"/>
        </w:rPr>
        <w:t xml:space="preserve">六、其他补充事宜</w:t>
      </w:r>
      <w:bookmarkEnd w:id="26"/>
      <w:r/>
      <w:bookmarkEnd w:id="27"/>
      <w:r>
        <w:rPr>
          <w:rFonts w:ascii="宋体" w:hAnsi="宋体" w:eastAsia="宋体" w:cs="宋体"/>
          <w:b w:val="0"/>
          <w:color w:val="000000"/>
          <w:sz w:val="21"/>
          <w:szCs w:val="21"/>
          <w:highlight w:val="none"/>
        </w:rPr>
      </w:r>
      <w:r/>
    </w:p>
    <w:p>
      <w:pPr>
        <w:pStyle w:val="760"/>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760"/>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color w:val="000000"/>
          <w:sz w:val="21"/>
          <w:szCs w:val="21"/>
          <w:highlight w:val="none"/>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b/>
          <w:color w:val="000000"/>
          <w:sz w:val="21"/>
          <w:szCs w:val="21"/>
          <w:highlight w:val="none"/>
        </w:rPr>
        <w:t xml:space="preserve">上传至电子文件中，</w:t>
      </w:r>
      <w:r>
        <w:rPr>
          <w:rFonts w:hint="eastAsia"/>
          <w:color w:val="000000"/>
          <w:sz w:val="21"/>
          <w:szCs w:val="21"/>
          <w:highlight w:val="none"/>
        </w:rPr>
        <w:t xml:space="preserve">未按要求提供信用记录表的，响应文件</w:t>
      </w:r>
      <w:r>
        <w:rPr>
          <w:rFonts w:hint="eastAsia"/>
          <w:color w:val="000000"/>
          <w:sz w:val="21"/>
          <w:szCs w:val="21"/>
          <w:highlight w:val="none"/>
          <w:lang w:eastAsia="zh-CN"/>
        </w:rPr>
        <w:t xml:space="preserve">将</w:t>
      </w:r>
      <w:r>
        <w:rPr>
          <w:rFonts w:hint="eastAsia"/>
          <w:color w:val="000000"/>
          <w:sz w:val="21"/>
          <w:szCs w:val="21"/>
          <w:highlight w:val="none"/>
        </w:rPr>
        <w:t xml:space="preserve">按无效投标处理。</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784"/>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784"/>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62"/>
        <w:keepLines w:val="0"/>
        <w:keepNext w:val="0"/>
        <w:spacing w:before="0" w:after="0" w:line="360" w:lineRule="auto"/>
        <w:rPr>
          <w:rFonts w:ascii="宋体" w:hAnsi="宋体" w:eastAsia="宋体" w:cs="宋体"/>
          <w:b w:val="0"/>
          <w:color w:val="000000"/>
          <w:sz w:val="21"/>
          <w:szCs w:val="21"/>
          <w:highlight w:val="none"/>
        </w:rPr>
      </w:pPr>
      <w:r/>
      <w:bookmarkStart w:id="28" w:name="_Toc28359085"/>
      <w:r/>
      <w:bookmarkStart w:id="29" w:name="_Toc35393796"/>
      <w:r/>
      <w:bookmarkStart w:id="30" w:name="_Toc28359008"/>
      <w:r/>
      <w:bookmarkStart w:id="31" w:name="_Toc35393627"/>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名称：南京市江宁区人民政府江宁街道办事处</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地址：南京市江宁区人民政府江宁街道</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联系人：李科</w:t>
      </w:r>
      <w:r>
        <w:rPr>
          <w:rFonts w:ascii="宋体" w:hAnsi="宋体" w:cs="宋体"/>
          <w:color w:val="000000"/>
          <w:szCs w:val="21"/>
          <w:highlight w:val="none"/>
        </w:rPr>
      </w:r>
      <w:r/>
    </w:p>
    <w:p>
      <w:pPr>
        <w:pStyle w:val="760"/>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联系方式：025-86199665</w:t>
      </w:r>
      <w:r>
        <w:rPr>
          <w:rFonts w:hint="eastAsia"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2.采购代理机构信息</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760"/>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t xml:space="preserve">025-58835827-0</w:t>
      </w:r>
      <w:r>
        <w:rPr>
          <w:rFonts w:ascii="宋体" w:hAnsi="宋体" w:cs="宋体"/>
          <w:color w:val="000000"/>
          <w:szCs w:val="21"/>
          <w:highlight w:val="none"/>
        </w:rPr>
      </w:r>
      <w:r/>
    </w:p>
    <w:p>
      <w:pPr>
        <w:pStyle w:val="760"/>
        <w:ind w:firstLine="422"/>
        <w:jc w:val="center"/>
        <w:spacing w:line="360" w:lineRule="auto"/>
        <w:widowControl w:val="off"/>
        <w:rPr>
          <w:rStyle w:val="772"/>
          <w:rFonts w:hint="eastAsia"/>
          <w:color w:val="000000"/>
          <w:sz w:val="36"/>
          <w:szCs w:val="36"/>
          <w:highlight w:val="none"/>
        </w:rPr>
      </w:pPr>
      <w:r>
        <w:rPr>
          <w:rStyle w:val="772"/>
          <w:rFonts w:hint="eastAsia"/>
          <w:color w:val="000000"/>
          <w:sz w:val="36"/>
          <w:szCs w:val="36"/>
          <w:highlight w:val="none"/>
        </w:rPr>
        <w:br w:type="page" w:clear="all"/>
      </w:r>
      <w:r>
        <w:rPr>
          <w:rStyle w:val="772"/>
          <w:rFonts w:hint="eastAsia"/>
          <w:color w:val="000000"/>
          <w:sz w:val="36"/>
          <w:szCs w:val="36"/>
          <w:highlight w:val="none"/>
        </w:rPr>
        <w:t xml:space="preserve">第二章 投标人须知</w:t>
      </w:r>
      <w:r>
        <w:rPr>
          <w:rStyle w:val="772"/>
          <w:rFonts w:hint="eastAsia"/>
          <w:color w:val="000000"/>
          <w:sz w:val="36"/>
          <w:szCs w:val="36"/>
          <w:highlight w:val="none"/>
        </w:rPr>
      </w:r>
      <w:r/>
    </w:p>
    <w:p>
      <w:pPr>
        <w:pStyle w:val="760"/>
        <w:jc w:val="left"/>
        <w:spacing w:before="11" w:line="360" w:lineRule="auto"/>
        <w:widowControl w:val="off"/>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760"/>
              <w:jc w:val="center"/>
              <w:spacing w:line="360" w:lineRule="auto"/>
              <w:widowControl w:val="off"/>
              <w:rPr>
                <w:rFonts w:hint="eastAsia" w:ascii="宋体" w:hAnsi="宋体" w:cs="宋体"/>
                <w:b/>
                <w:color w:val="000000"/>
                <w:szCs w:val="21"/>
                <w:highlight w:val="none"/>
              </w:rPr>
            </w:pPr>
            <w:r/>
            <w:bookmarkStart w:id="32" w:name="一、总____则"/>
            <w:r/>
            <w:bookmarkEnd w:id="32"/>
            <w:r/>
            <w:bookmarkStart w:id="33" w:name="_bookmark2"/>
            <w:r/>
            <w:bookmarkEnd w:id="33"/>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760"/>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bCs/>
                <w:color w:val="000000"/>
                <w:szCs w:val="22"/>
                <w:highlight w:val="none"/>
              </w:rPr>
              <w:t xml:space="preserve">南京市江宁区人民政府江宁街道办事处</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bCs/>
                <w:color w:val="000000"/>
                <w:szCs w:val="22"/>
                <w:highlight w:val="none"/>
              </w:rPr>
              <w:t xml:space="preserve">京市江宁区人民政府江宁街道办事处</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联系方式：李科</w:t>
            </w:r>
            <w:r>
              <w:rPr>
                <w:rFonts w:hint="eastAsia" w:ascii="宋体" w:hAnsi="宋体"/>
                <w:bCs/>
                <w:color w:val="000000"/>
                <w:szCs w:val="22"/>
                <w:highlight w:val="none"/>
              </w:rPr>
              <w:t xml:space="preserve">025-86199665</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 025-58066836</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陆郎、铜井消防站装备器材采购</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rPr>
              <w:t xml:space="preserve">南京市江宁区</w:t>
            </w:r>
            <w:r>
              <w:rPr>
                <w:rFonts w:ascii="宋体" w:hAnsi="宋体" w:cs="宋体"/>
                <w:b/>
                <w:color w:val="000000"/>
                <w:szCs w:val="21"/>
                <w:highlight w:val="none"/>
              </w:rPr>
            </w:r>
            <w:r/>
          </w:p>
        </w:tc>
      </w:tr>
      <w:tr>
        <w:trPr>
          <w:trHeight w:val="499"/>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提交投标文件截止之日起</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0日</w:t>
            </w:r>
            <w:r>
              <w:rPr>
                <w:rFonts w:hint="eastAsia" w:ascii="宋体" w:hAnsi="宋体" w:cs="宋体"/>
                <w:color w:val="000000"/>
                <w:szCs w:val="21"/>
                <w:highlight w:val="none"/>
              </w:rPr>
            </w:r>
            <w:r/>
          </w:p>
        </w:tc>
      </w:tr>
      <w:tr>
        <w:trPr>
          <w:trHeight w:val="2937"/>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760"/>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76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bl>
    <w:p>
      <w:pPr>
        <w:pStyle w:val="760"/>
        <w:ind w:left="798" w:hanging="240"/>
        <w:jc w:val="left"/>
        <w:spacing w:line="360" w:lineRule="auto"/>
        <w:widowControl w:val="off"/>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760"/>
        <w:numPr>
          <w:ilvl w:val="0"/>
          <w:numId w:val="0"/>
        </w:numPr>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3.8</w:t>
      </w:r>
      <w:r>
        <w:rPr>
          <w:rFonts w:hint="eastAsia" w:ascii="宋体" w:hAnsi="宋体" w:eastAsia="宋体" w:cs="宋体"/>
          <w:bCs/>
          <w:color w:val="000000"/>
          <w:sz w:val="21"/>
          <w:szCs w:val="21"/>
          <w:highlight w:val="none"/>
          <w:lang w:val="en-US" w:eastAsia="zh-CN" w:bidi="ar-SA"/>
        </w:rPr>
        <w:t xml:space="preserve">采购本国产品的支持政策：</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本项目对采购本国产品给予政策支持，根据</w:t>
      </w:r>
      <w:r>
        <w:rPr>
          <w:rFonts w:ascii="宋体" w:hAnsi="宋体" w:eastAsia="宋体" w:cs="宋体"/>
          <w:bCs/>
          <w:color w:val="000000"/>
          <w:sz w:val="21"/>
          <w:szCs w:val="21"/>
          <w:highlight w:val="none"/>
          <w:lang w:val="en-US" w:eastAsia="zh-CN" w:bidi="ar-SA"/>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Cs/>
          <w:color w:val="000000"/>
          <w:sz w:val="21"/>
          <w:szCs w:val="21"/>
          <w:highlight w:val="none"/>
          <w:lang w:val="en-US" w:eastAsia="zh-CN" w:bidi="ar-SA"/>
        </w:rPr>
        <w:t xml:space="preserve">执行。</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具体内容如下：</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val="0"/>
          <w:color w:val="000000"/>
          <w:sz w:val="21"/>
          <w:szCs w:val="21"/>
          <w:highlight w:val="none"/>
          <w:lang w:val="en-US" w:eastAsia="zh-CN" w:bidi="ar-SA"/>
        </w:rPr>
        <w:t xml:space="preserve">供应商需在“投标文件格式”中填写比例数值</w:t>
      </w:r>
      <w:r>
        <w:rPr>
          <w:rFonts w:hint="eastAsia" w:ascii="宋体" w:hAnsi="宋体" w:eastAsia="宋体" w:cs="宋体"/>
          <w:bCs/>
          <w:color w:val="000000"/>
          <w:sz w:val="21"/>
          <w:szCs w:val="21"/>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rPr>
          <w:rFonts w:ascii="宋体" w:hAnsi="宋体" w:eastAsia="宋体" w:cs="宋体"/>
          <w:bCs/>
          <w:color w:val="000000"/>
          <w:sz w:val="21"/>
          <w:szCs w:val="21"/>
          <w:highlight w:val="none"/>
          <w:lang w:val="en-US" w:eastAsia="zh-CN" w:bidi="ar-SA"/>
        </w:rPr>
        <w:t xml:space="preserve">（《关于符合本国产品标准的声明函》格式见投标文件格式部分）</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bidi="ar-SA"/>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760"/>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760"/>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投标人须知；</w:t>
      </w:r>
      <w:r>
        <w:rPr>
          <w:rFonts w:hint="eastAsia" w:ascii="宋体" w:hAnsi="宋体" w:cs="宋体"/>
          <w:color w:val="000000"/>
          <w:szCs w:val="21"/>
          <w:highlight w:val="none"/>
        </w:rPr>
      </w:r>
      <w:r/>
    </w:p>
    <w:p>
      <w:pPr>
        <w:pStyle w:val="760"/>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760"/>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760"/>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760"/>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760"/>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760"/>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760"/>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《商务条款偏离表》；</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760"/>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（1）技术说明或项目实施方案；</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lang w:val="zh-CN"/>
        </w:rPr>
        <w:t xml:space="preserve">《技术条款偏离表》</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售后服务及其他</w:t>
      </w:r>
      <w:r>
        <w:rPr>
          <w:rFonts w:hint="eastAsia" w:ascii="宋体" w:hAnsi="宋体" w:cs="宋体"/>
          <w:color w:val="000000"/>
          <w:szCs w:val="21"/>
          <w:highlight w:val="none"/>
          <w:lang w:val="zh-CN"/>
        </w:rPr>
        <w:t xml:space="preserve">承诺；</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color w:val="000000"/>
          <w:szCs w:val="21"/>
          <w:highlight w:val="none"/>
        </w:rPr>
        <w:t xml:space="preserve">16.2 </w:t>
      </w:r>
      <w:r>
        <w:rPr>
          <w:rFonts w:hint="eastAsia" w:ascii="宋体" w:hAnsi="宋体" w:cs="宋体"/>
          <w:bCs/>
          <w:color w:val="000000"/>
          <w:szCs w:val="21"/>
          <w:highlight w:val="none"/>
        </w:rPr>
        <w:t xml:space="preserve">招标代理服务费：</w:t>
      </w:r>
      <w:r>
        <w:rPr>
          <w:rFonts w:hint="eastAsia" w:ascii="宋体" w:hAnsi="宋体" w:eastAsia="宋体" w:cs="宋体"/>
          <w:b/>
          <w:bCs/>
          <w:color w:val="000000"/>
          <w:szCs w:val="21"/>
          <w:highlight w:val="none"/>
        </w:rPr>
        <w:t xml:space="preserve">《政府采购代理机构管理暂行办法》（财库[2018】2号）第十五条规定；为提高采购效率、简化资金支付流程、符合行业惯例、不增加财政预算负担</w:t>
      </w:r>
      <w:r>
        <w:rPr>
          <w:rFonts w:hint="eastAsia" w:ascii="宋体" w:hAnsi="宋体" w:eastAsia="宋体" w:cs="宋体"/>
          <w:b/>
          <w:bCs/>
          <w:color w:val="000000"/>
          <w:szCs w:val="21"/>
          <w:highlight w:val="none"/>
          <w:lang w:eastAsia="zh-CN"/>
        </w:rPr>
        <w:t xml:space="preserve">，</w:t>
      </w:r>
      <w:r>
        <w:rPr>
          <w:rFonts w:hint="eastAsia" w:ascii="宋体" w:hAnsi="宋体"/>
          <w:color w:val="000000"/>
          <w:szCs w:val="21"/>
          <w:highlight w:val="none"/>
          <w:lang w:val="zh-CN"/>
        </w:rPr>
        <w:t xml:space="preserve">招标代理费收费参照计价格【2002】1980号的70%执行</w:t>
      </w:r>
      <w:r>
        <w:rPr>
          <w:rFonts w:hint="eastAsia" w:ascii="宋体" w:hAnsi="宋体" w:cs="宋体"/>
          <w:bCs/>
          <w:color w:val="000000"/>
          <w:szCs w:val="21"/>
          <w:highlight w:val="none"/>
        </w:rPr>
        <w:t xml:space="preserve">，</w:t>
      </w:r>
      <w:r>
        <w:rPr>
          <w:rFonts w:hint="eastAsia" w:ascii="宋体" w:hAnsi="宋体"/>
          <w:color w:val="000000"/>
          <w:szCs w:val="21"/>
          <w:highlight w:val="none"/>
          <w:lang w:val="zh-CN"/>
        </w:rPr>
        <w:t xml:space="preserve">计算基准值为中标价；</w:t>
      </w:r>
      <w:r>
        <w:rPr>
          <w:rFonts w:hint="eastAsia" w:ascii="宋体" w:hAnsi="宋体" w:cs="宋体"/>
          <w:bCs/>
          <w:color w:val="000000"/>
          <w:szCs w:val="21"/>
          <w:highlight w:val="none"/>
        </w:rPr>
        <w:t xml:space="preserve">该项费用请供应商综合考虑在投标报价中，须在领取中标通知书前向招标代理机构支付招标服务费。</w:t>
      </w:r>
      <w:r>
        <w:rPr>
          <w:rFonts w:hint="eastAsia" w:ascii="宋体" w:hAnsi="宋体" w:cs="宋体"/>
          <w:bCs/>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760"/>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760"/>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（9）不满足招标文件</w:t>
      </w:r>
      <w:r>
        <w:rPr>
          <w:rFonts w:hint="eastAsia" w:ascii="宋体" w:hAnsi="宋体" w:cs="宋体"/>
          <w:b/>
          <w:bCs/>
          <w:color w:val="000000"/>
          <w:highlight w:val="none"/>
        </w:rPr>
        <w:t xml:space="preserve">★或者其他实质性要求的；</w:t>
      </w:r>
      <w:r>
        <w:rPr>
          <w:rFonts w:hint="eastAsia" w:ascii="宋体" w:hAnsi="宋体" w:cs="宋体"/>
          <w:b/>
          <w:bCs/>
          <w:color w:val="000000"/>
          <w:szCs w:val="21"/>
          <w:highlight w:val="none"/>
        </w:rPr>
      </w:r>
      <w:r/>
    </w:p>
    <w:p>
      <w:pPr>
        <w:pStyle w:val="760"/>
        <w:ind w:firstLine="422"/>
        <w:spacing w:line="360" w:lineRule="auto"/>
        <w:shd w:val="clear" w:color="auto" w:fill="ffffff"/>
        <w:widowControl w:val="off"/>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（10）不同供应商的</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文件以及</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rPr>
        <w:t xml:space="preserve">制作过程出现了</w:t>
      </w:r>
      <w:r>
        <w:rPr>
          <w:rFonts w:hint="eastAsia" w:ascii="宋体" w:hAnsi="宋体" w:cs="宋体"/>
          <w:b/>
          <w:bCs/>
          <w:color w:val="000000"/>
          <w:szCs w:val="21"/>
          <w:highlight w:val="none"/>
          <w:lang w:val="en-US" w:eastAsia="zh-CN"/>
        </w:rPr>
        <w:t xml:space="preserve">评标委员会</w:t>
      </w:r>
      <w:r>
        <w:rPr>
          <w:rFonts w:hint="eastAsia" w:ascii="宋体" w:hAnsi="宋体" w:cs="宋体"/>
          <w:b/>
          <w:bCs/>
          <w:color w:val="000000"/>
          <w:szCs w:val="21"/>
          <w:highlight w:val="none"/>
        </w:rPr>
        <w:t xml:space="preserve">认为不应当雷同的情况的</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60"/>
        <w:ind w:firstLine="422"/>
        <w:spacing w:line="360" w:lineRule="auto"/>
        <w:shd w:val="clear" w:color="auto" w:fill="ffffff"/>
        <w:widowControl w:val="off"/>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现行法律、法规、规章和招标文件规定的其他无效情形。</w:t>
      </w:r>
      <w:r>
        <w:rPr>
          <w:rFonts w:hint="eastAsia" w:ascii="宋体" w:hAnsi="宋体" w:eastAsia="宋体" w:cs="宋体"/>
          <w:b/>
          <w:bCs/>
          <w:color w:val="000000"/>
          <w:szCs w:val="21"/>
          <w:highlight w:val="none"/>
          <w:lang w:eastAsia="zh-CN"/>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760"/>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760"/>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760"/>
        <w:ind w:firstLine="420"/>
        <w:spacing w:line="360" w:lineRule="auto"/>
        <w:rPr>
          <w:rFonts w:ascii="宋体" w:hAnsi="宋体"/>
          <w:color w:val="000000"/>
          <w:szCs w:val="21"/>
          <w:highlight w:val="none"/>
          <w:lang w:val="zh-CN"/>
        </w:rPr>
        <w:outlineLvl w:val="0"/>
      </w:pPr>
      <w:r>
        <w:rPr>
          <w:rFonts w:hint="eastAsia" w:ascii="宋体" w:hAnsi="宋体" w:cs="宋体"/>
          <w:color w:val="000000"/>
          <w:szCs w:val="21"/>
          <w:highlight w:val="none"/>
        </w:rPr>
        <w:t xml:space="preserve">22.2.2.4</w:t>
      </w:r>
      <w:r>
        <w:rPr>
          <w:rFonts w:hint="eastAsia" w:ascii="宋体" w:hAnsi="宋体"/>
          <w:color w:val="000000"/>
          <w:szCs w:val="21"/>
          <w:highlight w:val="none"/>
          <w:lang w:val="zh-CN"/>
        </w:rPr>
        <w:t xml:space="preserve">政府采购异常低价审查：</w:t>
      </w:r>
      <w:r>
        <w:rPr>
          <w:rFonts w:ascii="宋体" w:hAnsi="宋体"/>
          <w:color w:val="000000"/>
          <w:szCs w:val="21"/>
          <w:highlight w:val="none"/>
          <w:lang w:val="zh-CN"/>
        </w:rPr>
      </w:r>
      <w:r/>
    </w:p>
    <w:p>
      <w:pPr>
        <w:pStyle w:val="760"/>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760"/>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0"/>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0"/>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的，即投标(响应)报价&lt;采购项目最高限价×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0"/>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760"/>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color w:val="000000"/>
          <w:szCs w:val="21"/>
          <w:highlight w:val="none"/>
          <w:lang w:val="zh-CN"/>
        </w:rPr>
      </w:r>
      <w:r/>
    </w:p>
    <w:p>
      <w:pPr>
        <w:pStyle w:val="760"/>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760"/>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7）采购人、采购代理机构应当为评审委员会在评审现场及时获取同类项自中标（成交）价格、类似产品市场价格水平、行业人工费用标准、国家有关部门指导行业协会发布的行业平均成本等相关信息资料提供便利。</w:t>
      </w:r>
      <w:r>
        <w:rPr>
          <w:rFonts w:ascii="宋体" w:hAnsi="宋体"/>
          <w:color w:val="000000"/>
          <w:szCs w:val="21"/>
          <w:highlight w:val="none"/>
          <w:lang w:val="zh-CN"/>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highlight w:val="none"/>
        </w:rPr>
      </w:pPr>
      <w:r>
        <w:rPr>
          <w:rFonts w:hint="eastAsia" w:ascii="宋体" w:hAnsi="宋体" w:cs="宋体"/>
          <w:color w:val="000000"/>
          <w:szCs w:val="21"/>
          <w:highlight w:val="none"/>
        </w:rPr>
        <w:t xml:space="preserve">22.2.5</w:t>
      </w:r>
      <w:r>
        <w:rPr>
          <w:rFonts w:hint="eastAsia" w:ascii="宋体" w:hAnsi="宋体" w:cs="宋体"/>
          <w:color w:val="000000"/>
          <w:highlight w:val="none"/>
        </w:rPr>
        <w:t xml:space="preserve">相同品牌产品的投标</w:t>
      </w:r>
      <w:r>
        <w:rPr>
          <w:rFonts w:hint="eastAsia" w:ascii="宋体" w:hAnsi="宋体" w:cs="宋体"/>
          <w:color w:val="000000"/>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highlight w:val="none"/>
        </w:rPr>
      </w:r>
      <w:r/>
    </w:p>
    <w:p>
      <w:pPr>
        <w:pStyle w:val="760"/>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highlight w:val="none"/>
        </w:rPr>
      </w:r>
      <w:r/>
    </w:p>
    <w:p>
      <w:pPr>
        <w:pStyle w:val="760"/>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760"/>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760"/>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760"/>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760"/>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760"/>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760"/>
        <w:spacing w:line="360" w:lineRule="auto"/>
        <w:widowControl w:val="off"/>
        <w:rPr>
          <w:rStyle w:val="883"/>
          <w:rFonts w:ascii="宋体" w:hAnsi="宋体"/>
          <w:b/>
          <w:bCs/>
          <w:color w:val="000000"/>
          <w:sz w:val="32"/>
          <w:szCs w:val="32"/>
          <w:highlight w:val="none"/>
        </w:rPr>
      </w:pPr>
      <w:r>
        <w:rPr>
          <w:rStyle w:val="883"/>
          <w:rFonts w:ascii="宋体" w:hAnsi="宋体"/>
          <w:b/>
          <w:bCs/>
          <w:color w:val="000000"/>
          <w:sz w:val="32"/>
          <w:szCs w:val="32"/>
          <w:highlight w:val="none"/>
        </w:rPr>
      </w:r>
      <w:r/>
    </w:p>
    <w:p>
      <w:pPr>
        <w:pStyle w:val="760"/>
        <w:spacing w:line="360" w:lineRule="auto"/>
        <w:widowControl w:val="off"/>
        <w:rPr>
          <w:rStyle w:val="883"/>
          <w:rFonts w:ascii="宋体" w:hAnsi="宋体"/>
          <w:b/>
          <w:bCs/>
          <w:color w:val="000000"/>
          <w:sz w:val="32"/>
          <w:szCs w:val="32"/>
          <w:highlight w:val="none"/>
        </w:rPr>
      </w:pPr>
      <w:r>
        <w:rPr>
          <w:rStyle w:val="883"/>
          <w:rFonts w:ascii="宋体" w:hAnsi="宋体"/>
          <w:b/>
          <w:bCs/>
          <w:color w:val="000000"/>
          <w:sz w:val="32"/>
          <w:szCs w:val="32"/>
          <w:highlight w:val="none"/>
        </w:rPr>
      </w:r>
      <w:r/>
    </w:p>
    <w:p>
      <w:pPr>
        <w:pStyle w:val="760"/>
        <w:spacing w:line="360" w:lineRule="auto"/>
        <w:widowControl w:val="off"/>
        <w:rPr>
          <w:rStyle w:val="883"/>
          <w:rFonts w:ascii="宋体" w:hAnsi="宋体"/>
          <w:b/>
          <w:bCs/>
          <w:color w:val="000000"/>
          <w:sz w:val="32"/>
          <w:szCs w:val="32"/>
          <w:highlight w:val="none"/>
        </w:rPr>
      </w:pPr>
      <w:r>
        <w:rPr>
          <w:rStyle w:val="883"/>
          <w:rFonts w:ascii="宋体" w:hAnsi="宋体"/>
          <w:b/>
          <w:bCs/>
          <w:color w:val="000000"/>
          <w:sz w:val="32"/>
          <w:szCs w:val="32"/>
          <w:highlight w:val="none"/>
        </w:rPr>
      </w:r>
      <w:r/>
    </w:p>
    <w:p>
      <w:pPr>
        <w:pStyle w:val="761"/>
        <w:spacing w:line="360" w:lineRule="auto"/>
        <w:rPr>
          <w:color w:val="000000"/>
          <w:sz w:val="36"/>
          <w:szCs w:val="36"/>
          <w:highlight w:val="none"/>
        </w:rPr>
      </w:pPr>
      <w:r/>
      <w:bookmarkStart w:id="34" w:name="_Toc2713"/>
      <w:r>
        <w:rPr>
          <w:rFonts w:hint="eastAsia"/>
          <w:color w:val="000000"/>
          <w:sz w:val="36"/>
          <w:szCs w:val="36"/>
          <w:highlight w:val="none"/>
        </w:rPr>
        <w:t xml:space="preserve">第三章 评标标准</w:t>
      </w:r>
      <w:bookmarkEnd w:id="34"/>
      <w:r>
        <w:rPr>
          <w:color w:val="000000"/>
          <w:sz w:val="36"/>
          <w:szCs w:val="36"/>
          <w:highlight w:val="none"/>
        </w:rPr>
      </w:r>
      <w:r/>
    </w:p>
    <w:p>
      <w:pPr>
        <w:pStyle w:val="760"/>
        <w:ind w:firstLine="420"/>
        <w:spacing w:line="360" w:lineRule="auto"/>
        <w:shd w:val="clear" w:color="auto" w:fill="ffffff"/>
        <w:widowControl w:val="off"/>
        <w:rPr>
          <w:rStyle w:val="883"/>
          <w:rFonts w:hint="eastAsia" w:ascii="宋体" w:hAnsi="宋体" w:cs="宋体"/>
          <w:b/>
          <w:color w:val="000000"/>
          <w:szCs w:val="21"/>
          <w:highlight w:val="none"/>
        </w:rPr>
      </w:pPr>
      <w:r>
        <w:rPr>
          <w:rStyle w:val="883"/>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采用综合评分法的，评标结果按评审后最终得分由高到低进行排名，得分相同的，按投标报价由低到高顺序排列。得分且投标报价相同的，按技术部分方案优劣顺序排列。</w:t>
      </w:r>
      <w:r>
        <w:rPr>
          <w:rStyle w:val="883"/>
          <w:rFonts w:hint="eastAsia" w:ascii="宋体" w:hAnsi="宋体" w:cs="宋体"/>
          <w:b/>
          <w:color w:val="000000"/>
          <w:szCs w:val="21"/>
          <w:highlight w:val="none"/>
        </w:rPr>
      </w:r>
      <w:r/>
    </w:p>
    <w:p>
      <w:pPr>
        <w:pStyle w:val="760"/>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636"/>
        <w:gridCol w:w="6359"/>
        <w:gridCol w:w="990"/>
      </w:tblGrid>
      <w:tr>
        <w:trPr>
          <w:trHeight w:val="416"/>
        </w:trPr>
        <w:tc>
          <w:tcPr>
            <w:tcW w:w="391"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序号</w:t>
            </w:r>
            <w:r>
              <w:rPr>
                <w:color w:val="000000"/>
                <w:szCs w:val="21"/>
                <w:highlight w:val="none"/>
              </w:rPr>
            </w:r>
            <w:r/>
          </w:p>
        </w:tc>
        <w:tc>
          <w:tcPr>
            <w:tcW w:w="839"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评审因素</w:t>
            </w:r>
            <w:r>
              <w:rPr>
                <w:color w:val="000000"/>
                <w:szCs w:val="21"/>
                <w:highlight w:val="none"/>
              </w:rPr>
            </w:r>
            <w:r/>
          </w:p>
        </w:tc>
        <w:tc>
          <w:tcPr>
            <w:tcW w:w="3262"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评审标准</w:t>
            </w:r>
            <w:r>
              <w:rPr>
                <w:color w:val="000000"/>
                <w:szCs w:val="21"/>
                <w:highlight w:val="none"/>
              </w:rPr>
            </w:r>
            <w:r/>
          </w:p>
        </w:tc>
        <w:tc>
          <w:tcPr>
            <w:tcW w:w="508"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分值</w:t>
            </w:r>
            <w:r>
              <w:rPr>
                <w:color w:val="000000"/>
                <w:szCs w:val="21"/>
                <w:highlight w:val="none"/>
              </w:rPr>
            </w:r>
            <w:r/>
          </w:p>
        </w:tc>
      </w:tr>
      <w:tr>
        <w:trPr>
          <w:trHeight w:val="1102"/>
        </w:trPr>
        <w:tc>
          <w:tcPr>
            <w:tcW w:w="391"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1</w:t>
            </w:r>
            <w:r>
              <w:rPr>
                <w:color w:val="000000"/>
                <w:szCs w:val="21"/>
                <w:highlight w:val="none"/>
              </w:rPr>
            </w:r>
            <w:r/>
          </w:p>
        </w:tc>
        <w:tc>
          <w:tcPr>
            <w:tcW w:w="839"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价格</w:t>
            </w:r>
            <w:r>
              <w:rPr>
                <w:color w:val="000000"/>
                <w:szCs w:val="21"/>
                <w:highlight w:val="none"/>
              </w:rPr>
            </w:r>
            <w:r/>
          </w:p>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w:t>
            </w:r>
            <w:r>
              <w:rPr>
                <w:rFonts w:hint="eastAsia"/>
                <w:color w:val="000000"/>
                <w:szCs w:val="21"/>
                <w:highlight w:val="none"/>
              </w:rPr>
              <w:t xml:space="preserve">30</w:t>
            </w:r>
            <w:r>
              <w:rPr>
                <w:color w:val="000000"/>
                <w:szCs w:val="21"/>
                <w:highlight w:val="none"/>
              </w:rPr>
              <w:t xml:space="preserve">分)</w:t>
            </w:r>
            <w:r>
              <w:rPr>
                <w:color w:val="000000"/>
                <w:szCs w:val="21"/>
                <w:highlight w:val="none"/>
              </w:rPr>
            </w:r>
            <w:r/>
          </w:p>
        </w:tc>
        <w:tc>
          <w:tcPr>
            <w:tcW w:w="3262" w:type="dxa"/>
            <w:vAlign w:val="center"/>
            <w:textDirection w:val="lrTb"/>
            <w:noWrap w:val="false"/>
          </w:tcPr>
          <w:p>
            <w:pPr>
              <w:pStyle w:val="760"/>
              <w:contextualSpacing/>
              <w:spacing w:line="360" w:lineRule="auto"/>
              <w:rPr>
                <w:rFonts w:hint="eastAsia"/>
                <w:color w:val="000000"/>
                <w:szCs w:val="21"/>
                <w:highlight w:val="none"/>
              </w:rPr>
              <w:framePr w:vAnchor="page" w:hAnchor="page" w:xAlign="center" w:y="107"/>
            </w:pPr>
            <w:r>
              <w:rPr>
                <w:color w:val="000000"/>
                <w:szCs w:val="21"/>
                <w:highlight w:val="none"/>
              </w:rPr>
              <w:t xml:space="preserve">采用低价优先法计算，即满足招标文件要求且评审价格最低的价格为评标基准价，其价格分为满分</w:t>
            </w:r>
            <w:r>
              <w:rPr>
                <w:rFonts w:hint="eastAsia"/>
                <w:color w:val="000000"/>
                <w:szCs w:val="21"/>
                <w:highlight w:val="none"/>
              </w:rPr>
              <w:t xml:space="preserve">30</w:t>
            </w:r>
            <w:r>
              <w:rPr>
                <w:color w:val="000000"/>
                <w:szCs w:val="21"/>
                <w:highlight w:val="none"/>
              </w:rPr>
              <w:t xml:space="preserve">分。其他投标人的价格分统一按照下列公式计算：投标报价得分=(评标基准价/评审价格)×</w:t>
            </w:r>
            <w:r>
              <w:rPr>
                <w:rFonts w:hint="eastAsia"/>
                <w:color w:val="000000"/>
                <w:szCs w:val="21"/>
                <w:highlight w:val="none"/>
              </w:rPr>
              <w:t xml:space="preserve">30</w:t>
            </w:r>
            <w:r>
              <w:rPr>
                <w:color w:val="000000"/>
                <w:szCs w:val="21"/>
                <w:highlight w:val="none"/>
              </w:rPr>
              <w:t xml:space="preserve">(小数点保留两位)</w:t>
            </w:r>
            <w:r>
              <w:rPr>
                <w:rFonts w:hint="eastAsia"/>
                <w:color w:val="000000"/>
                <w:szCs w:val="21"/>
                <w:highlight w:val="none"/>
              </w:rPr>
            </w:r>
            <w:r/>
          </w:p>
          <w:p>
            <w:pPr>
              <w:pStyle w:val="760"/>
              <w:ind w:firstLine="420"/>
              <w:jc w:val="left"/>
              <w:spacing w:line="360" w:lineRule="auto"/>
              <w:rPr>
                <w:rFonts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760"/>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0"/>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0"/>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60"/>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760"/>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color w:val="000000"/>
                <w:szCs w:val="21"/>
                <w:highlight w:val="none"/>
                <w:lang w:val="zh-CN"/>
              </w:rPr>
            </w:r>
            <w:r/>
          </w:p>
          <w:p>
            <w:pPr>
              <w:pStyle w:val="760"/>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760"/>
              <w:jc w:val="left"/>
              <w:spacing w:line="360" w:lineRule="auto"/>
              <w:rPr>
                <w:color w:val="000000"/>
                <w:szCs w:val="21"/>
                <w:highlight w:val="none"/>
              </w:rPr>
              <w:framePr w:vAnchor="page" w:hAnchor="page" w:xAlign="center" w:y="107"/>
              <w:outlineLvl w:val="0"/>
            </w:pPr>
            <w:r>
              <w:rPr>
                <w:rFonts w:hint="eastAsia" w:ascii="宋体" w:hAnsi="宋体"/>
                <w:color w:val="000000"/>
                <w:szCs w:val="21"/>
                <w:highlight w:val="none"/>
                <w:lang w:val="zh-CN"/>
              </w:rPr>
              <w:t xml:space="preserve">（7）采购人、采购代理机构应当为评审委员会在评审现场及时获取同类项自中标（成交）价格、类似产品市场价格水平、行业人工费用标准、国家有关部门指导行业协会发布的行业平均成本等相关信息资料提供便利。</w:t>
            </w:r>
            <w:r>
              <w:rPr>
                <w:color w:val="000000"/>
                <w:szCs w:val="21"/>
                <w:highlight w:val="none"/>
              </w:rPr>
            </w:r>
            <w:r/>
          </w:p>
        </w:tc>
        <w:tc>
          <w:tcPr>
            <w:tcW w:w="508"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30</w:t>
            </w:r>
            <w:r>
              <w:rPr>
                <w:color w:val="000000"/>
                <w:szCs w:val="21"/>
                <w:highlight w:val="none"/>
              </w:rPr>
              <w:t xml:space="preserve">分</w:t>
            </w:r>
            <w:r>
              <w:rPr>
                <w:color w:val="000000"/>
                <w:szCs w:val="21"/>
                <w:highlight w:val="none"/>
              </w:rPr>
            </w:r>
            <w:r/>
          </w:p>
        </w:tc>
      </w:tr>
      <w:tr>
        <w:trPr>
          <w:trHeight w:val="680"/>
        </w:trPr>
        <w:tc>
          <w:tcPr>
            <w:tcW w:w="391"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t xml:space="preserve">2</w:t>
            </w:r>
            <w:r>
              <w:rPr>
                <w:color w:val="000000"/>
                <w:szCs w:val="21"/>
                <w:highlight w:val="none"/>
              </w:rPr>
            </w:r>
            <w:r/>
          </w:p>
        </w:tc>
        <w:tc>
          <w:tcPr>
            <w:tcW w:w="839" w:type="dxa"/>
            <w:vAlign w:val="center"/>
            <w:textDirection w:val="lrTb"/>
            <w:noWrap w:val="false"/>
          </w:tcPr>
          <w:p>
            <w:pPr>
              <w:pStyle w:val="760"/>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技术参数</w:t>
            </w:r>
            <w:r>
              <w:rPr>
                <w:color w:val="000000"/>
                <w:szCs w:val="21"/>
                <w:highlight w:val="none"/>
              </w:rPr>
            </w:r>
            <w:r/>
          </w:p>
          <w:p>
            <w:pPr>
              <w:pStyle w:val="760"/>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响应情况</w:t>
            </w:r>
            <w:r>
              <w:rPr>
                <w:color w:val="000000"/>
                <w:szCs w:val="21"/>
                <w:highlight w:val="none"/>
              </w:rPr>
            </w:r>
            <w:r/>
          </w:p>
        </w:tc>
        <w:tc>
          <w:tcPr>
            <w:tcW w:w="3262" w:type="dxa"/>
            <w:vAlign w:val="center"/>
            <w:textDirection w:val="lrTb"/>
            <w:noWrap w:val="false"/>
          </w:tcPr>
          <w:p>
            <w:pPr>
              <w:pStyle w:val="760"/>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根据招标文件中 “</w:t>
            </w:r>
            <w:r>
              <w:rPr>
                <w:rFonts w:hint="eastAsia" w:ascii="宋体" w:hAnsi="宋体"/>
                <w:b/>
                <w:bCs/>
                <w:color w:val="000000"/>
                <w:szCs w:val="21"/>
                <w:highlight w:val="none"/>
              </w:rPr>
              <w:t xml:space="preserve">第四章</w:t>
            </w:r>
            <w:r>
              <w:rPr>
                <w:rFonts w:hint="eastAsia" w:ascii="宋体" w:hAnsi="宋体"/>
                <w:bCs/>
                <w:color w:val="000000"/>
                <w:szCs w:val="21"/>
                <w:highlight w:val="none"/>
              </w:rPr>
              <w:t xml:space="preserve"> </w:t>
            </w:r>
            <w:r>
              <w:rPr>
                <w:rFonts w:hint="eastAsia" w:ascii="宋体" w:hAnsi="宋体"/>
                <w:b/>
                <w:bCs/>
                <w:color w:val="000000"/>
                <w:szCs w:val="21"/>
                <w:highlight w:val="none"/>
              </w:rPr>
              <w:t xml:space="preserve">招标项目的技术规格、要求和数量等</w:t>
            </w:r>
            <w:r>
              <w:rPr>
                <w:rFonts w:hint="eastAsia" w:ascii="宋体" w:hAnsi="宋体"/>
                <w:bCs/>
                <w:color w:val="000000"/>
                <w:szCs w:val="21"/>
                <w:highlight w:val="none"/>
              </w:rPr>
              <w:t xml:space="preserve">”响应情况进行打分。完全符合技术参数及配置要求且提供了技术条款偏离表的得满分30分。</w:t>
            </w:r>
            <w:r>
              <w:rPr>
                <w:rFonts w:ascii="宋体" w:hAnsi="宋体"/>
                <w:bCs/>
                <w:color w:val="000000"/>
                <w:szCs w:val="21"/>
                <w:highlight w:val="none"/>
              </w:rPr>
            </w:r>
            <w:r/>
          </w:p>
          <w:p>
            <w:pPr>
              <w:pStyle w:val="760"/>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1.带“★”项的技术指标，负偏离为无效投标。</w:t>
            </w:r>
            <w:r>
              <w:rPr>
                <w:rFonts w:ascii="宋体" w:hAnsi="宋体"/>
                <w:bCs/>
                <w:color w:val="000000"/>
                <w:szCs w:val="21"/>
                <w:highlight w:val="none"/>
              </w:rPr>
            </w:r>
            <w:r/>
          </w:p>
          <w:p>
            <w:pPr>
              <w:pStyle w:val="760"/>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2.带“▲”项的技术指标，每负偏离一项扣</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分，扣完为止。</w:t>
            </w:r>
            <w:r>
              <w:rPr>
                <w:rFonts w:ascii="宋体" w:hAnsi="宋体"/>
                <w:bCs/>
                <w:color w:val="000000"/>
                <w:szCs w:val="21"/>
                <w:highlight w:val="none"/>
              </w:rPr>
            </w:r>
            <w:r/>
          </w:p>
          <w:p>
            <w:pPr>
              <w:pStyle w:val="760"/>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3.非“▲”项的技术指标，每负偏离一项扣</w:t>
            </w:r>
            <w:r>
              <w:rPr>
                <w:rFonts w:hint="eastAsia" w:ascii="宋体" w:hAnsi="宋体"/>
                <w:bCs/>
                <w:color w:val="000000"/>
                <w:szCs w:val="21"/>
                <w:highlight w:val="none"/>
                <w:lang w:val="en-US" w:eastAsia="zh-CN"/>
              </w:rPr>
              <w:t xml:space="preserve">0</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分，扣完为止。</w:t>
            </w:r>
            <w:r>
              <w:rPr>
                <w:rFonts w:ascii="宋体" w:hAnsi="宋体"/>
                <w:bCs/>
                <w:color w:val="000000"/>
                <w:szCs w:val="21"/>
                <w:highlight w:val="none"/>
              </w:rPr>
            </w:r>
            <w:r/>
          </w:p>
          <w:p>
            <w:pPr>
              <w:pStyle w:val="760"/>
              <w:contextualSpacing/>
              <w:spacing w:line="360" w:lineRule="auto"/>
              <w:rPr>
                <w:color w:val="000000"/>
                <w:szCs w:val="21"/>
                <w:highlight w:val="none"/>
              </w:rPr>
              <w:framePr w:vAnchor="page" w:hAnchor="page" w:xAlign="center" w:y="107"/>
            </w:pPr>
            <w:r>
              <w:rPr>
                <w:rFonts w:hint="eastAsia" w:ascii="宋体" w:hAnsi="宋体"/>
                <w:bCs/>
                <w:color w:val="000000"/>
                <w:szCs w:val="21"/>
                <w:highlight w:val="none"/>
              </w:rPr>
              <w:t xml:space="preserve">（备注：凡标有最低一级序号的指标项即为一项技术条款，无论是否隶属于上一级编号；投标人需在技术条款偏离表中逐条进行应答，列明所投产品详细技术特性，并说明偏离情况。带“▲”项的技术指标需提供列有技术参数且完整的厂家产品彩页或产品说明书或网站截图（附官网链接）或实物照片等证明材料（需求中有其他要求的从其要求），以佐证所投产品的主要技术参数及功能。非“▲”项技术指标未有要求的则以技术条款偏离表中应答为准（需求中有其他要求的从其要求）。未按要求提供证明材料的视为负偏离。）</w:t>
            </w:r>
            <w:r>
              <w:rPr>
                <w:color w:val="000000"/>
                <w:szCs w:val="21"/>
                <w:highlight w:val="none"/>
              </w:rPr>
            </w:r>
            <w:r/>
          </w:p>
        </w:tc>
        <w:tc>
          <w:tcPr>
            <w:tcW w:w="508" w:type="dxa"/>
            <w:vAlign w:val="center"/>
            <w:textDirection w:val="lrTb"/>
            <w:noWrap w:val="false"/>
          </w:tcPr>
          <w:p>
            <w:pPr>
              <w:pStyle w:val="760"/>
              <w:contextualSpacing/>
              <w:spacing w:line="360" w:lineRule="auto"/>
              <w:rPr>
                <w:color w:val="000000"/>
                <w:szCs w:val="21"/>
                <w:highlight w:val="none"/>
              </w:rPr>
              <w:framePr w:vAnchor="page" w:hAnchor="page" w:xAlign="center" w:y="107"/>
            </w:pPr>
            <w:r>
              <w:rPr>
                <w:rFonts w:hint="eastAsia"/>
                <w:color w:val="000000"/>
                <w:szCs w:val="21"/>
                <w:highlight w:val="none"/>
              </w:rPr>
              <w:t xml:space="preserve">30分</w:t>
            </w:r>
            <w:r>
              <w:rPr>
                <w:color w:val="000000"/>
                <w:szCs w:val="21"/>
                <w:highlight w:val="none"/>
              </w:rPr>
            </w:r>
            <w:r/>
          </w:p>
        </w:tc>
      </w:tr>
      <w:tr>
        <w:trPr>
          <w:trHeight w:val="576"/>
        </w:trPr>
        <w:tc>
          <w:tcPr>
            <w:tcW w:w="391" w:type="dxa"/>
            <w:vAlign w:val="center"/>
            <w:vMerge w:val="restart"/>
            <w:textDirection w:val="lrTb"/>
            <w:noWrap w:val="false"/>
          </w:tcPr>
          <w:p>
            <w:pPr>
              <w:pStyle w:val="760"/>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3</w:t>
            </w:r>
            <w:r>
              <w:rPr>
                <w:color w:val="000000"/>
                <w:szCs w:val="21"/>
                <w:highlight w:val="none"/>
              </w:rPr>
            </w:r>
            <w:r/>
          </w:p>
        </w:tc>
        <w:tc>
          <w:tcPr>
            <w:tcW w:w="839" w:type="dxa"/>
            <w:vAlign w:val="center"/>
            <w:vMerge w:val="restart"/>
            <w:textDirection w:val="lrTb"/>
            <w:noWrap w:val="false"/>
          </w:tcPr>
          <w:p>
            <w:pPr>
              <w:pStyle w:val="760"/>
              <w:jc w:val="center"/>
              <w:spacing w:line="360" w:lineRule="auto"/>
              <w:rPr>
                <w:rFonts w:hint="eastAsia"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rPr>
            </w:r>
            <w:r/>
          </w:p>
          <w:p>
            <w:pPr>
              <w:pStyle w:val="760"/>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62" w:type="dxa"/>
            <w:vAlign w:val="center"/>
            <w:textDirection w:val="lrTb"/>
            <w:noWrap w:val="false"/>
          </w:tcPr>
          <w:p>
            <w:pPr>
              <w:pStyle w:val="760"/>
              <w:spacing w:line="360" w:lineRule="auto"/>
              <w:rPr>
                <w:rFonts w:ascii="宋体" w:hAnsi="宋体" w:cs="宋体"/>
                <w:b/>
                <w:bCs/>
                <w:color w:val="000000"/>
                <w:szCs w:val="21"/>
                <w:highlight w:val="none"/>
                <w:lang w:val="zh-TW" w:eastAsia="zh-TW"/>
              </w:rPr>
              <w:framePr w:vAnchor="page" w:hAnchor="page" w:xAlign="center" w:y="107"/>
            </w:pPr>
            <w:r>
              <w:rPr>
                <w:rFonts w:hint="eastAsia" w:ascii="宋体" w:hAnsi="宋体" w:cs="宋体"/>
                <w:b/>
                <w:bCs/>
                <w:color w:val="000000"/>
                <w:szCs w:val="21"/>
                <w:highlight w:val="none"/>
                <w:lang w:val="zh-TW" w:eastAsia="zh-TW"/>
              </w:rPr>
              <w:t xml:space="preserve">供货方案：</w:t>
            </w:r>
            <w:r>
              <w:rPr>
                <w:rFonts w:ascii="宋体" w:hAnsi="宋体" w:cs="宋体"/>
                <w:b/>
                <w:bCs/>
                <w:color w:val="000000"/>
                <w:szCs w:val="21"/>
                <w:highlight w:val="none"/>
                <w:lang w:val="zh-TW" w:eastAsia="zh-TW"/>
              </w:rPr>
            </w:r>
            <w:r/>
          </w:p>
          <w:p>
            <w:pPr>
              <w:pStyle w:val="760"/>
              <w:spacing w:line="360" w:lineRule="auto"/>
              <w:rPr>
                <w:rFonts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根据供应商针对本项目的采购方案（包括包装、运输）、设备使用应急替换方案、进度、质量、安全控制措施等进行综合评分。</w:t>
            </w:r>
            <w:r>
              <w:rPr>
                <w:rFonts w:ascii="宋体" w:hAnsi="宋体" w:cs="宋体"/>
                <w:color w:val="000000"/>
                <w:szCs w:val="21"/>
                <w:highlight w:val="none"/>
                <w:lang w:val="zh-TW" w:eastAsia="zh-TW"/>
              </w:rPr>
            </w:r>
            <w:r/>
          </w:p>
          <w:p>
            <w:pPr>
              <w:pStyle w:val="760"/>
              <w:spacing w:line="360" w:lineRule="auto"/>
              <w:rPr>
                <w:rFonts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方案具有全面性、科学性、合理性和可操作性的得</w:t>
            </w:r>
            <w:r>
              <w:rPr>
                <w:rFonts w:hint="eastAsia" w:ascii="宋体" w:hAnsi="宋体" w:cs="宋体"/>
                <w:color w:val="000000"/>
                <w:szCs w:val="21"/>
                <w:highlight w:val="none"/>
                <w:lang w:val="zh-TW"/>
              </w:rPr>
              <w:t xml:space="preserve">7</w:t>
            </w:r>
            <w:r>
              <w:rPr>
                <w:rFonts w:hint="eastAsia" w:ascii="宋体" w:hAnsi="宋体" w:cs="宋体"/>
                <w:color w:val="000000"/>
                <w:szCs w:val="21"/>
                <w:highlight w:val="none"/>
                <w:lang w:val="zh-TW" w:eastAsia="zh-TW"/>
              </w:rPr>
              <w:t xml:space="preserve">分；</w:t>
            </w:r>
            <w:r>
              <w:rPr>
                <w:rFonts w:ascii="宋体" w:hAnsi="宋体" w:cs="宋体"/>
                <w:color w:val="000000"/>
                <w:szCs w:val="21"/>
                <w:highlight w:val="none"/>
                <w:lang w:val="zh-TW" w:eastAsia="zh-TW"/>
              </w:rPr>
            </w:r>
            <w:r/>
          </w:p>
          <w:p>
            <w:pPr>
              <w:pStyle w:val="760"/>
              <w:spacing w:line="360" w:lineRule="auto"/>
              <w:rPr>
                <w:rFonts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方案略有瑕疵，具有的科学性、合理性和可操作性一般的得5分；</w:t>
            </w:r>
            <w:r>
              <w:rPr>
                <w:rFonts w:ascii="宋体" w:hAnsi="宋体" w:cs="宋体"/>
                <w:color w:val="000000"/>
                <w:szCs w:val="21"/>
                <w:highlight w:val="none"/>
                <w:lang w:val="zh-TW" w:eastAsia="zh-TW"/>
              </w:rPr>
            </w:r>
            <w:r/>
          </w:p>
          <w:p>
            <w:pPr>
              <w:pStyle w:val="760"/>
              <w:spacing w:line="360" w:lineRule="auto"/>
              <w:rPr>
                <w:rFonts w:ascii="宋体" w:hAnsi="宋体" w:eastAsia="PMingLiU"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方案片面，且具有的科学性、合理性和可操作性较差的得</w:t>
            </w:r>
            <w:r>
              <w:rPr>
                <w:rFonts w:hint="eastAsia" w:ascii="宋体" w:hAnsi="宋体" w:cs="宋体"/>
                <w:color w:val="000000"/>
                <w:szCs w:val="21"/>
                <w:highlight w:val="none"/>
                <w:lang w:val="zh-TW"/>
              </w:rPr>
              <w:t xml:space="preserve">3</w:t>
            </w:r>
            <w:r>
              <w:rPr>
                <w:rFonts w:hint="eastAsia" w:ascii="宋体" w:hAnsi="宋体" w:cs="宋体"/>
                <w:color w:val="000000"/>
                <w:szCs w:val="21"/>
                <w:highlight w:val="none"/>
                <w:lang w:val="zh-TW" w:eastAsia="zh-TW"/>
              </w:rPr>
              <w:t xml:space="preserve">分；未提供不得分。</w:t>
            </w:r>
            <w:r>
              <w:rPr>
                <w:rFonts w:ascii="宋体" w:hAnsi="宋体" w:eastAsia="PMingLiU" w:cs="宋体"/>
                <w:color w:val="000000"/>
                <w:szCs w:val="21"/>
                <w:highlight w:val="none"/>
                <w:lang w:val="zh-TW" w:eastAsia="zh-TW"/>
              </w:rPr>
            </w:r>
            <w:r/>
          </w:p>
        </w:tc>
        <w:tc>
          <w:tcPr>
            <w:tcW w:w="508" w:type="dxa"/>
            <w:vAlign w:val="center"/>
            <w:textDirection w:val="lrTb"/>
            <w:noWrap w:val="false"/>
          </w:tcPr>
          <w:p>
            <w:pPr>
              <w:pStyle w:val="760"/>
              <w:jc w:val="center"/>
              <w:spacing w:line="360" w:lineRule="auto"/>
              <w:rPr>
                <w:rFonts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7分</w:t>
            </w:r>
            <w:r>
              <w:rPr>
                <w:rFonts w:ascii="宋体" w:hAnsi="宋体" w:cs="宋体"/>
                <w:color w:val="000000"/>
                <w:szCs w:val="21"/>
                <w:highlight w:val="none"/>
              </w:rPr>
            </w:r>
            <w:r/>
          </w:p>
        </w:tc>
      </w:tr>
      <w:tr>
        <w:trPr>
          <w:trHeight w:val="1046"/>
        </w:trPr>
        <w:tc>
          <w:tcPr>
            <w:tcW w:w="391" w:type="dxa"/>
            <w:vAlign w:val="center"/>
            <w:vMerge w:val="continue"/>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r>
            <w:r/>
          </w:p>
        </w:tc>
        <w:tc>
          <w:tcPr>
            <w:tcW w:w="839" w:type="dxa"/>
            <w:vAlign w:val="center"/>
            <w:vMerge w:val="continue"/>
            <w:textDirection w:val="lrTb"/>
            <w:noWrap w:val="false"/>
          </w:tcPr>
          <w:p>
            <w:pPr>
              <w:pStyle w:val="760"/>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62" w:type="dxa"/>
            <w:vAlign w:val="center"/>
            <w:textDirection w:val="lrTb"/>
            <w:noWrap w:val="false"/>
          </w:tcPr>
          <w:p>
            <w:pPr>
              <w:pStyle w:val="760"/>
              <w:spacing w:line="360" w:lineRule="auto"/>
              <w:rPr>
                <w:rFonts w:ascii="宋体" w:hAnsi="宋体" w:cs="宋体"/>
                <w:b/>
                <w:bCs/>
                <w:color w:val="000000"/>
                <w:szCs w:val="21"/>
                <w:highlight w:val="none"/>
                <w:lang w:val="zh-TW"/>
              </w:rPr>
              <w:framePr w:vAnchor="page" w:hAnchor="page" w:xAlign="center" w:y="107"/>
            </w:pPr>
            <w:r>
              <w:rPr>
                <w:rFonts w:hint="eastAsia" w:ascii="宋体" w:hAnsi="宋体" w:cs="宋体"/>
                <w:b/>
                <w:bCs/>
                <w:color w:val="000000"/>
                <w:szCs w:val="21"/>
                <w:highlight w:val="none"/>
                <w:lang w:val="zh-TW"/>
              </w:rPr>
              <w:t xml:space="preserve">产品详细配置、备品备件：</w:t>
            </w:r>
            <w:r>
              <w:rPr>
                <w:rFonts w:ascii="宋体" w:hAnsi="宋体" w:cs="宋体"/>
                <w:b/>
                <w:bCs/>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根据供应商提供的所投产品的详细配置、备品备件等满足</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TW"/>
              </w:rPr>
              <w:t xml:space="preserve">要求的情况进行综合评分。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方案详细，全面，满足招标文件要求的，得7分；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方案较为详细，全面，基本满足招标文件要求的，得5分；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方案不详细，不全面，但能满足招标文件要求的，得3分；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方案不能满足招标文件要求或者未提供的不得分。</w:t>
            </w:r>
            <w:r>
              <w:rPr>
                <w:rFonts w:ascii="宋体" w:hAnsi="宋体" w:cs="宋体"/>
                <w:color w:val="000000"/>
                <w:szCs w:val="21"/>
                <w:highlight w:val="none"/>
                <w:lang w:val="zh-TW"/>
              </w:rPr>
            </w:r>
            <w:r/>
          </w:p>
        </w:tc>
        <w:tc>
          <w:tcPr>
            <w:tcW w:w="508" w:type="dxa"/>
            <w:vAlign w:val="center"/>
            <w:textDirection w:val="lrTb"/>
            <w:noWrap w:val="false"/>
          </w:tcPr>
          <w:p>
            <w:pPr>
              <w:pStyle w:val="760"/>
              <w:jc w:val="center"/>
              <w:spacing w:line="360" w:lineRule="auto"/>
              <w:rPr>
                <w:rFonts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7分</w:t>
            </w:r>
            <w:r>
              <w:rPr>
                <w:rFonts w:ascii="宋体" w:hAnsi="宋体" w:cs="宋体"/>
                <w:color w:val="000000"/>
                <w:szCs w:val="21"/>
                <w:highlight w:val="none"/>
              </w:rPr>
            </w:r>
            <w:r/>
          </w:p>
        </w:tc>
      </w:tr>
      <w:tr>
        <w:trPr>
          <w:trHeight w:val="1282"/>
        </w:trPr>
        <w:tc>
          <w:tcPr>
            <w:tcW w:w="391" w:type="dxa"/>
            <w:vAlign w:val="center"/>
            <w:vMerge w:val="continue"/>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r>
            <w:r/>
          </w:p>
        </w:tc>
        <w:tc>
          <w:tcPr>
            <w:tcW w:w="839" w:type="dxa"/>
            <w:vAlign w:val="center"/>
            <w:vMerge w:val="continue"/>
            <w:textDirection w:val="lrTb"/>
            <w:noWrap w:val="false"/>
          </w:tcPr>
          <w:p>
            <w:pPr>
              <w:pStyle w:val="760"/>
              <w:contextualSpacing/>
              <w:jc w:val="center"/>
              <w:spacing w:line="360" w:lineRule="auto"/>
              <w:rPr>
                <w:rFonts w:ascii="宋体" w:hAnsi="宋体"/>
                <w:color w:val="000000"/>
                <w:szCs w:val="21"/>
                <w:highlight w:val="none"/>
              </w:rPr>
              <w:framePr w:vAnchor="page" w:hAnchor="page" w:xAlign="center" w:y="107"/>
            </w:pPr>
            <w:r>
              <w:rPr>
                <w:rFonts w:ascii="宋体" w:hAnsi="宋体"/>
                <w:color w:val="000000"/>
                <w:szCs w:val="21"/>
                <w:highlight w:val="none"/>
              </w:rPr>
            </w:r>
            <w:r/>
          </w:p>
        </w:tc>
        <w:tc>
          <w:tcPr>
            <w:tcW w:w="3262" w:type="dxa"/>
            <w:vAlign w:val="center"/>
            <w:textDirection w:val="lrTb"/>
            <w:noWrap w:val="false"/>
          </w:tcPr>
          <w:p>
            <w:pPr>
              <w:pStyle w:val="760"/>
              <w:spacing w:line="360" w:lineRule="auto"/>
              <w:rPr>
                <w:rFonts w:ascii="宋体" w:hAnsi="宋体" w:cs="宋体"/>
                <w:b/>
                <w:bCs/>
                <w:color w:val="000000"/>
                <w:szCs w:val="21"/>
                <w:highlight w:val="none"/>
                <w:lang w:val="zh-TW"/>
              </w:rPr>
              <w:framePr w:vAnchor="page" w:hAnchor="page" w:xAlign="center" w:y="107"/>
            </w:pPr>
            <w:r>
              <w:rPr>
                <w:rFonts w:hint="eastAsia" w:ascii="宋体" w:hAnsi="宋体" w:cs="宋体"/>
                <w:b/>
                <w:bCs/>
                <w:color w:val="000000"/>
                <w:szCs w:val="21"/>
                <w:highlight w:val="none"/>
                <w:lang w:val="zh-TW"/>
              </w:rPr>
              <w:t xml:space="preserve">售后服务方案：</w:t>
            </w:r>
            <w:r>
              <w:rPr>
                <w:rFonts w:ascii="宋体" w:hAnsi="宋体" w:cs="宋体"/>
                <w:b/>
                <w:bCs/>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根据供应商提供售后服务方案（售后服务机构及人员、售后服务措施、应答）进行评分。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售后服务方案要素齐全得7分；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售后服务方案符合要求的得5分；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售后服务方案有缺失、低于要求的得3分；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未提供具体实施方案的不得分。</w:t>
            </w:r>
            <w:r>
              <w:rPr>
                <w:rFonts w:ascii="宋体" w:hAnsi="宋体" w:cs="宋体"/>
                <w:color w:val="000000"/>
                <w:szCs w:val="21"/>
                <w:highlight w:val="none"/>
                <w:lang w:val="zh-TW"/>
              </w:rPr>
            </w:r>
            <w:r/>
          </w:p>
        </w:tc>
        <w:tc>
          <w:tcPr>
            <w:tcW w:w="508" w:type="dxa"/>
            <w:vAlign w:val="center"/>
            <w:textDirection w:val="lrTb"/>
            <w:noWrap w:val="false"/>
          </w:tcPr>
          <w:p>
            <w:pPr>
              <w:pStyle w:val="760"/>
              <w:contextualSpacing/>
              <w:jc w:val="center"/>
              <w:spacing w:line="360" w:lineRule="auto"/>
              <w:rPr>
                <w:rFonts w:ascii="宋体" w:hAnsi="宋体"/>
                <w:color w:val="000000"/>
                <w:szCs w:val="21"/>
                <w:highlight w:val="none"/>
              </w:rPr>
              <w:framePr w:vAnchor="page" w:hAnchor="page" w:xAlign="center" w:y="107"/>
            </w:pPr>
            <w:r>
              <w:rPr>
                <w:rFonts w:hint="eastAsia" w:ascii="宋体" w:hAnsi="宋体"/>
                <w:color w:val="000000"/>
                <w:szCs w:val="21"/>
                <w:highlight w:val="none"/>
              </w:rPr>
              <w:t xml:space="preserve">7分</w:t>
            </w:r>
            <w:r>
              <w:rPr>
                <w:rFonts w:ascii="宋体" w:hAnsi="宋体"/>
                <w:color w:val="000000"/>
                <w:szCs w:val="21"/>
                <w:highlight w:val="none"/>
              </w:rPr>
            </w:r>
            <w:r/>
          </w:p>
        </w:tc>
      </w:tr>
      <w:tr>
        <w:trPr>
          <w:trHeight w:val="421"/>
        </w:trPr>
        <w:tc>
          <w:tcPr>
            <w:tcW w:w="391" w:type="dxa"/>
            <w:vAlign w:val="center"/>
            <w:vMerge w:val="continue"/>
            <w:textDirection w:val="lrTb"/>
            <w:noWrap w:val="false"/>
          </w:tcPr>
          <w:p>
            <w:pPr>
              <w:pStyle w:val="760"/>
              <w:contextualSpacing/>
              <w:jc w:val="center"/>
              <w:spacing w:line="360" w:lineRule="auto"/>
              <w:rPr>
                <w:color w:val="000000"/>
                <w:szCs w:val="21"/>
                <w:highlight w:val="none"/>
              </w:rPr>
              <w:framePr w:vAnchor="page" w:hAnchor="page" w:xAlign="center" w:y="107"/>
            </w:pPr>
            <w:r>
              <w:rPr>
                <w:color w:val="000000"/>
                <w:szCs w:val="21"/>
                <w:highlight w:val="none"/>
              </w:rPr>
            </w:r>
            <w:r/>
          </w:p>
        </w:tc>
        <w:tc>
          <w:tcPr>
            <w:tcW w:w="839" w:type="dxa"/>
            <w:vAlign w:val="center"/>
            <w:vMerge w:val="continue"/>
            <w:textDirection w:val="lrTb"/>
            <w:noWrap w:val="false"/>
          </w:tcPr>
          <w:p>
            <w:pPr>
              <w:pStyle w:val="760"/>
              <w:jc w:val="center"/>
              <w:spacing w:line="360" w:lineRule="auto"/>
              <w:rPr>
                <w:rFonts w:ascii="宋体" w:hAnsi="宋体"/>
                <w:color w:val="000000"/>
                <w:szCs w:val="21"/>
                <w:highlight w:val="none"/>
                <w:lang w:val="zh-CN"/>
              </w:rPr>
              <w:framePr w:vAnchor="page" w:hAnchor="page" w:xAlign="center" w:y="107"/>
            </w:pPr>
            <w:r>
              <w:rPr>
                <w:rFonts w:ascii="宋体" w:hAnsi="宋体"/>
                <w:color w:val="000000"/>
                <w:szCs w:val="21"/>
                <w:highlight w:val="none"/>
                <w:lang w:val="zh-CN"/>
              </w:rPr>
            </w:r>
            <w:r/>
          </w:p>
        </w:tc>
        <w:tc>
          <w:tcPr>
            <w:tcW w:w="3262" w:type="dxa"/>
            <w:vAlign w:val="center"/>
            <w:textDirection w:val="lrTb"/>
            <w:noWrap w:val="false"/>
          </w:tcPr>
          <w:p>
            <w:pPr>
              <w:pStyle w:val="760"/>
              <w:spacing w:line="360" w:lineRule="auto"/>
              <w:rPr>
                <w:rFonts w:ascii="宋体" w:hAnsi="宋体" w:cs="宋体"/>
                <w:b/>
                <w:bCs/>
                <w:color w:val="000000"/>
                <w:szCs w:val="21"/>
                <w:highlight w:val="none"/>
                <w:lang w:val="zh-TW"/>
              </w:rPr>
              <w:framePr w:vAnchor="page" w:hAnchor="page" w:xAlign="center" w:y="107"/>
            </w:pPr>
            <w:r>
              <w:rPr>
                <w:rFonts w:hint="eastAsia" w:ascii="宋体" w:hAnsi="宋体" w:cs="宋体"/>
                <w:b/>
                <w:bCs/>
                <w:color w:val="000000"/>
                <w:szCs w:val="21"/>
                <w:highlight w:val="none"/>
                <w:lang w:val="zh-TW"/>
              </w:rPr>
              <w:t xml:space="preserve">培训方案：</w:t>
            </w:r>
            <w:r>
              <w:rPr>
                <w:rFonts w:ascii="宋体" w:hAnsi="宋体" w:cs="宋体"/>
                <w:b/>
                <w:bCs/>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根据供应商提供的培训方案（包含培训计划、培训内容及时间等）进行评分。</w:t>
            </w:r>
            <w:r>
              <w:rPr>
                <w:rFonts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培训方案要素齐全、培训时间满足采购人要求的得6分；</w:t>
            </w:r>
            <w:r>
              <w:rPr>
                <w:rFonts w:ascii="宋体" w:hAnsi="宋体" w:cs="宋体"/>
                <w:color w:val="000000"/>
                <w:szCs w:val="21"/>
                <w:highlight w:val="none"/>
                <w:lang w:val="zh-TW"/>
              </w:rPr>
            </w:r>
            <w:r/>
          </w:p>
          <w:p>
            <w:pPr>
              <w:pStyle w:val="760"/>
              <w:spacing w:line="360" w:lineRule="auto"/>
              <w:rPr>
                <w:rFonts w:hint="eastAsia"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培训方案要素基本齐全、培训时间基本满足采购人要求得4分；</w:t>
            </w:r>
            <w:r>
              <w:rPr>
                <w:rFonts w:hint="eastAsia" w:ascii="宋体" w:hAnsi="宋体" w:cs="宋体"/>
                <w:color w:val="000000"/>
                <w:szCs w:val="21"/>
                <w:highlight w:val="none"/>
                <w:lang w:val="zh-TW"/>
              </w:rPr>
            </w:r>
            <w:r/>
          </w:p>
          <w:p>
            <w:pPr>
              <w:pStyle w:val="760"/>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培训方案有缺失的得2分；</w:t>
            </w:r>
            <w:r>
              <w:rPr>
                <w:rFonts w:ascii="宋体" w:hAnsi="宋体" w:cs="宋体"/>
                <w:color w:val="000000"/>
                <w:szCs w:val="21"/>
                <w:highlight w:val="none"/>
                <w:lang w:val="zh-TW"/>
              </w:rPr>
            </w:r>
            <w:r/>
          </w:p>
          <w:p>
            <w:pPr>
              <w:pStyle w:val="760"/>
              <w:spacing w:line="360" w:lineRule="auto"/>
              <w:rPr>
                <w:rFonts w:ascii="宋体" w:hAnsi="宋体" w:eastAsia="PMingLiU"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未提供具体实施方案的不得分。</w:t>
            </w:r>
            <w:r>
              <w:rPr>
                <w:rFonts w:ascii="宋体" w:hAnsi="宋体" w:eastAsia="PMingLiU" w:cs="宋体"/>
                <w:color w:val="000000"/>
                <w:szCs w:val="21"/>
                <w:highlight w:val="none"/>
                <w:lang w:val="zh-TW"/>
              </w:rPr>
            </w:r>
            <w:r/>
          </w:p>
        </w:tc>
        <w:tc>
          <w:tcPr>
            <w:tcW w:w="508" w:type="dxa"/>
            <w:vAlign w:val="center"/>
            <w:textDirection w:val="lrTb"/>
            <w:noWrap w:val="false"/>
          </w:tcPr>
          <w:p>
            <w:pPr>
              <w:pStyle w:val="760"/>
              <w:contextualSpacing/>
              <w:jc w:val="center"/>
              <w:spacing w:line="360" w:lineRule="auto"/>
              <w:rPr>
                <w:rFonts w:ascii="宋体" w:hAnsi="宋体"/>
                <w:color w:val="000000"/>
                <w:szCs w:val="21"/>
                <w:highlight w:val="none"/>
              </w:rPr>
              <w:framePr w:vAnchor="page" w:hAnchor="page" w:xAlign="center" w:y="107"/>
            </w:pPr>
            <w:r>
              <w:rPr>
                <w:rFonts w:hint="eastAsia" w:ascii="宋体" w:hAnsi="宋体"/>
                <w:color w:val="000000"/>
                <w:szCs w:val="21"/>
                <w:highlight w:val="none"/>
              </w:rPr>
              <w:t xml:space="preserve">6分</w:t>
            </w:r>
            <w:r>
              <w:rPr>
                <w:rFonts w:ascii="宋体" w:hAnsi="宋体"/>
                <w:color w:val="000000"/>
                <w:szCs w:val="21"/>
                <w:highlight w:val="none"/>
              </w:rPr>
            </w:r>
            <w:r/>
          </w:p>
        </w:tc>
      </w:tr>
      <w:tr>
        <w:trPr>
          <w:trHeight w:val="834"/>
        </w:trPr>
        <w:tc>
          <w:tcPr>
            <w:tcW w:w="391" w:type="dxa"/>
            <w:vAlign w:val="center"/>
            <w:textDirection w:val="lrTb"/>
            <w:noWrap w:val="false"/>
          </w:tcPr>
          <w:p>
            <w:pPr>
              <w:pStyle w:val="760"/>
              <w:spacing w:line="360" w:lineRule="auto"/>
              <w:rPr>
                <w:rFonts w:hint="eastAsia"/>
                <w:color w:val="000000"/>
                <w:highlight w:val="none"/>
              </w:rPr>
              <w:framePr w:vAnchor="page" w:hAnchor="page" w:xAlign="center" w:y="107"/>
            </w:pPr>
            <w:r>
              <w:rPr>
                <w:rFonts w:hint="eastAsia"/>
                <w:color w:val="000000"/>
                <w:highlight w:val="none"/>
              </w:rPr>
              <w:t xml:space="preserve">4</w:t>
            </w:r>
            <w:r>
              <w:rPr>
                <w:rFonts w:hint="eastAsia"/>
                <w:color w:val="000000"/>
                <w:highlight w:val="none"/>
              </w:rPr>
            </w:r>
            <w:r/>
          </w:p>
        </w:tc>
        <w:tc>
          <w:tcPr>
            <w:tcW w:w="839" w:type="dxa"/>
            <w:vAlign w:val="center"/>
            <w:textDirection w:val="lrTb"/>
            <w:noWrap w:val="false"/>
          </w:tcPr>
          <w:p>
            <w:pPr>
              <w:pStyle w:val="760"/>
              <w:spacing w:line="360" w:lineRule="auto"/>
              <w:rPr>
                <w:rFonts w:hint="eastAsia"/>
                <w:color w:val="000000"/>
                <w:highlight w:val="none"/>
              </w:rPr>
              <w:framePr w:vAnchor="page" w:hAnchor="page" w:xAlign="center" w:y="107"/>
            </w:pPr>
            <w:r>
              <w:rPr>
                <w:color w:val="000000"/>
                <w:szCs w:val="21"/>
                <w:highlight w:val="none"/>
              </w:rPr>
              <w:t xml:space="preserve">业绩</w:t>
            </w:r>
            <w:r>
              <w:rPr>
                <w:rFonts w:hint="eastAsia"/>
                <w:color w:val="000000"/>
                <w:highlight w:val="none"/>
              </w:rPr>
            </w:r>
            <w:r/>
          </w:p>
        </w:tc>
        <w:tc>
          <w:tcPr>
            <w:tcW w:w="3262" w:type="dxa"/>
            <w:vAlign w:val="center"/>
            <w:textDirection w:val="lrTb"/>
            <w:noWrap w:val="false"/>
          </w:tcPr>
          <w:p>
            <w:pPr>
              <w:pStyle w:val="760"/>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供应商</w:t>
            </w:r>
            <w:r>
              <w:rPr>
                <w:color w:val="000000"/>
                <w:szCs w:val="21"/>
                <w:highlight w:val="none"/>
              </w:rPr>
              <w:t xml:space="preserve">提供自202</w:t>
            </w:r>
            <w:r>
              <w:rPr>
                <w:rFonts w:hint="eastAsia"/>
                <w:color w:val="000000"/>
                <w:szCs w:val="21"/>
                <w:highlight w:val="none"/>
                <w:lang w:val="en-US" w:eastAsia="zh-CN"/>
              </w:rPr>
              <w:t xml:space="preserve">3</w:t>
            </w:r>
            <w:r>
              <w:rPr>
                <w:color w:val="000000"/>
                <w:szCs w:val="21"/>
                <w:highlight w:val="none"/>
              </w:rPr>
              <w:t xml:space="preserve">年</w:t>
            </w:r>
            <w:r>
              <w:rPr>
                <w:rFonts w:hint="eastAsia"/>
                <w:color w:val="000000"/>
                <w:szCs w:val="21"/>
                <w:highlight w:val="none"/>
              </w:rPr>
              <w:t xml:space="preserve">01</w:t>
            </w:r>
            <w:r>
              <w:rPr>
                <w:color w:val="000000"/>
                <w:szCs w:val="21"/>
                <w:highlight w:val="none"/>
              </w:rPr>
              <w:t xml:space="preserve">月01日以来承担过类似供货业绩的得</w:t>
            </w:r>
            <w:r>
              <w:rPr>
                <w:rFonts w:hint="eastAsia"/>
                <w:color w:val="000000"/>
                <w:szCs w:val="21"/>
                <w:highlight w:val="none"/>
              </w:rPr>
              <w:t xml:space="preserve">3</w:t>
            </w:r>
            <w:r>
              <w:rPr>
                <w:color w:val="000000"/>
                <w:szCs w:val="21"/>
                <w:highlight w:val="none"/>
              </w:rPr>
              <w:t xml:space="preserve">分/个，最多得</w:t>
            </w:r>
            <w:r>
              <w:rPr>
                <w:rFonts w:hint="eastAsia"/>
                <w:color w:val="000000"/>
                <w:szCs w:val="21"/>
                <w:highlight w:val="none"/>
              </w:rPr>
              <w:t xml:space="preserve">9</w:t>
            </w:r>
            <w:r>
              <w:rPr>
                <w:color w:val="000000"/>
                <w:szCs w:val="21"/>
                <w:highlight w:val="none"/>
              </w:rPr>
              <w:t xml:space="preserve">分。(提供合同、供货期内</w:t>
            </w:r>
            <w:r>
              <w:rPr>
                <w:rFonts w:hint="eastAsia"/>
                <w:color w:val="000000"/>
                <w:szCs w:val="21"/>
                <w:highlight w:val="none"/>
                <w:lang w:val="en-US" w:eastAsia="zh-CN"/>
              </w:rPr>
              <w:t xml:space="preserve">任意</w:t>
            </w:r>
            <w:r>
              <w:rPr>
                <w:color w:val="000000"/>
                <w:szCs w:val="21"/>
                <w:highlight w:val="none"/>
              </w:rPr>
              <w:t xml:space="preserve">一张发票和中标(成交)通知书扫描件加盖公章，三者缺一不可，时间以合同签订时间为准</w:t>
            </w:r>
            <w:r>
              <w:rPr>
                <w:rFonts w:hint="eastAsia"/>
                <w:color w:val="000000"/>
                <w:szCs w:val="21"/>
                <w:highlight w:val="none"/>
              </w:rPr>
              <w:t xml:space="preserve">，</w:t>
            </w:r>
            <w:r>
              <w:rPr>
                <w:color w:val="000000"/>
                <w:szCs w:val="21"/>
                <w:highlight w:val="none"/>
              </w:rPr>
              <w:t xml:space="preserve">提供的证明材料须能反应相关数据和内容，否则视为未提供。)</w:t>
            </w:r>
            <w:r>
              <w:rPr>
                <w:rFonts w:hint="eastAsia"/>
                <w:color w:val="000000"/>
                <w:szCs w:val="21"/>
                <w:highlight w:val="none"/>
              </w:rPr>
            </w:r>
            <w:r/>
          </w:p>
        </w:tc>
        <w:tc>
          <w:tcPr>
            <w:tcW w:w="508" w:type="dxa"/>
            <w:vAlign w:val="center"/>
            <w:textDirection w:val="lrTb"/>
            <w:noWrap w:val="false"/>
          </w:tcPr>
          <w:p>
            <w:pPr>
              <w:pStyle w:val="760"/>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9分</w:t>
            </w:r>
            <w:r>
              <w:rPr>
                <w:rFonts w:hint="eastAsia"/>
                <w:color w:val="000000"/>
                <w:szCs w:val="21"/>
                <w:highlight w:val="none"/>
              </w:rPr>
            </w:r>
            <w:r/>
          </w:p>
        </w:tc>
      </w:tr>
      <w:tr>
        <w:trPr>
          <w:trHeight w:val="834"/>
        </w:trPr>
        <w:tc>
          <w:tcPr>
            <w:tcW w:w="391" w:type="dxa"/>
            <w:vAlign w:val="center"/>
            <w:textDirection w:val="lrTb"/>
            <w:noWrap w:val="false"/>
          </w:tcPr>
          <w:p>
            <w:pPr>
              <w:pStyle w:val="760"/>
              <w:spacing w:line="360" w:lineRule="auto"/>
              <w:rPr>
                <w:rFonts w:hint="eastAsia"/>
                <w:color w:val="000000"/>
                <w:highlight w:val="none"/>
              </w:rPr>
              <w:framePr w:vAnchor="page" w:hAnchor="page" w:xAlign="center" w:y="107"/>
            </w:pPr>
            <w:r>
              <w:rPr>
                <w:rFonts w:hint="eastAsia"/>
                <w:color w:val="000000"/>
                <w:highlight w:val="none"/>
              </w:rPr>
              <w:t xml:space="preserve">5</w:t>
            </w:r>
            <w:r>
              <w:rPr>
                <w:rFonts w:hint="eastAsia"/>
                <w:color w:val="000000"/>
                <w:highlight w:val="none"/>
              </w:rPr>
            </w:r>
            <w:r/>
          </w:p>
        </w:tc>
        <w:tc>
          <w:tcPr>
            <w:tcW w:w="839" w:type="dxa"/>
            <w:vAlign w:val="center"/>
            <w:textDirection w:val="lrTb"/>
            <w:noWrap w:val="false"/>
          </w:tcPr>
          <w:p>
            <w:pPr>
              <w:pStyle w:val="760"/>
              <w:spacing w:line="360" w:lineRule="auto"/>
              <w:rPr>
                <w:color w:val="000000"/>
                <w:szCs w:val="21"/>
                <w:highlight w:val="none"/>
              </w:rPr>
              <w:framePr w:vAnchor="page" w:hAnchor="page" w:xAlign="center" w:y="107"/>
            </w:pPr>
            <w:r>
              <w:rPr>
                <w:color w:val="000000"/>
                <w:szCs w:val="21"/>
                <w:highlight w:val="none"/>
              </w:rPr>
              <w:t xml:space="preserve">质保期</w:t>
            </w:r>
            <w:r>
              <w:rPr>
                <w:color w:val="000000"/>
                <w:szCs w:val="21"/>
                <w:highlight w:val="none"/>
              </w:rPr>
            </w:r>
            <w:r/>
          </w:p>
        </w:tc>
        <w:tc>
          <w:tcPr>
            <w:tcW w:w="3262" w:type="dxa"/>
            <w:vAlign w:val="center"/>
            <w:textDirection w:val="lrTb"/>
            <w:noWrap w:val="false"/>
          </w:tcPr>
          <w:p>
            <w:pPr>
              <w:pStyle w:val="760"/>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本项目基础质保（2年），满足基础质保要求每增加一年加2分，最多加4分。（提供承诺书原件加盖公章）</w:t>
            </w:r>
            <w:r>
              <w:rPr>
                <w:rFonts w:hint="eastAsia"/>
                <w:color w:val="000000"/>
                <w:szCs w:val="21"/>
                <w:highlight w:val="none"/>
              </w:rPr>
            </w:r>
            <w:r/>
          </w:p>
        </w:tc>
        <w:tc>
          <w:tcPr>
            <w:tcW w:w="508" w:type="dxa"/>
            <w:vAlign w:val="center"/>
            <w:textDirection w:val="lrTb"/>
            <w:noWrap w:val="false"/>
          </w:tcPr>
          <w:p>
            <w:pPr>
              <w:pStyle w:val="760"/>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4分</w:t>
            </w:r>
            <w:r>
              <w:rPr>
                <w:rFonts w:hint="eastAsia"/>
                <w:color w:val="000000"/>
                <w:szCs w:val="21"/>
                <w:highlight w:val="none"/>
              </w:rPr>
            </w:r>
            <w:r/>
          </w:p>
        </w:tc>
      </w:tr>
      <w:tr>
        <w:trPr>
          <w:trHeight w:val="632"/>
        </w:trPr>
        <w:tc>
          <w:tcPr>
            <w:gridSpan w:val="3"/>
            <w:tcW w:w="8757" w:type="dxa"/>
            <w:vAlign w:val="center"/>
            <w:textDirection w:val="lrTb"/>
            <w:noWrap w:val="false"/>
          </w:tcPr>
          <w:p>
            <w:pPr>
              <w:pStyle w:val="760"/>
              <w:contextualSpacing/>
              <w:jc w:val="center"/>
              <w:spacing w:line="360" w:lineRule="auto"/>
              <w:rPr>
                <w:b/>
                <w:color w:val="000000"/>
                <w:szCs w:val="21"/>
                <w:highlight w:val="none"/>
              </w:rPr>
              <w:framePr w:vAnchor="page" w:hAnchor="page" w:xAlign="center" w:y="107"/>
            </w:pPr>
            <w:r>
              <w:rPr>
                <w:b/>
                <w:color w:val="000000"/>
                <w:szCs w:val="21"/>
                <w:highlight w:val="none"/>
              </w:rPr>
              <w:t xml:space="preserve">合计</w:t>
            </w:r>
            <w:r>
              <w:rPr>
                <w:b/>
                <w:color w:val="000000"/>
                <w:szCs w:val="21"/>
                <w:highlight w:val="none"/>
              </w:rPr>
            </w:r>
            <w:r/>
          </w:p>
        </w:tc>
        <w:tc>
          <w:tcPr>
            <w:tcW w:w="508" w:type="dxa"/>
            <w:vAlign w:val="center"/>
            <w:textDirection w:val="lrTb"/>
            <w:noWrap w:val="false"/>
          </w:tcPr>
          <w:p>
            <w:pPr>
              <w:pStyle w:val="760"/>
              <w:contextualSpacing/>
              <w:jc w:val="center"/>
              <w:spacing w:line="360" w:lineRule="auto"/>
              <w:rPr>
                <w:b/>
                <w:color w:val="000000"/>
                <w:szCs w:val="21"/>
                <w:highlight w:val="none"/>
              </w:rPr>
              <w:framePr w:vAnchor="page" w:hAnchor="page" w:xAlign="center" w:y="107"/>
            </w:pPr>
            <w:r>
              <w:rPr>
                <w:b/>
                <w:color w:val="000000"/>
                <w:szCs w:val="21"/>
                <w:highlight w:val="none"/>
              </w:rPr>
              <w:t xml:space="preserve">100分</w:t>
            </w:r>
            <w:r>
              <w:rPr>
                <w:b/>
                <w:color w:val="000000"/>
                <w:szCs w:val="21"/>
                <w:highlight w:val="none"/>
              </w:rPr>
            </w:r>
            <w:r/>
          </w:p>
        </w:tc>
      </w:tr>
    </w:tbl>
    <w:p>
      <w:pPr>
        <w:pStyle w:val="784"/>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784"/>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、所有认证、证明和业绩除上表要求外均须提供有效的证明材料加盖电子公章。</w:t>
      </w:r>
      <w:r>
        <w:rPr>
          <w:rFonts w:hint="eastAsia" w:ascii="宋体" w:hAnsi="宋体" w:cs="宋体"/>
          <w:color w:val="000000"/>
          <w:sz w:val="21"/>
          <w:szCs w:val="21"/>
          <w:highlight w:val="none"/>
        </w:rPr>
      </w:r>
      <w:r/>
    </w:p>
    <w:p>
      <w:pPr>
        <w:pStyle w:val="784"/>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、评审小组不保证有效报价最低的供应商成交。</w:t>
      </w:r>
      <w:r>
        <w:rPr>
          <w:rFonts w:hint="eastAsia" w:ascii="宋体" w:hAnsi="宋体" w:cs="宋体"/>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.1本项目对小微企业投标报价给予报价的10%价格扣除，用扣除后的价格参与评审。</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.3小企业（含小型、微型企业）应当同时符合以下条件：</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、监狱和戒毒企业的价格扣除</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.1 本项目对监狱和戒毒企业（简称监狱企业），给予10%的价格扣除，用扣除后的价格参与评审。</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、残疾人福利性单位的价格扣除</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.1. 本项目对残疾人福利性单位，给予10%的价格扣除，用扣除后的价格参与评审。</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.2. 残疾人福利单位需按照采购文件的要求提供《残疾人福利性单位声明函》。</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784"/>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6</w:t>
      </w:r>
      <w:r>
        <w:rPr>
          <w:rFonts w:hint="eastAsia" w:ascii="宋体" w:hAnsi="宋体" w:cs="宋体"/>
          <w:bCs/>
          <w:color w:val="000000"/>
          <w:sz w:val="21"/>
          <w:szCs w:val="21"/>
          <w:highlight w:val="none"/>
        </w:rPr>
        <w:t xml:space="preserve">、监狱企业、残疾人福利单位属于小型、微型企业的，不重复享受政策。</w:t>
      </w:r>
      <w:r>
        <w:rPr>
          <w:rFonts w:hint="eastAsia" w:ascii="宋体" w:hAnsi="宋体" w:cs="宋体"/>
          <w:bCs/>
          <w:color w:val="000000"/>
          <w:sz w:val="21"/>
          <w:szCs w:val="21"/>
          <w:highlight w:val="none"/>
          <w:lang w:eastAsia="zh-CN"/>
        </w:rPr>
      </w:r>
      <w:r/>
    </w:p>
    <w:p>
      <w:pPr>
        <w:pStyle w:val="784"/>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7、</w:t>
      </w:r>
      <w:r>
        <w:rPr>
          <w:rFonts w:hint="eastAsia" w:ascii="宋体" w:hAnsi="宋体" w:cs="宋体"/>
          <w:bCs/>
          <w:color w:val="000000"/>
          <w:sz w:val="21"/>
          <w:szCs w:val="21"/>
          <w:highlight w:val="none"/>
        </w:rPr>
        <w:t xml:space="preserve">本项目所属行业：“</w:t>
      </w:r>
      <w:r>
        <w:rPr>
          <w:rFonts w:hint="eastAsia" w:ascii="宋体" w:hAnsi="宋体" w:cs="宋体"/>
          <w:bCs/>
          <w:color w:val="000000"/>
          <w:sz w:val="21"/>
          <w:szCs w:val="21"/>
          <w:highlight w:val="none"/>
          <w:lang w:val="en-US" w:eastAsia="zh-CN"/>
        </w:rPr>
        <w:t xml:space="preserve">工业</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eastAsia="zh-CN"/>
        </w:rPr>
      </w:r>
      <w:r/>
    </w:p>
    <w:p>
      <w:pPr>
        <w:pStyle w:val="784"/>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8、本项目核心产品：</w:t>
      </w:r>
      <w:r>
        <w:rPr>
          <w:rFonts w:hint="eastAsia" w:ascii="宋体" w:hAnsi="宋体" w:eastAsia="宋体" w:cs="宋体"/>
          <w:bCs/>
          <w:color w:val="000000"/>
          <w:sz w:val="21"/>
          <w:szCs w:val="21"/>
          <w:highlight w:val="none"/>
          <w:lang w:val="en-US" w:eastAsia="zh-CN"/>
        </w:rPr>
        <w:t xml:space="preserve">液压破拆工具组</w:t>
      </w:r>
      <w:r>
        <w:rPr>
          <w:rFonts w:hint="eastAsia" w:ascii="宋体" w:hAnsi="宋体" w:cs="宋体"/>
          <w:bCs/>
          <w:color w:val="000000"/>
          <w:sz w:val="21"/>
          <w:szCs w:val="21"/>
          <w:highlight w:val="none"/>
          <w:lang w:eastAsia="zh-CN"/>
        </w:rPr>
      </w:r>
      <w:r/>
    </w:p>
    <w:p>
      <w:pPr>
        <w:pStyle w:val="784"/>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9、（1）采用综合评分法的采购项目：提供相同品牌产品且通过资格性审查、符合性审查的不同供应商参加本项目投标的，按一家供应商计算，评审后得分最高的同品牌供应商获得中标推荐资格；评审得分相同的，由采购人或者采购人委托评标委员会按照随机抽取的方式确定中标推荐资格，其他同品牌供应商不作为中标候选人；（2）在单一品目的货物采购招标</w:t>
      </w:r>
      <w:r>
        <w:rPr>
          <w:rFonts w:hint="eastAsia" w:ascii="宋体" w:hAnsi="宋体" w:cs="宋体"/>
          <w:bCs/>
          <w:color w:val="000000"/>
          <w:sz w:val="21"/>
          <w:szCs w:val="21"/>
          <w:highlight w:val="none"/>
          <w:lang w:eastAsia="zh-CN"/>
        </w:rPr>
        <w:t xml:space="preserve">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bCs/>
          <w:color w:val="000000"/>
          <w:sz w:val="21"/>
          <w:szCs w:val="21"/>
          <w:highlight w:val="none"/>
          <w:lang w:eastAsia="zh-CN"/>
        </w:rPr>
      </w:r>
      <w:r/>
    </w:p>
    <w:p>
      <w:pPr>
        <w:pStyle w:val="760"/>
        <w:numPr>
          <w:ilvl w:val="0"/>
          <w:numId w:val="0"/>
        </w:numP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10、采购本国产品的支持政策：</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本项目对采购本国产品给予政策支持，根据</w:t>
      </w:r>
      <w:r>
        <w:rPr>
          <w:rFonts w:ascii="宋体" w:hAnsi="宋体" w:eastAsia="宋体" w:cs="宋体"/>
          <w:bCs/>
          <w:color w:val="000000"/>
          <w:sz w:val="21"/>
          <w:szCs w:val="21"/>
          <w:highlight w:val="none"/>
          <w:lang w:val="en-US" w:eastAsia="zh-CN" w:bidi="ar-SA"/>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Cs/>
          <w:color w:val="000000"/>
          <w:sz w:val="21"/>
          <w:szCs w:val="21"/>
          <w:highlight w:val="none"/>
          <w:lang w:val="en-US" w:eastAsia="zh-CN" w:bidi="ar-SA"/>
        </w:rPr>
        <w:t xml:space="preserve">执行。</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具体内容如下：</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val="0"/>
          <w:color w:val="000000"/>
          <w:sz w:val="21"/>
          <w:szCs w:val="21"/>
          <w:highlight w:val="none"/>
          <w:lang w:val="en-US" w:eastAsia="zh-CN" w:bidi="ar-SA"/>
        </w:rPr>
        <w:t xml:space="preserve">供应商需在“投标文件格式”中填写比例数值</w:t>
      </w:r>
      <w:r>
        <w:rPr>
          <w:rFonts w:hint="eastAsia" w:ascii="宋体" w:hAnsi="宋体" w:eastAsia="宋体" w:cs="宋体"/>
          <w:bCs/>
          <w:color w:val="000000"/>
          <w:sz w:val="21"/>
          <w:szCs w:val="21"/>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rPr>
          <w:rFonts w:ascii="宋体" w:hAnsi="宋体" w:eastAsia="宋体" w:cs="宋体"/>
          <w:bCs/>
          <w:color w:val="000000"/>
          <w:sz w:val="21"/>
          <w:szCs w:val="21"/>
          <w:highlight w:val="none"/>
          <w:lang w:val="en-US" w:eastAsia="zh-CN" w:bidi="ar-SA"/>
        </w:rPr>
        <w:t xml:space="preserve">（《关于符合本国产品标准的声明函》格式见投标文件格式部分）</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lang w:val="en-US" w:eastAsia="zh-CN" w:bidi="ar-SA"/>
        </w:rPr>
      </w:r>
      <w:r/>
    </w:p>
    <w:p>
      <w:pPr>
        <w:pStyle w:val="760"/>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bidi="ar-SA"/>
        </w:rPr>
      </w:r>
      <w:r/>
    </w:p>
    <w:p>
      <w:pPr>
        <w:pStyle w:val="760"/>
        <w:jc w:val="center"/>
        <w:rPr>
          <w:rStyle w:val="772"/>
          <w:rFonts w:hint="eastAsia"/>
          <w:color w:val="000000"/>
          <w:sz w:val="36"/>
          <w:szCs w:val="36"/>
          <w:highlight w:val="none"/>
        </w:rPr>
      </w:pPr>
      <w:r>
        <w:rPr>
          <w:rFonts w:hint="eastAsia" w:ascii="宋体" w:hAnsi="宋体" w:eastAsia="宋体" w:cs="宋体"/>
          <w:bCs/>
          <w:color w:val="000000"/>
          <w:sz w:val="21"/>
          <w:szCs w:val="21"/>
          <w:highlight w:val="none"/>
          <w:lang w:val="en-US" w:eastAsia="zh-CN" w:bidi="ar-SA"/>
        </w:rPr>
        <w:br w:type="page" w:clear="all"/>
      </w:r>
      <w:bookmarkStart w:id="35" w:name="_Toc9546"/>
      <w:r>
        <w:rPr>
          <w:rStyle w:val="772"/>
          <w:rFonts w:hint="eastAsia"/>
          <w:color w:val="000000"/>
          <w:sz w:val="36"/>
          <w:szCs w:val="36"/>
          <w:highlight w:val="none"/>
        </w:rPr>
        <w:t xml:space="preserve">第四章 招标项目的技术规格、要求和数量等</w:t>
      </w:r>
      <w:bookmarkEnd w:id="35"/>
      <w:r>
        <w:rPr>
          <w:rStyle w:val="772"/>
          <w:rFonts w:hint="eastAsia"/>
          <w:color w:val="000000"/>
          <w:sz w:val="36"/>
          <w:szCs w:val="36"/>
          <w:highlight w:val="none"/>
        </w:rPr>
      </w:r>
      <w:r/>
    </w:p>
    <w:p>
      <w:pPr>
        <w:pStyle w:val="78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一、项目概况</w:t>
      </w:r>
      <w:r>
        <w:rPr>
          <w:rFonts w:hint="eastAsia" w:ascii="宋体" w:hAnsi="宋体" w:cs="宋体"/>
          <w:color w:val="000000"/>
          <w:sz w:val="21"/>
          <w:szCs w:val="21"/>
          <w:highlight w:val="none"/>
        </w:rPr>
      </w:r>
      <w:r/>
    </w:p>
    <w:p>
      <w:pPr>
        <w:pStyle w:val="78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1、项目名称：陆郎、铜井消防站装备器材采购项目</w:t>
      </w:r>
      <w:r>
        <w:rPr>
          <w:rFonts w:hint="eastAsia" w:ascii="宋体" w:hAnsi="宋体" w:cs="宋体"/>
          <w:color w:val="000000"/>
          <w:sz w:val="21"/>
          <w:szCs w:val="21"/>
          <w:highlight w:val="none"/>
        </w:rPr>
      </w:r>
      <w:r/>
    </w:p>
    <w:p>
      <w:pPr>
        <w:pStyle w:val="78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背景：江宁街道陆郎消防站已投勤使用,铜井消防站即将投勤，但按照投勤标准,当前两处消防站存在器材装备不足问题，该情况不仅导致消防站无法有效发挥战斗力，也难以充分保障消防队员在处置火情时的人身安全。基于此，由街道自行为两处消防站采购增补所需器材装备，其中包含防护类、救生类、灭火类,破拆类等8类70种器材装备。</w:t>
      </w:r>
      <w:r>
        <w:rPr>
          <w:rFonts w:hint="eastAsia" w:ascii="宋体" w:hAnsi="宋体" w:cs="宋体"/>
          <w:color w:val="000000"/>
          <w:sz w:val="21"/>
          <w:szCs w:val="21"/>
          <w:highlight w:val="none"/>
        </w:rPr>
      </w:r>
      <w:r/>
    </w:p>
    <w:p>
      <w:pPr>
        <w:pStyle w:val="78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二、采购清单： </w:t>
      </w:r>
      <w:r>
        <w:rPr>
          <w:rFonts w:hint="eastAsia" w:ascii="宋体" w:hAnsi="宋体" w:cs="宋体"/>
          <w:color w:val="000000"/>
          <w:sz w:val="21"/>
          <w:szCs w:val="21"/>
          <w:highlight w:val="none"/>
        </w:rPr>
      </w:r>
      <w:r/>
    </w:p>
    <w:tbl>
      <w:tblPr>
        <w:tblW w:w="98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602"/>
        <w:gridCol w:w="1258"/>
        <w:gridCol w:w="565"/>
        <w:gridCol w:w="971"/>
        <w:gridCol w:w="5669"/>
      </w:tblGrid>
      <w:tr>
        <w:trPr>
          <w:trHeight w:val="886"/>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rPr>
                <w:rFonts w:hint="eastAsia" w:ascii="宋体" w:hAnsi="宋体" w:eastAsia="宋体" w:cs="宋体"/>
                <w:i w:val="0"/>
                <w:iCs w:val="0"/>
                <w:color w:val="000000"/>
                <w:sz w:val="21"/>
                <w:szCs w:val="21"/>
                <w:highlight w:val="none"/>
                <w:u w:val="none"/>
                <w:lang w:val="en-US"/>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技术参数要求</w:t>
            </w:r>
            <w:r>
              <w:rPr>
                <w:rFonts w:hint="eastAsia" w:ascii="宋体" w:hAnsi="宋体" w:eastAsia="宋体" w:cs="宋体"/>
                <w:i w:val="0"/>
                <w:iCs w:val="0"/>
                <w:color w:val="000000"/>
                <w:sz w:val="21"/>
                <w:szCs w:val="21"/>
                <w:highlight w:val="none"/>
                <w:u w:val="none"/>
                <w:lang w:val="en-US"/>
              </w:rPr>
            </w:r>
            <w:r/>
          </w:p>
        </w:tc>
      </w:tr>
      <w:tr>
        <w:trPr>
          <w:trHeight w:val="212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1、结构组成：盔体、面罩、披肩、帽箍等。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t xml:space="preserve">（合同签订前，提供检测报告至采购人处核验，未提供或者提供虚假视为无效投标）</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3、符合检测标准依据：（XF 44-2015）《消防头盔》。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冲击吸收性能：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4.1高温预处理：最大冲击力≤3300N；实验后帽壳不得有碎片脱落，帽托不得有损坏或断裂，帽箍与帽壳的连接机构不得有损坏或断裂。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4.2辐射热预处理：最大冲击力≤3300N；实验后帽壳不得有碎片脱落，帽托不得有损坏或断裂，帽箍与帽壳的连接机构不得有损坏或断裂。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4.3低温预处理：最大冲击力≤3400N；实验后帽壳不得有碎片脱落，帽托不得有损坏或断裂，帽箍与帽壳的连接机构不得有损坏或断裂。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4.4浸水预处理：最大冲击力≤3400N；实验后帽壳不得有碎片脱落，帽托不得有损坏或断裂，帽箍与帽壳的连接机构不得有损坏或断裂。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5、抗冲击加速度性能：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5.1帽顶部：最大冲击加速度≦150gn；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▲5.2帽前部：最大冲击加速度≤360gn，加速度&gt;150gn,持续时间&lt;6ms；加速度&gt;200gn,持续时间&lt;3ms；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5.3帽侧部：最大冲击加速度≤365gn；加速度&gt;150gn,持续时间&lt;5.5ms；加速度&gt;200gn,持续时间&lt;3ms；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5.4帽后部：最大冲击加速度≤350gn，加速度&gt;150gn,持续时间&lt;5.5ms； 加速度&gt;200gn,持续时间&lt;3ms。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6、耐穿透性能：合格。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7、耐燃烧性能：合格。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8、阻燃性能：下颏带：损毁长度（mm）≤50mm，续燃时间为≤2s；披肩：损毁长度（mm）≦50mm，续燃时间为≤2s。面罩：损毁长度续燃时间为&lt;3s，以上试验现象均不应有熔融、滴落现象。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9、耐热性能：合格。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10、电绝缘性能（mA）：帽壳泄露电流≤2.0mA。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11、下颏带抗拉强度（mm）：延伸长度≤17mm，下颏带不应出现断裂、连接件脱落及搭扣松脱现象。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12、侧向刚性（mm）：帽壳最大变形≤40mm，卸载后变形≤10mm，帽壳不应有碎片脱落。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13、头盔佩戴装置稳定性：合格。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14、金属部件的耐腐蚀性：合格。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15、面罩抗冲击性能：合格。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16、面罩抗高速粒子冲击性能：合格。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17、面罩透光率（%）：无色≥85%或浅色≥60%。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18、披肩防水性能耐静水压力（kPa）：≧17kPa。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19、质量（g）：≦1400g。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 、标志：永久性中文标识。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 、帽壳含有耐高温抗火焰抗刮擦的树脂涂层。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 、内壳采用抗冲击隔热的阻燃材料设计。</w:t>
            </w:r>
            <w:r>
              <w:rPr>
                <w:rFonts w:hint="eastAsia" w:ascii="宋体" w:hAnsi="宋体" w:eastAsia="宋体" w:cs="宋体"/>
                <w:i w:val="0"/>
                <w:iCs w:val="0"/>
                <w:color w:val="000000"/>
                <w:sz w:val="21"/>
                <w:szCs w:val="21"/>
                <w:highlight w:val="none"/>
                <w:u w:val="none"/>
              </w:rPr>
            </w:r>
            <w:r/>
          </w:p>
        </w:tc>
      </w:tr>
      <w:tr>
        <w:trPr>
          <w:trHeight w:val="10235"/>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1、符合XF10-2014《消防员灭火防护服》标准。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由外层、防水透气隔热层、舒适层三层结构组成，具备阻燃、防水、透气、隔热等性能。外层采用芳纶面料，防水透气隔热层采用PTFE防水透气层，舒适层采用芳粘混纺面料，并配备救生拖拉带。款式符合国家消防救援局《关于规范防护服款式标识有关事项的通知》的最新统型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3、整体热防护性能TPP值≥32cal/cm2。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4、整套服装重量≤2.55Kg。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5、阻燃性能：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1）外层面料：经、纬向续燃时间0秒，经、纬向损毁长度≤30mm，无熔融、滴落现象。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2）防水透气隔热层：经、纬向续燃时间0秒，经、纬向损毁长度≤35mm，无熔融、滴落现象。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3）舒适层：经、纬向续燃时间0秒，经、纬向损毁长度≤40mm，无熔融、滴落现象。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4）反光标志带：经、纬向续燃时间0秒，经、纬向损毁长度≤30mm，无熔融、滴落现象。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5）外层加强材料：经、纬向续燃时间0秒，经、纬向损毁长度≤30mm，无熔融、滴落现象。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6、力学性能：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1）外层面料断裂强力：经向≥1000N，纬向≥950N。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2）撕破强力：经向≥200N，纬向≥150N。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3）舒适层断裂强力：经向≥350N，纬向≥550N。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4）外层接缝断裂强力：经、纬向均≥850N。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5）救生拖拉带断裂强力：经、纬向≥7600N。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7、透湿性能：防水透气层透湿率≥8200g/(m2•24h)。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8、外层表面抗湿性能：≥4级。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9、热稳定性：外层、外层加强材料经、纬向尺寸变化率≤1%；防水透气层经、纬向尺寸变化率≤2%，舒适层经、纬向尺寸变化率≤3%。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10、缩水率：外层经向≤1%、纬向≤1.5%；防水透气层经、纬向≤2%；舒适层经向≤1.5%、纬向≤2%。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11、救生拖拉带：展开时间≤4s，拖动距离≥2.5m。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12、针距密度：明暗线≥13针/3cm。</w:t>
            </w:r>
            <w:r>
              <w:rPr>
                <w:rFonts w:hint="eastAsia" w:ascii="宋体" w:hAnsi="宋体" w:eastAsia="宋体" w:cs="宋体"/>
                <w:i w:val="0"/>
                <w:iCs w:val="0"/>
                <w:color w:val="000000"/>
                <w:sz w:val="21"/>
                <w:szCs w:val="21"/>
                <w:highlight w:val="none"/>
                <w:u w:val="none"/>
              </w:rPr>
            </w:r>
            <w:r/>
          </w:p>
        </w:tc>
      </w:tr>
      <w:tr>
        <w:trPr>
          <w:trHeight w:val="1081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numPr>
                <w:ilvl w:val="0"/>
                <w:numId w:val="5"/>
              </w:numPr>
              <w:jc w:val="left"/>
              <w:keepLines w:val="0"/>
              <w:keepNext w:val="0"/>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符合XF7-2004《消防手套》标准。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2.手掌为黑色牛皮，手背为藏青芳纶面料，配黄银黄反光带。立体裁剪，翻指式指尖合缝，各层厚薄均匀，具有防割、耐磨、防穿刺、防火阻燃、防水、灵巧舒适等功能。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▲3.整体热防护性能(TPP)≥65(cal/cm2)。</w:t>
            </w:r>
            <w:r>
              <w:rPr>
                <w:rFonts w:hint="eastAsia" w:ascii="宋体" w:hAnsi="宋体" w:eastAsia="宋体" w:cs="宋体"/>
                <w:i w:val="0"/>
                <w:iCs w:val="0"/>
                <w:color w:val="000000"/>
                <w:sz w:val="21"/>
                <w:szCs w:val="21"/>
                <w:highlight w:val="none"/>
                <w:u w:val="none"/>
                <w:lang w:val="en-US" w:eastAsia="zh-CN" w:bidi="ar"/>
              </w:rPr>
            </w:r>
            <w:r/>
          </w:p>
          <w:p>
            <w:pPr>
              <w:pStyle w:val="760"/>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4.阻燃性能：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1）手套外层掌心面经、纬向续燃时间≤0s，经、纬向阴燃时间≤0s，经、纬向损毁长度≤20mm，无熔融、滴落现象；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2）手套外层手背面经、纬向续燃时间≤0s，经、纬向阴燃时间≤0s，经、纬向损毁长度≤45mm，无熔融、滴落现象；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3）隔热层手套掌心面经、纬向续燃时间≤0s，经、纬向阴燃时间≤0s，经、纬向损毁长度≤50mm，无熔融、滴落现象；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4）隔热层手套手背面经、纬向续燃时间≤0s，经、纬向阴燃时间≤0s，经、纬向损毁长度≤25mm，无熔融、滴落现象；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5）衬里无熔融、滴落现象。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5.耐热性能：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1）手套收缩率≤1%，试样表面无明显变化，且无熔融，脱离和燃烧现象；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2）衬里收缩率≤1%，试样表面无明显变化，且无熔融，脱离和燃烧现象。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6.力学性能：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1）耐磨性能（循环次数）：掌心≥2000，背面≥2000；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2）割破力：掌心≥15.0N，背面≥15.0N；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3）撕破强力：掌心≥235N，背面≥125N；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4）刺穿力：掌心≥80N，背面≥60N。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7.阻隔性能：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1）耐静水压性能：手套防水层和其线缝在静水压7kPa下试验5min后，不出现水滴；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2）整体防水性能：无渗漏。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8.人体工效要求：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1）灵巧性能（mm）：30s内3次拾取钢棒直径≤6.5mm；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2）握紧性能（%）：拉重力比≥100%；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3）穿戴性能（s）：穿戴时间≤2s。</w:t>
            </w:r>
            <w:r>
              <w:rPr>
                <w:rFonts w:hint="eastAsia" w:ascii="宋体" w:hAnsi="宋体" w:eastAsia="宋体" w:cs="宋体"/>
                <w:i w:val="0"/>
                <w:iCs w:val="0"/>
                <w:color w:val="000000"/>
                <w:sz w:val="21"/>
                <w:szCs w:val="21"/>
                <w:highlight w:val="none"/>
                <w:u w:val="none"/>
              </w:rPr>
            </w:r>
            <w:r/>
          </w:p>
        </w:tc>
      </w:tr>
      <w:tr>
        <w:trPr>
          <w:trHeight w:val="4684"/>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消防安全腰带</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1.1符合国家GA494-2004《消防用防坠落装备》标准要求。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1.2由织带、2个拉环、双排插扦外带扣、带双排插孔的带尾等组成。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2.1织带需为一整根，无接缝。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2.2带扣的边角半径大于6mm，拉环无焊接，拉环与带扣无棱角、毛刺。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3.1带宽70±1mm，织带厚度3±0.3mm，拉环厚度6±0.5mm，正立方向静拉力≥13KN，重量≤0. 8kg；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3.2静负荷性能：各项指标符合标准要求；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3.3抗冲击性能：各项指标符合标准要求；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3.4耐高温性能：各项指标符合标准要求；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3.5金属零件的耐腐蚀性能：各项指标符合标准要求。</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消防员灭火防护靴</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a)防护靴外层具有高弹性、高机械强度、高光泽、耐屈挠、电绝缘、防水等优质特性。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b)内里具有耐油、耐热、阻燃、耐紫外线、耐臭氧、耐酸碱、耐化学试剂。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c)靴头保护包头采用轻质航空铝材料制成，轻便、防砸，对消防员足前部进行有效保护。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d)靴底防穿刺层采用非金属复合材料制成，柔软、轻薄、舒适，足部运动时贴合度高。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e)靴口设有防水、阻燃材质的收紧口，收紧后起到防水的效果。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2、消防靴整体重量（以39码为例）≤2kg。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3、舒适度高：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a)各项尺寸数据精益求精，脚尖、脚掌、后跟。脚面、脚踝、小腿等具体部位均有优化设计，使整体具有贴合度。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b)制造工艺先进，各种纹路的橡胶贴片连接处自然，且具有抗震、缓冲作用。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c)靴身内里缝合工艺、靴口包边工艺先进，无明显突出针脚、尖角边。即使消防员光脚穿着也不会产生磨脚、磨腿的状况。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d)鞋垫采用减震缓冲排汗防臭抗菌鞋垫，符合人体工程学专用运动鞋垫，脚心处足弓支撑设计，后跟为蜂窝式减震设计，缓解长期穿着后的疲劳程度。</w:t>
            </w:r>
            <w:r>
              <w:rPr>
                <w:rFonts w:hint="eastAsia" w:ascii="宋体" w:hAnsi="宋体" w:eastAsia="宋体" w:cs="宋体"/>
                <w:i w:val="0"/>
                <w:iCs w:val="0"/>
                <w:color w:val="000000"/>
                <w:sz w:val="21"/>
                <w:szCs w:val="21"/>
                <w:highlight w:val="none"/>
                <w:u w:val="none"/>
              </w:rPr>
            </w:r>
            <w:r/>
          </w:p>
        </w:tc>
      </w:tr>
      <w:tr>
        <w:trPr>
          <w:trHeight w:val="4684"/>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备用气瓶</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1、主要应用场景：消防救援人员在进行灭火战斗或抢险救援时为防止吸入对人体有害的毒气、烟雾、悬浮于空气中的有害污染物或在缺氧环境中使用。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t xml:space="preserve">（合同签订前，提供检测报告至采购人处核验，未提供或者提供虚假视为无效投标）</w:t>
            </w:r>
            <w:r>
              <w:rPr>
                <w:rFonts w:hint="eastAsia" w:ascii="宋体" w:hAnsi="宋体" w:eastAsia="宋体" w:cs="宋体"/>
                <w:i w:val="0"/>
                <w:iCs w:val="0"/>
                <w:color w:val="000000"/>
                <w:sz w:val="21"/>
                <w:szCs w:val="21"/>
                <w:highlight w:val="none"/>
                <w:u w:val="none"/>
                <w:lang w:val="en-US" w:eastAsia="zh-CN" w:bidi="ar"/>
              </w:rPr>
              <w:t xml:space="preserve">出具的检测检验报告应包含检测标准依据：GB28053-2023《铝合金内胆碳纤维全缠绕气瓶》。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3、公称容积：≥6.8L，公称工作压力≥30MPa，水压试验压力≥50MPa。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4、水压爆破压力≥102MPa。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5、气瓶采用碳纤维全缠绕复合气瓶。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6、气瓶出口螺纹：M18x1.5。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7、气瓶瓶阀安全膜片爆破压力38-45Mpa，输出端螺纹尺寸G 5/8。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8、瓶体重量：≤4kg。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9、气瓶瓶阀伸手可及，阀体配置压力表显示。</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消防员呼救器</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 GB27900-2011《消防员呼救器》标准，防爆性能符合 GB3836.1-2021，GB3836.4-2021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2、具备防水、防爆、耐挤压、耐高温等性能；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3、防爆标志：Ex ia IIC T4 Ga；防护等级：IP68。环境温度-35℃--+70℃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4、静止报警时间：30s±1s，预报警时间：15s±1s；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5、预报警声级强度＞105dB，报警声级强度＞105dB；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6连续强报警时间≥1820min；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7、连续开机时间： ≥380h；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8、呼救器具有方位灯功能，方位灯亮度：0°角 ≥6400cd/㎡，±45°角≥300cd/㎡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9、质量：≤220g；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10、环境温度-35℃--+70℃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11、带有电量显示功能、计时功能，环境温度；</w:t>
            </w:r>
            <w:r>
              <w:rPr>
                <w:rFonts w:hint="eastAsia" w:ascii="宋体" w:hAnsi="宋体" w:eastAsia="宋体" w:cs="宋体"/>
                <w:i w:val="0"/>
                <w:iCs w:val="0"/>
                <w:color w:val="000000"/>
                <w:sz w:val="21"/>
                <w:szCs w:val="21"/>
                <w:highlight w:val="none"/>
                <w:u w:val="none"/>
              </w:rPr>
            </w:r>
            <w:r/>
          </w:p>
        </w:tc>
      </w:tr>
      <w:tr>
        <w:trPr>
          <w:trHeight w:val="2200"/>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1、应急逃生自救安全绳套装由1根安全绳、2个安全钩、1个下降器、1根扁带、1个排绳器、1块包绳布及1个绳包等组成。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▲2、安全绳：直径8±0. 5mm，长度≥16m，最小破断强度≥29kN。安全绳经204℃±5℃的耐高温性能时，不得出现融熔、焦化现象。安全绳的延伸率≤2%</w:t>
            </w:r>
            <w:r>
              <w:rPr>
                <w:rFonts w:hint="eastAsia" w:ascii="宋体" w:hAnsi="宋体" w:eastAsia="宋体" w:cs="宋体"/>
                <w:b/>
                <w:bCs/>
                <w:i w:val="0"/>
                <w:iCs w:val="0"/>
                <w:color w:val="000000"/>
                <w:sz w:val="21"/>
                <w:szCs w:val="21"/>
                <w:highlight w:val="none"/>
                <w:u w:val="none"/>
                <w:lang w:val="en-US" w:eastAsia="zh-CN" w:bidi="ar"/>
              </w:rPr>
              <w:t xml:space="preserve">。(提供国家级或国家认可的第三方检测检验机构出具的检测检验报告，且报告应完整有效。)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3、安全钩：两个安全钩带有自锁功能，在开口闭合状态下长轴破断强度≥27KN；短轴破断强度≥12KN。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4、下降器：由航空铝材制造而成。具有“离手制停”和“抓紧制停”功能，下降器穿入安全绳后不可打开，适用直径为8-10mm 的安全绳，工作负荷不小于5KN。下降器表面标注穿绳方向、操作说明和安全提醒。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5、扁带：扁带破断强度≥39kN。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6、绳包具备安全绳防止缠绕、垂降墙角保护等功能，具备防水或泄水功能，能放置安全钩、下降器，方便携带于安全腰带上。绳索可以由绳包内自由抽出。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7、排绳器及包绳布：单人操作，可将使安全绳环绕排列放入包绳布；排绳器的尺寸满足绳子捆绑 2-3 层。可将安全绳沿排绳器边缘有序的排列缠绕。含包绳布一块，便于将绳索紧紧包裹放入绳包。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8、绳包套装应轻便、携带方便，质量≤2.1kg。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符合XF494-2023《消防用防坠落装备》标准，提供国家级或国家认可的第三方检测检验机构出具的检测检验报告，且报告应完整有效。（合同签订前，提供检测报告至采购人处核验，未提供或者提供虚假视为无效投标）</w:t>
            </w:r>
            <w:r>
              <w:rPr>
                <w:rFonts w:hint="eastAsia" w:ascii="宋体" w:hAnsi="宋体" w:eastAsia="宋体" w:cs="宋体"/>
                <w:i w:val="0"/>
                <w:iCs w:val="0"/>
                <w:color w:val="000000"/>
                <w:sz w:val="21"/>
                <w:szCs w:val="21"/>
                <w:highlight w:val="none"/>
                <w:u w:val="none"/>
              </w:rPr>
            </w:r>
            <w:r/>
          </w:p>
        </w:tc>
      </w:tr>
      <w:tr>
        <w:trPr>
          <w:trHeight w:val="4392"/>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消防员灭火防护头套</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 869-2010《消防员灭火防护头套》标准。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颜色：藏青色。保护区域：头套前部与防护服领口内重叠的长度≥200mm；头套后部与防护服领口内重叠的长度≥200mm；头套侧部与防护服领口内重叠的长度≥130mm。面部开口：边缘与呼吸防护装具面罩重叠长度≥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3.阻燃性能：经纬向续燃时间均为0s，经向损毁长度≤8mm，纬向损毁长度≤10mm，无熔融，滴落现象。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4.热稳定性能：尺寸变化率≤4%，无变色、熔融和滴落现象。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5.水洗尺寸变化率：直向≤1.8%，横向≤1%。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6.抗起球性能：≥3级。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7.甲醛含量：未检出。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8.接缝强力：≥800N。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9.面部开口尺寸稳定性：≤2%。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10.质量：≤150g/件。</w:t>
            </w:r>
            <w:r>
              <w:rPr>
                <w:rFonts w:hint="eastAsia" w:ascii="宋体" w:hAnsi="宋体" w:eastAsia="宋体" w:cs="宋体"/>
                <w:i w:val="0"/>
                <w:iCs w:val="0"/>
                <w:color w:val="000000"/>
                <w:sz w:val="21"/>
                <w:szCs w:val="21"/>
                <w:highlight w:val="none"/>
                <w:u w:val="none"/>
              </w:rPr>
            </w:r>
            <w:r/>
          </w:p>
        </w:tc>
      </w:tr>
      <w:tr>
        <w:trPr>
          <w:trHeight w:val="12572"/>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抢险救援头盔</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1、结构组成：由盔壳、缓冲层、舒适衬垫、佩戴装置等组成。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2、主要应用场景：用于消防员灭火救援作业中头部防护。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t xml:space="preserve">（合同签订前，提供检测报告至采购人处核验，未提供或者提供虚假视为无效投标）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4、出具的检测检验报告应包含检测标准依据：XF 633-2006《消防员抢险救援防护服装》。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5、材料和结构：高温热塑聚碳酸酯材料帽壳，耐冷，耐热辐射，防化学腐蚀；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6、外观要求：头盔采用流线型半盔式设计，带有透气孔具备高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7、冲击吸收性能：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7.1高温预处理:将头盔置于(50±2)℃的温度中保持4h,取出后在(15±5)s内做完相应的试验：头盔所受冲击力≤3400N；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7.2低温预处理:将头盔置于(-28±2)℃的温度中保持4h,取出后在(15±5)s内做完相应的试验：头盔所受冲击力≤3750N；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7.3浸水预处理:将头盔置于水槽中(室温),浸泡4h,取出后擦干在10min内做完相应的试验：头盔所受冲击力≤3550N。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8、耐穿透性能：低温预处理将头盔置于-28℃的温度中保持4小时，钢锥未与头模建立电接触。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9、阻燃性能：火源离开帽壳后，帽壳火焰在5s内自熄。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10、热稳定性能：救援头盔在180℃的烘箱中，保持5min后，其边沿无变形，硬质附件保持功能完好，反光材料表面无碳化脱落现象。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11、侧向刚性：救援头盔帽壳的最大变形不大于33mm,卸载后变形不大于2mm。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12、下颏带抗拉强度：在测试标准下不会发生断裂、滑脱，延伸长度不大于16mm。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13、整体质量≤800g。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14、标志：头盔具有厂家信息，型号，合格证和中文说明书。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15、标配有全封闭防护眼罩或宽大视野面罩。采用双层隔热镜片，材质采用高性能聚碳酸酯，抗冲击性能好，同时带超硬防刮防雾涂层。眼罩周围采用柔软橡胶制成，在有效保护眼部安全的同时，更提高舒适性。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16、帽壳具有反光条。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17、帽箍可在52－64cm范围内可自由调节。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18、帽壳材料：高温热塑材料。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▲19、头盔两侧共有不少于6个自然通风孔，防雨淋、火焰、火焰高速粒子和金属飞溅。</w:t>
            </w:r>
            <w:r>
              <w:rPr>
                <w:rFonts w:hint="eastAsia" w:ascii="宋体" w:hAnsi="宋体" w:eastAsia="宋体" w:cs="宋体"/>
                <w:i w:val="0"/>
                <w:iCs w:val="0"/>
                <w:color w:val="000000"/>
                <w:sz w:val="21"/>
                <w:szCs w:val="21"/>
                <w:highlight w:val="none"/>
                <w:u w:val="none"/>
              </w:rPr>
            </w:r>
            <w:r/>
          </w:p>
        </w:tc>
      </w:tr>
      <w:tr>
        <w:trPr>
          <w:trHeight w:val="731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抢险救援手套</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 633《消防员抢险救援防护服装》标准要求。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抢险救援手套主体颜色为橘红色和黑色。手掌结构：内层为黄色芳纶针织布，外层采用黑色优质反绒头层牛皮，加强层采用黑色芳纶耐磨布，内设3mm厚度的缓冲海绵，食指指尖增设触屏功能。手背由芳纶双面针织布和TPR防撞条组成，食指设计银色反光标记，手背下方设计宽度为1cm的银色反光条。袖口采用魔术贴收紧，魔术贴表面为TPR材质，刻有“应急消防”字样，手腕内侧袖口处设高强度布制纤维材料挂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3.耐磨性能：掌心面材料在(9±0.2) KPa压力下，经8000次循环摩擦后，不被磨穿。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4.抗切割性能：掌心面、背面和袖筒材料的割破力≥5N。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5.抗机械刺穿性能：掌心面抗刺穿力最薄部位≥125N，加强部位≥230N；背面抗刺穿力最薄部位≥140N，加强部位≥160N。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6.阻燃性能：掌心面材料牛皮损毁长度≤30mm，加强材料损毁长度≤25mm；背面材料损毁长度≤35mm，经、纬向续燃时间0 s，无熔融、滴落现象。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7.热稳定性能：整只抢险救援手套在（180±5）℃试验温度下保持5 min，表面无明显变化，且无熔融、熔滴和剥离现象，其在长度和宽度方向上的收缩率≤2.5％，能保持正常穿戴。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8.灵巧性能：徒手控制百分比≤110%。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9.抓握性能：戴手套与未戴手套的拉重力比≥85%。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10.穿戴性能：穿戴时间≤2s。</w:t>
            </w:r>
            <w:r>
              <w:rPr>
                <w:rFonts w:hint="eastAsia" w:ascii="宋体" w:hAnsi="宋体" w:eastAsia="宋体" w:cs="宋体"/>
                <w:i w:val="0"/>
                <w:iCs w:val="0"/>
                <w:color w:val="000000"/>
                <w:sz w:val="21"/>
                <w:szCs w:val="21"/>
                <w:highlight w:val="none"/>
                <w:u w:val="none"/>
              </w:rPr>
            </w:r>
            <w:r/>
          </w:p>
        </w:tc>
      </w:tr>
      <w:tr>
        <w:trPr>
          <w:trHeight w:val="866"/>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抢险救援服（夏季）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 633《消防员抢险救援防护服装》标准要求。夏款抢险救援服包括上衣、裤子、行军帽和腰带，款式符合国家消防救援局《关于规范防护服款式标识有关事项的通知》。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2.服装面料采用单层织物，为原液染色芳纶、氨纶、阻燃粘胶纤维等交织而成的双重组织；具备防静电、阻燃、耐磨、轻便、柔软、弹性，外层拒水防油、内层吸湿等性能，单位面积质量（200±10）g/㎡。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3.阻燃性能：防护层面料与加强材料损毁长度≤50mm，续燃时间0s，且无熔融、滴落现象。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4.断裂强力：面料经向干态断裂强力≥840N，纬向干态断裂强力≥770N。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5.撕破强力：面料经向撕破强力≥200N，纬向撕破强力≥160N。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6.表面抗湿性能：≥4级。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7.热稳定性能：防护层面料与加强材料沿经、纬向尺寸变化率≤1%，且试样表面无明显变化。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8.拉伸弹性：定力伸长率（纬向）≥12%，弹性回复率（纬向）≥85%。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9.缩水率：沿经、纬向缩水率≤1.5%。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10.接缝断裂强力：面料经向接缝断裂强力≥850N，纬向接缝断裂强力≥740N。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11.起毛起球性能：≥4级。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12.防静电性能：上衣、裤子的带电量每件均≤0.4μC。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13.服装质量：总质量≤1.2kg（不含腰带和行军帽）。</w:t>
            </w:r>
            <w:r>
              <w:rPr>
                <w:rFonts w:hint="eastAsia" w:ascii="宋体" w:hAnsi="宋体" w:eastAsia="宋体" w:cs="宋体"/>
                <w:i w:val="0"/>
                <w:iCs w:val="0"/>
                <w:color w:val="000000"/>
                <w:sz w:val="21"/>
                <w:szCs w:val="21"/>
                <w:highlight w:val="none"/>
                <w:u w:val="none"/>
              </w:rPr>
            </w:r>
            <w:r/>
          </w:p>
        </w:tc>
      </w:tr>
      <w:tr>
        <w:trPr>
          <w:trHeight w:val="4684"/>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抢险救援靴</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1.符合XF633-2006《消防员抢险救援防护服装》标准要求。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2.由靴底、带舒适层的靴帮、带防穿刺层的靴内底、鞋垫和靴头等组成,靴头材料为碳纤维。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3.内怀设有快速穿脱功能拉链，靴面主体材料为黑色防水阻燃牛皮和防水阻燃帆布。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4.从靴内后跟中央起至靴口最低处的高度≥180mm。主体为黑色；反光标志为荧光黄色；鞋带材料为芳纶，和“消防救援”标志为橘红色。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5.靴帮抗穿刺性能：≥300N，鞋帮抗热辐射性能：内表面温升≤5℃。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6.靴底抗穿刺性能：≥2100N。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7.防滑性能：始滑角＞25°。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8.电绝缘性能：测试电压为5000V，泄漏电流≤0.1mA。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9.阻燃性能：离火自熄时间0S，损毁长度≤40mm。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10.重量≤1.35kg。</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绳索救援班组套装</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结构组件：（1）个人套装（全身安全带6条、救援头盔6个、护目镜6个、手式上升器6个、下降器6个、移动止坠器6个、双人势能吸收连接带6个、移动止坠器和工作定位设备6个、扁带6根、动力挽索12根、小号梅陇锁12个、脚踏圈6个、快挂扁带6根、黄金双动60个、绳索器材包6个、脚式上升器6个、手套6双等组成）（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团队套装（静力绳600米、单绳50米、0形双动锁30个、12孔分力板1个、万向单滑轮1个、万向双滑轮1个、过绳结专用滑轮1个、活动板滑轮2个、并行滑轮2个、救援下降器2个、机械抓结1个、120cm高强度扁带环20根、80cm高强度扁带环20根、全包式救援三角带1个、抛投绳3mm100米、抛投包1个、救援绳刀1个、提拉滑轮套装1套、半硬担架标准款1套、辅绳直径6mm100米、铝合金链式护绳器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二、主要应用场景：适用于高空救援。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三、符合XF494《消防用防坠落装备》标准。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四、技术参数：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个人套装（6人班组）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全身安全带：八挂点全可调安全带，5个快插扣强度≥16KN，方便穿脱及配置胸升，整套安全带含一个胸式上升器。，配有宽大的腰带，腿环和肩带。 适合工作定位，止坠和限制性工作定位。肩带可完全拆除，将安全带转换为坐式安全带。腹部钢制挂点≥24KN。肩带和腿环能独立调节。4个人体工程学装备挂环能分别挂载15kg的工具。更重的工具可以连接腰带的织带上，能挂载最高35kg的重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头盔：用于高空作业的超舒适、轻量化头盔。头盔贴合头部，头盔配有≥16个透气孔，并且通过钢网覆盖。内层采用运动头盔常用的舒适EPS轻量化结构，头盔配有透气孔，并且通过钢网覆盖。耳朵下方的侧部卡扣可调整定位，头围可通过后部旋转轮在53-61cm实现调节。为了方便运输和储存，头围的后部结构和调节轮具有收进壳内的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护目镜：头盔的眼罩，屏蔽体，厚度为2.25毫米，高度为100毫米，可提高对快速飞散颗粒的抵抗力。重量≤100g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手式上升器：能完成安全顺滑上升的手式上升器。宽大的把手和可容纳两枚锁扣的下连接孔，有左手和右手两个型号，不锈钢凸轮，提供高耐腐蚀性，重量≤190g。强度≥12KN，工作负荷≥140kg，材质：主体轻合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下降器：人体工程学手柄，可以控制下降；移动侧板</w:t>
            </w:r>
            <w:r>
              <w:rPr>
                <w:rFonts w:hint="eastAsia" w:ascii="宋体" w:hAnsi="宋体" w:eastAsia="宋体" w:cs="宋体"/>
                <w:i w:val="0"/>
                <w:iCs w:val="0"/>
                <w:color w:val="000000"/>
                <w:sz w:val="21"/>
                <w:szCs w:val="21"/>
                <w:highlight w:val="none"/>
                <w:u w:val="none"/>
                <w:lang w:val="en-US" w:eastAsia="zh-CN" w:bidi="ar"/>
              </w:rPr>
              <w:t xml:space="preserve">上有安全开关，可保持下降器始终与安全带相连，防止掉落；内标注有绳索导向和标记，内置防装错齿轮，减少绳索错误安装，用力过大时防恐慌功能启动自动停止下降；具有AUTO-LOCK系统可在用户松开手柄时自动返回，绳索会自动在装备内制停，无需操作手柄或打止坠结；当绳索移除时，手柄自动切换到存储位置，降低在下降器在安全带上意外钩住的风险；允许沿倾斜或水平地形平稳移动。不锈钢耐磨板抗磨损提高耐用性。重量≤600g，兼容绳索直径10~11.5mm，最大下降≥250kg物体；下降速度0.5-2m/s，材质：铝合金，钢，尼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移动止坠器：</w:t>
            </w:r>
            <w:r>
              <w:rPr>
                <w:rFonts w:hint="eastAsia" w:ascii="宋体" w:hAnsi="宋体" w:eastAsia="宋体" w:cs="宋体"/>
                <w:i w:val="0"/>
                <w:iCs w:val="0"/>
                <w:color w:val="000000"/>
                <w:sz w:val="21"/>
                <w:szCs w:val="21"/>
                <w:highlight w:val="none"/>
                <w:u w:val="none"/>
                <w:lang w:val="en-US" w:eastAsia="zh-CN" w:bidi="ar"/>
              </w:rPr>
              <w:t xml:space="preserve">安全绳索通过ASAP LOCK移动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ASAP LOCK内置了锁定功能，能将设备固定在绳索上降低坠落距离。连接臂能防止通过中间时设备发生掉落。ASAP LOCK配合势能吸收器挽索将绳索与作业面保持一定距离。兼容10-13mm直径的绳索，颜色为金黄色，重量≤430g，工作负荷≥100kg。材料：铝，不锈钢和尼龙。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双人势能吸收连接带：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cm，重量≤210g，最大负荷250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移动止坠器和工作定位设备：导向性止坠器和工作定位装置。可以使用11mm绳索。凸轮可以在需要的位置锁住。当受力后可以释放Locker。颜色：黑色哑光。重量≤190g，安全工作负荷≥100kg。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扁带：用于连接安全带与止坠器的扁带。强度≥22kN，宽度≥20mm，长度≥20cm ，颜色：黑色。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动力挽索：动力绳挽索，配有缝合终端，用于树上维护作业定位和设置锚点。适用于机械调节设备和抓结（普鲁士抓结）。11mm动力绳，能顺滑调节，并且能吸收更大的冲击力。颜色:黄色。强度≥22kN。材料: 尼龙，轻合金, PVC。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O型小号梅陇锁：永固螺丝，防止打开。直径≥8mm。材质：镀锌钢。纵向拉力≥35kN；横向拉力≥10kN；开口≥11mm。重量≤80g。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脚踏圈：采用6mm辅绳制造的可调节脚踏圈。颜色：黑-红。重量≤105g。材质：PAD,轻合金。长度：30-170cm。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快挂扁带：可变宽度扁带，可定制容易抓住。重量：≤12g。材料：聚酰胺纤维。强度≥22KN。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黄金双动：热锻轻合金椭圆形登山扣，特别设计用于滑轮，上升器和下降器。纵向拉力≥26 kN/横向拉力≥8 kN/开口拉力≥7 kN/开口大小≥20 mm/重量≤85g。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L绳索包：装备运输包及探洞包。用于探洞及高空作业。具有耐磨、方便性。采用防水及可洗材料制造。占用空间小，能保持干燥。接缝很少，主接缝采用高频焊接。顶部有透明口袋，可装下A4大小的文件。顶环用于运输及悬挂重量：≤900g。材料: PVC。容量: ≥50L。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脚式上升器：脚式上升器用于帮助绳索上升，配合LIFT和CAM CLEAN使用。兼容8-13mm静力绳或动力绳。重量：≤160g。工作负荷：≥120kg。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手套：轻量化手套，优异的抓握感，灵活度和保护。耐用的双层人造革，手掌采用A级牛皮制造。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团队套装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静力绳：特耐磨绳皮股数≥40，承受拉力大，易于抓握持久的柔软性能。直径≥10.5mm。承受拉力：≥31.5kN/打结拉力：≥19kN/缝合点拉力：≥27KN/静态延展率≤3.4%/绳皮滑动率：0%/极限冲坠次数＞15/首次冲击力：≥5.5kN/每米重量：≤72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单绳：直径：≥10mm/极限坠落次数≥6/动态延展率≥37 %/静态延展率≤7.4 %/每米重量≤68g/新绳最大冲击力≥7.9kN。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O形双动锁：热锻轻合金椭圆形登山扣，特别设计用于滑轮，上升器和下降器。纵向拉力≥26 kN/横向拉力≥8 kN/开口拉力≥7 kN/开口大小≥20 mm/重量≤85g。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12孔分力板：用于多点锚固的设备。颜色：黑色哑光。重量≤290g。材质轻合金。强度≥55KN。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万向单滑轮：材质：铝合金、不锈钢，滑轮直径：38mm，极限负荷：≥36kN，工作负荷：≥22kN，滑轮效率：≥95%，适用绳径：4-13mm，重量≤275g。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万向双滑轮：材质：铝合金、不锈钢，滑轮直径：38mm，极限负荷：≥40kN，工作负荷：≥22kN，滑轮效率：≥95%，适用绳径：4-13mm，重量≤442g。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过结滑轮：材质：铝合金、不锈钢、赛钢，滑轮中心直径：56mm，极限负荷：≥36kN，工作负荷：≥22kN。适⽤绳径8-19mm。重量≤790g。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活动板滑轮：可配合静力绳或动力绳使用。重量:≤280g，安全强度:≥32kN，破断强度≥43KN，最大使用绳径: 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并行滑轮：可配合静力绳或动力绳使用。重量:≤430g，安全强度:≥36kN，破断强度≥43KN，最大使用绳径: 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救援下降器：最小载荷≥30kg，最大载荷≥150kg，重量≤840g，单人最大下降工作负荷：150kg，下降速度最快2m/s，最大下降距离100m。绳经：10-12mm，救援载荷≥250kg (下降速度&lt;0.5m/s)，效率为90%以上。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机械抓结：人体工程设计，操作简单，设计用于提拉系统或防回跑系统。可开启、定向的凸轮，可以轻松地在绳索的任意位置安装或取下。重量≤260g，绳索9-13mm。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扁带长120cm：轻量化高强度扁带环。强度：≥22kN，宽度：≤16mm，材质：聚酯纤维，长度：120cm。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扁带长80cm：轻量化高强度扁带环。强度：≥22kN，宽度：≤16mm，材质：聚酯纤维，长度：80cm。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救援三角带：适用范围大，配有肩带更加稳定，材质耐磨，角度符合人体工程，可调胸围范围：45-125cm/工作负荷150kg/重量：≤800g。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抛投绳3mm：用于树上作业的投掷绳。优异的绳芯结合保持圆形的截面，保证绳索能在树枝上的滑动，高辨识度的红色，方便观察方向；直径：≤5mm，重量：≤2.5g/m，强度：≥0.8kN，材料：PE。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抛投包：树上作业用抛投包，用于设置锚点，采用耐磨材料制造，配有3mm的钢丝环，底部有额外的环，用于拖拽绳索，重量：≤300g，材料：PES，钢，尼龙。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救援绳刀：折刀，高质量不锈钢，刀刃80mm长，单手开合，配有安全锁，可以别在裤子上，也可以用辅绳连接，颜色：黑色，重量：≤85g。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拉滑轮套装：材质：铝合金、钢、锦纶、涤纶。滑轮单体重量≤235g；套装重量≤1665g。轮中心直径：25mm，极限负荷：≥36kN，工作负荷≥5kN，绳径≥8mm,；绳长：16m，主绳经验证破断强度≥17kN。作为4:1或5:1系统使用，提升和释放来帮助绳索作业提高效率。内置吊环防脱销。配置：万向滑轮×1对；16米8mm绳×1；缝合抓结×2（双色）；左右两侧拉链腿包×1；快拆插销×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半硬担架标准款：1、碳纤维条半硬担架： 高分子材料制成，并配有≥9条碳纤维条，3条固定，6条可拆卸组装。碳纤维支撑条适用于大部分伤员使用，尤其是脊柱受伤的人员，为患者提供卓越的安全性保护性和舒适性，是大角度、</w:t>
            </w:r>
            <w:r>
              <w:rPr>
                <w:rFonts w:hint="eastAsia" w:ascii="宋体" w:hAnsi="宋体" w:eastAsia="宋体" w:cs="宋体"/>
                <w:i w:val="0"/>
                <w:iCs w:val="0"/>
                <w:color w:val="000000"/>
                <w:sz w:val="21"/>
                <w:szCs w:val="21"/>
                <w:highlight w:val="none"/>
                <w:u w:val="none"/>
                <w:lang w:val="en-US" w:eastAsia="zh-CN" w:bidi="ar"/>
              </w:rPr>
              <w:t xml:space="preserve">有限空间、水平或垂直救援的最理想选择。平铺尺寸：91*244cm，收卷尺寸：高91cm*直径25cm，重量≤8kg，厚度≤2mm，承重≥300Kg。配有4条自锁扣固定带，8个提手，2条单肩背带，1个脚部固定带，1条担架收纳绑带。2、担架包：用于收纳担架主体以及担架配件等 ，展开后是一个方形的包垫，搭配有≥4个提手，可将伤员放在包垫上，手动提起包垫四端的提手，放置于担架上，作为衬垫使用，减轻伤员的不适感。通过将包垫卷绕及魔术贴粘合起来就形成了一个担架包，用于运输和携带担架等物资。重量：担架包+担架≤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辅绳直径6mm：直径：6mm/整捆100m/承受拉力≥9kN/每米重量≤24g/材质：Polyamide。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铝合金链式护绳器：滚轮/侧板支架航空铝，装有4条滚动轴承，减少摩擦，担架拖拉操作高效省力。材质：铝合金、304不锈钢、尺寸≥39.5×12.6×5cm（四轴）、重量≤935g（四轴）。"</w:t>
            </w:r>
            <w:r>
              <w:rPr>
                <w:rFonts w:hint="eastAsia" w:ascii="宋体" w:hAnsi="宋体" w:eastAsia="宋体" w:cs="宋体"/>
                <w:i w:val="0"/>
                <w:iCs w:val="0"/>
                <w:color w:val="000000"/>
                <w:sz w:val="21"/>
                <w:szCs w:val="21"/>
                <w:highlight w:val="none"/>
                <w:u w:val="none"/>
              </w:rPr>
            </w:r>
            <w:r/>
          </w:p>
        </w:tc>
      </w:tr>
      <w:tr>
        <w:trPr>
          <w:trHeight w:val="312"/>
        </w:trPr>
        <w:tc>
          <w:tcPr>
            <w:tcW w:w="770" w:type="dxa"/>
            <w:vAlign w:val="center"/>
            <w:vMerge w:val="continue"/>
            <w:textDirection w:val="lrTb"/>
            <w:noWrap w:val="false"/>
          </w:tcPr>
          <w:p>
            <w:pPr>
              <w:pStyle w:val="76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vMerge w:val="continue"/>
            <w:textDirection w:val="lrTb"/>
            <w:noWrap w:val="false"/>
          </w:tcPr>
          <w:p>
            <w:pPr>
              <w:pStyle w:val="76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58" w:type="dxa"/>
            <w:vAlign w:val="center"/>
            <w:vMerge w:val="continue"/>
            <w:textDirection w:val="lrTb"/>
            <w:noWrap w:val="false"/>
          </w:tcPr>
          <w:p>
            <w:pPr>
              <w:pStyle w:val="76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5" w:type="dxa"/>
            <w:vAlign w:val="center"/>
            <w:vMerge w:val="continue"/>
            <w:textDirection w:val="lrTb"/>
            <w:noWrap w:val="false"/>
          </w:tcPr>
          <w:p>
            <w:pPr>
              <w:pStyle w:val="76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1" w:type="dxa"/>
            <w:vAlign w:val="center"/>
            <w:vMerge w:val="continue"/>
            <w:textDirection w:val="lrTb"/>
            <w:noWrap w:val="false"/>
          </w:tcPr>
          <w:p>
            <w:pPr>
              <w:pStyle w:val="76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69" w:type="dxa"/>
            <w:vAlign w:val="center"/>
            <w:vMerge w:val="continue"/>
            <w:textDirection w:val="lrTb"/>
            <w:noWrap w:val="false"/>
          </w:tcPr>
          <w:p>
            <w:pPr>
              <w:pStyle w:val="76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6"/>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水域救援浮力背心</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模块化救援救生衣可以根据不同的救援场景携带各种功能模块，整体结构贴身合体，穿着舒适，双臂活动范围大，可快速进行各种救援行动。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1、浮力≥120N；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2、轻量化救生衣本体重量≤1.9kg；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3、采用高韧度防泼水尼龙面料外壳；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4、内侧设有快速排水网，舒适的氯丁橡胶衣领；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5、YKK自锁树脂拉链，拉链内侧配有两个安全插扣；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6、肩带采用2mm厚度、强度为25kN的高强织带，肩部采用弧形金属调整扣，即使长期暴晒和摩擦也不会有断裂风险；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7、全衣有13个调节点调整救生衣大小，确保穿着合身；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8、配有可拆卸式快脱安全带，根据使用者的左右手习惯，可以左向或右向安装;特殊情况下，快脱安全带也可安装在救生衣侧面；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9、前后身魔术贴面板，可贴姓名贴、标识牌、微章和队标；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10、前肩两个四方卡座，可挂载救援刀，固定活饵带布套；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11、前身有两个4*8槽海帕隆MOLLE面板，可挂载口袋和装备；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12、前身内侧网袋,可放置个人物品；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13、后身内侧有水仓悬吊备用挂载点；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14、下摆配有四点式腿带；配有双道织带的四点式安全腿带，腿环织带最宽处达7cm；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15、救生衣前部有4*8单元的MOLLE海帕隆面板，可挂载多种装备；</w:t>
            </w:r>
            <w:r>
              <w:rPr>
                <w:rFonts w:hint="eastAsia" w:ascii="宋体" w:hAnsi="宋体" w:eastAsia="宋体" w:cs="宋体"/>
                <w:i w:val="0"/>
                <w:iCs w:val="0"/>
                <w:color w:val="000000"/>
                <w:sz w:val="21"/>
                <w:szCs w:val="21"/>
                <w:highlight w:val="none"/>
                <w:u w:val="none"/>
              </w:rPr>
            </w:r>
            <w:r/>
          </w:p>
        </w:tc>
      </w:tr>
      <w:tr>
        <w:trPr>
          <w:trHeight w:val="322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水域救援头盔</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1、尺码：均码； 16孔；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2、颜色：可定制各种颜色（红、蓝、白、黑、橙）；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3、ABS材质制造，加厚加硬提高防护性；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4、内层采用高弹性EVA发泡棉，采用冷压模具成形技术，其密度均匀，防撞防震强度高；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5、耳部需在全盔的保护之内，整个头盔有不少于15孔用于通风及泄水；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6、配备可尺码调节器，适应所有头型；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7、前部墨鱼干支架，左右两侧导轨，可安装照明工具；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8、冲击吸收性能：头模受到冲击力最大值≥3450N；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9、漂浮性能：浸泡24h后可漂浮在水面。</w:t>
            </w:r>
            <w:r>
              <w:rPr>
                <w:rFonts w:hint="eastAsia" w:ascii="宋体" w:hAnsi="宋体" w:eastAsia="宋体" w:cs="宋体"/>
                <w:i w:val="0"/>
                <w:iCs w:val="0"/>
                <w:color w:val="000000"/>
                <w:sz w:val="21"/>
                <w:szCs w:val="21"/>
                <w:highlight w:val="none"/>
                <w:u w:val="none"/>
              </w:rPr>
            </w:r>
            <w:r/>
          </w:p>
        </w:tc>
      </w:tr>
      <w:tr>
        <w:trPr>
          <w:trHeight w:val="4392"/>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二节拉梯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3.1工作长度6±0.2m，合并高度3.75±0.2m。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3.2最小梯宽300±3mm。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3.3梯蹬间距280±2mm。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3.4整梯质量≤29kg。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3.5水平弯曲残余变形比值≤0.05%。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3.6拉梯进行单撑脚载荷试验后，撑脚及联接件不出现松动、损伤及变形。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3.7抗冲击性能试验时，撑脚支撑功能始终正常，撑脚及梯蹬无明显变形和损坏。</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15米金属拉梯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2.1工作长度15±0.3m，合并高度6±0.2m。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2.2最小梯宽350±4mm。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2.3梯蹬间距340±2mm。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▲2.4整梯质量≤57kg。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2.5水平弯曲残余变形比值≤0.2%。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2.6梯蹬弯曲残余变形比值≤0.15%。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2.7梯蹬剪切强度：梯蹬与侧板的连接处和梯蹬本身无任何断裂迹象。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2.8翘曲试验时，任一梯脚均不离地。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2.9梯节扭转角为：α顺：≤10°、α逆：≤10°。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2.10滑移试验进，各梯脚在整个试验表面无位移现象。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2.11单撑脚载荷试验后，撑脚及联接件不出现松动、损伤及变形。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2.12侧板悬臂弯曲最大变形值：内弯曲≤0.5mm、外弯曲≤0.5mm。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2.13侧摇摆试验残余变形比值≤0.05%。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2.14三节拉梯的两侧撑脚能同时可靠地将第二、第三梯节支撑在工作高度及以下的任何一级梯蹬上。在撑脚安全性试验时，不出现向梯蹬外侧面移动的现象。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2.15抗冲击性能试验时撑脚支撑功能始终正常，试验后撑脚及梯蹬无明显变形或损坏。</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挂钩梯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3.1工作长度4±0.1m。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3.2最小梯宽250±2mm。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3.3梯蹬间距340±2mm。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3.4整梯质量≤10.5kg。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3.5水平弯曲残余变形比值≤0.05%。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3.6梯蹬弯曲残余变形比值≤0.20%。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3.7梯蹬剪切强度：梯蹬与侧板的连接处和梯蹬本身无任何断裂迹象。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3.8挂钩强度试验后，不出现任何损伤、变形和裂纹。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3.9梯节扭转角为：α顺：≤13°、α逆：≤13°。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3.10侧摇摆试验残余变形比值≤0.10%。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3.11粘牢合度试验时，通过浸泡、恒温、低温试验后无脱胶现象。</w:t>
            </w:r>
            <w:r>
              <w:rPr>
                <w:rFonts w:hint="eastAsia" w:ascii="宋体" w:hAnsi="宋体" w:eastAsia="宋体" w:cs="宋体"/>
                <w:i w:val="0"/>
                <w:iCs w:val="0"/>
                <w:color w:val="000000"/>
                <w:sz w:val="21"/>
                <w:szCs w:val="21"/>
                <w:highlight w:val="none"/>
                <w:u w:val="none"/>
              </w:rPr>
            </w:r>
            <w:r/>
          </w:p>
        </w:tc>
      </w:tr>
      <w:tr>
        <w:trPr>
          <w:trHeight w:val="5268"/>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单杠梯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技术性能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3.1工作长度3±0.1m。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3.2最小梯宽250±2mm。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3.3梯蹬间距340±2mm。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3.4整梯质量≤9.0kg。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3.5水平弯曲残余变形比值≤0.10%。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3.6梯蹬弯曲残余变形比值≤0.20%。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3.7梯节扭转角为：α顺：≤10°、α逆：10.5°。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3.8侧板悬臂弯曲最大变形值：内弯曲≤1.1mm、外弯曲≤1.1mm。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3.9侧摇摆试验残余变形比值≤0.10%。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3.10粘牢合度试验时，通过浸泡、恒温、低温试验后无脱胶现象。</w:t>
            </w:r>
            <w:r>
              <w:rPr>
                <w:rFonts w:hint="eastAsia" w:ascii="宋体" w:hAnsi="宋体" w:eastAsia="宋体" w:cs="宋体"/>
                <w:i w:val="0"/>
                <w:iCs w:val="0"/>
                <w:color w:val="000000"/>
                <w:sz w:val="21"/>
                <w:szCs w:val="21"/>
                <w:highlight w:val="none"/>
                <w:u w:val="none"/>
              </w:rPr>
            </w:r>
            <w:r/>
          </w:p>
        </w:tc>
      </w:tr>
      <w:tr>
        <w:trPr>
          <w:trHeight w:val="594"/>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他救面罩</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numPr>
                <w:ilvl w:val="0"/>
                <w:numId w:val="6"/>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用于在紧急情况下为被救援者提供呼吸保护。</w:t>
            </w:r>
            <w:r>
              <w:rPr>
                <w:rFonts w:hint="eastAsia" w:ascii="宋体" w:hAnsi="宋体" w:eastAsia="宋体" w:cs="宋体"/>
                <w:i w:val="0"/>
                <w:iCs w:val="0"/>
                <w:color w:val="000000"/>
                <w:sz w:val="21"/>
                <w:szCs w:val="21"/>
                <w:highlight w:val="none"/>
                <w:u w:val="none"/>
                <w:lang w:val="en-US" w:eastAsia="zh-CN" w:bidi="ar"/>
              </w:rPr>
            </w:r>
            <w:r/>
          </w:p>
          <w:p>
            <w:pPr>
              <w:pStyle w:val="760"/>
              <w:numPr>
                <w:ilvl w:val="0"/>
                <w:numId w:val="6"/>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连接减压器与头罩的软管，其作用是将减压后的中压气体输送到头罩内，送气流量：≥ 40L/min </w:t>
            </w:r>
            <w:r>
              <w:rPr>
                <w:rFonts w:hint="eastAsia" w:ascii="宋体" w:hAnsi="宋体" w:eastAsia="宋体" w:cs="宋体"/>
                <w:i w:val="0"/>
                <w:iCs w:val="0"/>
                <w:color w:val="000000"/>
                <w:sz w:val="21"/>
                <w:szCs w:val="21"/>
                <w:highlight w:val="none"/>
                <w:u w:val="none"/>
                <w:lang w:val="en-US" w:eastAsia="zh-CN" w:bidi="ar"/>
              </w:rPr>
            </w:r>
            <w:r/>
          </w:p>
          <w:p>
            <w:pPr>
              <w:pStyle w:val="76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3、头罩主体采用阻燃材质，且防静电、抗撕拉，耐腐蚀。头罩内设有口鼻罩，呼气阻力:＜700 Pa。 </w:t>
            </w:r>
            <w:r>
              <w:rPr>
                <w:rFonts w:hint="eastAsia" w:ascii="宋体" w:hAnsi="宋体" w:eastAsia="宋体" w:cs="宋体"/>
                <w:i w:val="0"/>
                <w:iCs w:val="0"/>
                <w:color w:val="000000"/>
                <w:sz w:val="21"/>
                <w:szCs w:val="21"/>
                <w:highlight w:val="none"/>
                <w:u w:val="none"/>
                <w:lang w:val="en-US" w:eastAsia="zh-CN" w:bidi="ar"/>
              </w:rPr>
            </w:r>
            <w:r/>
          </w:p>
          <w:p>
            <w:pPr>
              <w:pStyle w:val="76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4、救援小空包：救援小包采用阻燃材质，柱型，体积小，重量轻，使用方便快捷。 </w:t>
            </w:r>
            <w:r>
              <w:rPr>
                <w:rFonts w:hint="eastAsia" w:ascii="宋体" w:hAnsi="宋体" w:eastAsia="宋体" w:cs="宋体"/>
                <w:i w:val="0"/>
                <w:iCs w:val="0"/>
                <w:color w:val="000000"/>
                <w:sz w:val="21"/>
                <w:szCs w:val="21"/>
                <w:highlight w:val="none"/>
                <w:u w:val="none"/>
                <w:lang w:val="en-US" w:eastAsia="zh-CN" w:bidi="ar"/>
              </w:rPr>
            </w:r>
            <w:r/>
          </w:p>
          <w:p>
            <w:pPr>
              <w:pStyle w:val="760"/>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5、救援小包重量：≤0.8Kg</w:t>
            </w:r>
            <w:r>
              <w:rPr>
                <w:rFonts w:ascii="宋体" w:hAnsi="宋体" w:eastAsia="宋体" w:cs="宋体"/>
                <w:i w:val="0"/>
                <w:iCs w:val="0"/>
                <w:color w:val="000000"/>
                <w:sz w:val="21"/>
                <w:szCs w:val="21"/>
                <w:highlight w:val="none"/>
                <w:u w:val="none"/>
                <w:lang w:val="en-US" w:eastAsia="zh-CN" w:bidi="ar"/>
              </w:rPr>
            </w:r>
            <w:r/>
          </w:p>
        </w:tc>
      </w:tr>
      <w:tr>
        <w:trPr>
          <w:trHeight w:val="2347"/>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多功能担架</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1、采用高质量尼龙板制成，耐温：零下20到45度。可以弯曲变形，用于消防紧急救援、深井及狭窄空间救助、地面一般救助、高空救助、化学事故现场救助等，可水平或者垂直吊运。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2、展开尺寸（长×宽）：≥240×90cm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3、厚度：≥5mm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4、自重：≤10kg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5、承重：≥155kg</w:t>
            </w:r>
            <w:r>
              <w:rPr>
                <w:rFonts w:hint="eastAsia" w:ascii="宋体" w:hAnsi="宋体" w:eastAsia="宋体" w:cs="宋体"/>
                <w:i w:val="0"/>
                <w:iCs w:val="0"/>
                <w:color w:val="000000"/>
                <w:sz w:val="21"/>
                <w:szCs w:val="21"/>
                <w:highlight w:val="none"/>
                <w:u w:val="none"/>
              </w:rPr>
            </w:r>
            <w:r/>
          </w:p>
        </w:tc>
      </w:tr>
      <w:tr>
        <w:trPr>
          <w:trHeight w:val="2055"/>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折叠担架</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用于运送伤员或病患的医疗搬运工具，常见于消防救护及灾害救援中。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展开尺寸（长×宽×高）：≥185×50×20cm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折叠尺寸（长×宽×高）：≤95×50×12cm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净重：≤8kg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承重：≥159kg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材质：高强度铝合金、牛津布</w:t>
            </w:r>
            <w:r>
              <w:rPr>
                <w:rFonts w:hint="eastAsia" w:ascii="宋体" w:hAnsi="宋体" w:eastAsia="宋体" w:cs="宋体"/>
                <w:i w:val="0"/>
                <w:iCs w:val="0"/>
                <w:color w:val="000000"/>
                <w:sz w:val="21"/>
                <w:szCs w:val="21"/>
                <w:highlight w:val="none"/>
                <w:u w:val="none"/>
              </w:rPr>
            </w:r>
            <w:r/>
          </w:p>
        </w:tc>
      </w:tr>
      <w:tr>
        <w:trPr>
          <w:trHeight w:val="10235"/>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机动消防泵</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1、结构组成：由汽油机，单级离心泵，引水装置，手抬框架，吸水管等组成。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2、主要应用场景：适用于城镇，工矿、仓库和农村，扑救一般固体物质火灾及小规模油类火灾。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3、符合GB6245-2006《消防泵》标准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4、外观质量：所有铸件外表面没有明显结巴、气泡、沙眼等缺陷。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5、机械密封性能试验：泵体及部件没有渗漏、冒汗等缺陷。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6、主要技术参数要求：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6.1 工况1：吸深3m时，流量不小于19L/s，出口压力不小于0.5MPa。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6.2 工况2：吸深7m时，流量不小于10L/s，出口压力不小于0.5MPa。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7、真空密封性能：泵进行真空密封性能试验时，1min内的真空降落值不大于1kPa。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8、引水装置性能：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9.1 引水装置产生的最大真空度为不小于85kPa。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9.2 引水时间不大于10s。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10、发动机类型：卧式，双缸，水冷，二冲程，冷却水还流式汽油机；燃油采用自动混合比例供应。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11、起动方式：绳拉式手动起动或电起动，自动反冲系统。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12、发动机主轴转速≥5000rpm，输出功率≥34KW。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13、水泵：单泵单程离心泵，进水口尺寸约80mm，出水口尺寸约65mm（快速接口），配备快速球阀出水开关，出水口阀门可转动180°。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14、真空泵：碳纤维活片无油式真空泵，手动操作吸水，最大吸程≥7m。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15、最大工作压力≥1.0MPa。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16、油箱容积：≥18L。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17、照明装置：射灯，12V。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18、整机体积：≤700mm×620mm×730mm。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19、重量（含燃油和机油）：≤105KG。</w:t>
            </w:r>
            <w:r>
              <w:rPr>
                <w:rFonts w:hint="eastAsia" w:ascii="宋体" w:hAnsi="宋体" w:eastAsia="宋体" w:cs="宋体"/>
                <w:i w:val="0"/>
                <w:iCs w:val="0"/>
                <w:color w:val="000000"/>
                <w:sz w:val="21"/>
                <w:szCs w:val="21"/>
                <w:highlight w:val="none"/>
                <w:u w:val="none"/>
              </w:rPr>
            </w:r>
            <w:r/>
          </w:p>
        </w:tc>
      </w:tr>
      <w:tr>
        <w:trPr>
          <w:trHeight w:val="994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移动式消防炮</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移动式消防炮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一、执行标准：产品符合GB 19156-2019《消防炮》标准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1、炮体材质：ZLD104铝合金（阳极硬质氧化后喷塑处理）。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2、把手材质：ZLD104铸造铝合金一体铸造成型。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3、阀芯材质：锻造黄铜。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4、阀球材质：不锈钢。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5、阀球密封垫：聚四氟乙烯高温烧结。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6、固定螺丝及螺母：不锈钢或黄铜螺丝。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7、撑脚保护套材料：尼龙材质。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8、密封件橡胶：耐老化橡胶。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9、撑脚材料：6061铝合金可折叠S型圆撑脚；配钨钢脚钉。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10、开关性能：L型带锁止操作杆可控制水流开或关闭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11、压力表：炮的进水口主流道设置压力表。压力表精度2.5级。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12、标志：设有永久性中文铭牌。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1、直流和喷雾功能转换操作操作力矩:≤ 6.0 N·m。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2、水平俯仰操作力矩:水平：≤6N·M;俯仰：≤7N·m。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3、炮头工艺：整体采用铝合金铸造成型并采用加工中心铣出喷零齿。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4、流量：≥30L/S。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5、喷射额定工作压力0.8MPA。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6、射程：≥65.0M。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7、消防炮仰角:≥+30° ～ +70°。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8、水平回转角（°）:≥40。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9、喷雾角：0~120度可调。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10、炮整体重量≤10公斤。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四、配件表：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1、两根10米安全绳。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2、合格证。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3、检验报告。 </w:t>
            </w:r>
            <w:r>
              <w:rPr>
                <w:rFonts w:hint="eastAsia" w:ascii="宋体" w:hAnsi="宋体" w:eastAsia="宋体" w:cs="宋体"/>
                <w:i w:val="0"/>
                <w:iCs w:val="0"/>
                <w:color w:val="000000"/>
                <w:sz w:val="21"/>
                <w:szCs w:val="21"/>
                <w:highlight w:val="none"/>
                <w:u w:val="none"/>
              </w:rPr>
            </w:r>
            <w:r/>
          </w:p>
        </w:tc>
      </w:tr>
      <w:tr>
        <w:trPr>
          <w:trHeight w:val="9066"/>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65水带（20-65-20）</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1、国标认证：GB 6246-2011《消防水带》标准要求进行生产检验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1、编织层：涤纶斜纹环编织（无跳双经/断纬等缺陷）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2、内衬材质：聚氨酯（耐高压/耐腐蚀/轻量化）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1、水带总长度：≥20m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2、水带口径：63.5mm±2mm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3、工作压力：2.0MPa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爆破压力:≥7.0MPa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1、耐压能力：轴向延伸率≤2.5%｜直径膨胀率≤2.9%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2、机械强度：扯断强度≥63.1MPa｜扯断伸长率≥293.6%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3、单位长度质量：水带每米重量≤300g/m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1、永久性标注内容：产品名称、设计工作压力、规格（公称内径及长度）、经线、纬线及衬里材质、生产厂名、注册商标、生产日期。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3、连接性能：雄接口本体和推压环之间有螺纹锁止结构</w:t>
            </w:r>
            <w:r>
              <w:rPr>
                <w:rFonts w:hint="eastAsia" w:ascii="宋体" w:hAnsi="宋体" w:eastAsia="宋体" w:cs="宋体"/>
                <w:i w:val="0"/>
                <w:iCs w:val="0"/>
                <w:color w:val="000000"/>
                <w:sz w:val="21"/>
                <w:szCs w:val="21"/>
                <w:highlight w:val="none"/>
                <w:u w:val="none"/>
              </w:rPr>
            </w:r>
            <w:r/>
          </w:p>
        </w:tc>
      </w:tr>
      <w:tr>
        <w:trPr>
          <w:trHeight w:val="9358"/>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80水带（25-80-20）</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1、国标认证：GB 6246-2011《消防水带》标准要求进行生产检验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1、编织层：涤纶斜纹环编织（无跳双经/断纬等缺陷）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2、内衬材质：聚氨酯（耐高压/耐腐蚀/轻量化）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1、水带总长度：≥20m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2、水带口径：76.0mm±2mm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爆破压力:≥8.0MPa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1、耐压能力：轴向延伸率≤5.4%｜直径膨胀率≤3.5%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2、机械强度：扯断强度≥63.3MPa｜扯断伸长率≥292.4%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3、单位长度质量：水带每米重量≤480g/m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1、永久性标注内容：产品名称、设计工作压力、规格（公称内径及长度）、经线、纬线及衬里材质、生产厂名、注册商标、生产日期。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                                                                                                 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2、重量：≤1360g 3、接口长度：≤229mm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3、连接性能：雄接口本体和推压环之间有螺纹锁止结构</w:t>
            </w:r>
            <w:r>
              <w:rPr>
                <w:rFonts w:hint="eastAsia" w:ascii="宋体" w:hAnsi="宋体" w:eastAsia="宋体" w:cs="宋体"/>
                <w:i w:val="0"/>
                <w:iCs w:val="0"/>
                <w:color w:val="000000"/>
                <w:sz w:val="21"/>
                <w:szCs w:val="21"/>
                <w:highlight w:val="none"/>
                <w:u w:val="none"/>
              </w:rPr>
            </w:r>
            <w:r/>
          </w:p>
        </w:tc>
      </w:tr>
      <w:tr>
        <w:trPr>
          <w:trHeight w:val="9358"/>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50水带（20-50-20）</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1、国标认证：GB 6246-2011《消防水带》标准要求进行生产检验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1、编织层：涤纶斜纹环编织（无跳双经/断纬等缺陷）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2、内衬材质：聚氨酯（耐高压/耐腐蚀/轻量化）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1、水带总长度：≥20m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2、水带口径：51.0mm±2mm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3、工作压力：2.0MPa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4、 爆破压力:≥7.0MPa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1、耐压能力：轴向延伸率≤3%｜直径膨胀率≤2%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2、机械强度：扯断强度≥53MPa｜扯断伸长率≥487%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3、单位长度质量：水带每米重量≤230g/m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1、永久性标注内容：产品名称、设计工作压力、规格（公称内径及长度）、经线、纬线及衬里材质、生产厂名、注册商标、生产日期。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                                                                                                 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2、重量：≤480g 3、接口长度：≤162mm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3、连接性能：雄接口本体和推压环之间有螺纹锁止结构</w:t>
            </w:r>
            <w:r>
              <w:rPr>
                <w:rFonts w:hint="eastAsia" w:ascii="宋体" w:hAnsi="宋体" w:eastAsia="宋体" w:cs="宋体"/>
                <w:i w:val="0"/>
                <w:iCs w:val="0"/>
                <w:color w:val="000000"/>
                <w:sz w:val="21"/>
                <w:szCs w:val="21"/>
                <w:highlight w:val="none"/>
                <w:u w:val="none"/>
              </w:rPr>
            </w:r>
            <w:r/>
          </w:p>
        </w:tc>
      </w:tr>
      <w:tr>
        <w:trPr>
          <w:trHeight w:val="965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水幕水带</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一、总体要求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1、水幕水带在一定水压作用下能够均匀地喷出雾状水带形成水幕墙，对火焰及热辐射起阻隔作用。可用于火场隔离，降低救火现场温度。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2、水带两端绑扎锻造卡式接口，工作压力≥2.5MPa，最高耐压强度≥6.0MPa.加工表面应无损伤，无结疤、裂痕、砂眼。配专用橡胶水带护套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3、孔口采用金属材料铆合，均匀喷出水雾水幕形成水墙，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二、性能要求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1、水带内径：63.5-65.5mm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2、标准工作压力：1.6MPa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3、爆破压力≥6.60MPa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4、每盘长度20米，单位长度重量≤275g/m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5、轴向延伸率≤1.2％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6、直径膨胀率≤3.0％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7、附着强度≥56N/25mm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8、扯断伸长率≥294%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9、扯断强度≥63MPa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10、喷雾高度:≥10m。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11、喷雾孔间距：（0.30-0.35）m。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2、重量：≤750g  3、接口长度：≤198mm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rPr>
            </w:r>
            <w:r/>
          </w:p>
        </w:tc>
      </w:tr>
      <w:tr>
        <w:trPr>
          <w:trHeight w:val="8482"/>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50型多功能水枪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直流喷雾水枪参数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1、GB 8181-2005《消防水枪》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1、枪体：6061变形铝锻造成型并T6热处理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2、表面处理：整体阳极硬质氧化防腐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3、手柄：PA6尼龙注塑成型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4.2阀球：铝合金精密加工，阳极硬质氧化处理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4.3密封：聚四氟乙烯高温烧结圈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4.5喷雾齿：铝合金锻造，表面阳极氧硬质化处理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1、进水口：KYKA50Z锻造卡式雄接口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2、螺纹锁止：雄接口本体和推压环之间有螺纹锁止结构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3、旋转性能：进水口360°旋转，消除水带扭转打结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四、操作功能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1、∩型操作杆：控制水流开关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2、射水模式：可起始切换全水雾120°/窄喷雾40°/直流模式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3、流量调节：4档刻度（2.5/4/6.5/8 L/s）X1误差范围均为±8%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4、喷雾角度：0°-120°可调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1、额定压力：0.60MPa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2、射程：≥32.0m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3、整体重量：≤1.7kg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4、操作力矩：≤7.7N·m </w:t>
            </w:r>
            <w:r>
              <w:rPr>
                <w:rFonts w:hint="eastAsia" w:ascii="宋体" w:hAnsi="宋体" w:eastAsia="宋体" w:cs="宋体"/>
                <w:i w:val="0"/>
                <w:iCs w:val="0"/>
                <w:color w:val="000000"/>
                <w:sz w:val="21"/>
                <w:szCs w:val="21"/>
                <w:highlight w:val="none"/>
                <w:u w:val="none"/>
              </w:rPr>
            </w:r>
            <w:r/>
          </w:p>
        </w:tc>
      </w:tr>
      <w:tr>
        <w:trPr>
          <w:trHeight w:val="176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消火栓扳手</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1、材料：铝制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2、表面处理：红色喷塑处理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3、重量：≤0.6KG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4、长度：≤40m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5、开口尺寸：60mm；上式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6、高强度铝合金材质，不易断裂</w:t>
            </w:r>
            <w:r>
              <w:rPr>
                <w:rFonts w:hint="eastAsia" w:ascii="宋体" w:hAnsi="宋体" w:eastAsia="宋体" w:cs="宋体"/>
                <w:i w:val="0"/>
                <w:iCs w:val="0"/>
                <w:color w:val="000000"/>
                <w:sz w:val="21"/>
                <w:szCs w:val="21"/>
                <w:highlight w:val="none"/>
                <w:u w:val="none"/>
              </w:rPr>
            </w:r>
            <w:r/>
          </w:p>
        </w:tc>
      </w:tr>
      <w:tr>
        <w:trPr>
          <w:trHeight w:val="8482"/>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65型多功能水枪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直流喷雾水枪参数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1、GB 8181-2005《消防水枪》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1、枪体：6061变形铝锻造成型并T6热处理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2、表面处理：整体阳极硬质氧化防腐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3、手柄：PA6尼龙注塑成型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4.2阀球：铝合金精密加工，阳极硬质氧化处理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4.3密封：聚四氟乙烯高温烧结圈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4.5喷雾齿：铝合金锻造，表面阳极氧硬质化处理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1、进水口：KYKA65Z锻造卡式雄接口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2、螺纹锁止：雄接口本体和推压环之间有螺纹锁止结构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3、旋转性能：进水口360°旋转，消除水带扭转打结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四、操作功能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1、∩型操作杆：控制水流开关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2、射水模式：可起始切换全水雾120°/窄喷雾40°/直流模式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3、流量调节：4档刻度（2.5/4/6.5/8 L/s）X1误差范围均为±8%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4、喷雾角度：0°-120°可调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1、额定压力：0.60MPa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2、射程：≥32.0m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3、整体重量：≤1.7kg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4、操作力矩：≤7.7N·m </w:t>
            </w:r>
            <w:r>
              <w:rPr>
                <w:rFonts w:hint="eastAsia" w:ascii="宋体" w:hAnsi="宋体" w:eastAsia="宋体" w:cs="宋体"/>
                <w:i w:val="0"/>
                <w:iCs w:val="0"/>
                <w:color w:val="000000"/>
                <w:sz w:val="21"/>
                <w:szCs w:val="21"/>
                <w:highlight w:val="none"/>
                <w:u w:val="none"/>
              </w:rPr>
            </w:r>
            <w:r/>
          </w:p>
        </w:tc>
      </w:tr>
      <w:tr>
        <w:trPr>
          <w:trHeight w:val="9066"/>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泡沫管枪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一、标准：产品符合GB 25202-2010《低倍数泡沫枪》标准、规范。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1、特性：用于油类、金属、厂房火灾扑救、冷却保护等用泡沫场景火灾，泡沫枪所用材质和工艺充分考虑了高温、高湿、高盐和带压工作要等各种工作使用环境，具备良好的耐腐蚀性和机械强度。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2、表面处理：整体表面防腐处理工艺，阳极硬质氧化并喷塑处理。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3、枪管；选用304不锈钢管焊接工艺制成，耐高温抗老化，不变形，不掉色。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4、绑扎PVC透明软连接管，304不锈钢吸液插管。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5、泡沫枪握把；选用铝合金一体重力铸造成型，表面阳极氧化，耐高温，低温，防滑，抗摔性能好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二、结构特点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1、枪进水口：KYKA65Z锻造雄接口，雄接口本体与推卸环之间具有螺纹锁止结构。逆时针旋转推卸环两圈即可进入锁止状态。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2、吸液接口：卡式快速锻造接口,水管接口在真空度达到0.08Mpa时，经测试保持5分钟, 无真空压损失.；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3、铸件表面应无结疤、裂纹及孔眼。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4、水枪按规定的条件进行耐水压强度试验，水枪不应出现裂纹、断裂或影响正常使用的残余变形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1、混合比：≥6.1%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2、额定工作压力:0.7MPa;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3、混合液流量(L/s);≥8.0: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4、发泡倍数（低倍数）:≥7.0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5、25%析水时间（min）:≥2.5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6、射程:≥25米</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直流水枪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1、GB 8181-2005《消防水枪》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1、枪体：6061变形铝锻造成型并T6热处理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2、表面处理：整体阳极氧化防腐处理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3、手柄：6061变形铝锻造一体成形工艺，氧化处理并沾塑处理。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4.2阀球：高强度塑料阀球。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4.3密封：聚四氟乙烯高温烧结圈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4.4连接件：不锈钢螺丝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1、进水口：KYKA65Z锻造卡式雄接口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2、螺纹锁止：雄接口本体和推压环之间有螺纹锁止结构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四、操作功能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1、操作杆：横拉杆式开关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2、流量：≥（7.5L/s）X1误差范围为±8%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1、额定压力：0.35MPa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2、射程：≥28m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3、操作力矩：≤8.5N·m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4、整体重量：≤1.1kg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5、水枪长度：≤47.5Cm </w:t>
            </w:r>
            <w:r>
              <w:rPr>
                <w:rFonts w:hint="eastAsia" w:ascii="宋体" w:hAnsi="宋体" w:eastAsia="宋体" w:cs="宋体"/>
                <w:i w:val="0"/>
                <w:iCs w:val="0"/>
                <w:color w:val="000000"/>
                <w:sz w:val="21"/>
                <w:szCs w:val="21"/>
                <w:highlight w:val="none"/>
                <w:u w:val="none"/>
              </w:rPr>
            </w:r>
            <w:r/>
          </w:p>
        </w:tc>
      </w:tr>
      <w:tr>
        <w:trPr>
          <w:trHeight w:val="1404"/>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三分水器（80进口，65出口）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1、进水口：KYKA80Z卡式雄进水口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2、出水口：KYK65Z×3卡式雌出水口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四、压力监测及工艺特性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1、压力装置：压力表实时监测水压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4、阀门开启力：≤99N</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三分水器（65进口，50出口）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2、出水口：KYK50Z×3卡式雌出水口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四、压力监测及工艺特性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1、压力装置：压力表实时监测水压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4、阀门开启力：≤99N</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二分水器（80进口，65出口） </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1、进水口：KYKA80Z卡式雄进水口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2、出水口：KYK65Z×2卡式雌出水口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3、整体重量：≤3.6kg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4、阀门开启力：≤79.6N</w:t>
            </w:r>
            <w:r>
              <w:rPr>
                <w:rFonts w:hint="eastAsia" w:ascii="宋体" w:hAnsi="宋体" w:eastAsia="宋体" w:cs="宋体"/>
                <w:i w:val="0"/>
                <w:iCs w:val="0"/>
                <w:color w:val="000000"/>
                <w:sz w:val="21"/>
                <w:szCs w:val="21"/>
                <w:highlight w:val="none"/>
                <w:u w:val="none"/>
              </w:rPr>
            </w:r>
            <w:r/>
          </w:p>
        </w:tc>
      </w:tr>
      <w:tr>
        <w:trPr>
          <w:trHeight w:val="672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二分水器（65进口，50出口）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2、出水口：KYK50Z×2卡式雌出水口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3、整体重量：≤3.6kg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4、阀门开启力：≤79.6N</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各种型号转换接口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一、总体要求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w:t>
            </w:r>
            <w:r>
              <w:rPr>
                <w:rFonts w:hint="eastAsia" w:ascii="宋体" w:hAnsi="宋体" w:eastAsia="宋体" w:cs="宋体"/>
                <w:i w:val="0"/>
                <w:iCs w:val="0"/>
                <w:color w:val="000000"/>
                <w:sz w:val="21"/>
                <w:szCs w:val="21"/>
                <w:highlight w:val="none"/>
                <w:u w:val="none"/>
                <w:lang w:val="en-US" w:eastAsia="zh-CN" w:bidi="ar"/>
              </w:rPr>
              <w:t xml:space="preserve">GB 12514</w:t>
            </w:r>
            <w:r>
              <w:rPr>
                <w:rFonts w:hint="eastAsia" w:ascii="宋体" w:hAnsi="宋体" w:eastAsia="宋体" w:cs="宋体"/>
                <w:i w:val="0"/>
                <w:iCs w:val="0"/>
                <w:color w:val="000000"/>
                <w:sz w:val="21"/>
                <w:szCs w:val="21"/>
                <w:highlight w:val="none"/>
                <w:u w:val="none"/>
                <w:lang w:val="en-US" w:eastAsia="zh-CN" w:bidi="ar"/>
              </w:rPr>
              <w:t xml:space="preserve">《消防接口 第1部分：消防接口通用技术条件》和</w:t>
            </w:r>
            <w:r>
              <w:rPr>
                <w:rFonts w:hint="eastAsia" w:ascii="宋体" w:hAnsi="宋体" w:eastAsia="宋体" w:cs="宋体"/>
                <w:i w:val="0"/>
                <w:iCs w:val="0"/>
                <w:color w:val="000000"/>
                <w:sz w:val="21"/>
                <w:szCs w:val="21"/>
                <w:highlight w:val="none"/>
                <w:u w:val="none"/>
                <w:lang w:val="en-US" w:eastAsia="zh-CN" w:bidi="ar"/>
              </w:rPr>
              <w:t xml:space="preserve">GB </w:t>
            </w:r>
            <w:r>
              <w:rPr>
                <w:rFonts w:hint="eastAsia" w:ascii="宋体" w:hAnsi="宋体" w:eastAsia="宋体" w:cs="宋体"/>
                <w:i w:val="0"/>
                <w:iCs w:val="0"/>
                <w:color w:val="000000"/>
                <w:sz w:val="21"/>
                <w:szCs w:val="21"/>
                <w:highlight w:val="none"/>
                <w:u w:val="none"/>
                <w:lang w:val="en-US" w:eastAsia="zh-CN" w:bidi="ar"/>
              </w:rPr>
              <w:t xml:space="preserve">12514.3-2006《消防接口 第3部分：卡式消防接口型式和基本参数》</w:t>
            </w:r>
            <w:r>
              <w:rPr>
                <w:rFonts w:hint="eastAsia" w:ascii="宋体" w:hAnsi="宋体" w:eastAsia="宋体" w:cs="宋体"/>
                <w:i w:val="0"/>
                <w:iCs w:val="0"/>
                <w:color w:val="000000"/>
                <w:sz w:val="21"/>
                <w:szCs w:val="21"/>
                <w:highlight w:val="none"/>
                <w:u w:val="none"/>
                <w:lang w:val="en-US" w:eastAsia="zh-CN" w:bidi="ar"/>
              </w:rPr>
              <w:t xml:space="preserve">GB </w:t>
            </w:r>
            <w:r>
              <w:rPr>
                <w:rFonts w:hint="eastAsia" w:ascii="宋体" w:hAnsi="宋体" w:eastAsia="宋体" w:cs="宋体"/>
                <w:i w:val="0"/>
                <w:iCs w:val="0"/>
                <w:color w:val="000000"/>
                <w:sz w:val="21"/>
                <w:szCs w:val="21"/>
                <w:highlight w:val="none"/>
                <w:u w:val="none"/>
                <w:lang w:val="en-US" w:eastAsia="zh-CN" w:bidi="ar"/>
              </w:rPr>
              <w:t xml:space="preserve">12514.2-2006《消防接口 第2部分：内扣式消防接口型式和基本参数》标准要求。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2、用于更换各类异型异径消防水带及各类输水器材用,是从水带接口连接转换的消防器材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3、异型异径接口整体材质为6061铝合金锻造或优于。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4、接口水压强度在1.5倍公称压力水压下，不应出现可见裂缝或者断裂现象。试验后应能正常操作使用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5、工作压力强度2.5MPa,爆破压力≥6.0MPa无出现断裂、接口外形漏水、脱扣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6、接口密封性能在0.30MPa水压下，不能出现渗漏现象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接口型式为：80雌转65雄、80雌转65雌、80雄转65雄、80雄转65雌、65雄转50雌、80内扣转65内扣、65内扣转50内扣、65内扣转40内扣、80内扣转80雄、80内扣转65雄、80内扣转80雌、80内扣转65雌、65内扣转80雄、65内扣转65雄、65内扣转80雌、65内扣转65雌，可根据采购人具体需求提供。</w:t>
            </w:r>
            <w:r>
              <w:rPr>
                <w:rFonts w:hint="eastAsia" w:ascii="宋体" w:hAnsi="宋体" w:eastAsia="宋体" w:cs="宋体"/>
                <w:i w:val="0"/>
                <w:iCs w:val="0"/>
                <w:color w:val="000000"/>
                <w:sz w:val="21"/>
                <w:szCs w:val="21"/>
                <w:highlight w:val="none"/>
                <w:u w:val="none"/>
              </w:rPr>
            </w:r>
            <w:r/>
          </w:p>
        </w:tc>
      </w:tr>
      <w:tr>
        <w:trPr>
          <w:trHeight w:val="29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止水器（65型）</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一、执行标准：依据《止水器试验大纲》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1、表面质量：铸件表面无结疤、裂纹、砂眼；加工表面无划痕、毛刺等缺陷。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2、阀体材质及工艺：6061铝合金一体成型工艺，表面经阳极氧化处理，耐腐蚀、抗磨损。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3、接口：6061变形铝合金锻造工艺，接口螺纹采用精密加工，确保连接密封性。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4、手柄设计：锻造横拉杆式开关手柄，手柄下方带有锁止机构防止误触开关。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三、关键部件材料​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1、阀芯：57-3锻造黄铜材质。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2、阀球：铝镁合金材质，表面硬质阳极氧化处理。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3、密封件：左右双面聚四氟乙烯（PTFE）密封圈，耐高压、耐老化，确保防水性能。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4、保护套：PVC材质，用于接口防护。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5、固定螺丝：不锈钢材质，防锈耐腐蚀。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1、工作压力：2.5MPa。耐压强度：≥3.75MPa。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2、爆破压力：≥6.0MPa。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3、重量：≤1.4kg。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5、接口规格：卡式65雌雄接口。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五、功能要求​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1、锁止装置：雄接口本体与推卸环间采用螺纹锁止结构，防止接口插拔及高层输水意外脱扣。</w:t>
            </w:r>
            <w:r>
              <w:rPr>
                <w:rFonts w:hint="eastAsia" w:ascii="宋体" w:hAnsi="宋体" w:eastAsia="宋体" w:cs="宋体"/>
                <w:i w:val="0"/>
                <w:iCs w:val="0"/>
                <w:color w:val="000000"/>
                <w:sz w:val="21"/>
                <w:szCs w:val="21"/>
                <w:highlight w:val="none"/>
                <w:u w:val="none"/>
              </w:rPr>
            </w:r>
            <w:r/>
          </w:p>
        </w:tc>
      </w:tr>
      <w:tr>
        <w:trPr>
          <w:trHeight w:val="255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止水器（50型）</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一、执行标准：依据《止水器试验大纲》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1、表面质量：铸件表面无结疤、裂纹、砂眼；加工表面无划痕、毛刺等缺陷。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2、阀体材质及工艺：6061铝合金一体成型工艺，表面经阳极氧化处理，耐腐蚀、抗磨损。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3、接口：6061变形铝合金锻造工艺，接口螺纹采用精密加工，确保连接密封性。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4、手柄设计：锻造横拉杆式开关手柄，手柄下方带有锁止机构防止误触开关。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三、关键部件材料​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1、阀芯：57-3锻造黄铜材质。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2、阀球：铝镁合金材质，表面硬质阳极氧化处理。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3、密封件：左右双面聚四氟乙烯（PTFE）密封圈，耐高压、耐老化，确保防水性能。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4、保护套：PVC材质，用于接口防护。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5、固定螺丝：不锈钢材质，防锈耐腐蚀。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1、工作压力：2.5MPa。耐压强度：≥3.75MPa。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2、爆破压力：≥6.0MPa。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3、重量：≤1.4kg。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5、接口规格：卡式50雌雄接口。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五、功能要求​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1、锁止装置：雄接口本体与推卸环间采用螺纹锁止结构，防止接口插拔及高层输水意外脱扣。</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液压破拆工具组</w:t>
            </w:r>
            <w:r>
              <w:rPr>
                <w:rFonts w:hint="eastAsia" w:ascii="宋体" w:hAnsi="宋体" w:eastAsia="宋体" w:cs="宋体"/>
                <w:b/>
                <w:bCs/>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1、结构组成：由液压机动泵、液压手动泵、液压剪切器、液压扩张器、液压剪扩器、液压撑顶器、液压油管2根等组成；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2、主要应用场景：适用于应对大型抢险救援，如地震、建筑垮塌、复杂交通事故等等，以及各种常规救援；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3、符合GB/T17906-2021《液压破拆工具通用技术条件》标准要求并提供国家级检验机构出具的检验报告；（合同签订前，提供检测报告至采购人处核验，未提供或者提供虚假视为无效投标）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4、液压机动泵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4.1可同时接驳并使用两件工具，双倍流量功能可使救援工具救援速度加快一倍；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4.2工作压强≥730巴，功率≥2.2KW；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4.3双倍流量下，高压流量≥1.3L/min，低压流量≥5.5L/min；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4.4液压油箱容量≥3L；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4.5重量≤24KG；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5、液压手动泵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5.2重量≤11kg；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5.3高压流量≥1.55ml/次，低压流量≥15ml/次；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6、液压剪切器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6.2最大开口距离≥200mm；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6.3剪切圆钢（Q235A材料）≥35mm，剪切钢板（Q235A材料）厚度≥20mm；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6.4最大剪切力≥760kN；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6.5重量≤15kg；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7、液压扩张器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7.2最小扩张力≥40KN；最大扩张力≥390KN；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7.3最大扩张距离≥600mm；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7.4最大牵拉力≥55KN，最大牵拉距离≥440mm；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7.5重量≤13.5kg；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8、液压剪扩器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b/>
                <w:bCs/>
                <w:i w:val="0"/>
                <w:iCs w:val="0"/>
                <w:color w:val="000000"/>
                <w:sz w:val="21"/>
                <w:szCs w:val="21"/>
                <w:highlight w:val="none"/>
                <w:u w:val="none"/>
                <w:lang w:val="en-US" w:eastAsia="zh-CN" w:bidi="ar"/>
              </w:rPr>
              <w:t xml:space="preserve">最大扩张距离≥380mm，最大剪切开口距离≥315mm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(提供国家级或国家认可的第三方检测检验机构出具的检测检验报告，且报告应完整有效。)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8.3剪切圆钢（Q235A材料）直径≥38mm，剪切钢板（Q235A材料）厚度≥20mm；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8.4最小扩张力≥55KN，最大扩张力≥210KN；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8.5最大牵拉力≥60KN；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8.6重量≤15.5kg；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9、液压撑顶器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9.2最大撑顶力≥310KN，撑顶行程≥390mm；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9.3闭合长度≤610mm，撑顶长度≥1055mm；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9.4重量≤14.5kg；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10、接口全部为优质单接口，可以带压插拔，接口采用机械螺纹旋转式连接，连接安全可靠；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11、液压机动泵采用径向柱塞泵，更加高效，使用、维修更方便；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12、液压扩张器、液压剪扩器，具有鲨鱼齿扩张头，具有良好的撕裂效果；按压式机械设计插取便于更换扩张头；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13、液压扩张器在扩张臂下内置挤压盘；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14、液压撑顶器活塞杆末端配有防滑齿，防滑齿可在360度范围内任意旋转；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15、工具头使用星形手控阀，救援人员能轻松操作；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16、液压油管每根长度≥10m，采用双油管单接口连接，机械螺</w:t>
            </w:r>
            <w:r>
              <w:rPr>
                <w:rFonts w:hint="eastAsia" w:ascii="宋体" w:hAnsi="宋体" w:eastAsia="宋体" w:cs="宋体"/>
                <w:i w:val="0"/>
                <w:iCs w:val="0"/>
                <w:color w:val="000000"/>
                <w:sz w:val="21"/>
                <w:szCs w:val="21"/>
                <w:highlight w:val="none"/>
                <w:u w:val="none"/>
              </w:rPr>
            </w:r>
            <w:r/>
          </w:p>
        </w:tc>
      </w:tr>
      <w:tr>
        <w:trPr>
          <w:trHeight w:val="263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机动链锯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1、符合GB/T5392-2004《林业机械油锯》标准要求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2、发动机气缸排量≥50cm³；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3、功率≥2.4 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4、怠速≥2700 rpm；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5、功率转速≥9000 rpm；                                                                                                                                      6、燃油箱容量≥0.45 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7、链条润滑油箱容量≥0.25 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8、链条长度≥18寸；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9、净重量（不含导板链条）≤5.5KG。</w:t>
            </w:r>
            <w:r>
              <w:rPr>
                <w:rFonts w:hint="eastAsia" w:ascii="宋体" w:hAnsi="宋体" w:eastAsia="宋体" w:cs="宋体"/>
                <w:i w:val="0"/>
                <w:iCs w:val="0"/>
                <w:color w:val="000000"/>
                <w:sz w:val="21"/>
                <w:szCs w:val="21"/>
                <w:highlight w:val="none"/>
                <w:u w:val="none"/>
              </w:rPr>
            </w:r>
            <w:r/>
          </w:p>
        </w:tc>
      </w:tr>
      <w:tr>
        <w:trPr>
          <w:trHeight w:val="176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无齿锯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1、功率≥3.7kw；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2、汽缸排量≥74CC；                                                                                                     </w:t>
            </w:r>
            <w:r>
              <w:rPr>
                <w:rFonts w:hint="eastAsia" w:ascii="宋体" w:hAnsi="宋体" w:eastAsia="宋体" w:cs="宋体"/>
                <w:i w:val="0"/>
                <w:iCs w:val="0"/>
                <w:color w:val="000000"/>
                <w:sz w:val="21"/>
                <w:szCs w:val="21"/>
                <w:highlight w:val="none"/>
                <w:u w:val="none"/>
                <w:lang w:val="en-US" w:eastAsia="zh-CN" w:bidi="ar"/>
              </w:rPr>
              <w:t xml:space="preserve">                                         3、锯片最大直径≥350mm；                                                                                                                            4、最大切割深度≥125mm；                                                             </w:t>
            </w:r>
            <w:r>
              <w:rPr>
                <w:rFonts w:hint="eastAsia" w:ascii="宋体" w:hAnsi="宋体" w:eastAsia="宋体" w:cs="宋体"/>
                <w:i w:val="0"/>
                <w:iCs w:val="0"/>
                <w:color w:val="000000"/>
                <w:sz w:val="21"/>
                <w:szCs w:val="21"/>
                <w:highlight w:val="none"/>
                <w:u w:val="none"/>
                <w:lang w:val="en-US" w:eastAsia="zh-CN" w:bidi="ar"/>
              </w:rPr>
              <w:t xml:space="preserve">                                                                               5、油箱容量≥0.9L                                                                                                                                                 6、重量（不包括切割设备）≤10.5kg；</w:t>
            </w:r>
            <w:r>
              <w:rPr>
                <w:rFonts w:hint="eastAsia" w:ascii="宋体" w:hAnsi="宋体" w:eastAsia="宋体" w:cs="宋体"/>
                <w:i w:val="0"/>
                <w:iCs w:val="0"/>
                <w:color w:val="000000"/>
                <w:sz w:val="21"/>
                <w:szCs w:val="21"/>
                <w:highlight w:val="none"/>
                <w:u w:val="none"/>
              </w:rPr>
            </w:r>
            <w:r/>
          </w:p>
        </w:tc>
      </w:tr>
      <w:tr>
        <w:trPr>
          <w:trHeight w:val="6145"/>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钢筋速断器</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1、满足GB 32460-2015消防应急救援装备破拆机具通用技术条件及CB/T 17906-2021消防应急救援装备液压破拆工具通用技术条件；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2、手持式钢筋速断器自带电池液压泵，简单易用；把手处配有夜间照明LED灯，方便光线暗的场所使用；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3、头部或机身可360°旋转，电池为平推式，带有电量分段显示功能灯，断刀刃四面可用，配辅助把手，刀口回收设计，保证操作的安全，配有夜间照明LED灯，可在夜间使用；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4、在动力电路导线和保护联结电路之间施加500v d.c时测得的绝缘电阻不小于190MΩ；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5、质量（含电池）：≤8kg；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6、行程：≥21mm；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7、剪切力：≥200kN；功率：≥140w；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8、锂电电池容量：≥3.6Ah，电压：≥19V；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9、充电时间：≤30分钟；剪断一次钢筋速度(18mm螺纹钢)：≤4秒；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10、最大切割：≥19mm（ 螺纹钢），≥20mm（SD345异形钢筋），≥20*18mm（平条）；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11、配件：主机1台、充电器1个、锂电池2块、工具袋1包、备用油壶1瓶，工具箱1个；</w:t>
            </w:r>
            <w:r>
              <w:rPr>
                <w:rFonts w:hint="eastAsia" w:ascii="宋体" w:hAnsi="宋体" w:eastAsia="宋体" w:cs="宋体"/>
                <w:i w:val="0"/>
                <w:iCs w:val="0"/>
                <w:color w:val="000000"/>
                <w:sz w:val="21"/>
                <w:szCs w:val="21"/>
                <w:highlight w:val="none"/>
                <w:u w:val="none"/>
              </w:rPr>
            </w:r>
            <w:r/>
          </w:p>
        </w:tc>
      </w:tr>
      <w:tr>
        <w:trPr>
          <w:trHeight w:val="58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无火花工具</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1、用于在易燃、易爆事故现场的手动作业。在易燃气体空间，冲（撞）击、摩擦、落锤均不产生火花爆炸，并配备工具箱/包；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2、用铜合金制成；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3、符合GB10686-2013《铜合金工具防爆性能试验方法》标准要求；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二、配置明细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4、活动扳手各≥1把；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5、防爆呆扳手≥3把；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6、防爆梅花扳手≥3把；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7、大、小十字螺丝刀各≥1把；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8、大、小一字螺丝刀各≥1把；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9、防爆管钳≥1把；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10、F-扳手≥1把；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11、平口扁铲≥1把；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12、尖头錾子≥1把；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13、平头錾子≥1把；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14、木炳铜丝刷≥1把；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15、克丝钳≥1把；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16、尖嘴钳≥1把；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17、手锯≥1把；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18、圆头锤≥1把；</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手动破拆工具组</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1、需符合GB 32459-2015消防应急教援装备手动破拆工具通用技术条件手动破拆工具组试验大纲；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2、工具组包含伸缩冲击杆1副，金属切割器1副，长扁凿1副，短扁凿1副，长尖凿1副，短尖凿1副，破锁锤1副，平凿1副，铝合金箱1个；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3、单件手动破拆工具质量：≤10kg；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4、伸缩冲击杆长度：640±5mm，质量：≤5kg；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5、金属切割器长度：310±5mm，质量：≤1.5kg；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6、长扁凿长度：450±5mm，质量：≤1.5kg；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7、短扁凿长度：270±5mm，质量：≤1kg；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8、长尖凿长度：480±5mm，质量：≤1.5kg；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9、短尖凿长度：280±5mm，质量：≤1kg；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10、破锁锤长度：310±5mm，质量：≤2kg；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11、平凿长度：450±5mm，质量：≤1.5kg；</w:t>
            </w:r>
            <w:r>
              <w:rPr>
                <w:rFonts w:hint="eastAsia" w:ascii="宋体" w:hAnsi="宋体" w:eastAsia="宋体" w:cs="宋体"/>
                <w:i w:val="0"/>
                <w:iCs w:val="0"/>
                <w:color w:val="000000"/>
                <w:sz w:val="21"/>
                <w:szCs w:val="21"/>
                <w:highlight w:val="none"/>
                <w:u w:val="none"/>
              </w:rPr>
            </w:r>
            <w:r/>
          </w:p>
        </w:tc>
      </w:tr>
      <w:tr>
        <w:trPr>
          <w:trHeight w:val="293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绝缘剪断钳</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1、需符合GB/T 230.1-2018 金属材料 洛氏硬度试验第1部分:试验方法绝缘剪断钳试验大纲；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2、用于事故现场电线电缆或其他带电体的剪切，减小触电危险；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3、施加电压DC500V时，绝缘电阻＞500MΩ；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4、重量：≤2.5kg；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5、剪断能力：Q235A圆钢φ≥12mm，电线电缆φ≥16mm；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6、长度≤800mm；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7、开口距离≥20mm；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8、配件：配置绝缘剪断钳1套；</w:t>
            </w:r>
            <w:r>
              <w:rPr>
                <w:rFonts w:hint="eastAsia" w:ascii="宋体" w:hAnsi="宋体" w:eastAsia="宋体" w:cs="宋体"/>
                <w:i w:val="0"/>
                <w:iCs w:val="0"/>
                <w:color w:val="000000"/>
                <w:sz w:val="21"/>
                <w:szCs w:val="21"/>
                <w:highlight w:val="none"/>
                <w:u w:val="none"/>
              </w:rPr>
            </w:r>
            <w:r/>
          </w:p>
        </w:tc>
      </w:tr>
      <w:tr>
        <w:trPr>
          <w:trHeight w:val="263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消防斧</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1、消防斧应符合《GA138-2010》执行标准；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2、总长≥910mm，重量≤2.1kg；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3、斧头长度≤180mm，斧刃宽度≤110mm，斧顶厚度≤26mm；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4、斧柄采用包塑手柄，斧头材质高碳钢锻造而成，经淬火硬度HRC48-55之间，可一次性砍断10mmQ235A热轧圆钢；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5、消防斧金属部分经中性盐雾试验48h后，外观应符合GB/T6461-2002中外观评级（RA）为“-/5VSA”的要求；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6、具备砍、剁等功能，是消防破拆中不可少的工具之一。</w:t>
            </w:r>
            <w:r>
              <w:rPr>
                <w:rFonts w:hint="eastAsia" w:ascii="宋体" w:hAnsi="宋体" w:eastAsia="宋体" w:cs="宋体"/>
                <w:i w:val="0"/>
                <w:iCs w:val="0"/>
                <w:color w:val="000000"/>
                <w:sz w:val="21"/>
                <w:szCs w:val="21"/>
                <w:highlight w:val="none"/>
                <w:u w:val="none"/>
              </w:rPr>
            </w:r>
            <w:r/>
          </w:p>
        </w:tc>
      </w:tr>
      <w:tr>
        <w:trPr>
          <w:trHeight w:val="263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丁字镐</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1、采用高碳钢模具锻压，两端高频淬火硬度达到50HRC，可以创铁丝、水泥地面镐头不倦刃，不蹦口。手柄为高档TPR材料制作，里面是纤维(硬度超强不易断裂)外表注塑尾部注橡胶手感舒适，坚固耐用；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2、结构:一头尖一头扁；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3、材质:高碳钢；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4、尺寸:全长≥90cm；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5、镐头长50cm，镐面宽4cm，镐头重1.5kg；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6、总重量:≤3KG。</w:t>
            </w:r>
            <w:r>
              <w:rPr>
                <w:rFonts w:hint="eastAsia" w:ascii="宋体" w:hAnsi="宋体" w:eastAsia="宋体" w:cs="宋体"/>
                <w:i w:val="0"/>
                <w:iCs w:val="0"/>
                <w:color w:val="000000"/>
                <w:sz w:val="21"/>
                <w:szCs w:val="21"/>
                <w:highlight w:val="none"/>
                <w:u w:val="none"/>
              </w:rPr>
            </w:r>
            <w:r/>
          </w:p>
        </w:tc>
      </w:tr>
      <w:tr>
        <w:trPr>
          <w:trHeight w:val="731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挠钩</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1、可用于消防灭火，救援，配备10种工作头，可对障碍物进行抓取，破拆，剪断等操作的单件手动破拆工具；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2、产品需符合GB 32459-2015 消防应急救援装备手动破拆工具通用技术条件多功能挠钩试验大纲；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3、单件手动破拆工具质量：≤10kg；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4、消防木榔头，可用于击碎灾害现场的窗户玻璃，可作为无火花工具使用，质量：≤1kg；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5、消防锹可用于清理灾害现场的杂物，质量：≤1.5kg；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6、消防爪耙可用于清理灾害现场的杂物，质量：≤1.5kg；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7、链刀锯可锯断劈断一定高度的易坠落物，易坍塌物和构件，质量：≤0.5kg；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8、消防剪可对灾害现场的电线、树枝、连接线、各类带子进行剪切，质量：≤1.5kg；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9、单爪挠钩可用于破拆吊顶，钩拉电线，质量：≤1.5kg；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10、双爪无头挠钩可用于破拆吊顶，钩拉电线，质量：≤1.5kg；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11、双爪钩耙可用于临时支撑易坍塌的危险场所的门框，窗户和其他构件，质量：≤1kg；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12、双爪挠钩可用于攀爬登高，质量：≤1.5kg；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13、消防斧可劈可撬，可以劈开门窗及木质障碍物，可撬开地板，箱，柜，门，窗，天花板，护墙板，水泥墙板，栅栏，铁锁等，对缝隙较小的情况，也可以先劈开一条缝再撬，也可敲碎窗玻璃，质量：≤1.5kg；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14、延长杆杆部至少为3节，质量：≤1.5kg，手柄≤1.5kg；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15、挠钩连接件抗拉离性能：≥12000N；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16、登高钩连接件抗拉离性能：≥12000N；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17、操作手柄抗压强度：≥15000N；</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哈里根铁铤</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1、产品符合GB 32459-2015消防应急救援装备手动破拆工具通用技术条件哈利根铁铤试验大纲；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2、铸件表面光洁无裂纹，无气孔，无缩孔，无砂眼等缺陷；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3、单件手动破拆工具重量：≤10kg；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4、凿击能力：撬斧尖刃能凿穿厚度1.5mm的Q235A钢板，且刃口应无明显崩刃和开裂；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5、切割能力：撬斧切割部位应能切割厚度1.5mm的Q235A钢板，且刃口应无明显崩刃和开裂；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6、手柄受力：600-800kN；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7、撬门力：≥4kN；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8、撬锁力：≥10kN；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9、拔钉力：≥10kN；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10、长度：≤850mm；</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便携式防盗门破拆工具组</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1、便携式防盗门破拆工具组主要用于卷帘门、金属防盗门的破拆作业。包括液压泵、开门器、小型扩张器、撬棍等工具；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2、需符合GB/T 17906-2021 消防应急救援装备液压破拆工具通用技术条件，GB 28735-2012 防用开门器，GB 32459-2015消防应急救援装备手动破拆工具通用技术条件 便携式防盗门破拆工具组试验大纲；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3、液压手动泵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3.1额定压力：≥70MPa；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3.3额定输出流量：0.9ml/次；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3.4低压输出压力：≥1Mpa；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3.5低压输出流量：5ml/次；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3.6手柄力：≤300N；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3.7质量：≤10kg（含液压管）；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4、液压开门器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4.1额定开启力：≥60KN；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4.2开启距离：≥100mm；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4.4闭合长度：≤250mm；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4.5最大开启高度：≥370mm；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4.6最大挺举力：≥60N；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4.7质量：≤5kg；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5、撬棍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5.1质量：≤5kg；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5.2长度：≥440mm；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6、液压扩张器（可选配）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6.1工作压力：≥65MPa；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6.2扩张距离：≥150mm；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6.3扩张力：≥50KN；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6.4重量：≤10kg；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7、液压速断器（可选配）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7.1工作压力：≥65MPa；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7.2开口距离：≥20mm；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7.3剪切力：≥φ15mm（Q235A圆钢）；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8、微型剪切器（可选配）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8.1工作压力：≥65MPa；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8.2开口距离：≥50mm；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8.3剪切力：≥φ16mm（Q235A圆钢）；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8.4明示剪切力：≥120KN；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8.5重量：≤10kg；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9、油管：长度≥2m；</w:t>
            </w:r>
            <w:r>
              <w:rPr>
                <w:rFonts w:hint="eastAsia" w:ascii="宋体" w:hAnsi="宋体" w:eastAsia="宋体" w:cs="宋体"/>
                <w:i w:val="0"/>
                <w:iCs w:val="0"/>
                <w:color w:val="000000"/>
                <w:sz w:val="21"/>
                <w:szCs w:val="21"/>
                <w:highlight w:val="none"/>
                <w:u w:val="none"/>
              </w:rPr>
            </w:r>
            <w:r/>
          </w:p>
        </w:tc>
      </w:tr>
      <w:tr>
        <w:trPr>
          <w:trHeight w:val="585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毁锁器</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1、可在3min内破坏锁芯打开防盗门，配合辅助工具可打开90%以上常见防盗门锁；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2、需符合GB/T 2423.1-2008 电工电子产品环境试验 第2部分:试验方法 试验A:低温和GB/T 2423.2-2008 电工电子产品环境试验 第2部分:试验方法 试验B:高温 毁锁器试验大纲；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3、重量：≤10kg（含毁锁器主体，配件，包装）；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4、明示低档转速一级齿轮：0-450r/min，二级齿轮：0-1400r/min，三级齿轮：0-1800r/min；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5、明示高档转速一级齿轮：0-7650r/min，二级齿轮：0-23800r/min，三级齿轮：0-30600r/min；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6、明示最大扭矩：47Nm；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7、明示电钻夹头能力：0-13mm；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8、明示最大钻孔深度：钢材13mm，木材45mm，混凝土14mm；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9、质量（不含电池组）：≤2kg；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10、锂电池组：明示直流电池，电压18V,电池容量：2.4Ah，质量≤1kg，单块电池使用时间≥1h；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11、充电器：明示充电电源要求：230VAC 50Hz，明示充电时间：60min，质量≤0.5kg；</w:t>
            </w:r>
            <w:r>
              <w:rPr>
                <w:rFonts w:hint="eastAsia" w:ascii="宋体" w:hAnsi="宋体" w:eastAsia="宋体" w:cs="宋体"/>
                <w:i w:val="0"/>
                <w:iCs w:val="0"/>
                <w:color w:val="000000"/>
                <w:sz w:val="21"/>
                <w:szCs w:val="21"/>
                <w:highlight w:val="none"/>
                <w:u w:val="none"/>
              </w:rPr>
            </w:r>
            <w:r/>
          </w:p>
        </w:tc>
      </w:tr>
      <w:tr>
        <w:trPr>
          <w:trHeight w:val="2929"/>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手持数字台</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1频率范围：350-400MHz；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2信道容量：≥1024；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3频率稳定度：≤±0.5ppm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4电池容量：≥2800mAh；电池平均工作时间（5-5-90工作循环，高功率发射）：打开定位≥25h；关闭定位≥29h；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5输出功率：＜3.5W；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6对讲机须具备良好的防水防尘功能，防尘防水等级≥IP68；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7对讲机须内置定位模块，支持北斗定位模式；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8对讲机须具有大屏显示，屏幕尺寸≥2.4英寸；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9为保证对讲机良好的接收性能，对讲机数字静态接收灵敏度须≤-124dBm（或≤0.14μV）（BER5%）。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10对讲机须内置蓝牙模块，能够支持蓝牙耳机、手咪等多种配件，蓝牙协议版本不低于Bluetooth V5.0；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11对讲机须支持导水功能，流入到麦克风和喇叭里的水可以快速流出，保证对讲机音质清晰、声音响亮。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12对讲机须支持智能降噪功能，保证对讲机在各种嘈杂环境下都能提供清晰的语音，噪声抑制能力不小于30dB。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13在直通模式下，对讲机在近距离1.2米时通话，彼此不会产生信号干扰。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14对讲机须支持防爆电池识别功能，插上非原装防爆电池时，终端开机应有相应提示，且终端应无法发射和接收。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15对讲机须支持电池信息上传功能：支持 USB 连接上传电池信息给移动设备管理系统，电池信息含电池别名、序列号、设计容量、充满容量、剩余电量、充放电循环次数、电压、温度、健康度、电池状态(充电/放电)。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对讲机须支持双集群功能：在集群模式下，(1)终端可同时配置两套数字集群相互独立的参数，如拨号方案、联系人、对讲机ID、扫描参数、固定信道列表等；(2)终端支持通过旋钮在两套数字集群间进行切换，且不会重启；(3)终端应支持两套集群之间自动切换，且不会重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17★符合当地公安数字集群系统及其他在用系统和平台的接入要求，并负责具体接入工作，后续为应急370M提供升级服务（提供承诺函加盖公章（格式自拟））。</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运动相机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1、主摄像头像素:≥998万；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2、支持广角拍摄；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3、镜头防抖类型:电子防抖；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4、续航时间:≥160min；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5、10-bit 色深在普通视频 HEVC 编码格式和 D-Log M 色彩模式下可用；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6、静止延时摄影和慢动作模式下，支持 16:9比例的 1080p/2.7K视频(≤60fps)；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7、裸机防水≥18米；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8、使用环境-20℃-45℃；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9、配备:耐寒增强续航电池1套、快充线1套、曲面粘接底座1套、快拆转接件1套。</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双光无人机</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包含：主机、备用电池2块、4G模块、喊话器、照明灯、不低于100保额第三者责任险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裸机重量≤1220 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最大起飞重量≤1450克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 320 毫米，宽 390 毫米，高 155毫米（展开）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轴距：≤450 毫米（对角线）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最大上升速度≥6米/秒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最大下降速度≥6米/秒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最大水平飞行速度（海平面附近无风）≥21 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最大抗风速度≥12 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最大起飞海拔高度≥6000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最长飞行时间≥45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最大续航里程≥30公里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GNSS支持GPS + Galileo + BeiDou + GLONASS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悬停精度：垂直：±0.1 米（视觉定位正常工作时）；±0.5 米（GNSS 正常工作时）；±0.1 米（RTK 正常工作时）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水平：±0.3 米（视觉定位正常工作时）；±0.5 米（高精度定位系统正常工作时）；±0.1 米（RTK 正常工作时）"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相机类型：具有长焦可见光、中长焦可见光、广角可见光和红外热成像相机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广角相机像素：具备广角相机，有效像素不低于4800万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中长焦相机CMOS 具备中长焦相机，相机CMOS不低于1/1.3英寸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中长焦相机像素数不低于4800万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长焦相机CMOS具备长焦相机，相机CMOS不低于1/1.5英寸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长焦相机像素数不低于4800万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可见光相机变焦倍数不低于112倍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红外传感器分辨率≥640*512，超分模式≥1280*1024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红外热成像测温方式支持点测温和区域测温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红外热成像相机变焦倍数支持28倍数码变焦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变焦方式支持可见光与红外热成像联动变焦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具备三轴机械增稳云台（俯仰、横滚、平移）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激光测距模块最远正入射量程1800m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红外补光支持近红外补光灯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工作频段支持2.4G、5.8G图传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地面站应采用触摸屏，屏幕显示分辨率≥1920*1080p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地面站4G增强图传要控制支持4G增强图传模块，支持eSIM卡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地面站重量不超过1.2kg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接口支持HDMI，SD，Type-C，PD，USB-A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地面站防护等级不低于IP54防护等级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电池容量≥6000毫安时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电池重量≤420g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电池循环次数≥200次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电池重量≤95克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喊话器尺寸≤长 75 毫米，宽 75 毫米，高 60 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最大功率≥15 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最大响度1 米处≥ 110分贝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有效广播距离≥300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重量≤100克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照明灯尺寸 ≤长 100毫米，宽180 毫米，高 40 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最大功率≥30瓦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照度≥4lux @ 100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有效照明角度≥20°（10% 相对照度）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有效照明面积≥2000 平方米@100 米（10% 相对照度，广视野模式）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工作方式支持常亮、爆闪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工作环境温度-20℃ 至 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需包含主机、3块电池、遥控器、4G模块、照明灯、喊话器、一年机身险，不低于100保额的第三者责任险</w:t>
            </w:r>
            <w:r>
              <w:rPr>
                <w:rFonts w:hint="eastAsia" w:ascii="宋体" w:hAnsi="宋体" w:eastAsia="宋体" w:cs="宋体"/>
                <w:i w:val="0"/>
                <w:iCs w:val="0"/>
                <w:color w:val="000000"/>
                <w:sz w:val="21"/>
                <w:szCs w:val="21"/>
                <w:highlight w:val="none"/>
                <w:u w:val="none"/>
              </w:rPr>
            </w:r>
            <w:r/>
          </w:p>
        </w:tc>
      </w:tr>
      <w:tr>
        <w:trPr>
          <w:trHeight w:val="2216"/>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佩戴式防爆照明灯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1、额定电压：≥DC3.7V；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2、额定容量：≥1.8Ah；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3、光源功率：3W；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4、连续放电时间：强光≥4h. 工作光≥8h；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5、充电时间：≤5h；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6、重量：≤110g(含支架)；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7、外形尺寸：≤φ25×120mm；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8、外壳防护等级：IP66/IP68；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9、照度：强光≥2000 lx.  弱光≥990 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10、本质安全型防爆等级可达到Ex ib IIC T4，可满足I区、II区安全工作的要求；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11、灯具防爆性能应符合GB3836.1-2010的要求，确保灯具在易燃易爆场所使用的安全性；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12、灯具在水下5m环境下可正常使用1小时；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13、选材铜基板设计，可大幅提升LED光源散热性能，提升光源使用寿命及光效；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灯具尾部需有大开关设计，满足佩戴手套进行灯具的开关操作和强弱爆闪光的切换。尾部开关同时具有信号指示作用，当灯具打开时，尾部开关为红色信号指示灯，可视距离大于需100m，可为后方人员提供警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15、灯具需具有清晰的4段式LED电量指示装置，可实时显示电池电量剩余情况及充电进行状态；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16、充电口需采用type-C 充电接口，适用所有USB输出端口进行充电，方便快捷；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17、灯具充电器应采用插头与交直流转换器分离式结构，且灯具或充电器应设置冲、放电保护电路，确保灯具充电时的安全性；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18、灯具需在低温-25度与高温55度下使用2小时，能正常进行开、关以及强弱光的切换，需在国家级检测报告中体现；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19、具备8种以上不同类型的头盔支架，以确保主流头盔的配对使用；</w:t>
            </w:r>
            <w:r>
              <w:rPr>
                <w:rFonts w:hint="eastAsia" w:ascii="宋体" w:hAnsi="宋体" w:eastAsia="宋体" w:cs="宋体"/>
                <w:i w:val="0"/>
                <w:iCs w:val="0"/>
                <w:color w:val="000000"/>
                <w:sz w:val="21"/>
                <w:szCs w:val="21"/>
                <w:highlight w:val="none"/>
                <w:u w:val="none"/>
              </w:rPr>
            </w:r>
            <w:r/>
          </w:p>
        </w:tc>
      </w:tr>
      <w:tr>
        <w:trPr>
          <w:trHeight w:val="7898"/>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手提式强光照明灯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1、电池额定电压：7.2V；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2、电池额定容量：5Ah；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3、光源(LED):额定功率：6W；平均使用寿命：10万小时；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4、连续照明时间：强光：≥5h，工作光：≥10h，并具备SOS灯光信号报警功能，增强救援人员的安全保障；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5、充电时间：≥5h；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6、外形尺寸：φ69.5*273 ( ±3)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7、外壳采用高强度合金材质，透明件采用10mm厚优质钢化玻璃，重量不超过0.75Kg；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8、灯具采用密封设计，防护等级达到消防照明装备最高防护等级IP66/68,可在水下30m持续使用30min；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9、灯具的防爆性能应符合GB3836. 1-2010的要求，Ex ib IIC T6隔爆型防爆设计，适合在1区、2区各种易燃易爆场所使用；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10、采用表面真空电镀镜面铝反光杯，光效高，照射距离远。灯具照度强光平均值照度≧2200lx，强光最小值≧1300lx。弱光平均值≧1200lx，弱光最小值≧790lx；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11、灯具在具备低电量警示功能的同时，可通过开关查询灯具剩余电量。低电压报警时间：强光14s，弱光14s。低电压状态下连续工作时间/min：强光≥15min，弱光&gt;≥30min；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12、耐温性能耐温性能：低温-25±2℃下，高温55±2℃的情况下，灯具可持续使用2小时；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13、采用霍尔磁性开关，灯体一次成型，增加灯体的防护性能；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14、灯具的开关经50000次可靠性试验后应保持完好，且灯具应能正常点亮并实现强、弱光切换；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15、灯具的明显位置处应有清晰且与灯具为一体的标志，包括以下内容：产品名称；产品型号；防护等级（等级为IP66/IP68时，需标注潜水深度和持续时间）；防爆标志；生产日期；产品编号；生产厂名称；</w:t>
            </w:r>
            <w:r>
              <w:rPr>
                <w:rFonts w:hint="eastAsia" w:ascii="宋体" w:hAnsi="宋体" w:eastAsia="宋体" w:cs="宋体"/>
                <w:i w:val="0"/>
                <w:iCs w:val="0"/>
                <w:color w:val="000000"/>
                <w:sz w:val="21"/>
                <w:szCs w:val="21"/>
                <w:highlight w:val="none"/>
                <w:u w:val="none"/>
              </w:rPr>
            </w:r>
            <w:r/>
          </w:p>
        </w:tc>
      </w:tr>
      <w:tr>
        <w:trPr>
          <w:trHeight w:val="1385"/>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移动式照明灯组</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1、结构组成：灯头组件、升降杆组件、灯头罩组件、按键盒组件、支腿组件、滑柄组件、电池组件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2、主要应用场景：消防灭火救援及事故、灾害现场大范围移动全景照明。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3、检测依据：GB 26755-2011《消防移动式照明装置》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4、外观质量：照明装置表面应无锈蚀，涂覆层无剥 落或起泡现象，无划伤，龟裂破损等 机械损伤，各紧固部位无松动。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5、绝缘电阻：≥100MΩ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6、耐压强度：试验后应无击穿、闪络现象。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7、高温试验、低温试验、恒定湿热试验、雨淋试验、振动试验：试验后，照明装置应能正常工作。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8、升降时间：升降高度不大于5m，上升时间≤45s，下降时间≦30s。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9、限位性能：1h内升降杆下滑应不超过6cm。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10、抗弯性能：在承受一定的水平拉力后，不得产生永久性变形。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11、水平回转角：≥360°，俯仰角≥60°。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12、绝缘性能：在常温环境下，灯具带电端子与外壳间的绝缘电阻应不小于20MΩ，交变湿热试验后应不小于5MΩ。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13、照度：强光工作下：1 米中心照度(单向)≧40000lx，5 米中心照度(单向)≧2400lx，10 米中心照度(单向)≧590lx。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14、连续工作时间：弱光≧10h，工作光≧6 h，强光≧4h。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15、防护性能≧IP66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16、标志：产品合适的位置上应设有铭牌，标记以下内容：a)制造厂名；b)产品名称；c)产品型号；d)制造日期；e)执行标准代号。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17、防爆型式为增安、本安、 浇封复合型，防爆标志： Ex eb ib mb IICT5 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18、额定电压≧DC22.2V。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19.额定功率:LED灯≧180W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20.电池使用寿命：≥500次循环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21、充电时间：＜5 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22、配用专用的背包及背带便于运输和存放。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23、照明、警示、手机APP控制功能，灯具亦可通过手机APP与灯具蓝牙连接实现灯具开关/调光，警示灯亮灭、无级调光、查看灯具剩余电量等操控动作。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24、红蓝警示灯的警示效果明显,晴朗天气（夜晚）下可视距离≥1公里。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25、使用外接适配器可接入220V电源，可实现长时间工作。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26、三灯头设计，照射角度可调节，可实现单向及环形照明，配备高亮度警示灯，在提供现场作业照明同时增强作业保障能力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27、收缩尺寸≤250mm×250mm×1200mm，最大升起高度3.5m。重量≤15kg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28、灯具配备三角支腿，稳定性强，支腿可通过把一步部署与回收，并配用专用的包装箱便于运输和存放</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1、设备符合XF/635-2023消防标准；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2、探测器分辨率≥380*280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3、视场角≥52°x39°；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4、数字变倍1x-4x；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5、显示屏≥3.5寸耐高温TFT LCD显示屏；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6、两个温度条动态显示，便于消防员直观了解目标温度范围；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7、视频格式：可录制MPEG格式视频；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8、图片格式：具备拍照功能，带温度数据的JPG格式；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9、图像储存：内置SD卡，支持本地删除视频图片；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10、测温范围：-40℃~+1200℃；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11、测温精度：高灵敏度模式(-20℃~+250℃):±2℃或读数的2%，低灵敏度模式(+250℃~+1200℃):±10℃或读数的10%；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12、电池类型：耐高温、防爆可充电锂离子电池，符合Uo：4.3V Io：1.0A。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13、连续稳定工作时间≥6小时；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14、工作环境温度：＜80℃可长时间工作，80℃时可工作30分钟，120℃时可工作10分钟，260℃时可工作5分钟；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15、存储温度：-40℃~+70℃；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16、防护等级：IP67，可耐受浸入2米深水中正常工作30分钟。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17、抗冲击25G，抗振动2.5G；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18、最大探测距离：≥300m；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19、接口：充电、数据传输、视频输出为复合接口；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20、重量≤1.2kg。</w:t>
            </w:r>
            <w:r>
              <w:rPr>
                <w:rFonts w:hint="eastAsia" w:ascii="宋体" w:hAnsi="宋体" w:eastAsia="宋体" w:cs="宋体"/>
                <w:i w:val="0"/>
                <w:iCs w:val="0"/>
                <w:color w:val="000000"/>
                <w:sz w:val="21"/>
                <w:szCs w:val="21"/>
                <w:highlight w:val="none"/>
                <w:u w:val="none"/>
              </w:rPr>
            </w:r>
            <w:r/>
          </w:p>
        </w:tc>
      </w:tr>
      <w:tr>
        <w:trPr>
          <w:trHeight w:val="8190"/>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有毒气体探测仪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1、结构组成：四合一气体探测仪主机、内置四种传器、10m抗静黑色电橡胶软管、充电套装（电池仓及充电器）；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2、主要应用场景：用于火灾或泄露、受限空间等救援现场有毒有害气体探测；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3、安装催化燃烧式、电化学等传感器，可检测可燃气体、O2、CO、H2S、NO2、SO2。根据采购人需求，提供4种传感器；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4、催化燃烧式传感器同时具有0-100%LEL和0-5%Vol CH4两个量程，无需更换传感器即可在两个量程自由切换，T90＜11s，检测误差≤±1 %LEL(50 %LEL)，寿命大于4年；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5、催化燃烧传感器可检测多种可燃性气体，内置可检测气体库，可设置测量气体、校准气体和功能测试气体，并可以显示被检测气体名称，如甲烷、丙烷、丙烯、氢气等；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6、催化燃烧式可燃气体传感器具有高抗中毒性：H2S 1000ppmh≤±2%（灵敏度）；HMDS  10ppmh≤±5%（灵敏度）；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7、当可燃气单位显示为%Vol时，分辨率为0.01%Vol（可扩展为0.001%Vol），报警值可设定为0.2%Vol和0.5%Vol，满足动火作业及受限空间使用需求；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8、O2为独立传感器，量程0-25%Vol，分辨率0.1%Vol，T90＜10s，检测误差≤±1%（检测值），寿命大于5年；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9、CO为独立传感器，量程0-2000ppm，分辨率1ppm，T90＜15s，检测误差≤±2%（检测值），寿命大于5年；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10、H2S为独立传感器，量程0-100ppm，分辨率0.1ppm，T90＜15s，检测误差≤±5%（检测值），寿命大于5年；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11、NO2为独立传感器，量程0-50ppm，分辨率0.1ppm，T90＜15s，检测误差≤±2%（检测值），寿命大于2年；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12、SO2传感器量程0-100ppm，分辨率0.1ppm，T90＜15s，检测误差≤±2%（检测值），寿命大于3年；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13、屏幕可以调节显示测量气体的名称和浓度，有毒气体单位可以显示ppm和mg/m3，屏幕会自动根据安装传感器的数量调整气体浓度值的显示比例；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14、具有报警功能，提供声、光和振动报警，多音频，30厘米处≥90分贝；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15、具有数据存储能力，数据存储≥1000小时；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16、可在－40至50℃的温度范围内正常工作；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17、内置压力补偿元件，具有压力补偿功能，可用于700-1300百帕压力环境下，防止电解液泄漏；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18、具有较强的抗震和抗摔性能，整机有效抗跌落≥2米；通过滚筒测试，滚筒速率≥15rpm，测试时长≥60分钟；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19、具备扩散采样方式（泵吸采样方式可选配）。</w:t>
            </w:r>
            <w:r>
              <w:rPr>
                <w:rFonts w:hint="eastAsia" w:ascii="宋体" w:hAnsi="宋体" w:eastAsia="宋体" w:cs="宋体"/>
                <w:i w:val="0"/>
                <w:iCs w:val="0"/>
                <w:color w:val="000000"/>
                <w:sz w:val="21"/>
                <w:szCs w:val="21"/>
                <w:highlight w:val="none"/>
                <w:u w:val="none"/>
              </w:rPr>
            </w:r>
            <w:r/>
          </w:p>
        </w:tc>
      </w:tr>
      <w:tr>
        <w:trPr>
          <w:trHeight w:val="585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可燃气体探测仪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1、可燃气LEL：量程0-100%LEL或0-5%VOL，分辨率：1%LEL/0.1%VOL；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2、大小：≤ 11.3×6.0×3.1cm；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 190克；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4、温度： -25至+55℃；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5、湿度：0%-95%相对湿度（非冷凝）；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6、警报：-视觉、振动和声音（95分贝）； -低、高、STEL、TWA、OL（超限)；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7、测试：启动时的声音/视觉警报、传感器、电池和线路（不间断）；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8、电池寿命：18小时，6小时内即可充满电；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用户选项：提示音、可燃气体测量（%LEL或甲烷体积百分比）、设置STEL间隔、打开/关闭传感器、用户设定标准气浓度、锁定警报、安全显示模式、秘密模式、过期时强制校准、校准锁、低警报确认、启动时自动归零 、语言选择、Intelliflash技术、设置自定义启动消息、启动时O2自动校准、设置冲击测试间隔；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10、按钮：防篡改、单按钮操作；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11、震动：配有内置振动警报，适用于高噪声区；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12、电池：采用锂聚合电池供电；</w:t>
            </w:r>
            <w:r>
              <w:rPr>
                <w:rFonts w:hint="eastAsia" w:ascii="宋体" w:hAnsi="宋体" w:eastAsia="宋体" w:cs="宋体"/>
                <w:i w:val="0"/>
                <w:iCs w:val="0"/>
                <w:color w:val="000000"/>
                <w:sz w:val="21"/>
                <w:szCs w:val="21"/>
                <w:highlight w:val="none"/>
                <w:u w:val="none"/>
              </w:rPr>
            </w:r>
            <w:r/>
          </w:p>
        </w:tc>
      </w:tr>
      <w:tr>
        <w:trPr>
          <w:trHeight w:val="6437"/>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1、具备最大、最小值平均值温差测量功能，高温、低温报警功能，°C/F单位转换/数据存储功能，数据保持显示功能，激光定位/背光显示功能等；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2、测量温度范围：-50℃~1350℃（-58℉~2462℉）；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3、测量精度：-50℃~0℃(-58℉~32℉）±3℃；0℃~100℃(32℉~212℉) ±2℃；100℃~1000℃±2%；1000℃以上±3%；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4、重复性：1%或1℃；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5、响应时间：500mSec，95%响应；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6、响应波长：8-14um；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7、发射率：0.10~1.00可调；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8、测量物距比：50：1；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9、数据存储：≥250组；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10、显示屏尺寸：≥1.53英寸；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11、显示屏：LCD液晶屏（绿色背光灯）；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12、环境工作温度：0℃~40℃（32℉~104℉）；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13、相对湿度：10~95%RH不冷凝；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14、储存温度：-20℃~60℃（-4℉~140℉）；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15、电源：9V电池；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16、传感器类型：光传感器；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17、产品尺寸：≥155×59×200mm；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18、裸机重量：≥273g。</w:t>
            </w:r>
            <w:r>
              <w:rPr>
                <w:rFonts w:hint="eastAsia" w:ascii="宋体" w:hAnsi="宋体" w:eastAsia="宋体" w:cs="宋体"/>
                <w:i w:val="0"/>
                <w:iCs w:val="0"/>
                <w:color w:val="000000"/>
                <w:sz w:val="21"/>
                <w:szCs w:val="21"/>
                <w:highlight w:val="none"/>
                <w:u w:val="none"/>
              </w:rPr>
            </w:r>
            <w:r/>
          </w:p>
        </w:tc>
      </w:tr>
      <w:tr>
        <w:trPr>
          <w:trHeight w:val="6437"/>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测距仪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1、测量范围：4-1500m；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2、测距误差：±0.3m；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3、分辨率：≤0.1m；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4、测角功能：有；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5、测角范围：±60/±90°可选；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6、测角精度：±1°；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7、倍率：≥8X；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8、物镜口径：≥24mm；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9、目镜孔径：≥17mm；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10、出瞳直径：≤4mm；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11、视场：≥7°；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12、视度调节范围：±4屈光度；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13、显示方式：内置LCD·外置OLED液晶显示屏；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14、对焦方式：目镜手动调焦；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15、测速范围：0-300km/H；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16、测速精度：±5km/H；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17、数据存储：50组；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18、欠压提示：有；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19、触屏功能：有，可手动触屏操作测距功能等模式；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20、三脚架接口：标准；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21、电池型号：CR2/3V；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22、工作温度：-10℃一50℃；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23、产品重量：约200克；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24、测量模式：测距测角、单点测高、两点测高、水平测距、高尔夫模式、测速、面积测量、体积测量；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25、电池类型：CR2-3V锂电；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26、三脚架：1/4螺纹孔（标准相机脚架）；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27、包装清单：测距仪、便携包、CR2-3V电池*1、挂绳、镜布、说明书、保修卡、彩盒。</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漏电检测仪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1、符合GB/T 7261-2016《继电保护和安全自动装置基本试验方法》标准要求；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2、具有声光报警功能；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3、材质：高强度聚碳酸酯外壳及卡扣；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4、外形尺寸（mm）≤200X100X50；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5、开机方式：提拉式；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6、探测范围≥160°；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7、重量（g）≤450；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8、具有自检功能；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9、报警灯光颜色：红色或黄色；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10、报警音量(dB)≥100；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11、工作范围：220V~380V24000V及以上；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12、工作频率50/60(HZ)；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13、报警距离(mm)：200(220V)、800(380V)、1500(1000V)、7500(24000V)；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14、防水等级：≥IP68；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15、显示屏幕：高亮 OLED 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16、电池容量(mAh)：≥3000；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17、待机时间(h)≥ 240。</w:t>
            </w:r>
            <w:r>
              <w:rPr>
                <w:rFonts w:hint="eastAsia" w:ascii="宋体" w:hAnsi="宋体" w:eastAsia="宋体" w:cs="宋体"/>
                <w:i w:val="0"/>
                <w:iCs w:val="0"/>
                <w:color w:val="000000"/>
                <w:sz w:val="21"/>
                <w:szCs w:val="21"/>
                <w:highlight w:val="none"/>
                <w:u w:val="none"/>
              </w:rPr>
            </w:r>
            <w:r/>
          </w:p>
        </w:tc>
      </w:tr>
      <w:tr>
        <w:trPr>
          <w:trHeight w:val="102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警示锥</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1、纯橡胶制品，不怕撞击，耐压，能迅速回弹，不伤车伤人；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2、本体颜色：黑色/红色；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3、重量≤3.2kg；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4、尺寸：长≤340mm，宽≤340mm，高≤70mm。</w:t>
            </w:r>
            <w:r>
              <w:rPr>
                <w:rFonts w:hint="eastAsia" w:ascii="宋体" w:hAnsi="宋体" w:eastAsia="宋体" w:cs="宋体"/>
                <w:i w:val="0"/>
                <w:iCs w:val="0"/>
                <w:color w:val="000000"/>
                <w:sz w:val="21"/>
                <w:szCs w:val="21"/>
                <w:highlight w:val="none"/>
                <w:u w:val="none"/>
              </w:rPr>
            </w:r>
            <w:r/>
          </w:p>
        </w:tc>
      </w:tr>
      <w:tr>
        <w:trPr>
          <w:trHeight w:val="1471"/>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隔离警示带</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1、适应于作为警戒隔离用的标志物；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2、颜色为黄色和白色组合，拉手可自由伸缩，警示效果好；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3、规格:长≥100m,宽≥5cm；                                             4、外观:印有“消防救援”等字样。</w:t>
            </w:r>
            <w:r>
              <w:rPr>
                <w:rFonts w:hint="eastAsia" w:ascii="宋体" w:hAnsi="宋体" w:eastAsia="宋体" w:cs="宋体"/>
                <w:i w:val="0"/>
                <w:iCs w:val="0"/>
                <w:color w:val="000000"/>
                <w:sz w:val="21"/>
                <w:szCs w:val="21"/>
                <w:highlight w:val="none"/>
                <w:u w:val="none"/>
              </w:rPr>
            </w:r>
            <w:r/>
          </w:p>
        </w:tc>
      </w:tr>
      <w:tr>
        <w:trPr>
          <w:trHeight w:val="176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线盘</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1、功能：用于灾害现场用电设备的延长线；                                                                                                                      </w:t>
            </w:r>
            <w:r>
              <w:rPr>
                <w:rFonts w:hint="eastAsia" w:ascii="宋体" w:hAnsi="宋体" w:eastAsia="宋体" w:cs="宋体"/>
                <w:i w:val="0"/>
                <w:iCs w:val="0"/>
                <w:color w:val="000000"/>
                <w:sz w:val="21"/>
                <w:szCs w:val="21"/>
                <w:highlight w:val="none"/>
                <w:u w:val="none"/>
                <w:lang w:val="en-US" w:eastAsia="zh-CN" w:bidi="ar"/>
              </w:rPr>
              <w:t xml:space="preserve">                            2、尺寸：盘高≤90cm，盘厚≤30cm，盘直径≤40cm；                                                                                                                                                                                                      </w:t>
            </w:r>
            <w:r>
              <w:rPr>
                <w:rFonts w:hint="eastAsia" w:ascii="宋体" w:hAnsi="宋体" w:eastAsia="宋体" w:cs="宋体"/>
                <w:i w:val="0"/>
                <w:iCs w:val="0"/>
                <w:color w:val="000000"/>
                <w:sz w:val="21"/>
                <w:szCs w:val="21"/>
                <w:highlight w:val="none"/>
                <w:u w:val="none"/>
                <w:lang w:val="en-US" w:eastAsia="zh-CN" w:bidi="ar"/>
              </w:rPr>
              <w:t xml:space="preserve">                                                                                                     3、电线：380V/16A，线径≥2.5㎡，线长≥30m；                                                                                                                              </w:t>
            </w:r>
            <w:r>
              <w:rPr>
                <w:rFonts w:hint="eastAsia" w:ascii="宋体" w:hAnsi="宋体" w:eastAsia="宋体" w:cs="宋体"/>
                <w:i w:val="0"/>
                <w:iCs w:val="0"/>
                <w:color w:val="000000"/>
                <w:sz w:val="21"/>
                <w:szCs w:val="21"/>
                <w:highlight w:val="none"/>
                <w:u w:val="none"/>
                <w:lang w:val="en-US" w:eastAsia="zh-CN" w:bidi="ar"/>
              </w:rPr>
              <w:t xml:space="preserve">                                                     4、有漏电保护，过热保护；                                                                                                                                                                                        5、完全退卷</w:t>
            </w:r>
            <w:r>
              <w:rPr>
                <w:rFonts w:hint="eastAsia" w:ascii="宋体" w:hAnsi="宋体" w:eastAsia="宋体" w:cs="宋体"/>
                <w:i w:val="0"/>
                <w:iCs w:val="0"/>
                <w:color w:val="000000"/>
                <w:sz w:val="21"/>
                <w:szCs w:val="21"/>
                <w:highlight w:val="none"/>
                <w:u w:val="none"/>
                <w:lang w:val="en-US" w:eastAsia="zh-CN" w:bidi="ar"/>
              </w:rPr>
              <w:t xml:space="preserve">功率≥3600W，完全卷盘功率≥1300W；                                                                                                                                                                                                                   6、孔型配置：1位16A五孔+3位10A五孔。</w:t>
            </w:r>
            <w:r>
              <w:rPr>
                <w:rFonts w:hint="eastAsia" w:ascii="宋体" w:hAnsi="宋体" w:eastAsia="宋体" w:cs="宋体"/>
                <w:i w:val="0"/>
                <w:iCs w:val="0"/>
                <w:color w:val="000000"/>
                <w:sz w:val="21"/>
                <w:szCs w:val="21"/>
                <w:highlight w:val="none"/>
                <w:u w:val="none"/>
              </w:rPr>
            </w:r>
            <w:r/>
          </w:p>
        </w:tc>
      </w:tr>
      <w:tr>
        <w:trPr>
          <w:trHeight w:val="5115"/>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救生照明线</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1、主要应用场景：适用于能见度较低情况下的照明及疏散导向；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2、符合GB 26783-2011《消防救生照明线》要求；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3、结构组成：冷光源发光线含卷盘、电源箱；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4、线体发光使用时间≥12小时，闪亮时间≥24小时；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5、冷光源、高亮度的救生照明线具有功耗低的特点，每百米耗能≤15 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6、工作电压：12V；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7、使用寿命≥10000小时；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8、安全救生照明导向线柔软、可折叠弯曲，其折角可以为5 度以下，并不会影响发光性能，弯曲可以实现360 度，长度为200米；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9、照明线线体需实现长亮、夜光、正反方向流光三项功能；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10、发光亮度≥17cd/㎡；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11、照明线每2米需设四个具备夜光功能的红绿双色指示球；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12、使用条件DC12V；电池使用极限温度: -20℃到 ＋60℃；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13、电源箱具备液晶电量显示功能；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14、电源箱具备220V和usb接口输出功能。</w:t>
            </w:r>
            <w:r>
              <w:rPr>
                <w:rFonts w:hint="eastAsia" w:ascii="宋体" w:hAnsi="宋体" w:eastAsia="宋体" w:cs="宋体"/>
                <w:i w:val="0"/>
                <w:iCs w:val="0"/>
                <w:color w:val="000000"/>
                <w:sz w:val="21"/>
                <w:szCs w:val="21"/>
                <w:highlight w:val="none"/>
                <w:u w:val="none"/>
              </w:rPr>
            </w:r>
            <w:r/>
          </w:p>
        </w:tc>
      </w:tr>
      <w:tr>
        <w:trPr>
          <w:trHeight w:val="5553"/>
        </w:trPr>
        <w:tc>
          <w:tcPr>
            <w:tcW w:w="770"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医药急救箱</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1、急救箱规格：39*29.5*12CM；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2、急救箱材质：铝合金边框、铝塑面板、金属锁具；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3、急救箱特点：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3.1急救箱设计应急光线指引系统，外部设计有荧光标识作为光线指引，以便于外部光线较暗时迅速的确认急救箱位置；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3.2急救箱设计人体红外感应式主动光源，为急救箱全天候的应用提供必要条件。还具有工作灯、求救方位指示灯、磁铁吸附、应急疏散指引、蜂鸣、爆闪警示、等附加功能；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4.1.酒精棉棒：数量10片，8cm/1ml双头，75%浓度酒精消毒液；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4.2.碘伏棉棒：数量10片，8cm/1ml双头，聚维铜碘5%，相当于有效碘含量0.45%-55%；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4.3.超大创口贴：数量3片，75mm*50mm；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4.4.直角大创口贴：数量3片，72mm*38mm；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4.5.关节创口贴：数量3片，76mm*38mm；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4.6.指尖创口贴：数量15片，70mm*40mm；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4.7.弹力防水创口贴：数量12片，72mm*22mm；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4.8.口对口呼吸器：数量1张，19*31cm；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4.9.卡扣式止血带：数量1个，卡扣长8cm、带长折叠20cm、展开长度40cm、总长度48cm，塑料ABS扣子；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4.10.降温贴：数量2片，50mm*120mm；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4.11.敷料镊子：数量2支，12.6cm；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4.12.绷带剪刀：数量1把，14.5cm长 圆头；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4.13.医用手套：数量2副，中号无粉；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4.14.卷式骨折夹板：数量1卷，11*40cm；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4.15.手指骨折夹板：数量1副，1.9*11cm；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4.16.体温计：数量1支，32℃-42℃；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4.17.清洁湿巾：数量8片，11cm*15cm/片；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4.18.驱蚊虫湿巾：数量8片，6cm*3cm/片；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4.19.医用口罩：数量4只，17.5cm*9.5cm-3层；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4.20.应急口哨：数量1只，长6.1cm，宽1.7cm；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4.21.急救毯：数量2张，150cm*210cm；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4.22.三角绷带：数量2包、136*96*96cm；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4.23.安全别针：数量4枚；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4.24.速冷冰袋：数量2包，100g/包；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4.25.弹性绷带：数量4卷，8cm*5m；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4.26.自粘弹性绷带：数量1卷，2*230cm；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4.27.医用纱布片：数量8片，7.5cm*7.5cm-8层；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4.28.壳聚糖止血颗粒：1包。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4.29.弹力网帽：数量2个；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4.30.急救手册：数量1本，40P；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4.31、清单：数量1张。</w:t>
            </w:r>
            <w:r>
              <w:rPr>
                <w:rFonts w:hint="eastAsia" w:ascii="宋体" w:hAnsi="宋体" w:eastAsia="宋体" w:cs="宋体"/>
                <w:i w:val="0"/>
                <w:iCs w:val="0"/>
                <w:color w:val="000000"/>
                <w:sz w:val="21"/>
                <w:szCs w:val="21"/>
                <w:highlight w:val="none"/>
                <w:u w:val="none"/>
              </w:rPr>
            </w:r>
            <w:r/>
          </w:p>
        </w:tc>
      </w:tr>
      <w:tr>
        <w:trPr>
          <w:trHeight w:val="328"/>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锂电池排烟机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符合GB27901-2011《移动式消防排烟机》标准要求。用于火灾现场特定区域的快速排烟通风。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1、防护罩格栅间隙小于8mm、符合GB安全标准、为消防战士提供最大防护；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2、配有镍氢充电电池：驱动排烟机可连续运行≥200分钟；同时还可连接220VAC/50Hz交流电，用于电池充电及直接运行；电流泄漏小于3.5mA；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3、折叠式设计、大大缩小了排烟机的体积；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4、排烟量≥28000立方米/小时；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5、发动机：≥功率600W、最大转速≥2300r/min，可变速、且防尘防水、防护等级≥IP66；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6、电池运行时间：排烟机全速运行时≥45分钟；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7、电池充电时间：充满电≤10小时（配有充电指示灯）；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8、风扇直径40CM、加固型合成树脂叶片；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9、风扇摆动角度大：-90°到 +65°适用于不同场合；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10、尺寸：≤55×55×30cm；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11、重量：30kg；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12、工作温度：-20℃ 到 40℃。</w:t>
            </w:r>
            <w:r>
              <w:rPr>
                <w:rFonts w:hint="eastAsia" w:ascii="宋体" w:hAnsi="宋体" w:eastAsia="宋体" w:cs="宋体"/>
                <w:i w:val="0"/>
                <w:iCs w:val="0"/>
                <w:color w:val="000000"/>
                <w:sz w:val="21"/>
                <w:szCs w:val="21"/>
                <w:highlight w:val="none"/>
                <w:u w:val="none"/>
              </w:rPr>
            </w:r>
            <w:r/>
          </w:p>
        </w:tc>
      </w:tr>
      <w:tr>
        <w:trPr>
          <w:trHeight w:val="1178"/>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假人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1、消防训练用假人，防爆PU革+帆布材质；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2、内部由碎布+细沙+珍珠棉填充；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3、重量60kg；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4、高度170cm。</w:t>
            </w:r>
            <w:r>
              <w:rPr>
                <w:rFonts w:hint="eastAsia" w:ascii="宋体" w:hAnsi="宋体" w:eastAsia="宋体" w:cs="宋体"/>
                <w:i w:val="0"/>
                <w:iCs w:val="0"/>
                <w:color w:val="000000"/>
                <w:sz w:val="21"/>
                <w:szCs w:val="21"/>
                <w:highlight w:val="none"/>
                <w:u w:val="none"/>
              </w:rPr>
            </w:r>
            <w:r/>
          </w:p>
        </w:tc>
      </w:tr>
      <w:tr>
        <w:trPr>
          <w:trHeight w:val="4693"/>
        </w:trPr>
        <w:tc>
          <w:tcPr>
            <w:tcW w:w="7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救援类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二冲程30匹马力舷外机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1、马力：</w:t>
            </w:r>
            <w:r>
              <w:rPr>
                <w:rFonts w:hint="eastAsia" w:ascii="宋体" w:hAnsi="宋体" w:eastAsia="宋体" w:cs="宋体"/>
                <w:i w:val="0"/>
                <w:iCs w:val="0"/>
                <w:color w:val="000000"/>
                <w:sz w:val="21"/>
                <w:szCs w:val="21"/>
                <w:highlight w:val="none"/>
                <w:u w:val="none"/>
                <w:lang w:val="en-US" w:eastAsia="zh-CN" w:bidi="ar"/>
              </w:rPr>
              <w:t xml:space="preserve">30匹马力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2、最大功率：22.1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3、转速（RPM）： 4500-5500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4、冲程：2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5、缸体：2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6、排气量（CC）：496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7、长X宽X高 短轴：843X399X1146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8、齿轮比：27:13（2.08）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9、档位：前进档-空档-倒档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10、点火系统：CDI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11、冷却系统：水冷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12、启动系统：手动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13、操控系统：后操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14、润滑系统：汽油/机油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15、混合比：50：1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16、标准配置邮箱（1）： 24</w:t>
            </w:r>
            <w:r>
              <w:rPr>
                <w:rFonts w:hint="eastAsia" w:ascii="宋体" w:hAnsi="宋体" w:eastAsia="宋体" w:cs="宋体"/>
                <w:i w:val="0"/>
                <w:iCs w:val="0"/>
                <w:color w:val="000000"/>
                <w:sz w:val="21"/>
                <w:szCs w:val="21"/>
                <w:highlight w:val="none"/>
                <w:u w:val="none"/>
              </w:rPr>
            </w:r>
            <w:r/>
          </w:p>
        </w:tc>
      </w:tr>
    </w:tbl>
    <w:p>
      <w:pPr>
        <w:pStyle w:val="760"/>
        <w:ind w:firstLine="420"/>
        <w:spacing w:line="360" w:lineRule="auto"/>
        <w:widowControl w:val="off"/>
        <w:rPr>
          <w:rFonts w:hint="eastAsia" w:ascii="宋体" w:hAnsi="宋体" w:cs="宋体"/>
          <w:b/>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
          <w:color w:val="000000"/>
          <w:spacing w:val="8"/>
          <w:szCs w:val="21"/>
          <w:highlight w:val="none"/>
        </w:rPr>
        <w:t xml:space="preserve">三、</w:t>
      </w:r>
      <w:r>
        <w:rPr>
          <w:rFonts w:hint="eastAsia" w:ascii="宋体" w:hAnsi="宋体" w:cs="宋体"/>
          <w:b/>
          <w:color w:val="000000"/>
          <w:szCs w:val="21"/>
          <w:highlight w:val="none"/>
        </w:rPr>
        <w:t xml:space="preserve">商务部分要求</w:t>
      </w:r>
      <w:r>
        <w:rPr>
          <w:rFonts w:hint="eastAsia" w:ascii="宋体" w:hAnsi="宋体" w:cs="宋体"/>
          <w:b/>
          <w:color w:val="000000"/>
          <w:szCs w:val="21"/>
          <w:highlight w:val="none"/>
        </w:rPr>
      </w:r>
      <w:r/>
    </w:p>
    <w:p>
      <w:pPr>
        <w:pStyle w:val="760"/>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lang w:eastAsia="zh-CN"/>
        </w:rPr>
        <w:t xml:space="preserve">合同签订后60天内将货物安装调试完毕交付采购人正常使用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60"/>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2、供应商应为采购人提供免费质保服务，并指派专人负责与采购人联系售后服务事宜（投标文件中提供承诺函加盖公章原件）</w:t>
      </w:r>
      <w:r>
        <w:rPr>
          <w:rFonts w:ascii="宋体" w:hAnsi="宋体" w:cs="宋体"/>
          <w:bCs/>
          <w:color w:val="000000"/>
          <w:szCs w:val="21"/>
          <w:highlight w:val="none"/>
        </w:rPr>
      </w:r>
      <w:r/>
    </w:p>
    <w:p>
      <w:pPr>
        <w:pStyle w:val="760"/>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3、所有产品保修服务方式均为供应商上门保修，即由供应商派人员到产品使用现场维修，由此产生的一切费用均由供应商承担。（投标文件中提供承诺函加盖公章原件）</w:t>
      </w:r>
      <w:r>
        <w:rPr>
          <w:rFonts w:ascii="宋体" w:hAnsi="宋体" w:cs="宋体"/>
          <w:bCs/>
          <w:color w:val="000000"/>
          <w:szCs w:val="21"/>
          <w:highlight w:val="none"/>
        </w:rPr>
      </w:r>
      <w:r/>
    </w:p>
    <w:p>
      <w:pPr>
        <w:pStyle w:val="760"/>
        <w:ind w:firstLine="422"/>
        <w:jc w:val="left"/>
        <w:spacing w:line="360" w:lineRule="auto"/>
        <w:widowControl w:val="off"/>
        <w:rPr>
          <w:rFonts w:ascii="宋体" w:hAnsi="宋体" w:cs="宋体"/>
          <w:b/>
          <w:color w:val="000000"/>
          <w:szCs w:val="21"/>
          <w:highlight w:val="none"/>
        </w:rPr>
      </w:pPr>
      <w:r/>
      <w:bookmarkStart w:id="36" w:name="OLE_LINK12"/>
      <w:r>
        <w:rPr>
          <w:rFonts w:hint="eastAsia" w:ascii="宋体" w:hAnsi="宋体" w:cs="宋体"/>
          <w:b/>
          <w:color w:val="000000"/>
          <w:szCs w:val="21"/>
          <w:highlight w:val="none"/>
        </w:rPr>
        <w:t xml:space="preserve">4、供应商所供装备、器材及安装的免费质量保证期不低于2年（招标文件中另有约定的除外，但均不得低于2年），自验收合格起计算 </w:t>
      </w:r>
      <w:r>
        <w:rPr>
          <w:rFonts w:ascii="宋体" w:hAnsi="宋体" w:cs="宋体"/>
          <w:b/>
          <w:color w:val="000000"/>
          <w:szCs w:val="21"/>
          <w:highlight w:val="none"/>
        </w:rPr>
      </w:r>
      <w:r/>
    </w:p>
    <w:p>
      <w:pPr>
        <w:pStyle w:val="760"/>
        <w:ind w:firstLine="420"/>
        <w:jc w:val="left"/>
        <w:spacing w:line="360" w:lineRule="auto"/>
        <w:widowControl w:val="off"/>
        <w:rPr>
          <w:rFonts w:hint="eastAsia" w:ascii="宋体" w:hAnsi="宋体" w:cs="宋体"/>
          <w:bCs/>
          <w:color w:val="000000"/>
          <w:szCs w:val="21"/>
          <w:highlight w:val="none"/>
        </w:rPr>
      </w:pPr>
      <w:r/>
      <w:bookmarkEnd w:id="36"/>
      <w:r>
        <w:rPr>
          <w:rFonts w:hint="eastAsia" w:ascii="宋体" w:hAnsi="宋体" w:cs="宋体"/>
          <w:bCs/>
          <w:color w:val="000000"/>
          <w:szCs w:val="21"/>
          <w:highlight w:val="none"/>
        </w:rPr>
        <w:t xml:space="preserve">5、服务响应时间应为接到采购人故障电话后半小时内予以响应，5小时内到达采购人现场并提供解决方案，一般故障到达现场8小时内予以修复解决，如12小时内仍无法解决的，必须在24小时提供备机，以保证采购人系统的正常运行。（投标文件中提供承诺函原件，不接受负偏离）</w:t>
      </w:r>
      <w:r>
        <w:rPr>
          <w:rFonts w:hint="eastAsia" w:ascii="宋体" w:hAnsi="宋体" w:cs="宋体"/>
          <w:bCs/>
          <w:color w:val="000000"/>
          <w:szCs w:val="21"/>
          <w:highlight w:val="none"/>
        </w:rPr>
      </w:r>
      <w:r/>
    </w:p>
    <w:p>
      <w:pPr>
        <w:pStyle w:val="760"/>
        <w:ind w:firstLine="420"/>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6、项目实施过程中，供应商应提供专业的技术服务、售后服务及培训计划，以确保项目的顺利实施，实施过程中，不得因供应商提供的产品或者设备导致出现任何事故，一旦发现采购人有权对其进行处罚，所有责任均由采购人承担。</w:t>
      </w:r>
      <w:r>
        <w:rPr>
          <w:rFonts w:hint="eastAsia" w:ascii="宋体" w:hAnsi="宋体" w:cs="宋体"/>
          <w:bCs/>
          <w:color w:val="000000"/>
          <w:szCs w:val="21"/>
          <w:highlight w:val="none"/>
        </w:rPr>
      </w:r>
      <w:r/>
    </w:p>
    <w:p>
      <w:pPr>
        <w:pStyle w:val="760"/>
        <w:ind w:firstLine="420"/>
        <w:jc w:val="left"/>
        <w:spacing w:line="360" w:lineRule="auto"/>
        <w:widowControl w:val="o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w:t>
      </w:r>
      <w:r>
        <w:rPr>
          <w:rFonts w:hint="eastAsia" w:ascii="宋体" w:hAnsi="宋体" w:cs="宋体"/>
          <w:b/>
          <w:bCs w:val="0"/>
          <w:color w:val="000000"/>
          <w:szCs w:val="21"/>
          <w:highlight w:val="none"/>
          <w:lang w:val="en-US" w:eastAsia="zh-CN"/>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ascii="宋体" w:hAnsi="宋体" w:eastAsia="宋体" w:cs="宋体"/>
          <w:bCs/>
          <w:color w:val="000000"/>
          <w:szCs w:val="21"/>
          <w:highlight w:val="none"/>
          <w:lang w:val="en-US" w:eastAsia="zh-CN"/>
        </w:rPr>
      </w:r>
      <w:r/>
    </w:p>
    <w:p>
      <w:pPr>
        <w:pStyle w:val="760"/>
        <w:ind w:firstLine="422"/>
        <w:jc w:val="left"/>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四、报价及付款方式：</w:t>
      </w:r>
      <w:r>
        <w:rPr>
          <w:rFonts w:ascii="宋体" w:hAnsi="宋体" w:cs="宋体"/>
          <w:b/>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一）投标报价含安装人员意外伤害保险费、清单所列及施工、安装、运输、调试、集成、保洁、原厂免费质保、税金等与本项目相关的一切费用，本项目验收前中标方承担所有货物的保管责任；本项目单项报价中已含税。</w:t>
      </w:r>
      <w:r>
        <w:rPr>
          <w:rFonts w:ascii="宋体" w:hAnsi="宋体" w:cs="宋体"/>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（二）履约保证函：</w:t>
      </w:r>
      <w:r>
        <w:rPr>
          <w:rFonts w:ascii="宋体" w:hAnsi="宋体" w:cs="宋体"/>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1.本合同签订之日起7个工作日内，</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应向</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缴纳合同总金额</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%的履约保证金（或金融机构出具的独立保函，该保函需载明：（1）见索即付；（2）收到</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法定代表人或授权委托代理人签字确认并加盖公章的书面索赔通知后即应不争辩、不挑剔、不可撤销地向</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支付索赔款，直至最高担保金额；（3）有效期为保函开具之日起至验收合格后一年为止；（4）担保金额为合同金额的5%。如</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提供的保函未载明前述内容的，</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可以拒收该保函，并要求</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以银行转账、汇款等的方式提供履约保证金。</w:t>
      </w:r>
      <w:r>
        <w:rPr>
          <w:rFonts w:ascii="宋体" w:hAnsi="宋体" w:cs="宋体"/>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2.自</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签署到货验收合格一年后，</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向</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退还剩余保证函。</w:t>
      </w:r>
      <w:r>
        <w:rPr>
          <w:rFonts w:ascii="宋体" w:hAnsi="宋体" w:cs="宋体"/>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3.对于</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应承担的违约责任/索赔金额，</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有权直接使用履约保证金进行抵扣或向出具独立保函的金融机构主张索赔。</w:t>
      </w:r>
      <w:r>
        <w:rPr>
          <w:rFonts w:ascii="宋体" w:hAnsi="宋体" w:cs="宋体"/>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人应当自履约保证金抵扣发生之日起二日内向</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补足履约保证金。</w:t>
      </w:r>
      <w:r>
        <w:rPr>
          <w:rFonts w:ascii="宋体" w:hAnsi="宋体" w:cs="宋体"/>
          <w:color w:val="000000"/>
          <w:szCs w:val="21"/>
          <w:highlight w:val="none"/>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（三）付款方式：合同签订后中标方提供履约保函后30日内，支付合同价款的</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0%作为预付款；全部完成并经</w:t>
      </w:r>
      <w:r>
        <w:rPr>
          <w:rFonts w:hint="eastAsia" w:ascii="宋体" w:hAnsi="宋体" w:cs="宋体"/>
          <w:color w:val="000000"/>
          <w:szCs w:val="21"/>
          <w:highlight w:val="none"/>
          <w:lang w:val="en-US" w:eastAsia="zh-CN"/>
        </w:rPr>
        <w:t xml:space="preserve">采购人及相关消防部门</w:t>
      </w:r>
      <w:r>
        <w:rPr>
          <w:rFonts w:hint="eastAsia" w:ascii="宋体" w:hAnsi="宋体" w:cs="宋体"/>
          <w:color w:val="000000"/>
          <w:szCs w:val="21"/>
          <w:highlight w:val="none"/>
        </w:rPr>
        <w:t xml:space="preserve">验收合格后，付至合同价的70%，审计结束后付至审计价款的100％。</w:t>
      </w:r>
      <w:r>
        <w:rPr>
          <w:rFonts w:ascii="宋体" w:hAnsi="宋体" w:cs="宋体"/>
          <w:color w:val="000000"/>
          <w:szCs w:val="21"/>
          <w:highlight w:val="none"/>
        </w:rPr>
      </w:r>
      <w:r/>
    </w:p>
    <w:p>
      <w:pPr>
        <w:pStyle w:val="760"/>
        <w:ind w:firstLine="482"/>
        <w:jc w:val="left"/>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r>
      <w:r/>
    </w:p>
    <w:p>
      <w:pPr>
        <w:pStyle w:val="760"/>
        <w:ind w:firstLine="482"/>
        <w:jc w:val="left"/>
        <w:spacing w:line="360" w:lineRule="auto"/>
        <w:widowControl w:val="off"/>
        <w:rPr>
          <w:rFonts w:ascii="宋体" w:hAnsi="宋体"/>
          <w:color w:val="000000"/>
          <w:sz w:val="24"/>
          <w:highlight w:val="none"/>
        </w:rPr>
      </w:pPr>
      <w:r>
        <w:rPr>
          <w:rFonts w:hint="eastAsia" w:ascii="宋体" w:hAnsi="宋体" w:cs="宋体"/>
          <w:b/>
          <w:color w:val="000000"/>
          <w:sz w:val="24"/>
          <w:highlight w:val="none"/>
        </w:rPr>
        <w:t xml:space="preserve">注：加</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项为实质性要求，不允许负偏离，否则按无效标处理，其他内容不允许负偏离。</w:t>
      </w:r>
      <w:r>
        <w:rPr>
          <w:rFonts w:ascii="宋体" w:hAnsi="宋体"/>
          <w:color w:val="000000"/>
          <w:sz w:val="24"/>
          <w:highlight w:val="none"/>
        </w:rPr>
      </w:r>
      <w:r/>
    </w:p>
    <w:p>
      <w:pPr>
        <w:pStyle w:val="760"/>
        <w:jc w:val="center"/>
        <w:spacing w:line="360" w:lineRule="auto"/>
        <w:rPr>
          <w:rStyle w:val="772"/>
          <w:color w:val="000000"/>
          <w:sz w:val="36"/>
          <w:szCs w:val="36"/>
          <w:highlight w:val="none"/>
        </w:rPr>
      </w:pPr>
      <w:r>
        <w:rPr>
          <w:rFonts w:ascii="宋体" w:hAnsi="宋体" w:cs="宋体"/>
          <w:color w:val="000000"/>
          <w:highlight w:val="none"/>
        </w:rPr>
        <w:br w:type="page" w:clear="all"/>
      </w:r>
      <w:bookmarkStart w:id="37" w:name="_Toc17519"/>
      <w:r>
        <w:rPr>
          <w:rStyle w:val="772"/>
          <w:color w:val="000000"/>
          <w:sz w:val="36"/>
          <w:szCs w:val="36"/>
          <w:highlight w:val="none"/>
        </w:rPr>
      </w:r>
      <w:r/>
    </w:p>
    <w:p>
      <w:pPr>
        <w:pStyle w:val="880"/>
        <w:ind w:firstLine="3173"/>
        <w:spacing w:line="360" w:lineRule="auto"/>
        <w:rPr>
          <w:rStyle w:val="772"/>
          <w:rFonts w:hint="eastAsia"/>
          <w:color w:val="000000"/>
          <w:sz w:val="36"/>
          <w:szCs w:val="36"/>
          <w:highlight w:val="none"/>
        </w:rPr>
        <w:outlineLvl w:val="0"/>
      </w:pPr>
      <w:r>
        <w:rPr>
          <w:rStyle w:val="772"/>
          <w:rFonts w:hint="eastAsia"/>
          <w:color w:val="000000"/>
          <w:sz w:val="36"/>
          <w:szCs w:val="36"/>
          <w:highlight w:val="none"/>
        </w:rPr>
        <w:t xml:space="preserve">第五章 合同主要条款及格式</w:t>
      </w:r>
      <w:bookmarkEnd w:id="37"/>
      <w:r>
        <w:rPr>
          <w:rStyle w:val="772"/>
          <w:rFonts w:hint="eastAsia"/>
          <w:color w:val="000000"/>
          <w:sz w:val="36"/>
          <w:szCs w:val="36"/>
          <w:highlight w:val="none"/>
        </w:rPr>
      </w:r>
      <w:r/>
    </w:p>
    <w:p>
      <w:pPr>
        <w:pStyle w:val="760"/>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合同编号：</w:t>
      </w:r>
      <w:r>
        <w:rPr>
          <w:rFonts w:hint="eastAsia" w:ascii="宋体" w:hAnsi="宋体"/>
          <w:b/>
          <w:color w:val="000000"/>
          <w:szCs w:val="21"/>
          <w:highlight w:val="none"/>
        </w:rPr>
        <w:t xml:space="preserve"> </w:t>
      </w:r>
      <w:r>
        <w:rPr>
          <w:rFonts w:hint="eastAsia" w:ascii="宋体"/>
          <w:color w:val="000000"/>
          <w:szCs w:val="21"/>
          <w:highlight w:val="none"/>
          <w:lang w:val="zh-CN"/>
        </w:rPr>
      </w:r>
      <w:r/>
    </w:p>
    <w:p>
      <w:pPr>
        <w:pStyle w:val="760"/>
        <w:spacing w:line="360" w:lineRule="auto"/>
        <w:widowControl w:val="off"/>
        <w:rPr>
          <w:rFonts w:ascii="宋体" w:hAnsi="宋体" w:cs="宋体"/>
          <w:color w:val="000000"/>
          <w:szCs w:val="21"/>
          <w:highlight w:val="none"/>
        </w:rPr>
      </w:pPr>
      <w:r>
        <w:rPr>
          <w:rFonts w:hint="eastAsia" w:ascii="宋体"/>
          <w:color w:val="000000"/>
          <w:szCs w:val="21"/>
          <w:highlight w:val="none"/>
          <w:lang w:val="zh-CN"/>
        </w:rPr>
        <w:t xml:space="preserve">政府采</w:t>
      </w:r>
      <w:r>
        <w:rPr>
          <w:rFonts w:hint="eastAsia" w:ascii="宋体" w:hAnsi="宋体"/>
          <w:color w:val="000000"/>
          <w:szCs w:val="21"/>
          <w:highlight w:val="none"/>
          <w:lang w:val="zh-CN"/>
        </w:rPr>
        <w:t xml:space="preserve">购计划号：</w:t>
      </w:r>
      <w:r>
        <w:rPr>
          <w:rFonts w:ascii="宋体" w:hAnsi="宋体" w:cs="宋体"/>
          <w:color w:val="000000"/>
          <w:szCs w:val="21"/>
          <w:highlight w:val="none"/>
        </w:rPr>
      </w:r>
      <w:r/>
    </w:p>
    <w:tbl>
      <w:tblPr>
        <w:tblW w:w="10220" w:type="dxa"/>
        <w:tblInd w:w="-108" w:type="dxa"/>
        <w:tblLayout w:type="fixed"/>
        <w:tblCellMar>
          <w:left w:w="0" w:type="dxa"/>
          <w:top w:w="0" w:type="dxa"/>
          <w:right w:w="0" w:type="dxa"/>
          <w:bottom w:w="0" w:type="dxa"/>
        </w:tblCellMar>
        <w:tblLook w:val="04A0" w:firstRow="1" w:lastRow="0" w:firstColumn="1" w:lastColumn="0" w:noHBand="0" w:noVBand="1"/>
      </w:tblPr>
      <w:tblGrid>
        <w:gridCol w:w="5110"/>
        <w:gridCol w:w="5110"/>
      </w:tblGrid>
      <w:tr>
        <w:trPr/>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76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采购人：（以下称甲方）</w:t>
            </w:r>
            <w:r>
              <w:rPr>
                <w:rFonts w:hint="eastAsia" w:ascii="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76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供应商：（以下称乙方）</w:t>
            </w:r>
            <w:r>
              <w:rPr>
                <w:rFonts w:ascii="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760"/>
              <w:jc w:val="left"/>
              <w:spacing w:line="360" w:lineRule="auto"/>
              <w:widowControl w:val="off"/>
              <w:rPr>
                <w:color w:val="000000"/>
                <w:szCs w:val="21"/>
                <w:highlight w:val="none"/>
              </w:rPr>
            </w:pPr>
            <w:r>
              <w:rPr>
                <w:rFonts w:hint="eastAsia" w:ascii="宋体"/>
                <w:color w:val="000000"/>
                <w:szCs w:val="21"/>
                <w:highlight w:val="none"/>
                <w:lang w:val="zh-CN"/>
              </w:rPr>
              <w:t xml:space="preserve">住所地：</w:t>
            </w:r>
            <w:r>
              <w:rPr>
                <w:color w:val="000000"/>
                <w:szCs w:val="21"/>
                <w:highlight w:val="none"/>
              </w:rPr>
            </w:r>
            <w:r/>
          </w:p>
        </w:tc>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760"/>
              <w:jc w:val="left"/>
              <w:spacing w:line="360" w:lineRule="auto"/>
              <w:widowControl w:val="off"/>
              <w:rPr>
                <w:rFonts w:ascii="宋体"/>
                <w:color w:val="000000"/>
                <w:szCs w:val="21"/>
                <w:highlight w:val="none"/>
              </w:rPr>
            </w:pPr>
            <w:r>
              <w:rPr>
                <w:rFonts w:hint="eastAsia" w:ascii="宋体"/>
                <w:color w:val="000000"/>
                <w:szCs w:val="21"/>
                <w:highlight w:val="none"/>
                <w:lang w:val="zh-CN"/>
              </w:rPr>
              <w:t xml:space="preserve">住所地：</w:t>
            </w:r>
            <w:r>
              <w:rPr>
                <w:rFonts w:ascii="宋体"/>
                <w:color w:val="000000"/>
                <w:szCs w:val="21"/>
                <w:highlight w:val="none"/>
              </w:rPr>
            </w:r>
            <w:r/>
          </w:p>
        </w:tc>
      </w:tr>
    </w:tbl>
    <w:p>
      <w:pPr>
        <w:pStyle w:val="760"/>
        <w:ind w:firstLine="420"/>
        <w:jc w:val="left"/>
        <w:spacing w:line="360" w:lineRule="auto"/>
        <w:widowControl w:val="off"/>
        <w:rPr>
          <w:color w:val="000000"/>
          <w:szCs w:val="21"/>
          <w:highlight w:val="none"/>
        </w:rPr>
      </w:pPr>
      <w:r>
        <w:rPr>
          <w:rFonts w:hint="eastAsia" w:ascii="宋体"/>
          <w:color w:val="000000"/>
          <w:szCs w:val="21"/>
          <w:highlight w:val="none"/>
          <w:lang w:val="zh-CN"/>
        </w:rPr>
        <w:t xml:space="preserve">根据《中华人民共和国政府采购法》、《中华人民共和国民法典》等法律法规的规定，甲乙双方按照招标结果签订本合同。</w:t>
      </w:r>
      <w:r>
        <w:rPr>
          <w:color w:val="000000"/>
          <w:szCs w:val="21"/>
          <w:highlight w:val="none"/>
        </w:rPr>
      </w:r>
      <w:r/>
    </w:p>
    <w:p>
      <w:pPr>
        <w:pStyle w:val="760"/>
        <w:ind w:firstLine="420"/>
        <w:spacing w:line="360" w:lineRule="auto"/>
        <w:widowControl w:val="off"/>
        <w:rPr>
          <w:rFonts w:ascii="宋体"/>
          <w:color w:val="000000"/>
          <w:szCs w:val="21"/>
          <w:highlight w:val="none"/>
          <w:lang w:val="zh-CN"/>
        </w:rPr>
      </w:pPr>
      <w:r>
        <w:rPr>
          <w:rFonts w:hint="eastAsia" w:ascii="宋体"/>
          <w:b/>
          <w:bCs/>
          <w:color w:val="000000"/>
          <w:szCs w:val="21"/>
          <w:highlight w:val="none"/>
          <w:lang w:val="zh-CN"/>
        </w:rPr>
        <w:t xml:space="preserve">第一条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合同标的</w:t>
      </w:r>
      <w:r>
        <w:rPr>
          <w:rFonts w:ascii="宋体"/>
          <w:color w:val="000000"/>
          <w:szCs w:val="21"/>
          <w:highlight w:val="none"/>
          <w:lang w:val="zh-CN"/>
        </w:rPr>
        <w:t xml:space="preserve">  </w:t>
      </w:r>
      <w:r>
        <w:rPr>
          <w:rFonts w:hint="eastAsia" w:ascii="宋体"/>
          <w:color w:val="000000"/>
          <w:szCs w:val="21"/>
          <w:highlight w:val="none"/>
          <w:lang w:val="zh-CN"/>
        </w:rPr>
        <w:t xml:space="preserve">乙方根据甲方需求提供下列供货、服务：</w:t>
      </w:r>
      <w:r>
        <w:rPr>
          <w:rFonts w:ascii="宋体"/>
          <w:color w:val="000000"/>
          <w:szCs w:val="21"/>
          <w:highlight w:val="none"/>
          <w:u w:val="single"/>
          <w:lang w:val="zh-CN"/>
        </w:rPr>
        <w:t xml:space="preserve"> </w:t>
      </w:r>
      <w:r>
        <w:rPr>
          <w:rFonts w:hint="eastAsia" w:ascii="宋体"/>
          <w:color w:val="000000"/>
          <w:szCs w:val="21"/>
          <w:highlight w:val="none"/>
          <w:u w:val="single"/>
          <w:lang w:val="zh-CN"/>
        </w:rPr>
        <w:t xml:space="preserve">                 </w:t>
      </w:r>
      <w:r>
        <w:rPr>
          <w:rFonts w:ascii="宋体"/>
          <w:color w:val="000000"/>
          <w:szCs w:val="21"/>
          <w:highlight w:val="none"/>
          <w:u w:val="single"/>
          <w:lang w:val="zh-CN"/>
        </w:rPr>
        <w:t xml:space="preserve">  </w:t>
      </w:r>
      <w:r>
        <w:rPr>
          <w:rFonts w:hint="eastAsia" w:ascii="宋体"/>
          <w:color w:val="000000"/>
          <w:szCs w:val="21"/>
          <w:highlight w:val="none"/>
          <w:lang w:val="zh-CN"/>
        </w:rPr>
        <w:t xml:space="preserve">，详见乙方投标文件。</w:t>
      </w:r>
      <w:r>
        <w:rPr>
          <w:rFonts w:ascii="宋体"/>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hint="eastAsia" w:ascii="宋体"/>
          <w:b/>
          <w:bCs/>
          <w:color w:val="000000"/>
          <w:szCs w:val="21"/>
          <w:highlight w:val="none"/>
          <w:lang w:val="zh-CN"/>
        </w:rPr>
        <w:t xml:space="preserve">第二条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合同总价款</w:t>
      </w:r>
      <w:r>
        <w:rPr>
          <w:rFonts w:ascii="宋体"/>
          <w:color w:val="000000"/>
          <w:szCs w:val="21"/>
          <w:highlight w:val="none"/>
          <w:lang w:val="zh-CN"/>
        </w:rPr>
        <w:t xml:space="preserve">  </w:t>
      </w:r>
      <w:r>
        <w:rPr>
          <w:rFonts w:hint="eastAsia" w:ascii="宋体"/>
          <w:color w:val="000000"/>
          <w:szCs w:val="21"/>
          <w:highlight w:val="none"/>
          <w:lang w:val="zh-CN"/>
        </w:rPr>
        <w:t xml:space="preserve">本合同项下</w:t>
      </w:r>
      <w:r>
        <w:rPr>
          <w:rFonts w:hint="eastAsia" w:ascii="宋体"/>
          <w:color w:val="000000"/>
          <w:szCs w:val="21"/>
          <w:highlight w:val="none"/>
        </w:rPr>
        <w:t xml:space="preserve">合同</w:t>
      </w:r>
      <w:r>
        <w:rPr>
          <w:rFonts w:hint="eastAsia" w:ascii="宋体"/>
          <w:color w:val="000000"/>
          <w:szCs w:val="21"/>
          <w:highlight w:val="none"/>
          <w:lang w:val="zh-CN"/>
        </w:rPr>
        <w:t xml:space="preserve">总价款为</w:t>
      </w:r>
      <w:r>
        <w:rPr>
          <w:rFonts w:ascii="宋体"/>
          <w:color w:val="000000"/>
          <w:szCs w:val="21"/>
          <w:highlight w:val="none"/>
          <w:lang w:val="zh-CN"/>
        </w:rPr>
        <w:t xml:space="preserve">___________</w:t>
      </w:r>
      <w:r>
        <w:rPr>
          <w:rFonts w:hint="eastAsia" w:ascii="宋体"/>
          <w:color w:val="000000"/>
          <w:szCs w:val="21"/>
          <w:highlight w:val="none"/>
          <w:lang w:val="zh-CN"/>
        </w:rPr>
        <w:t xml:space="preserve">（大写）人民币，分项价款在“</w:t>
      </w:r>
      <w:r>
        <w:rPr>
          <w:rFonts w:hint="eastAsia" w:ascii="宋体"/>
          <w:color w:val="000000"/>
          <w:szCs w:val="21"/>
          <w:highlight w:val="none"/>
        </w:rPr>
        <w:t xml:space="preserve">分项</w:t>
      </w:r>
      <w:r>
        <w:rPr>
          <w:rFonts w:hint="eastAsia" w:ascii="宋体"/>
          <w:color w:val="000000"/>
          <w:szCs w:val="21"/>
          <w:highlight w:val="none"/>
          <w:lang w:val="zh-CN"/>
        </w:rPr>
        <w:t xml:space="preserve">报价表”中有明确规定。</w:t>
      </w:r>
      <w:r>
        <w:rPr>
          <w:rFonts w:ascii="宋体"/>
          <w:color w:val="000000"/>
          <w:szCs w:val="21"/>
          <w:highlight w:val="none"/>
          <w:lang w:val="zh-CN"/>
        </w:rPr>
      </w:r>
      <w:r/>
    </w:p>
    <w:p>
      <w:pPr>
        <w:pStyle w:val="760"/>
        <w:ind w:firstLine="420"/>
        <w:spacing w:line="360" w:lineRule="auto"/>
        <w:widowControl w:val="off"/>
        <w:rPr>
          <w:rFonts w:ascii="宋体"/>
          <w:b/>
          <w:color w:val="000000"/>
          <w:szCs w:val="21"/>
          <w:highlight w:val="none"/>
        </w:rPr>
      </w:pPr>
      <w:r>
        <w:rPr>
          <w:rFonts w:hint="eastAsia" w:ascii="宋体"/>
          <w:color w:val="000000"/>
          <w:szCs w:val="21"/>
          <w:highlight w:val="none"/>
          <w:lang w:val="zh-CN"/>
        </w:rPr>
        <w:t xml:space="preserve">本合同总价款包括本项目所有产品供货、包装、运输、安装、调试费/质量管理费、软件信息升级、保险、竣工资料以及验收合格之前的保管及保修期内备品备件、专用工具、伴随服务、支付给员工的工资和国家强制缴纳的各种社会保障资金，以及供应商认为需要的其他费用等全部工作内容（即报价内容均涵盖报价要求之一切费用和伴随服务）</w:t>
      </w:r>
      <w:r>
        <w:rPr>
          <w:rFonts w:hint="eastAsia" w:ascii="宋体" w:hAnsi="宋体"/>
          <w:color w:val="000000"/>
          <w:szCs w:val="21"/>
          <w:highlight w:val="none"/>
        </w:rPr>
        <w:t xml:space="preserve">等</w:t>
      </w:r>
      <w:r>
        <w:rPr>
          <w:rFonts w:hint="eastAsia" w:ascii="宋体"/>
          <w:color w:val="000000"/>
          <w:szCs w:val="21"/>
          <w:highlight w:val="none"/>
          <w:lang w:val="zh-CN"/>
        </w:rPr>
        <w:t xml:space="preserve">。</w:t>
      </w:r>
      <w:r>
        <w:rPr>
          <w:rFonts w:ascii="宋体"/>
          <w:b/>
          <w:color w:val="000000"/>
          <w:szCs w:val="21"/>
          <w:highlight w:val="none"/>
        </w:rPr>
      </w:r>
      <w:r/>
    </w:p>
    <w:p>
      <w:pPr>
        <w:pStyle w:val="760"/>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本合同执行期间合同总价款不变。</w:t>
      </w:r>
      <w:r>
        <w:rPr>
          <w:rFonts w:ascii="宋体"/>
          <w:color w:val="000000"/>
          <w:szCs w:val="21"/>
          <w:highlight w:val="none"/>
          <w:lang w:val="zh-CN"/>
        </w:rPr>
      </w:r>
      <w:r/>
    </w:p>
    <w:p>
      <w:pPr>
        <w:pStyle w:val="760"/>
        <w:ind w:firstLine="413"/>
        <w:spacing w:line="360" w:lineRule="auto"/>
        <w:widowControl w:val="off"/>
        <w:rPr>
          <w:rFonts w:ascii="宋体"/>
          <w:color w:val="000000"/>
          <w:szCs w:val="21"/>
          <w:highlight w:val="none"/>
          <w:lang w:val="zh-CN"/>
        </w:rPr>
      </w:pPr>
      <w:r>
        <w:rPr>
          <w:rFonts w:hint="eastAsia" w:ascii="宋体"/>
          <w:b/>
          <w:bCs/>
          <w:color w:val="000000"/>
          <w:szCs w:val="21"/>
          <w:highlight w:val="none"/>
          <w:lang w:val="zh-CN"/>
        </w:rPr>
        <w:t xml:space="preserve">第三条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组成本合同的有关文件</w:t>
      </w:r>
      <w:r>
        <w:rPr>
          <w:rFonts w:ascii="宋体"/>
          <w:color w:val="000000"/>
          <w:szCs w:val="21"/>
          <w:highlight w:val="none"/>
          <w:lang w:val="zh-CN"/>
        </w:rPr>
        <w:t xml:space="preserve">  </w:t>
      </w:r>
      <w:r>
        <w:rPr>
          <w:rFonts w:hint="eastAsia" w:ascii="宋体"/>
          <w:color w:val="000000"/>
          <w:szCs w:val="21"/>
          <w:highlight w:val="none"/>
          <w:lang w:val="zh-CN"/>
        </w:rPr>
        <w:t xml:space="preserve">下列关于</w:t>
      </w:r>
      <w:r>
        <w:rPr>
          <w:rFonts w:hint="eastAsia" w:ascii="宋体" w:hAnsi="宋体"/>
          <w:b/>
          <w:color w:val="000000"/>
          <w:szCs w:val="21"/>
          <w:highlight w:val="none"/>
          <w:u w:val="single"/>
        </w:rPr>
        <w:t xml:space="preserve">             </w:t>
      </w:r>
      <w:r>
        <w:rPr>
          <w:rFonts w:hint="eastAsia" w:ascii="宋体"/>
          <w:color w:val="000000"/>
          <w:szCs w:val="21"/>
          <w:highlight w:val="none"/>
          <w:lang w:val="zh-CN"/>
        </w:rPr>
        <w:t xml:space="preserve">标的招投标文件或与本次采购活动方式相适应的文件及有关附件是本合同不可分割的组成部分，与本合同具有同等法律效力，这些文件包括但不限于：</w:t>
      </w:r>
      <w:r>
        <w:rPr>
          <w:rFonts w:ascii="宋体"/>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1</w:t>
      </w:r>
      <w:r>
        <w:rPr>
          <w:rFonts w:hint="eastAsia" w:ascii="宋体"/>
          <w:color w:val="000000"/>
          <w:szCs w:val="21"/>
          <w:highlight w:val="none"/>
          <w:lang w:val="zh-CN"/>
        </w:rPr>
        <w:t xml:space="preserve">）乙方提供的投标文件和投标报价表；</w:t>
      </w:r>
      <w:r>
        <w:rPr>
          <w:rFonts w:hint="eastAsia" w:ascii="宋体"/>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（2）技术规格响应表；</w:t>
      </w:r>
      <w:r>
        <w:rPr>
          <w:rFonts w:ascii="宋体"/>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（3）投标承诺/服务承诺；</w:t>
      </w:r>
      <w:r>
        <w:rPr>
          <w:rFonts w:ascii="宋体"/>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（4）中标通知书；</w:t>
      </w:r>
      <w:r>
        <w:rPr>
          <w:rFonts w:hint="eastAsia" w:ascii="宋体"/>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（5）甲乙双方商定的其他文件等。</w:t>
      </w:r>
      <w:r>
        <w:rPr>
          <w:rFonts w:ascii="宋体"/>
          <w:color w:val="000000"/>
          <w:szCs w:val="21"/>
          <w:highlight w:val="none"/>
          <w:lang w:val="zh-CN"/>
        </w:rPr>
      </w:r>
      <w:r/>
    </w:p>
    <w:p>
      <w:pPr>
        <w:pStyle w:val="760"/>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第四条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权利保证</w:t>
      </w:r>
      <w:r>
        <w:rPr>
          <w:rFonts w:ascii="宋体"/>
          <w:b/>
          <w:bCs/>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ascii="宋体"/>
          <w:color w:val="000000"/>
          <w:szCs w:val="21"/>
          <w:highlight w:val="none"/>
          <w:lang w:val="zh-CN"/>
        </w:rPr>
      </w:r>
      <w:r/>
    </w:p>
    <w:p>
      <w:pPr>
        <w:pStyle w:val="760"/>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第五条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质量保证</w:t>
      </w:r>
      <w:r>
        <w:rPr>
          <w:rFonts w:ascii="宋体"/>
          <w:b/>
          <w:bCs/>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1、乙方所提供的服务的技术规格应与招标文件规定的技术规格及所附的“技术条款偏离表”相一致；若技术性能无特殊说明，则按国家有关部门最新颁布的标准及规范为准。</w:t>
      </w:r>
      <w:r>
        <w:rPr>
          <w:rFonts w:hint="eastAsia" w:ascii="宋体"/>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2、质保期：  年。</w:t>
      </w:r>
      <w:r>
        <w:rPr>
          <w:rFonts w:ascii="宋体"/>
          <w:color w:val="000000"/>
          <w:szCs w:val="21"/>
          <w:highlight w:val="none"/>
          <w:lang w:val="zh-CN"/>
        </w:rPr>
      </w:r>
      <w:r/>
    </w:p>
    <w:p>
      <w:pPr>
        <w:pStyle w:val="760"/>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第六条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交付和验收</w:t>
      </w:r>
      <w:r>
        <w:rPr>
          <w:rFonts w:ascii="宋体"/>
          <w:b/>
          <w:bCs/>
          <w:color w:val="000000"/>
          <w:szCs w:val="21"/>
          <w:highlight w:val="none"/>
          <w:lang w:val="zh-CN"/>
        </w:rPr>
      </w:r>
      <w:r/>
    </w:p>
    <w:p>
      <w:pPr>
        <w:pStyle w:val="760"/>
        <w:ind w:firstLine="420"/>
        <w:jc w:val="left"/>
        <w:spacing w:line="360" w:lineRule="auto"/>
        <w:widowControl w:val="off"/>
        <w:rPr>
          <w:rFonts w:ascii="宋体"/>
          <w:b/>
          <w:bCs/>
          <w:color w:val="000000"/>
          <w:szCs w:val="21"/>
          <w:highlight w:val="none"/>
          <w:u w:val="single"/>
        </w:rPr>
      </w:pPr>
      <w:r>
        <w:rPr>
          <w:rFonts w:ascii="宋体"/>
          <w:color w:val="000000"/>
          <w:szCs w:val="21"/>
          <w:highlight w:val="none"/>
          <w:lang w:val="zh-CN"/>
        </w:rPr>
        <w:t xml:space="preserve">1</w:t>
      </w:r>
      <w:r>
        <w:rPr>
          <w:rFonts w:hint="eastAsia" w:ascii="宋体"/>
          <w:color w:val="000000"/>
          <w:szCs w:val="21"/>
          <w:highlight w:val="none"/>
          <w:lang w:val="zh-CN"/>
        </w:rPr>
        <w:t xml:space="preserve">、乙方应当在合同期限</w:t>
      </w:r>
      <w:r>
        <w:rPr>
          <w:rFonts w:hint="eastAsia" w:ascii="宋体"/>
          <w:bCs/>
          <w:color w:val="000000"/>
          <w:szCs w:val="21"/>
          <w:highlight w:val="none"/>
          <w:lang w:val="zh-CN"/>
        </w:rPr>
        <w:t xml:space="preserve">内</w:t>
      </w:r>
      <w:r>
        <w:rPr>
          <w:rFonts w:hint="eastAsia" w:ascii="宋体"/>
          <w:color w:val="000000"/>
          <w:szCs w:val="21"/>
          <w:highlight w:val="none"/>
          <w:lang w:val="zh-CN"/>
        </w:rPr>
        <w:t xml:space="preserve">完成服务事项</w:t>
      </w:r>
      <w:r>
        <w:rPr>
          <w:rFonts w:ascii="宋体"/>
          <w:color w:val="000000"/>
          <w:szCs w:val="21"/>
          <w:highlight w:val="none"/>
        </w:rPr>
        <w:t xml:space="preserve">。</w:t>
      </w:r>
      <w:r>
        <w:rPr>
          <w:rFonts w:ascii="宋体"/>
          <w:b/>
          <w:bCs/>
          <w:color w:val="000000"/>
          <w:szCs w:val="21"/>
          <w:highlight w:val="none"/>
          <w:u w:val="single"/>
        </w:rPr>
      </w:r>
      <w:r/>
    </w:p>
    <w:p>
      <w:pPr>
        <w:pStyle w:val="760"/>
        <w:ind w:firstLine="420"/>
        <w:jc w:val="left"/>
        <w:spacing w:line="360" w:lineRule="auto"/>
        <w:widowControl w:val="off"/>
        <w:rPr>
          <w:rFonts w:hint="eastAsia"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、验收标准：按行业通行标准和乙方投标文件的承诺（详见合同附件载明的标准，并不低于国家相关标准）。</w:t>
      </w:r>
      <w:r>
        <w:rPr>
          <w:rFonts w:hint="eastAsia" w:ascii="宋体"/>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rPr>
      </w:pPr>
      <w:r>
        <w:rPr>
          <w:rFonts w:hint="eastAsia" w:ascii="宋体"/>
          <w:color w:val="000000"/>
          <w:szCs w:val="21"/>
          <w:highlight w:val="none"/>
        </w:rPr>
        <w:t xml:space="preserve">3、甲方应当在到货后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rPr>
          <w:rFonts w:hint="eastAsia" w:ascii="宋体"/>
          <w:color w:val="000000"/>
          <w:szCs w:val="21"/>
          <w:highlight w:val="none"/>
        </w:rPr>
      </w:r>
      <w:r/>
    </w:p>
    <w:p>
      <w:pPr>
        <w:pStyle w:val="760"/>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第七条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履约保证金</w:t>
      </w:r>
      <w:r>
        <w:rPr>
          <w:rFonts w:ascii="宋体"/>
          <w:b/>
          <w:bCs/>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1、本合同签订之日起7个工作日内，乙方应向甲方缴纳合同总金额</w:t>
      </w:r>
      <w:r>
        <w:rPr>
          <w:rFonts w:hint="eastAsia" w:ascii="宋体"/>
          <w:color w:val="000000"/>
          <w:szCs w:val="21"/>
          <w:highlight w:val="none"/>
          <w:lang w:val="en-US" w:eastAsia="zh-CN"/>
        </w:rPr>
        <w:t xml:space="preserve">10</w:t>
      </w:r>
      <w:r>
        <w:rPr>
          <w:rFonts w:hint="eastAsia" w:ascii="宋体"/>
          <w:color w:val="000000"/>
          <w:szCs w:val="21"/>
          <w:highlight w:val="none"/>
        </w:rPr>
        <w:t xml:space="preserve">%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汇款等的方式提供履约保证金。</w:t>
      </w:r>
      <w:r>
        <w:rPr>
          <w:rFonts w:hint="eastAsia" w:ascii="宋体"/>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2、</w:t>
      </w:r>
      <w:r>
        <w:rPr>
          <w:rFonts w:hint="eastAsia" w:ascii="宋体"/>
          <w:color w:val="000000"/>
          <w:szCs w:val="21"/>
          <w:highlight w:val="none"/>
          <w:lang w:val="zh-CN"/>
        </w:rPr>
        <w:t xml:space="preserve">自</w:t>
      </w:r>
      <w:r>
        <w:rPr>
          <w:rFonts w:hint="eastAsia" w:ascii="宋体"/>
          <w:color w:val="000000"/>
          <w:szCs w:val="21"/>
          <w:highlight w:val="none"/>
        </w:rPr>
        <w:t xml:space="preserve">通过最终</w:t>
      </w:r>
      <w:r>
        <w:rPr>
          <w:rFonts w:hint="eastAsia" w:ascii="宋体"/>
          <w:color w:val="000000"/>
          <w:szCs w:val="21"/>
          <w:highlight w:val="none"/>
          <w:lang w:val="zh-CN"/>
        </w:rPr>
        <w:t xml:space="preserve">验收合格</w:t>
      </w:r>
      <w:r>
        <w:rPr>
          <w:rFonts w:hint="eastAsia" w:ascii="宋体"/>
          <w:color w:val="000000"/>
          <w:szCs w:val="21"/>
          <w:highlight w:val="none"/>
        </w:rPr>
        <w:t xml:space="preserve">一</w:t>
      </w:r>
      <w:r>
        <w:rPr>
          <w:rFonts w:hint="eastAsia" w:ascii="宋体"/>
          <w:color w:val="000000"/>
          <w:szCs w:val="21"/>
          <w:highlight w:val="none"/>
          <w:lang w:val="zh-CN"/>
        </w:rPr>
        <w:t xml:space="preserve">年后，甲方向乙方退还剩余保证函。</w:t>
      </w:r>
      <w:r>
        <w:rPr>
          <w:rFonts w:hint="eastAsia" w:ascii="宋体"/>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3、</w:t>
      </w:r>
      <w:r>
        <w:rPr>
          <w:rFonts w:hint="eastAsia" w:ascii="宋体"/>
          <w:color w:val="000000"/>
          <w:szCs w:val="21"/>
          <w:highlight w:val="none"/>
          <w:lang w:val="zh-CN"/>
        </w:rPr>
        <w:t xml:space="preserve">对于乙方应承担的违约责任/索赔金额，甲方有权直接使用履约保证金进行抵扣或向出具独立保函的金融机构主张索赔。</w:t>
      </w:r>
      <w:r>
        <w:rPr>
          <w:rFonts w:hint="eastAsia" w:ascii="宋体"/>
          <w:color w:val="000000"/>
          <w:szCs w:val="21"/>
          <w:highlight w:val="none"/>
          <w:lang w:val="zh-CN"/>
        </w:rPr>
      </w:r>
      <w:r/>
    </w:p>
    <w:p>
      <w:pPr>
        <w:pStyle w:val="760"/>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4、</w:t>
      </w:r>
      <w:r>
        <w:rPr>
          <w:rFonts w:hint="eastAsia" w:ascii="宋体"/>
          <w:color w:val="000000"/>
          <w:szCs w:val="21"/>
          <w:highlight w:val="none"/>
          <w:lang w:val="zh-CN"/>
        </w:rPr>
        <w:t xml:space="preserve">乙方应当自履约保证金抵扣发生之日起二日内向甲方补足履约保证金。</w:t>
      </w:r>
      <w:r>
        <w:rPr>
          <w:rFonts w:hint="eastAsia" w:ascii="宋体"/>
          <w:color w:val="000000"/>
          <w:szCs w:val="21"/>
          <w:highlight w:val="none"/>
          <w:lang w:val="zh-CN"/>
        </w:rPr>
      </w:r>
      <w:r/>
    </w:p>
    <w:p>
      <w:pPr>
        <w:pStyle w:val="760"/>
        <w:ind w:firstLine="420"/>
        <w:jc w:val="left"/>
        <w:spacing w:line="360" w:lineRule="auto"/>
        <w:widowControl w:val="off"/>
        <w:rPr>
          <w:rFonts w:ascii="宋体"/>
          <w:b/>
          <w:bCs/>
          <w:i/>
          <w:iCs/>
          <w:color w:val="000000"/>
          <w:szCs w:val="21"/>
          <w:highlight w:val="none"/>
          <w:lang w:val="zh-CN"/>
        </w:rPr>
      </w:pPr>
      <w:r>
        <w:rPr>
          <w:rFonts w:hint="eastAsia" w:ascii="宋体"/>
          <w:b/>
          <w:bCs/>
          <w:color w:val="000000"/>
          <w:szCs w:val="21"/>
          <w:highlight w:val="none"/>
          <w:lang w:val="zh-CN"/>
        </w:rPr>
        <w:t xml:space="preserve">第八条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合同款支付</w:t>
      </w:r>
      <w:r>
        <w:rPr>
          <w:rFonts w:ascii="宋体"/>
          <w:b/>
          <w:bCs/>
          <w:i/>
          <w:iCs/>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、本合同项下所有款项均以人民币支付。</w:t>
      </w:r>
      <w:r>
        <w:rPr>
          <w:rFonts w:ascii="宋体"/>
          <w:color w:val="000000"/>
          <w:szCs w:val="21"/>
          <w:highlight w:val="none"/>
          <w:lang w:val="zh-CN"/>
        </w:rPr>
      </w:r>
      <w:r/>
    </w:p>
    <w:p>
      <w:pPr>
        <w:pStyle w:val="760"/>
        <w:ind w:firstLine="420"/>
        <w:jc w:val="left"/>
        <w:spacing w:line="360" w:lineRule="auto"/>
        <w:widowControl w:val="off"/>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、本合同项下的采购资金由甲方自行支付，乙方向甲方开具发票。</w:t>
      </w:r>
      <w:r>
        <w:rPr>
          <w:rFonts w:ascii="宋体"/>
          <w:color w:val="000000"/>
          <w:szCs w:val="21"/>
          <w:highlight w:val="none"/>
          <w:lang w:val="zh-CN"/>
        </w:rPr>
      </w:r>
      <w:r/>
    </w:p>
    <w:p>
      <w:pPr>
        <w:pStyle w:val="760"/>
        <w:ind w:firstLine="422"/>
        <w:spacing w:line="360" w:lineRule="auto"/>
        <w:widowControl w:val="off"/>
        <w:rPr>
          <w:rFonts w:hint="eastAsia" w:ascii="宋体"/>
          <w:b/>
          <w:color w:val="000000"/>
          <w:szCs w:val="21"/>
          <w:highlight w:val="none"/>
          <w:lang w:val="zh-CN"/>
        </w:rPr>
      </w:pPr>
      <w:r>
        <w:rPr>
          <w:rFonts w:ascii="宋体"/>
          <w:b/>
          <w:color w:val="000000"/>
          <w:szCs w:val="21"/>
          <w:highlight w:val="none"/>
          <w:lang w:val="zh-CN"/>
        </w:rPr>
        <w:t xml:space="preserve">3</w:t>
      </w:r>
      <w:r>
        <w:rPr>
          <w:rFonts w:hint="eastAsia" w:ascii="宋体"/>
          <w:b/>
          <w:color w:val="000000"/>
          <w:szCs w:val="21"/>
          <w:highlight w:val="none"/>
          <w:lang w:val="zh-CN"/>
        </w:rPr>
        <w:t xml:space="preserve">、付款条件：合同签订后中标方提供履约保函后30日内，支付合同价款的</w:t>
      </w:r>
      <w:r>
        <w:rPr>
          <w:rFonts w:hint="eastAsia" w:ascii="宋体"/>
          <w:b/>
          <w:color w:val="000000"/>
          <w:szCs w:val="21"/>
          <w:highlight w:val="none"/>
          <w:lang w:val="en-US" w:eastAsia="zh-CN"/>
        </w:rPr>
        <w:t xml:space="preserve">3</w:t>
      </w:r>
      <w:r>
        <w:rPr>
          <w:rFonts w:hint="eastAsia" w:ascii="宋体"/>
          <w:b/>
          <w:color w:val="000000"/>
          <w:szCs w:val="21"/>
          <w:highlight w:val="none"/>
          <w:lang w:val="zh-CN"/>
        </w:rPr>
        <w:t xml:space="preserve">0%作为预付款；全部完成并经采购人及相关消防部门验收合格后，付至合同价的70%，审计结束后付至审计价款的100％。</w:t>
      </w:r>
      <w:r>
        <w:rPr>
          <w:rFonts w:hint="eastAsia" w:ascii="宋体"/>
          <w:b/>
          <w:color w:val="000000"/>
          <w:szCs w:val="21"/>
          <w:highlight w:val="none"/>
          <w:lang w:val="zh-CN"/>
        </w:rPr>
      </w:r>
      <w:r/>
    </w:p>
    <w:p>
      <w:pPr>
        <w:pStyle w:val="760"/>
        <w:ind w:firstLine="422"/>
        <w:spacing w:line="360" w:lineRule="auto"/>
        <w:widowControl w:val="off"/>
        <w:rPr>
          <w:rFonts w:hint="eastAsia" w:ascii="宋体" w:eastAsia="宋体"/>
          <w:b/>
          <w:color w:val="000000"/>
          <w:szCs w:val="21"/>
          <w:highlight w:val="none"/>
          <w:lang w:val="en-US" w:eastAsia="zh-CN"/>
        </w:rPr>
      </w:pPr>
      <w:r>
        <w:rPr>
          <w:rFonts w:hint="eastAsia" w:ascii="宋体"/>
          <w:b/>
          <w:color w:val="000000"/>
          <w:szCs w:val="21"/>
          <w:highlight w:val="none"/>
          <w:lang w:val="en-US" w:eastAsia="zh-CN"/>
        </w:rPr>
        <w:t xml:space="preserve">4、结算方式：按实结算。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w:t>
      </w:r>
      <w:r>
        <w:rPr>
          <w:rFonts w:hint="eastAsia" w:ascii="宋体" w:eastAsia="宋体"/>
          <w:b/>
          <w:color w:val="000000"/>
          <w:szCs w:val="21"/>
          <w:highlight w:val="none"/>
          <w:lang w:val="en-US" w:eastAsia="zh-CN"/>
        </w:rPr>
      </w:r>
      <w:r/>
    </w:p>
    <w:p>
      <w:pPr>
        <w:pStyle w:val="760"/>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第九条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违约责任</w:t>
      </w:r>
      <w:r>
        <w:rPr>
          <w:rFonts w:ascii="宋体"/>
          <w:b/>
          <w:bCs/>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甲方无正当理由拒收</w:t>
      </w:r>
      <w:r>
        <w:rPr>
          <w:rFonts w:hint="eastAsia" w:ascii="宋体" w:hAnsi="宋体" w:cs="宋体"/>
          <w:color w:val="000000"/>
          <w:szCs w:val="21"/>
          <w:highlight w:val="none"/>
          <w:lang w:val="en-US" w:eastAsia="zh-CN"/>
        </w:rPr>
        <w:t xml:space="preserve">货物</w:t>
      </w:r>
      <w:r>
        <w:rPr>
          <w:rFonts w:hint="eastAsia" w:ascii="宋体" w:hAnsi="宋体" w:cs="宋体"/>
          <w:color w:val="000000"/>
          <w:szCs w:val="21"/>
          <w:highlight w:val="none"/>
          <w:lang w:val="zh-CN"/>
        </w:rPr>
        <w:t xml:space="preserve">、拒付</w:t>
      </w:r>
      <w:r>
        <w:rPr>
          <w:rFonts w:hint="eastAsia" w:ascii="宋体" w:hAnsi="宋体" w:cs="宋体"/>
          <w:color w:val="000000"/>
          <w:szCs w:val="21"/>
          <w:highlight w:val="none"/>
          <w:lang w:val="en-US" w:eastAsia="zh-CN"/>
        </w:rPr>
        <w:t xml:space="preserve">货物</w:t>
      </w:r>
      <w:r>
        <w:rPr>
          <w:rFonts w:hint="eastAsia" w:ascii="宋体" w:hAnsi="宋体" w:cs="宋体"/>
          <w:color w:val="000000"/>
          <w:szCs w:val="21"/>
          <w:highlight w:val="none"/>
          <w:lang w:val="zh-CN"/>
        </w:rPr>
        <w:t xml:space="preserve">款的，由甲方向乙方偿付合同总价的5%违约金。</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如乙方不能交付服务、完成安装调试的，甲方有权扣留全部履约保证金；同时乙方应向甲方支付合同总价5%的违约金。</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乙方逾期交付的，每逾期1天，乙方向甲方偿付合同总额的5‰的滞纳金。如乙方逾期交付达10天，甲方有权解除合同，解除合同的通知自到达乙方时生效。</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乙方所交付的服务不符合合同规定的，甲方有权拒收。甲方拒收的，乙方应向甲方支付合同总款5%的违约金。</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乙方未按本合同的规定和“服务承诺”提供伴随服务/售后服务的，应按合同总价款的5 %向甲方承担违约责任。</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宋体" w:hAnsi="宋体" w:cs="宋体"/>
          <w:color w:val="000000"/>
          <w:szCs w:val="21"/>
          <w:highlight w:val="none"/>
          <w:lang w:val="zh-CN"/>
        </w:rPr>
      </w:r>
      <w:r/>
    </w:p>
    <w:p>
      <w:pPr>
        <w:pStyle w:val="760"/>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合同的变更和终止</w:t>
      </w:r>
      <w:r>
        <w:rPr>
          <w:rFonts w:ascii="宋体" w:cs="宋体"/>
          <w:b/>
          <w:bCs/>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ascii="宋体" w:hAnsi="宋体"/>
          <w:color w:val="000000"/>
          <w:szCs w:val="21"/>
          <w:highlight w:val="none"/>
          <w:lang w:val="zh-CN"/>
        </w:rPr>
        <w:t xml:space="preserve">1</w:t>
      </w:r>
      <w:r>
        <w:rPr>
          <w:rFonts w:hint="eastAsia" w:ascii="宋体" w:hAnsi="宋体" w:cs="宋体"/>
          <w:color w:val="000000"/>
          <w:szCs w:val="21"/>
          <w:highlight w:val="none"/>
          <w:lang w:val="zh-CN"/>
        </w:rPr>
        <w:t xml:space="preserve">、除《政府采购法》第</w:t>
      </w:r>
      <w:r>
        <w:rPr>
          <w:rFonts w:ascii="宋体" w:hAnsi="宋体"/>
          <w:color w:val="000000"/>
          <w:szCs w:val="21"/>
          <w:highlight w:val="none"/>
          <w:lang w:val="zh-CN"/>
        </w:rPr>
        <w:t xml:space="preserve">50</w:t>
      </w:r>
      <w:r>
        <w:rPr>
          <w:rFonts w:hint="eastAsia" w:ascii="宋体" w:hAnsi="宋体" w:cs="宋体"/>
          <w:color w:val="000000"/>
          <w:szCs w:val="21"/>
          <w:highlight w:val="none"/>
          <w:lang w:val="zh-CN"/>
        </w:rPr>
        <w:t xml:space="preserve">条规定的情形外，本合同一经签订，甲乙双方不得擅自变更、中止或终止合同。</w:t>
      </w:r>
      <w:r>
        <w:rPr>
          <w:rFonts w:ascii="宋体" w:cs="宋体"/>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除发生法律规定的不能预见、不能避免并不能克服的客观情况外，甲乙双方不得放弃或拒绝履行合同。乙方放弃或拒绝履行合同，保证金不予退还。</w:t>
      </w:r>
      <w:r>
        <w:rPr>
          <w:rFonts w:ascii="宋体" w:cs="宋体"/>
          <w:color w:val="000000"/>
          <w:szCs w:val="21"/>
          <w:highlight w:val="none"/>
          <w:lang w:val="zh-CN"/>
        </w:rPr>
      </w:r>
      <w:r/>
    </w:p>
    <w:p>
      <w:pPr>
        <w:pStyle w:val="760"/>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第十一条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合同的转让</w:t>
      </w:r>
      <w:r>
        <w:rPr>
          <w:rFonts w:ascii="宋体" w:cs="宋体"/>
          <w:b/>
          <w:bCs/>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rPr>
          <w:rFonts w:ascii="宋体" w:cs="宋体"/>
          <w:color w:val="000000"/>
          <w:szCs w:val="21"/>
          <w:highlight w:val="none"/>
          <w:lang w:val="zh-CN"/>
        </w:rPr>
      </w:r>
      <w:r/>
    </w:p>
    <w:p>
      <w:pPr>
        <w:pStyle w:val="760"/>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第十二条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争议的解决</w:t>
      </w:r>
      <w:r>
        <w:rPr>
          <w:rFonts w:ascii="宋体" w:cs="宋体"/>
          <w:b/>
          <w:bCs/>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rPr>
          <w:rFonts w:asci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、因履行本合同引起的或与本合同有关的争议，甲、乙双方应首先通过友好协商解决，如果协商不能解决争议，则采取以下第（ ）种方式解决争议：</w:t>
      </w:r>
      <w:r>
        <w:rPr>
          <w:rFonts w:hint="eastAsia" w:ascii="宋体" w:hAnsi="宋体" w:cs="宋体"/>
          <w:color w:val="000000"/>
          <w:szCs w:val="21"/>
          <w:highlight w:val="none"/>
          <w:lang w:val="zh-CN"/>
        </w:rPr>
      </w:r>
      <w:r/>
    </w:p>
    <w:p>
      <w:pPr>
        <w:pStyle w:val="760"/>
        <w:ind w:firstLine="56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rPr>
          <w:rFonts w:hint="eastAsia" w:ascii="宋体" w:hAnsi="宋体" w:cs="宋体"/>
          <w:color w:val="000000"/>
          <w:szCs w:val="21"/>
          <w:highlight w:val="none"/>
          <w:lang w:val="zh-CN"/>
        </w:rPr>
      </w:r>
      <w:r/>
    </w:p>
    <w:p>
      <w:pPr>
        <w:pStyle w:val="760"/>
        <w:ind w:firstLine="56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rPr>
          <w:rFonts w:hint="eastAsia" w:ascii="宋体" w:hAnsi="宋体" w:cs="宋体"/>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rPr>
          <w:rFonts w:ascii="宋体" w:cs="宋体"/>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、在仲裁期间，本合同应继续履行。</w:t>
      </w:r>
      <w:r>
        <w:rPr>
          <w:rFonts w:ascii="宋体" w:cs="宋体"/>
          <w:color w:val="000000"/>
          <w:szCs w:val="21"/>
          <w:highlight w:val="none"/>
          <w:lang w:val="zh-CN"/>
        </w:rPr>
      </w:r>
      <w:r/>
    </w:p>
    <w:p>
      <w:pPr>
        <w:pStyle w:val="760"/>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第十三条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诚实信用</w:t>
      </w:r>
      <w:r>
        <w:rPr>
          <w:rFonts w:ascii="宋体" w:hAnsi="宋体" w:cs="宋体"/>
          <w:b/>
          <w:bCs/>
          <w:color w:val="000000"/>
          <w:szCs w:val="21"/>
          <w:highlight w:val="none"/>
          <w:lang w:val="zh-CN"/>
        </w:rPr>
        <w:t xml:space="preserve"> </w:t>
      </w:r>
      <w:r>
        <w:rPr>
          <w:rFonts w:ascii="宋体" w:cs="宋体"/>
          <w:b/>
          <w:bCs/>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乙方应诚实信用，严格按照招标文件要求和投标承诺履行合同，不向甲方进行商业贿赂或者提供不正当利益。</w:t>
      </w:r>
      <w:r>
        <w:rPr>
          <w:rFonts w:ascii="宋体" w:cs="宋体"/>
          <w:color w:val="000000"/>
          <w:szCs w:val="21"/>
          <w:highlight w:val="none"/>
          <w:lang w:val="zh-CN"/>
        </w:rPr>
      </w:r>
      <w:r/>
    </w:p>
    <w:p>
      <w:pPr>
        <w:pStyle w:val="760"/>
        <w:ind w:firstLine="420"/>
        <w:jc w:val="left"/>
        <w:spacing w:line="360" w:lineRule="auto"/>
        <w:widowControl w:val="off"/>
        <w:rPr>
          <w:rFonts w:hint="eastAsia" w:ascii="宋体" w:cs="宋体"/>
          <w:b/>
          <w:bCs/>
          <w:color w:val="000000"/>
          <w:szCs w:val="21"/>
          <w:highlight w:val="none"/>
        </w:rPr>
      </w:pPr>
      <w:r>
        <w:rPr>
          <w:rFonts w:hint="eastAsia" w:ascii="宋体" w:hAnsi="宋体" w:cs="宋体"/>
          <w:b/>
          <w:bCs/>
          <w:color w:val="000000"/>
          <w:szCs w:val="21"/>
          <w:highlight w:val="none"/>
          <w:lang w:val="zh-CN"/>
        </w:rPr>
        <w:t xml:space="preserve">第十四条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合同生效及其他</w:t>
      </w:r>
      <w:r>
        <w:rPr>
          <w:rFonts w:hint="eastAsia" w:ascii="宋体" w:hAnsi="宋体" w:cs="宋体"/>
          <w:b/>
          <w:bCs/>
          <w:color w:val="000000"/>
          <w:szCs w:val="21"/>
          <w:highlight w:val="none"/>
        </w:rPr>
        <w:t xml:space="preserve">要求</w:t>
      </w:r>
      <w:r>
        <w:rPr>
          <w:rFonts w:hint="eastAsia" w:ascii="宋体" w:cs="宋体"/>
          <w:b/>
          <w:bCs/>
          <w:color w:val="000000"/>
          <w:szCs w:val="21"/>
          <w:highlight w:val="none"/>
        </w:rPr>
      </w:r>
      <w:r/>
    </w:p>
    <w:p>
      <w:pPr>
        <w:pStyle w:val="760"/>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、本合同自签字盖章生效。</w:t>
      </w:r>
      <w:r>
        <w:rPr>
          <w:rFonts w:ascii="宋体" w:cs="宋体"/>
          <w:color w:val="000000"/>
          <w:szCs w:val="21"/>
          <w:highlight w:val="none"/>
          <w:lang w:val="zh-CN"/>
        </w:rPr>
      </w:r>
      <w:r/>
    </w:p>
    <w:p>
      <w:pPr>
        <w:pStyle w:val="760"/>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、本合同一式伍份，甲乙双方各执两份，一份交代理机构存档。</w:t>
      </w:r>
      <w:r>
        <w:rPr>
          <w:rFonts w:ascii="宋体" w:cs="宋体"/>
          <w:color w:val="000000"/>
          <w:szCs w:val="21"/>
          <w:highlight w:val="none"/>
          <w:lang w:val="zh-CN"/>
        </w:rPr>
      </w:r>
      <w:r/>
    </w:p>
    <w:p>
      <w:pPr>
        <w:pStyle w:val="760"/>
        <w:ind w:firstLine="420"/>
        <w:jc w:val="left"/>
        <w:spacing w:line="360" w:lineRule="auto"/>
        <w:widowControl w:val="off"/>
        <w:rPr>
          <w:rFonts w:hint="eastAsia" w:ascii="宋体" w:hAnsi="宋体" w:cs="宋体"/>
          <w:color w:val="000000"/>
          <w:szCs w:val="21"/>
          <w:highlight w:val="none"/>
          <w:lang w:val="zh-CN"/>
        </w:rPr>
      </w:pP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、本合同应按照中华人民共和国的现行法律进行解释。</w:t>
      </w:r>
      <w:r>
        <w:rPr>
          <w:rFonts w:hint="eastAsia" w:ascii="宋体" w:hAnsi="宋体" w:cs="宋体"/>
          <w:color w:val="000000"/>
          <w:szCs w:val="21"/>
          <w:highlight w:val="none"/>
          <w:lang w:val="zh-CN"/>
        </w:rPr>
      </w:r>
      <w:r/>
    </w:p>
    <w:p>
      <w:pPr>
        <w:pStyle w:val="760"/>
        <w:ind w:left="126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p>
      <w:pPr>
        <w:pStyle w:val="760"/>
        <w:spacing w:line="360" w:lineRule="auto"/>
        <w:widowControl w:val="off"/>
        <w:rPr>
          <w:rFonts w:hint="eastAsia"/>
          <w:color w:val="000000"/>
          <w:szCs w:val="21"/>
          <w:highlight w:val="none"/>
        </w:rPr>
      </w:pPr>
      <w:r>
        <w:rPr>
          <w:rFonts w:hint="eastAsia"/>
          <w:color w:val="000000"/>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甲方（采购人）：（盖章）</w:t>
            </w: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乙方（供应商）：（盖章）</w:t>
            </w: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电</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电</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帐</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号：</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0"/>
              <w:jc w:val="left"/>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帐</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号：</w:t>
            </w:r>
            <w:r>
              <w:rPr>
                <w:rFonts w:ascii="宋体" w:hAnsi="宋体" w:cs="宋体"/>
                <w:color w:val="000000"/>
                <w:szCs w:val="21"/>
                <w:highlight w:val="none"/>
                <w:lang w:val="zh-CN"/>
              </w:rPr>
            </w:r>
            <w:r/>
          </w:p>
        </w:tc>
      </w:tr>
    </w:tbl>
    <w:p>
      <w:pPr>
        <w:pStyle w:val="760"/>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760"/>
        <w:ind w:firstLine="420"/>
        <w:jc w:val="center"/>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《*******采购合同》补充协议（合同附件）</w:t>
      </w:r>
      <w:r>
        <w:rPr>
          <w:rFonts w:ascii="宋体" w:hAnsi="宋体" w:cs="宋体"/>
          <w:color w:val="000000"/>
          <w:szCs w:val="21"/>
          <w:highlight w:val="none"/>
          <w:lang w:val="zh-CN"/>
        </w:rPr>
      </w:r>
      <w:r/>
    </w:p>
    <w:p>
      <w:pPr>
        <w:pStyle w:val="760"/>
        <w:ind w:firstLine="420"/>
        <w:jc w:val="center"/>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zh-CN"/>
        </w:rPr>
        <w:t xml:space="preserve">如遇</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文件及合同未约定事项，双方可友好协商签订补充</w:t>
      </w:r>
      <w:r>
        <w:rPr>
          <w:rFonts w:hint="eastAsia" w:ascii="宋体" w:hAnsi="宋体" w:cs="宋体"/>
          <w:color w:val="000000"/>
          <w:szCs w:val="21"/>
          <w:highlight w:val="none"/>
        </w:rPr>
        <w:t xml:space="preserve">协议</w:t>
      </w:r>
      <w:r>
        <w:rPr>
          <w:rFonts w:ascii="宋体" w:hAnsi="宋体" w:cs="宋体"/>
          <w:b/>
          <w:color w:val="000000"/>
          <w:szCs w:val="21"/>
          <w:highlight w:val="none"/>
        </w:rPr>
      </w:r>
      <w:r/>
    </w:p>
    <w:p>
      <w:pPr>
        <w:pStyle w:val="760"/>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760"/>
        <w:jc w:val="left"/>
        <w:spacing w:line="360" w:lineRule="auto"/>
        <w:rPr>
          <w:rStyle w:val="772"/>
          <w:rFonts w:hint="eastAsia"/>
          <w:color w:val="000000"/>
          <w:sz w:val="36"/>
          <w:szCs w:val="36"/>
          <w:highlight w:val="none"/>
        </w:rPr>
      </w:pPr>
      <w:r>
        <w:rPr>
          <w:rStyle w:val="772"/>
          <w:color w:val="000000"/>
          <w:sz w:val="36"/>
          <w:szCs w:val="36"/>
          <w:highlight w:val="none"/>
        </w:rPr>
        <w:br w:type="page" w:clear="all"/>
      </w:r>
      <w:r>
        <w:rPr>
          <w:rStyle w:val="772"/>
          <w:rFonts w:hint="eastAsia"/>
          <w:color w:val="000000"/>
          <w:sz w:val="36"/>
          <w:szCs w:val="36"/>
          <w:highlight w:val="none"/>
        </w:rPr>
      </w:r>
      <w:r/>
    </w:p>
    <w:p>
      <w:pPr>
        <w:pStyle w:val="760"/>
        <w:jc w:val="center"/>
        <w:spacing w:line="360" w:lineRule="auto"/>
        <w:rPr>
          <w:rStyle w:val="772"/>
          <w:rFonts w:hint="eastAsia"/>
          <w:color w:val="000000"/>
          <w:sz w:val="36"/>
          <w:szCs w:val="36"/>
          <w:highlight w:val="none"/>
        </w:rPr>
        <w:outlineLvl w:val="0"/>
      </w:pPr>
      <w:r/>
      <w:bookmarkStart w:id="38" w:name="_Toc29062"/>
      <w:r>
        <w:rPr>
          <w:rStyle w:val="772"/>
          <w:rFonts w:hint="eastAsia"/>
          <w:color w:val="000000"/>
          <w:sz w:val="36"/>
          <w:szCs w:val="36"/>
          <w:highlight w:val="none"/>
        </w:rPr>
        <w:t xml:space="preserve">第六章 附    件</w:t>
      </w:r>
      <w:bookmarkEnd w:id="38"/>
      <w:r>
        <w:rPr>
          <w:rStyle w:val="772"/>
          <w:rFonts w:hint="eastAsia"/>
          <w:color w:val="000000"/>
          <w:sz w:val="36"/>
          <w:szCs w:val="36"/>
          <w:highlight w:val="none"/>
        </w:rPr>
      </w:r>
      <w:r/>
    </w:p>
    <w:p>
      <w:pPr>
        <w:pStyle w:val="760"/>
        <w:spacing w:line="360" w:lineRule="auto"/>
        <w:rPr>
          <w:rStyle w:val="883"/>
          <w:rFonts w:ascii="宋体"/>
          <w:color w:val="000000"/>
          <w:sz w:val="20"/>
          <w:szCs w:val="20"/>
          <w:highlight w:val="none"/>
        </w:rPr>
      </w:pPr>
      <w:r>
        <w:rPr>
          <w:rStyle w:val="883"/>
          <w:rFonts w:ascii="宋体"/>
          <w:color w:val="000000"/>
          <w:sz w:val="20"/>
          <w:szCs w:val="20"/>
          <w:highlight w:val="none"/>
        </w:rPr>
      </w:r>
      <w:r/>
    </w:p>
    <w:p>
      <w:pPr>
        <w:pStyle w:val="760"/>
        <w:spacing w:line="360" w:lineRule="auto"/>
        <w:rPr>
          <w:rStyle w:val="883"/>
          <w:rFonts w:ascii="宋体"/>
          <w:color w:val="000000"/>
          <w:sz w:val="20"/>
          <w:szCs w:val="20"/>
          <w:highlight w:val="none"/>
        </w:rPr>
      </w:pPr>
      <w:r>
        <w:rPr>
          <w:rStyle w:val="883"/>
          <w:rFonts w:ascii="宋体"/>
          <w:color w:val="000000"/>
          <w:sz w:val="20"/>
          <w:szCs w:val="20"/>
          <w:highlight w:val="none"/>
        </w:rPr>
      </w:r>
      <w:r/>
    </w:p>
    <w:p>
      <w:pPr>
        <w:pStyle w:val="760"/>
        <w:spacing w:line="360" w:lineRule="auto"/>
        <w:rPr>
          <w:rStyle w:val="883"/>
          <w:rFonts w:ascii="宋体"/>
          <w:color w:val="000000"/>
          <w:sz w:val="20"/>
          <w:szCs w:val="20"/>
          <w:highlight w:val="none"/>
        </w:rPr>
      </w:pPr>
      <w:r>
        <w:rPr>
          <w:rStyle w:val="883"/>
          <w:rFonts w:ascii="宋体"/>
          <w:color w:val="000000"/>
          <w:sz w:val="20"/>
          <w:szCs w:val="20"/>
          <w:highlight w:val="none"/>
        </w:rPr>
      </w:r>
      <w:r/>
    </w:p>
    <w:p>
      <w:pPr>
        <w:pStyle w:val="760"/>
        <w:spacing w:line="360" w:lineRule="auto"/>
        <w:rPr>
          <w:rStyle w:val="883"/>
          <w:rFonts w:ascii="宋体"/>
          <w:color w:val="000000"/>
          <w:sz w:val="20"/>
          <w:szCs w:val="20"/>
          <w:highlight w:val="none"/>
        </w:rPr>
      </w:pPr>
      <w:r>
        <w:rPr>
          <w:rStyle w:val="883"/>
          <w:rFonts w:ascii="宋体"/>
          <w:color w:val="000000"/>
          <w:sz w:val="20"/>
          <w:szCs w:val="20"/>
          <w:highlight w:val="none"/>
        </w:rPr>
      </w:r>
      <w:r/>
    </w:p>
    <w:p>
      <w:pPr>
        <w:pStyle w:val="760"/>
        <w:jc w:val="center"/>
        <w:spacing w:line="360" w:lineRule="auto"/>
        <w:rPr>
          <w:rStyle w:val="883"/>
          <w:rFonts w:ascii="宋体"/>
          <w:color w:val="000000"/>
          <w:sz w:val="20"/>
          <w:szCs w:val="20"/>
          <w:highlight w:val="none"/>
        </w:rPr>
      </w:pPr>
      <w:r>
        <w:rPr>
          <w:rStyle w:val="883"/>
          <w:rFonts w:hint="eastAsia" w:ascii="宋体" w:hAnsi="宋体"/>
          <w:color w:val="000000"/>
          <w:sz w:val="28"/>
          <w:szCs w:val="28"/>
          <w:highlight w:val="none"/>
        </w:rPr>
        <w:t xml:space="preserve">（项目名称、项目编号 ）</w:t>
      </w:r>
      <w:r>
        <w:rPr>
          <w:rStyle w:val="883"/>
          <w:rFonts w:ascii="宋体"/>
          <w:color w:val="000000"/>
          <w:sz w:val="20"/>
          <w:szCs w:val="20"/>
          <w:highlight w:val="none"/>
        </w:rPr>
      </w:r>
      <w:r/>
    </w:p>
    <w:p>
      <w:pPr>
        <w:pStyle w:val="760"/>
        <w:spacing w:line="360" w:lineRule="auto"/>
        <w:rPr>
          <w:rStyle w:val="883"/>
          <w:rFonts w:ascii="宋体"/>
          <w:color w:val="000000"/>
          <w:sz w:val="20"/>
          <w:szCs w:val="20"/>
          <w:highlight w:val="none"/>
        </w:rPr>
      </w:pPr>
      <w:r>
        <w:rPr>
          <w:rStyle w:val="883"/>
          <w:rFonts w:ascii="宋体"/>
          <w:color w:val="000000"/>
          <w:sz w:val="20"/>
          <w:szCs w:val="20"/>
          <w:highlight w:val="none"/>
        </w:rPr>
      </w:r>
      <w:r/>
    </w:p>
    <w:p>
      <w:pPr>
        <w:pStyle w:val="760"/>
        <w:jc w:val="center"/>
        <w:spacing w:line="360" w:lineRule="auto"/>
        <w:rPr>
          <w:rStyle w:val="883"/>
          <w:rFonts w:ascii="宋体"/>
          <w:color w:val="000000"/>
          <w:sz w:val="44"/>
          <w:szCs w:val="44"/>
          <w:highlight w:val="none"/>
        </w:rPr>
      </w:pPr>
      <w:r>
        <w:rPr>
          <w:rStyle w:val="883"/>
          <w:rFonts w:hint="eastAsia" w:ascii="宋体" w:hAnsi="宋体"/>
          <w:color w:val="000000"/>
          <w:sz w:val="44"/>
          <w:szCs w:val="44"/>
          <w:highlight w:val="none"/>
        </w:rPr>
        <w:t xml:space="preserve">投标文件</w:t>
      </w:r>
      <w:r>
        <w:rPr>
          <w:rStyle w:val="883"/>
          <w:rFonts w:ascii="宋体"/>
          <w:color w:val="000000"/>
          <w:sz w:val="44"/>
          <w:szCs w:val="44"/>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spacing w:line="360" w:lineRule="auto"/>
        <w:rPr>
          <w:rStyle w:val="883"/>
          <w:rFonts w:ascii="宋体"/>
          <w:color w:val="000000"/>
          <w:sz w:val="28"/>
          <w:szCs w:val="28"/>
          <w:highlight w:val="none"/>
        </w:rPr>
      </w:pPr>
      <w:r>
        <w:rPr>
          <w:rStyle w:val="883"/>
          <w:rFonts w:ascii="宋体"/>
          <w:color w:val="000000"/>
          <w:sz w:val="28"/>
          <w:szCs w:val="28"/>
          <w:highlight w:val="none"/>
        </w:rPr>
      </w:r>
      <w:r/>
    </w:p>
    <w:p>
      <w:pPr>
        <w:pStyle w:val="760"/>
        <w:jc w:val="center"/>
        <w:spacing w:line="360" w:lineRule="auto"/>
        <w:rPr>
          <w:rStyle w:val="883"/>
          <w:rFonts w:ascii="宋体"/>
          <w:color w:val="000000"/>
          <w:sz w:val="28"/>
          <w:szCs w:val="28"/>
          <w:highlight w:val="none"/>
          <w:u w:val="single"/>
        </w:rPr>
      </w:pPr>
      <w:r>
        <w:rPr>
          <w:rStyle w:val="883"/>
          <w:rFonts w:hint="eastAsia" w:ascii="宋体" w:hAnsi="宋体"/>
          <w:color w:val="000000"/>
          <w:sz w:val="28"/>
          <w:szCs w:val="28"/>
          <w:highlight w:val="none"/>
        </w:rPr>
        <w:t xml:space="preserve">投标人：（加盖电子公章）</w:t>
      </w:r>
      <w:r>
        <w:rPr>
          <w:rStyle w:val="883"/>
          <w:rFonts w:ascii="宋体"/>
          <w:color w:val="000000"/>
          <w:sz w:val="28"/>
          <w:szCs w:val="28"/>
          <w:highlight w:val="none"/>
          <w:u w:val="single"/>
        </w:rPr>
      </w:r>
      <w:r/>
    </w:p>
    <w:p>
      <w:pPr>
        <w:pStyle w:val="760"/>
        <w:jc w:val="center"/>
        <w:spacing w:line="360" w:lineRule="auto"/>
        <w:rPr>
          <w:rStyle w:val="883"/>
          <w:rFonts w:ascii="宋体"/>
          <w:color w:val="000000"/>
          <w:sz w:val="28"/>
          <w:szCs w:val="28"/>
          <w:highlight w:val="none"/>
        </w:rPr>
      </w:pPr>
      <w:r>
        <w:rPr>
          <w:rStyle w:val="883"/>
          <w:rFonts w:hint="eastAsia" w:ascii="宋体" w:hAnsi="宋体"/>
          <w:color w:val="000000"/>
          <w:sz w:val="28"/>
          <w:szCs w:val="28"/>
          <w:highlight w:val="none"/>
        </w:rPr>
        <w:t xml:space="preserve">法定代表人或其委托代理人：（签字）</w:t>
      </w:r>
      <w:r>
        <w:rPr>
          <w:rStyle w:val="883"/>
          <w:rFonts w:ascii="宋体"/>
          <w:color w:val="000000"/>
          <w:sz w:val="28"/>
          <w:szCs w:val="28"/>
          <w:highlight w:val="none"/>
        </w:rPr>
      </w:r>
      <w:r/>
    </w:p>
    <w:p>
      <w:pPr>
        <w:pStyle w:val="760"/>
        <w:jc w:val="center"/>
        <w:spacing w:line="360" w:lineRule="auto"/>
        <w:rPr>
          <w:rStyle w:val="883"/>
          <w:rFonts w:ascii="宋体"/>
          <w:color w:val="000000"/>
          <w:sz w:val="20"/>
          <w:szCs w:val="20"/>
          <w:highlight w:val="none"/>
        </w:rPr>
      </w:pPr>
      <w:r>
        <w:rPr>
          <w:rStyle w:val="883"/>
          <w:rFonts w:hint="eastAsia" w:ascii="宋体" w:hAnsi="宋体"/>
          <w:color w:val="000000"/>
          <w:sz w:val="28"/>
          <w:szCs w:val="28"/>
          <w:highlight w:val="none"/>
        </w:rPr>
        <w:t xml:space="preserve">年月日</w:t>
      </w:r>
      <w:r>
        <w:rPr>
          <w:rStyle w:val="883"/>
          <w:rFonts w:ascii="宋体"/>
          <w:color w:val="000000"/>
          <w:sz w:val="20"/>
          <w:szCs w:val="20"/>
          <w:highlight w:val="none"/>
        </w:rPr>
      </w:r>
      <w:r/>
    </w:p>
    <w:p>
      <w:pPr>
        <w:pStyle w:val="760"/>
        <w:jc w:val="left"/>
        <w:spacing w:line="360" w:lineRule="auto"/>
        <w:rPr>
          <w:rStyle w:val="883"/>
          <w:rFonts w:ascii="宋体"/>
          <w:color w:val="000000"/>
          <w:highlight w:val="none"/>
        </w:rPr>
      </w:pPr>
      <w:r>
        <w:rPr>
          <w:rStyle w:val="883"/>
          <w:rFonts w:ascii="宋体"/>
          <w:color w:val="000000"/>
          <w:highlight w:val="none"/>
        </w:rPr>
        <w:br w:type="page" w:clear="all"/>
      </w:r>
      <w:r>
        <w:rPr>
          <w:rStyle w:val="883"/>
          <w:rFonts w:ascii="宋体"/>
          <w:color w:val="000000"/>
          <w:highlight w:val="none"/>
        </w:rPr>
      </w:r>
      <w:r/>
    </w:p>
    <w:p>
      <w:pPr>
        <w:pStyle w:val="760"/>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ascii="宋体" w:hAnsi="宋体" w:cs="宋体"/>
          <w:b/>
          <w:bCs/>
          <w:color w:val="000000"/>
          <w:sz w:val="32"/>
          <w:szCs w:val="32"/>
          <w:highlight w:val="none"/>
        </w:rPr>
      </w:r>
      <w:r/>
    </w:p>
    <w:p>
      <w:pPr>
        <w:pStyle w:val="760"/>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760"/>
        <w:spacing w:line="360" w:lineRule="auto"/>
        <w:rPr>
          <w:b/>
          <w:color w:val="000000"/>
          <w:highlight w:val="none"/>
        </w:rPr>
      </w:pPr>
      <w:r>
        <w:rPr>
          <w:b/>
          <w:color w:val="000000"/>
          <w:highlight w:val="none"/>
        </w:rPr>
      </w:r>
      <w:r/>
    </w:p>
    <w:p>
      <w:pPr>
        <w:pStyle w:val="760"/>
        <w:spacing w:line="360" w:lineRule="auto"/>
        <w:rPr>
          <w:rStyle w:val="883"/>
          <w:rFonts w:ascii="宋体"/>
          <w:color w:val="000000"/>
          <w:szCs w:val="21"/>
          <w:highlight w:val="none"/>
        </w:rPr>
      </w:pPr>
      <w:r>
        <w:rPr>
          <w:rStyle w:val="883"/>
          <w:rFonts w:ascii="宋体"/>
          <w:color w:val="000000"/>
          <w:highlight w:val="none"/>
        </w:rPr>
        <w:br w:type="page" w:clear="all"/>
      </w:r>
      <w:r>
        <w:rPr>
          <w:rStyle w:val="883"/>
          <w:rFonts w:hint="eastAsia" w:ascii="宋体" w:hAnsi="宋体"/>
          <w:b/>
          <w:bCs/>
          <w:color w:val="000000"/>
          <w:szCs w:val="21"/>
          <w:highlight w:val="none"/>
        </w:rPr>
        <w:t xml:space="preserve">附件一、投标申请及声明格式</w:t>
      </w:r>
      <w:r>
        <w:rPr>
          <w:rStyle w:val="883"/>
          <w:rFonts w:ascii="宋体"/>
          <w:color w:val="000000"/>
          <w:szCs w:val="21"/>
          <w:highlight w:val="none"/>
        </w:rPr>
      </w:r>
      <w:r/>
    </w:p>
    <w:p>
      <w:pPr>
        <w:pStyle w:val="760"/>
        <w:jc w:val="center"/>
        <w:spacing w:line="360" w:lineRule="auto"/>
        <w:shd w:val="clear" w:color="auto" w:fill="ffffff"/>
        <w:rPr>
          <w:rStyle w:val="883"/>
          <w:rFonts w:ascii="宋体"/>
          <w:color w:val="000000"/>
          <w:szCs w:val="21"/>
          <w:highlight w:val="none"/>
        </w:rPr>
      </w:pPr>
      <w:r>
        <w:rPr>
          <w:rStyle w:val="883"/>
          <w:rFonts w:hint="eastAsia" w:ascii="宋体" w:hAnsi="宋体"/>
          <w:color w:val="000000"/>
          <w:sz w:val="36"/>
          <w:szCs w:val="36"/>
          <w:highlight w:val="none"/>
        </w:rPr>
        <w:t xml:space="preserve">投标申请及声明</w:t>
      </w:r>
      <w:r>
        <w:rPr>
          <w:rStyle w:val="883"/>
          <w:rFonts w:ascii="宋体"/>
          <w:color w:val="000000"/>
          <w:szCs w:val="21"/>
          <w:highlight w:val="none"/>
        </w:rPr>
      </w:r>
      <w:r/>
    </w:p>
    <w:p>
      <w:pPr>
        <w:pStyle w:val="760"/>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hint="eastAsia" w:ascii="宋体" w:hAnsi="宋体"/>
          <w:color w:val="000000"/>
          <w:szCs w:val="21"/>
          <w:highlight w:val="none"/>
        </w:rPr>
        <w:t xml:space="preserve">致：</w:t>
      </w:r>
      <w:r>
        <w:rPr>
          <w:rStyle w:val="883"/>
          <w:rFonts w:ascii="宋体" w:hAnsi="宋体"/>
          <w:color w:val="000000"/>
          <w:szCs w:val="21"/>
          <w:highlight w:val="none"/>
        </w:rPr>
        <w:t xml:space="preserve">南京市江宁区人民政府江宁街道办事处</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根据贵方</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b/>
          <w:bCs/>
          <w:color w:val="000000"/>
          <w:szCs w:val="21"/>
          <w:highlight w:val="none"/>
          <w:u w:val="single"/>
        </w:rPr>
        <w:t xml:space="preserve">（</w:t>
      </w:r>
      <w:r>
        <w:rPr>
          <w:rStyle w:val="883"/>
          <w:rFonts w:hint="eastAsia" w:ascii="宋体" w:hAnsi="宋体"/>
          <w:b/>
          <w:bCs/>
          <w:color w:val="000000"/>
          <w:szCs w:val="21"/>
          <w:highlight w:val="none"/>
        </w:rPr>
        <w:t xml:space="preserve">项目名称</w:t>
      </w:r>
      <w:r>
        <w:rPr>
          <w:rStyle w:val="883"/>
          <w:rFonts w:hint="eastAsia" w:ascii="宋体" w:hAnsi="宋体"/>
          <w:color w:val="000000"/>
          <w:szCs w:val="21"/>
          <w:highlight w:val="none"/>
        </w:rPr>
        <w:t xml:space="preserve">）</w:t>
      </w:r>
      <w:r>
        <w:rPr>
          <w:rStyle w:val="883"/>
          <w:rFonts w:ascii="宋体"/>
          <w:color w:val="000000"/>
          <w:highlight w:val="none"/>
        </w:rPr>
        <w:t xml:space="preserve"> </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（项目编号）投标邀请，正式授权下述签字人</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ascii="宋体" w:hAnsi="宋体"/>
          <w:color w:val="000000"/>
          <w:szCs w:val="21"/>
          <w:highlight w:val="none"/>
        </w:rPr>
        <w:t xml:space="preserve">(</w:t>
      </w:r>
      <w:r>
        <w:rPr>
          <w:rStyle w:val="883"/>
          <w:rFonts w:hint="eastAsia" w:ascii="宋体" w:hAnsi="宋体"/>
          <w:color w:val="000000"/>
          <w:szCs w:val="21"/>
          <w:highlight w:val="none"/>
        </w:rPr>
        <w:t xml:space="preserve">姓名和职务</w:t>
      </w:r>
      <w:r>
        <w:rPr>
          <w:rStyle w:val="883"/>
          <w:rFonts w:ascii="宋体" w:hAnsi="宋体"/>
          <w:color w:val="000000"/>
          <w:szCs w:val="21"/>
          <w:highlight w:val="none"/>
        </w:rPr>
        <w:t xml:space="preserve">)</w:t>
      </w:r>
      <w:r>
        <w:rPr>
          <w:rStyle w:val="883"/>
          <w:rFonts w:hint="eastAsia" w:ascii="宋体" w:hAnsi="宋体"/>
          <w:color w:val="000000"/>
          <w:szCs w:val="21"/>
          <w:highlight w:val="none"/>
        </w:rPr>
        <w:t xml:space="preserve">代表投标人</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（投标人名称），提交投标文件。</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据此函，签字人兹宣布声明和承诺如下：</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ascii="宋体" w:hAnsi="宋体"/>
          <w:color w:val="000000"/>
          <w:szCs w:val="21"/>
          <w:highlight w:val="none"/>
        </w:rPr>
        <w:t xml:space="preserve">1</w:t>
      </w:r>
      <w:r>
        <w:rPr>
          <w:rStyle w:val="883"/>
          <w:rFonts w:hint="eastAsia" w:ascii="宋体" w:hAnsi="宋体"/>
          <w:color w:val="000000"/>
          <w:szCs w:val="21"/>
          <w:highlight w:val="none"/>
        </w:rPr>
        <w:t xml:space="preserve">、</w:t>
      </w:r>
      <w:r>
        <w:rPr>
          <w:rStyle w:val="883"/>
          <w:rFonts w:hint="eastAsia" w:ascii="宋体" w:hAnsi="宋体"/>
          <w:b/>
          <w:bCs/>
          <w:color w:val="000000"/>
          <w:szCs w:val="21"/>
          <w:highlight w:val="none"/>
        </w:rPr>
        <w:t xml:space="preserve">我们的资格条件完全符合政府采购法和本次招标要求</w:t>
      </w:r>
      <w:r>
        <w:rPr>
          <w:rStyle w:val="883"/>
          <w:rFonts w:hint="eastAsia" w:ascii="宋体" w:hAnsi="宋体"/>
          <w:color w:val="000000"/>
          <w:szCs w:val="21"/>
          <w:highlight w:val="none"/>
        </w:rPr>
        <w:t xml:space="preserve">，我们同意并向贵方提供了与投标有关的所有证据和资料。</w:t>
      </w:r>
      <w:r>
        <w:rPr>
          <w:rStyle w:val="883"/>
          <w:rFonts w:ascii="宋体"/>
          <w:color w:val="000000"/>
          <w:szCs w:val="21"/>
          <w:highlight w:val="none"/>
        </w:rPr>
      </w:r>
      <w:r/>
    </w:p>
    <w:p>
      <w:pPr>
        <w:pStyle w:val="760"/>
        <w:ind w:left="420"/>
        <w:spacing w:line="360" w:lineRule="auto"/>
        <w:shd w:val="clear" w:color="auto" w:fill="ffffff"/>
        <w:rPr>
          <w:rStyle w:val="883"/>
          <w:rFonts w:ascii="宋体"/>
          <w:color w:val="000000"/>
          <w:szCs w:val="21"/>
          <w:highlight w:val="none"/>
        </w:rPr>
      </w:pPr>
      <w:r>
        <w:rPr>
          <w:rStyle w:val="883"/>
          <w:rFonts w:ascii="宋体" w:hAnsi="宋体"/>
          <w:color w:val="000000"/>
          <w:szCs w:val="21"/>
          <w:highlight w:val="none"/>
        </w:rPr>
        <w:t xml:space="preserve">2</w:t>
      </w:r>
      <w:r>
        <w:rPr>
          <w:rStyle w:val="883"/>
          <w:rFonts w:hint="eastAsia" w:ascii="宋体" w:hAnsi="宋体"/>
          <w:color w:val="000000"/>
          <w:szCs w:val="21"/>
          <w:highlight w:val="none"/>
        </w:rPr>
        <w:t xml:space="preserve">、按招标要求，我们的投标报价为 </w:t>
      </w:r>
      <w:r>
        <w:rPr>
          <w:rStyle w:val="883"/>
          <w:rFonts w:hint="eastAsia" w:ascii="宋体" w:hAnsi="宋体"/>
          <w:color w:val="000000"/>
          <w:szCs w:val="21"/>
          <w:highlight w:val="none"/>
          <w:u w:val="single"/>
        </w:rPr>
        <w:t xml:space="preserve">    </w:t>
      </w:r>
      <w:r>
        <w:rPr>
          <w:rStyle w:val="883"/>
          <w:rFonts w:hint="eastAsia" w:ascii="宋体" w:hAnsi="宋体"/>
          <w:color w:val="000000"/>
          <w:szCs w:val="21"/>
          <w:highlight w:val="none"/>
        </w:rPr>
        <w:t xml:space="preserve">万元，大写</w:t>
      </w:r>
      <w:r>
        <w:rPr>
          <w:rStyle w:val="883"/>
          <w:rFonts w:hint="eastAsia" w:ascii="宋体" w:hAnsi="宋体"/>
          <w:color w:val="000000"/>
          <w:szCs w:val="21"/>
          <w:highlight w:val="none"/>
          <w:u w:val="single"/>
        </w:rPr>
        <w:t xml:space="preserve">    ，小写     。</w:t>
      </w:r>
      <w:r>
        <w:rPr>
          <w:rStyle w:val="883"/>
          <w:rFonts w:hint="eastAsia" w:ascii="宋体" w:hAnsi="宋体"/>
          <w:color w:val="000000"/>
          <w:szCs w:val="21"/>
          <w:highlight w:val="non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u w:val="single"/>
        </w:rPr>
      </w:pPr>
      <w:r>
        <w:rPr>
          <w:rStyle w:val="883"/>
          <w:rFonts w:ascii="宋体" w:hAnsi="宋体"/>
          <w:color w:val="000000"/>
          <w:szCs w:val="21"/>
          <w:highlight w:val="none"/>
        </w:rPr>
        <w:t xml:space="preserve">3</w:t>
      </w:r>
      <w:r>
        <w:rPr>
          <w:rStyle w:val="883"/>
          <w:rFonts w:hint="eastAsia" w:ascii="宋体" w:hAnsi="宋体"/>
          <w:color w:val="000000"/>
          <w:szCs w:val="21"/>
          <w:highlight w:val="none"/>
        </w:rPr>
        <w:t xml:space="preserve">、合同履行期为</w:t>
      </w:r>
      <w:r>
        <w:rPr>
          <w:rStyle w:val="883"/>
          <w:rFonts w:hint="eastAsia" w:ascii="宋体" w:hAnsi="宋体"/>
          <w:color w:val="000000"/>
          <w:szCs w:val="21"/>
          <w:highlight w:val="none"/>
          <w:u w:val="single"/>
        </w:rPr>
        <w:t xml:space="preserve">：     。         </w:t>
      </w:r>
      <w:r>
        <w:rPr>
          <w:rStyle w:val="883"/>
          <w:rFonts w:ascii="宋体"/>
          <w:color w:val="000000"/>
          <w:szCs w:val="21"/>
          <w:highlight w:val="none"/>
          <w:u w:val="single"/>
        </w:rPr>
      </w:r>
      <w:r/>
    </w:p>
    <w:p>
      <w:pPr>
        <w:pStyle w:val="760"/>
        <w:ind w:firstLine="420"/>
        <w:spacing w:line="360" w:lineRule="auto"/>
        <w:shd w:val="clear" w:color="auto" w:fill="ffffff"/>
        <w:rPr>
          <w:rStyle w:val="883"/>
          <w:rFonts w:hint="eastAsia" w:ascii="宋体" w:hAnsi="宋体"/>
          <w:color w:val="000000"/>
          <w:szCs w:val="21"/>
          <w:highlight w:val="none"/>
        </w:rPr>
      </w:pPr>
      <w:r>
        <w:rPr>
          <w:rStyle w:val="883"/>
          <w:rFonts w:ascii="宋体" w:hAnsi="宋体"/>
          <w:color w:val="000000"/>
          <w:szCs w:val="21"/>
          <w:highlight w:val="none"/>
        </w:rPr>
        <w:t xml:space="preserve">4</w:t>
      </w:r>
      <w:r>
        <w:rPr>
          <w:rStyle w:val="883"/>
          <w:rFonts w:hint="eastAsia" w:ascii="宋体" w:hAnsi="宋体"/>
          <w:color w:val="000000"/>
          <w:szCs w:val="21"/>
          <w:highlight w:val="none"/>
        </w:rPr>
        <w:t xml:space="preserve">、核心品牌：</w:t>
      </w:r>
      <w:r>
        <w:rPr>
          <w:rStyle w:val="883"/>
          <w:rFonts w:hint="eastAsia" w:ascii="宋体" w:hAnsi="宋体"/>
          <w:color w:val="000000"/>
          <w:szCs w:val="21"/>
          <w:highlight w:val="none"/>
          <w:u w:val="single"/>
        </w:rPr>
        <w:t xml:space="preserve">      。</w:t>
      </w:r>
      <w:r>
        <w:rPr>
          <w:rStyle w:val="883"/>
          <w:rFonts w:hint="eastAsia" w:ascii="宋体" w:hAns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5、我们已详细审核全部招标文件及其有效补充文件，我们放弃对招标文件任何误解的权利，提交投标文件后，</w:t>
      </w:r>
      <w:r>
        <w:rPr>
          <w:rStyle w:val="883"/>
          <w:rFonts w:hint="eastAsia" w:ascii="宋体" w:hAnsi="宋体"/>
          <w:b/>
          <w:bCs/>
          <w:color w:val="000000"/>
          <w:szCs w:val="21"/>
          <w:highlight w:val="none"/>
        </w:rPr>
        <w:t xml:space="preserve">不对招标文件本身提出质疑</w:t>
      </w:r>
      <w:r>
        <w:rPr>
          <w:rStyle w:val="883"/>
          <w:rFonts w:hint="eastAsia" w:ascii="宋体" w:hAnsi="宋体"/>
          <w:color w:val="000000"/>
          <w:szCs w:val="21"/>
          <w:highlight w:val="none"/>
        </w:rPr>
        <w:t xml:space="preserve">。</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6、我们同意从规定的开标日期起遵循本投标文件，并在规定的投标有效期期满之前均具有约束力。</w:t>
      </w:r>
      <w:r>
        <w:rPr>
          <w:rStyle w:val="883"/>
          <w:rFonts w:ascii="宋体"/>
          <w:color w:val="000000"/>
          <w:szCs w:val="21"/>
          <w:highlight w:val="none"/>
        </w:rPr>
      </w:r>
      <w:r/>
    </w:p>
    <w:p>
      <w:pPr>
        <w:pStyle w:val="760"/>
        <w:ind w:firstLine="420"/>
        <w:spacing w:line="360" w:lineRule="auto"/>
        <w:rPr>
          <w:rFonts w:ascii="宋体" w:hAnsi="宋体"/>
          <w:color w:val="000000"/>
          <w:szCs w:val="21"/>
          <w:highlight w:val="none"/>
        </w:rPr>
      </w:pPr>
      <w:r>
        <w:rPr>
          <w:rStyle w:val="883"/>
          <w:rFonts w:hint="eastAsia" w:ascii="宋体" w:hAnsi="宋体"/>
          <w:color w:val="000000"/>
          <w:szCs w:val="21"/>
          <w:highlight w:val="none"/>
        </w:rPr>
        <w:t xml:space="preserve">7、</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8、一旦我方中标，我方将根据招标文件的规定严格履行合同，并保证于承诺的时间完成货物的启动</w:t>
      </w:r>
      <w:r>
        <w:rPr>
          <w:rStyle w:val="883"/>
          <w:rFonts w:ascii="宋体" w:hAnsi="宋体"/>
          <w:color w:val="000000"/>
          <w:szCs w:val="21"/>
          <w:highlight w:val="none"/>
        </w:rPr>
        <w:t xml:space="preserve">/</w:t>
      </w:r>
      <w:r>
        <w:rPr>
          <w:rStyle w:val="883"/>
          <w:rFonts w:hint="eastAsia" w:ascii="宋体" w:hAnsi="宋体"/>
          <w:color w:val="000000"/>
          <w:szCs w:val="21"/>
          <w:highlight w:val="none"/>
        </w:rPr>
        <w:t xml:space="preserve">集成、调试等服务，交付采购人验收、使用。</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10、与本投标有关的正式联系方式为：</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地</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址：</w:t>
      </w:r>
      <w:r>
        <w:rPr>
          <w:rStyle w:val="883"/>
          <w:rFonts w:ascii="宋体"/>
          <w:color w:val="000000"/>
          <w:szCs w:val="21"/>
          <w:highlight w:val="none"/>
          <w:u w:val="singl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电</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话：</w:t>
      </w:r>
      <w:r>
        <w:rPr>
          <w:rStyle w:val="883"/>
          <w:rFonts w:ascii="宋体"/>
          <w:color w:val="000000"/>
          <w:szCs w:val="21"/>
          <w:highlight w:val="none"/>
          <w:u w:val="singl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传</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真：</w:t>
      </w:r>
      <w:r>
        <w:rPr>
          <w:rStyle w:val="883"/>
          <w:rFonts w:ascii="宋体"/>
          <w:color w:val="000000"/>
          <w:szCs w:val="21"/>
          <w:highlight w:val="none"/>
          <w:u w:val="singl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开户银行：</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银行账号：</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投标人授权代表姓名（签字）：</w:t>
      </w:r>
      <w:r>
        <w:rPr>
          <w:rStyle w:val="883"/>
          <w:rFonts w:ascii="宋体"/>
          <w:color w:val="000000"/>
          <w:szCs w:val="21"/>
          <w:highlight w:val="none"/>
          <w:u w:val="singl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投标人名称：</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（电子公章）</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日</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期：</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年</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月</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日</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p>
      <w:pPr>
        <w:pStyle w:val="760"/>
        <w:ind w:firstLine="420"/>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p>
      <w:pPr>
        <w:pStyle w:val="760"/>
        <w:spacing w:line="360" w:lineRule="auto"/>
        <w:shd w:val="clear" w:color="auto" w:fill="ffffff"/>
        <w:rPr>
          <w:rStyle w:val="883"/>
          <w:rFonts w:ascii="宋体"/>
          <w:b/>
          <w:bCs/>
          <w:color w:val="000000"/>
          <w:szCs w:val="21"/>
          <w:highlight w:val="none"/>
        </w:rPr>
      </w:pPr>
      <w:r>
        <w:rPr>
          <w:rStyle w:val="883"/>
          <w:rFonts w:ascii="宋体"/>
          <w:b/>
          <w:bCs/>
          <w:color w:val="000000"/>
          <w:szCs w:val="21"/>
          <w:highlight w:val="none"/>
        </w:rPr>
        <w:br w:type="page" w:clear="all"/>
      </w:r>
      <w:r>
        <w:rPr>
          <w:rStyle w:val="883"/>
          <w:rFonts w:ascii="宋体"/>
          <w:b/>
          <w:bCs/>
          <w:color w:val="000000"/>
          <w:szCs w:val="21"/>
          <w:highlight w:val="none"/>
        </w:rPr>
      </w:r>
      <w:r/>
    </w:p>
    <w:p>
      <w:pPr>
        <w:pStyle w:val="760"/>
        <w:spacing w:line="360" w:lineRule="auto"/>
        <w:shd w:val="clear" w:color="auto" w:fill="ffffff"/>
        <w:rPr>
          <w:rStyle w:val="883"/>
          <w:rFonts w:ascii="宋体"/>
          <w:color w:val="000000"/>
          <w:szCs w:val="21"/>
          <w:highlight w:val="none"/>
        </w:rPr>
      </w:pPr>
      <w:r>
        <w:rPr>
          <w:rStyle w:val="883"/>
          <w:rFonts w:hint="eastAsia" w:ascii="宋体" w:hAnsi="宋体"/>
          <w:b/>
          <w:bCs/>
          <w:color w:val="000000"/>
          <w:szCs w:val="21"/>
          <w:highlight w:val="none"/>
        </w:rPr>
        <w:t xml:space="preserve">附件二、法定代表人授权委托书格式</w:t>
      </w:r>
      <w:r>
        <w:rPr>
          <w:rStyle w:val="883"/>
          <w:rFonts w:ascii="宋体"/>
          <w:color w:val="000000"/>
          <w:szCs w:val="21"/>
          <w:highlight w:val="none"/>
        </w:rPr>
      </w:r>
      <w:r/>
    </w:p>
    <w:p>
      <w:pPr>
        <w:pStyle w:val="760"/>
        <w:ind w:firstLine="720"/>
        <w:jc w:val="center"/>
        <w:spacing w:line="360" w:lineRule="auto"/>
        <w:shd w:val="clear" w:color="auto" w:fill="ffffff"/>
        <w:rPr>
          <w:rStyle w:val="883"/>
          <w:rFonts w:ascii="宋体"/>
          <w:color w:val="000000"/>
          <w:sz w:val="36"/>
          <w:szCs w:val="36"/>
          <w:highlight w:val="none"/>
        </w:rPr>
      </w:pPr>
      <w:r>
        <w:rPr>
          <w:rStyle w:val="883"/>
          <w:rFonts w:ascii="宋体"/>
          <w:color w:val="000000"/>
          <w:sz w:val="36"/>
          <w:szCs w:val="36"/>
          <w:highlight w:val="none"/>
        </w:rPr>
      </w:r>
      <w:r/>
    </w:p>
    <w:p>
      <w:pPr>
        <w:pStyle w:val="760"/>
        <w:ind w:firstLine="720"/>
        <w:jc w:val="center"/>
        <w:spacing w:line="360" w:lineRule="auto"/>
        <w:shd w:val="clear" w:color="auto" w:fill="ffffff"/>
        <w:rPr>
          <w:rStyle w:val="883"/>
          <w:rFonts w:ascii="宋体"/>
          <w:color w:val="000000"/>
          <w:szCs w:val="21"/>
          <w:highlight w:val="none"/>
        </w:rPr>
      </w:pPr>
      <w:r>
        <w:rPr>
          <w:rStyle w:val="883"/>
          <w:rFonts w:hint="eastAsia" w:ascii="宋体" w:hAnsi="宋体"/>
          <w:color w:val="000000"/>
          <w:sz w:val="36"/>
          <w:szCs w:val="36"/>
          <w:highlight w:val="none"/>
        </w:rPr>
        <w:t xml:space="preserve">法定代表人授权委托书</w:t>
      </w:r>
      <w:r>
        <w:rPr>
          <w:rStyle w:val="883"/>
          <w:rFonts w:ascii="宋体"/>
          <w:color w:val="000000"/>
          <w:szCs w:val="21"/>
          <w:highlight w:val="none"/>
        </w:rPr>
      </w:r>
      <w:r/>
    </w:p>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p>
      <w:pPr>
        <w:pStyle w:val="760"/>
        <w:jc w:val="left"/>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致：（招标人）</w:t>
      </w:r>
      <w:r>
        <w:rPr>
          <w:rStyle w:val="883"/>
          <w:rFonts w:ascii="宋体"/>
          <w:color w:val="000000"/>
          <w:szCs w:val="21"/>
          <w:highlight w:val="none"/>
        </w:rPr>
      </w:r>
      <w:r/>
    </w:p>
    <w:p>
      <w:pPr>
        <w:pStyle w:val="760"/>
        <w:ind w:firstLine="420"/>
        <w:jc w:val="left"/>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本授权书声明：注册于</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（投标人住址）的</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（投标人名称）法定代表人</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（法定代表人姓名、职务）代表本公司授权在下面签字的</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（投标人代表姓名、职务）为本公司的合法代理人，就贵方组织的</w:t>
      </w:r>
      <w:r>
        <w:rPr>
          <w:rStyle w:val="883"/>
          <w:rFonts w:ascii="宋体"/>
          <w:b/>
          <w:bCs/>
          <w:color w:val="000000"/>
          <w:szCs w:val="21"/>
          <w:highlight w:val="none"/>
          <w:u w:val="single"/>
        </w:rPr>
        <w:t xml:space="preserve">                </w:t>
      </w:r>
      <w:r>
        <w:rPr>
          <w:rStyle w:val="883"/>
          <w:rFonts w:ascii="宋体"/>
          <w:b/>
          <w:bCs/>
          <w:color w:val="000000"/>
          <w:highlight w:val="none"/>
          <w:u w:val="single"/>
        </w:rPr>
        <w:t xml:space="preserve"> </w:t>
      </w:r>
      <w:r>
        <w:rPr>
          <w:rStyle w:val="883"/>
          <w:rFonts w:hint="eastAsia" w:ascii="宋体" w:hAnsi="宋体"/>
          <w:color w:val="000000"/>
          <w:szCs w:val="21"/>
          <w:highlight w:val="none"/>
        </w:rPr>
        <w:t xml:space="preserve">（</w:t>
      </w:r>
      <w:r>
        <w:rPr>
          <w:rStyle w:val="883"/>
          <w:rFonts w:hint="eastAsia" w:ascii="宋体" w:hAnsi="宋体"/>
          <w:b/>
          <w:bCs/>
          <w:color w:val="000000"/>
          <w:szCs w:val="21"/>
          <w:highlight w:val="none"/>
        </w:rPr>
        <w:t xml:space="preserve">项目名称</w:t>
      </w:r>
      <w:r>
        <w:rPr>
          <w:rStyle w:val="883"/>
          <w:rFonts w:hint="eastAsia" w:ascii="宋体" w:hAnsi="宋体"/>
          <w:color w:val="000000"/>
          <w:szCs w:val="21"/>
          <w:highlight w:val="none"/>
        </w:rPr>
        <w:t xml:space="preserve">），</w:t>
      </w:r>
      <w:r>
        <w:rPr>
          <w:rStyle w:val="883"/>
          <w:rFonts w:ascii="宋体"/>
          <w:color w:val="000000"/>
          <w:szCs w:val="21"/>
          <w:highlight w:val="none"/>
          <w:u w:val="single"/>
        </w:rPr>
        <w:t xml:space="preserve">              </w:t>
      </w:r>
      <w:r>
        <w:rPr>
          <w:rStyle w:val="883"/>
          <w:rFonts w:ascii="宋体"/>
          <w:color w:val="000000"/>
          <w:highlight w:val="none"/>
          <w:u w:val="single"/>
        </w:rPr>
        <w:t xml:space="preserve"> </w:t>
      </w:r>
      <w:r>
        <w:rPr>
          <w:rStyle w:val="883"/>
          <w:rFonts w:hint="eastAsia" w:ascii="宋体" w:hAnsi="宋体"/>
          <w:color w:val="000000"/>
          <w:szCs w:val="21"/>
          <w:highlight w:val="none"/>
        </w:rPr>
        <w:t xml:space="preserve">（项目编号 ）投标，以本公司名义处理一切与之有关的事务。</w:t>
      </w:r>
      <w:r>
        <w:rPr>
          <w:rStyle w:val="883"/>
          <w:rFonts w:ascii="宋体"/>
          <w:color w:val="000000"/>
          <w:szCs w:val="21"/>
          <w:highlight w:val="none"/>
        </w:rPr>
      </w:r>
      <w:r/>
    </w:p>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本授权书于</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年</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月</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日签字生效，特此声明。</w:t>
      </w:r>
      <w:r>
        <w:rPr>
          <w:rStyle w:val="883"/>
          <w:rFonts w:ascii="宋体"/>
          <w:color w:val="000000"/>
          <w:szCs w:val="21"/>
          <w:highlight w:val="none"/>
        </w:rPr>
      </w:r>
      <w:r/>
    </w:p>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法定代表人签字：</w:t>
      </w:r>
      <w:r>
        <w:rPr>
          <w:rStyle w:val="883"/>
          <w:rFonts w:ascii="宋体"/>
          <w:color w:val="000000"/>
          <w:szCs w:val="21"/>
          <w:highlight w:val="none"/>
        </w:rPr>
      </w:r>
      <w:r/>
    </w:p>
    <w:p>
      <w:pPr>
        <w:pStyle w:val="760"/>
        <w:ind w:firstLine="825"/>
        <w:jc w:val="left"/>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授权委托人签字：</w:t>
      </w:r>
      <w:r>
        <w:rPr>
          <w:rStyle w:val="883"/>
          <w:rFonts w:ascii="宋体"/>
          <w:color w:val="000000"/>
          <w:szCs w:val="21"/>
          <w:highlight w:val="none"/>
        </w:rPr>
        <w:t xml:space="preserve">                   </w:t>
      </w:r>
      <w:r>
        <w:rPr>
          <w:rStyle w:val="883"/>
          <w:rFonts w:ascii="宋体"/>
          <w:color w:val="000000"/>
          <w:szCs w:val="21"/>
          <w:highlight w:val="none"/>
        </w:rPr>
      </w:r>
      <w:r/>
    </w:p>
    <w:p>
      <w:pPr>
        <w:pStyle w:val="760"/>
        <w:ind w:firstLine="840"/>
        <w:jc w:val="left"/>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日</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期：</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年</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月</w:t>
      </w:r>
      <w:r>
        <w:rPr>
          <w:rStyle w:val="883"/>
          <w:rFonts w:ascii="宋体"/>
          <w:color w:val="000000"/>
          <w:szCs w:val="21"/>
          <w:highlight w:val="none"/>
        </w:rPr>
        <w:t xml:space="preserve">   </w:t>
      </w:r>
      <w:r>
        <w:rPr>
          <w:rStyle w:val="883"/>
          <w:rFonts w:ascii="宋体"/>
          <w:color w:val="000000"/>
          <w:highlight w:val="none"/>
        </w:rPr>
        <w:t xml:space="preserve"> </w:t>
      </w:r>
      <w:r>
        <w:rPr>
          <w:rStyle w:val="883"/>
          <w:rFonts w:hint="eastAsia" w:ascii="宋体" w:hAnsi="宋体"/>
          <w:color w:val="000000"/>
          <w:szCs w:val="21"/>
          <w:highlight w:val="none"/>
        </w:rPr>
        <w:t xml:space="preserve">日</w:t>
      </w:r>
      <w:r>
        <w:rPr>
          <w:rStyle w:val="883"/>
          <w:rFonts w:ascii="宋体"/>
          <w:color w:val="000000"/>
          <w:szCs w:val="21"/>
          <w:highlight w:val="none"/>
        </w:rPr>
      </w:r>
      <w:r/>
    </w:p>
    <w:p>
      <w:pPr>
        <w:pStyle w:val="760"/>
        <w:ind w:firstLine="84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p>
      <w:pPr>
        <w:pStyle w:val="760"/>
        <w:jc w:val="left"/>
        <w:spacing w:line="360" w:lineRule="auto"/>
        <w:shd w:val="clear" w:color="auto" w:fill="ffffff"/>
        <w:rPr>
          <w:rStyle w:val="883"/>
          <w:rFonts w:hint="eastAsia" w:ascii="宋体" w:hAnsi="宋体"/>
          <w:color w:val="000000"/>
          <w:szCs w:val="21"/>
          <w:highlight w:val="none"/>
        </w:rPr>
      </w:pPr>
      <w:r>
        <w:rPr>
          <w:rStyle w:val="883"/>
          <w:rFonts w:ascii="宋体"/>
          <w:color w:val="000000"/>
          <w:szCs w:val="21"/>
          <w:highlight w:val="none"/>
        </w:rPr>
        <w:t xml:space="preserve">法定代表</w:t>
      </w:r>
      <w:r>
        <w:rPr>
          <w:rStyle w:val="883"/>
          <w:rFonts w:hint="eastAsia" w:ascii="宋体" w:hAnsi="宋体" w:cs="宋体"/>
          <w:color w:val="000000"/>
          <w:szCs w:val="21"/>
          <w:highlight w:val="none"/>
        </w:rPr>
        <w:t xml:space="preserve">人、</w:t>
      </w:r>
      <w:r>
        <w:rPr>
          <w:rStyle w:val="883"/>
          <w:rFonts w:hint="eastAsia" w:ascii="宋体" w:hAnsi="宋体"/>
          <w:color w:val="000000"/>
          <w:szCs w:val="21"/>
          <w:highlight w:val="none"/>
        </w:rPr>
        <w:t xml:space="preserve">委托代理人的身份证明文件：</w:t>
      </w:r>
      <w:r>
        <w:rPr>
          <w:rStyle w:val="883"/>
          <w:rFonts w:hint="eastAsia" w:ascii="宋体" w:hAnsi="宋体"/>
          <w:color w:val="000000"/>
          <w:szCs w:val="21"/>
          <w:highlight w:val="none"/>
        </w:rPr>
      </w:r>
      <w:r/>
    </w:p>
    <w:p>
      <w:pPr>
        <w:pStyle w:val="760"/>
        <w:ind w:firstLine="42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p>
      <w:pPr>
        <w:pStyle w:val="760"/>
        <w:ind w:firstLine="42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p>
      <w:pPr>
        <w:pStyle w:val="760"/>
        <w:jc w:val="left"/>
        <w:spacing w:line="360" w:lineRule="auto"/>
        <w:shd w:val="clear" w:color="auto" w:fill="ffffff"/>
        <w:rPr>
          <w:rStyle w:val="883"/>
          <w:rFonts w:ascii="宋体"/>
          <w:b/>
          <w:bCs/>
          <w:color w:val="000000"/>
          <w:szCs w:val="21"/>
          <w:highlight w:val="none"/>
          <w:lang w:val="zh-CN"/>
        </w:rPr>
      </w:pPr>
      <w:r>
        <w:rPr>
          <w:rStyle w:val="883"/>
          <w:rFonts w:ascii="宋体"/>
          <w:b/>
          <w:bCs/>
          <w:color w:val="000000"/>
          <w:szCs w:val="21"/>
          <w:highlight w:val="none"/>
        </w:rPr>
        <w:br w:type="page" w:clear="all"/>
      </w:r>
      <w:r>
        <w:rPr>
          <w:rStyle w:val="883"/>
          <w:rFonts w:hint="eastAsia" w:ascii="宋体" w:hAnsi="宋体"/>
          <w:b/>
          <w:bCs/>
          <w:color w:val="000000"/>
          <w:szCs w:val="21"/>
          <w:highlight w:val="none"/>
          <w:lang w:val="zh-CN"/>
        </w:rPr>
        <w:t xml:space="preserve">附件三、开标一览表格式</w:t>
      </w:r>
      <w:r>
        <w:rPr>
          <w:rStyle w:val="883"/>
          <w:rFonts w:ascii="宋体"/>
          <w:b/>
          <w:bCs/>
          <w:color w:val="000000"/>
          <w:szCs w:val="21"/>
          <w:highlight w:val="none"/>
          <w:lang w:val="zh-CN"/>
        </w:rPr>
      </w:r>
      <w:r/>
    </w:p>
    <w:p>
      <w:pPr>
        <w:pStyle w:val="760"/>
        <w:jc w:val="left"/>
        <w:spacing w:line="360" w:lineRule="auto"/>
        <w:shd w:val="clear" w:color="auto" w:fill="ffffff"/>
        <w:rPr>
          <w:rStyle w:val="883"/>
          <w:rFonts w:ascii="宋体"/>
          <w:b/>
          <w:bCs/>
          <w:color w:val="000000"/>
          <w:szCs w:val="21"/>
          <w:highlight w:val="none"/>
          <w:lang w:val="zh-CN"/>
        </w:rPr>
      </w:pPr>
      <w:r>
        <w:rPr>
          <w:rStyle w:val="883"/>
          <w:rFonts w:ascii="宋体"/>
          <w:b/>
          <w:bCs/>
          <w:color w:val="000000"/>
          <w:szCs w:val="21"/>
          <w:highlight w:val="none"/>
          <w:lang w:val="zh-CN"/>
        </w:rPr>
      </w:r>
      <w:r/>
    </w:p>
    <w:p>
      <w:pPr>
        <w:pStyle w:val="760"/>
        <w:jc w:val="center"/>
        <w:spacing w:line="360" w:lineRule="auto"/>
        <w:shd w:val="clear" w:color="auto" w:fill="ffffff"/>
        <w:rPr>
          <w:rStyle w:val="883"/>
          <w:rFonts w:ascii="宋体"/>
          <w:b/>
          <w:bCs/>
          <w:color w:val="000000"/>
          <w:sz w:val="28"/>
          <w:szCs w:val="28"/>
          <w:highlight w:val="none"/>
          <w:lang w:val="zh-CN"/>
        </w:rPr>
      </w:pPr>
      <w:r>
        <w:rPr>
          <w:rStyle w:val="883"/>
          <w:rFonts w:hint="eastAsia" w:ascii="宋体" w:hAnsi="宋体"/>
          <w:b/>
          <w:bCs/>
          <w:color w:val="000000"/>
          <w:sz w:val="28"/>
          <w:szCs w:val="28"/>
          <w:highlight w:val="none"/>
          <w:lang w:val="zh-CN"/>
        </w:rPr>
        <w:t xml:space="preserve">开标一览表</w:t>
      </w:r>
      <w:r>
        <w:rPr>
          <w:rStyle w:val="883"/>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hint="eastAsia" w:ascii="宋体" w:hAnsi="宋体"/>
                <w:b/>
                <w:bCs/>
                <w:color w:val="000000"/>
                <w:szCs w:val="21"/>
                <w:highlight w:val="none"/>
              </w:rPr>
              <w:t xml:space="preserve">项目名称</w:t>
            </w:r>
            <w:r>
              <w:rPr>
                <w:rStyle w:val="883"/>
                <w:rFonts w:hint="eastAsia" w:ascii="宋体" w:hAnsi="宋体"/>
                <w:color w:val="000000"/>
                <w:szCs w:val="21"/>
                <w:highlight w:val="none"/>
              </w:rPr>
              <w:t xml:space="preserve">：</w:t>
            </w:r>
            <w:r>
              <w:rPr>
                <w:rStyle w:val="883"/>
                <w:rFonts w:ascii="宋体"/>
                <w:color w:val="000000"/>
                <w:szCs w:val="21"/>
                <w:highlight w:val="none"/>
                <w:lang w:val="zh-CN"/>
              </w:rPr>
            </w:r>
            <w:r/>
          </w:p>
        </w:tc>
        <w:tc>
          <w:tcPr>
            <w:tcW w:w="3347"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项目编号：</w:t>
            </w: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序号</w:t>
            </w:r>
            <w:r>
              <w:rPr>
                <w:rStyle w:val="883"/>
                <w:rFonts w:ascii="宋体"/>
                <w:color w:val="000000"/>
                <w:szCs w:val="21"/>
                <w:highlight w:val="none"/>
                <w:lang w:val="zh-CN"/>
              </w:rPr>
            </w:r>
            <w:r/>
          </w:p>
        </w:tc>
        <w:tc>
          <w:tcPr>
            <w:gridSpan w:val="2"/>
            <w:tcW w:w="4500" w:type="dxa"/>
            <w:vAlign w:val="center"/>
            <w:textDirection w:val="lrTb"/>
            <w:noWrap w:val="false"/>
          </w:tcPr>
          <w:p>
            <w:pPr>
              <w:pStyle w:val="760"/>
              <w:jc w:val="center"/>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名称</w:t>
            </w:r>
            <w:r>
              <w:rPr>
                <w:rStyle w:val="883"/>
                <w:rFonts w:ascii="宋体"/>
                <w:color w:val="000000"/>
                <w:szCs w:val="21"/>
                <w:highlight w:val="none"/>
                <w:lang w:val="zh-CN"/>
              </w:rPr>
            </w:r>
            <w:r/>
          </w:p>
        </w:tc>
        <w:tc>
          <w:tcPr>
            <w:gridSpan w:val="2"/>
            <w:tcW w:w="3780" w:type="dxa"/>
            <w:vAlign w:val="center"/>
            <w:textDirection w:val="lrTb"/>
            <w:noWrap w:val="false"/>
          </w:tcPr>
          <w:p>
            <w:pPr>
              <w:pStyle w:val="760"/>
              <w:jc w:val="center"/>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报价（</w:t>
            </w:r>
            <w:r>
              <w:rPr>
                <w:rStyle w:val="883"/>
                <w:rFonts w:hint="eastAsia" w:ascii="宋体" w:hAnsi="宋体"/>
                <w:color w:val="000000"/>
                <w:szCs w:val="21"/>
                <w:highlight w:val="none"/>
              </w:rPr>
              <w:t xml:space="preserve">万元</w:t>
            </w:r>
            <w:r>
              <w:rPr>
                <w:rStyle w:val="883"/>
                <w:rFonts w:hint="eastAsia" w:ascii="宋体" w:hAnsi="宋体"/>
                <w:color w:val="000000"/>
                <w:szCs w:val="21"/>
                <w:highlight w:val="none"/>
                <w:lang w:val="zh-CN"/>
              </w:rPr>
              <w:t xml:space="preserve">）</w:t>
            </w: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4500"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378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4500"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378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4500"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378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4500"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378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4500"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378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tcW w:w="1105"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4500" w:type="dxa"/>
            <w:vAlign w:val="center"/>
            <w:textDirection w:val="lrTb"/>
            <w:noWrap w:val="false"/>
          </w:tcPr>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tc>
        <w:tc>
          <w:tcPr>
            <w:gridSpan w:val="2"/>
            <w:tcW w:w="378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gridSpan w:val="2"/>
            <w:tcW w:w="3265"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投标货物中有无进口产品</w:t>
            </w:r>
            <w:r>
              <w:rPr>
                <w:rStyle w:val="883"/>
                <w:rFonts w:ascii="宋体"/>
                <w:color w:val="000000"/>
                <w:szCs w:val="21"/>
                <w:highlight w:val="none"/>
                <w:lang w:val="zh-CN"/>
              </w:rPr>
            </w:r>
            <w:r/>
          </w:p>
        </w:tc>
        <w:tc>
          <w:tcPr>
            <w:gridSpan w:val="3"/>
            <w:tcW w:w="612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有无</w:t>
            </w:r>
            <w:r>
              <w:rPr>
                <w:rStyle w:val="883"/>
                <w:rFonts w:ascii="宋体"/>
                <w:color w:val="000000"/>
                <w:szCs w:val="21"/>
                <w:highlight w:val="none"/>
                <w:lang w:val="zh-CN"/>
              </w:rPr>
            </w:r>
            <w:r/>
          </w:p>
        </w:tc>
      </w:tr>
      <w:tr>
        <w:trPr>
          <w:trHeight w:val="284"/>
        </w:trPr>
        <w:tc>
          <w:tcPr>
            <w:gridSpan w:val="2"/>
            <w:tcW w:w="3265"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hint="eastAsia" w:ascii="宋体" w:hAnsi="宋体"/>
                <w:color w:val="000000"/>
                <w:szCs w:val="21"/>
                <w:highlight w:val="none"/>
                <w:lang w:val="zh-CN"/>
              </w:rPr>
              <w:t xml:space="preserve">是否中小微企业</w:t>
            </w:r>
            <w:r>
              <w:rPr>
                <w:rStyle w:val="883"/>
                <w:rFonts w:ascii="宋体"/>
                <w:color w:val="000000"/>
                <w:szCs w:val="21"/>
                <w:highlight w:val="none"/>
                <w:lang w:val="zh-CN"/>
              </w:rPr>
            </w:r>
            <w:r/>
          </w:p>
        </w:tc>
        <w:tc>
          <w:tcPr>
            <w:gridSpan w:val="3"/>
            <w:tcW w:w="6120" w:type="dxa"/>
            <w:vAlign w:val="center"/>
            <w:textDirection w:val="lrTb"/>
            <w:noWrap w:val="false"/>
          </w:tcPr>
          <w:p>
            <w:pPr>
              <w:pStyle w:val="760"/>
              <w:jc w:val="left"/>
              <w:spacing w:line="360" w:lineRule="auto"/>
              <w:shd w:val="clear" w:color="auto" w:fill="ffffff"/>
              <w:rPr>
                <w:rStyle w:val="883"/>
                <w:rFonts w:ascii="宋体"/>
                <w:color w:val="000000"/>
                <w:szCs w:val="21"/>
                <w:highlight w:val="none"/>
                <w:lang w:val="zh-CN"/>
              </w:rPr>
            </w:pPr>
            <w:r>
              <w:rPr>
                <w:rStyle w:val="883"/>
                <w:rFonts w:ascii="宋体"/>
                <w:color w:val="000000"/>
                <w:szCs w:val="21"/>
                <w:highlight w:val="none"/>
                <w:lang w:val="zh-CN"/>
              </w:rPr>
            </w:r>
            <w:r/>
          </w:p>
        </w:tc>
      </w:tr>
      <w:tr>
        <w:trPr>
          <w:trHeight w:val="284"/>
        </w:trPr>
        <w:tc>
          <w:tcPr>
            <w:gridSpan w:val="5"/>
            <w:tcW w:w="9385" w:type="dxa"/>
            <w:vAlign w:val="center"/>
            <w:textDirection w:val="lrTb"/>
            <w:noWrap w:val="false"/>
          </w:tcPr>
          <w:p>
            <w:pPr>
              <w:pStyle w:val="760"/>
              <w:ind w:left="630" w:hanging="630"/>
              <w:jc w:val="left"/>
              <w:spacing w:line="360" w:lineRule="auto"/>
              <w:shd w:val="clear" w:color="auto" w:fill="ffffff"/>
              <w:rPr>
                <w:rStyle w:val="883"/>
                <w:rFonts w:ascii="宋体"/>
                <w:color w:val="000000"/>
                <w:szCs w:val="21"/>
                <w:highlight w:val="none"/>
                <w:lang w:val="zh-CN"/>
              </w:rPr>
            </w:pPr>
            <w:r>
              <w:rPr>
                <w:rStyle w:val="883"/>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883"/>
                <w:rFonts w:hint="eastAsia" w:ascii="宋体"/>
                <w:color w:val="000000"/>
                <w:szCs w:val="21"/>
                <w:highlight w:val="none"/>
                <w:lang w:val="en-US" w:eastAsia="zh-CN"/>
              </w:rPr>
              <w:t xml:space="preserve"> </w:t>
            </w:r>
            <w:r>
              <w:rPr>
                <w:rStyle w:val="883"/>
                <w:rFonts w:hint="eastAsia" w:ascii="宋体"/>
                <w:color w:val="000000"/>
                <w:szCs w:val="21"/>
                <w:highlight w:val="none"/>
                <w:lang w:val="zh-CN"/>
              </w:rPr>
              <w:t xml:space="preserve">%。</w:t>
            </w:r>
            <w:r>
              <w:rPr>
                <w:rStyle w:val="883"/>
                <w:rFonts w:ascii="宋体"/>
                <w:color w:val="000000"/>
                <w:szCs w:val="21"/>
                <w:highlight w:val="none"/>
                <w:lang w:val="zh-CN"/>
              </w:rPr>
            </w:r>
            <w:r/>
          </w:p>
        </w:tc>
      </w:tr>
    </w:tbl>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0"/>
        <w:jc w:val="left"/>
        <w:spacing w:line="360" w:lineRule="auto"/>
        <w:shd w:val="clear" w:color="auto" w:fill="ffffff"/>
        <w:rPr>
          <w:rStyle w:val="883"/>
          <w:rFonts w:ascii="宋体"/>
          <w:bCs/>
          <w:color w:val="000000"/>
          <w:szCs w:val="21"/>
          <w:highlight w:val="none"/>
          <w:lang w:val="zh-CN"/>
        </w:rPr>
      </w:pPr>
      <w:r>
        <w:rPr>
          <w:rStyle w:val="883"/>
          <w:rFonts w:hint="eastAsia" w:ascii="宋体" w:hAnsi="宋体"/>
          <w:bCs/>
          <w:color w:val="000000"/>
          <w:szCs w:val="21"/>
          <w:highlight w:val="none"/>
          <w:lang w:val="zh-CN"/>
        </w:rPr>
        <w:t xml:space="preserve">说明：</w:t>
      </w:r>
      <w:r>
        <w:rPr>
          <w:rStyle w:val="883"/>
          <w:rFonts w:ascii="宋体"/>
          <w:bCs/>
          <w:color w:val="000000"/>
          <w:szCs w:val="21"/>
          <w:highlight w:val="none"/>
          <w:lang w:val="zh-CN"/>
        </w:rPr>
      </w:r>
      <w:r/>
    </w:p>
    <w:p>
      <w:pPr>
        <w:pStyle w:val="760"/>
        <w:numPr>
          <w:ilvl w:val="0"/>
          <w:numId w:val="7"/>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760"/>
        <w:numPr>
          <w:ilvl w:val="0"/>
          <w:numId w:val="7"/>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bCs/>
          <w:color w:val="000000"/>
          <w:szCs w:val="21"/>
          <w:highlight w:val="none"/>
        </w:rPr>
        <w:t xml:space="preserve">如为代理商投标，还需提供投标产品制造商出具的上述文件。</w:t>
      </w:r>
      <w:r>
        <w:rPr>
          <w:rFonts w:hint="eastAsia" w:ascii="宋体" w:hAnsi="宋体" w:cs="宋体"/>
          <w:color w:val="000000"/>
          <w:szCs w:val="21"/>
          <w:highlight w:val="none"/>
        </w:rPr>
        <w:t xml:space="preserve">非小微企业产品不享受价格扣除。</w:t>
      </w:r>
      <w:r>
        <w:rPr>
          <w:rFonts w:hint="eastAsia" w:ascii="宋体" w:hAnsi="宋体" w:cs="宋体"/>
          <w:color w:val="000000"/>
          <w:szCs w:val="21"/>
          <w:highlight w:val="none"/>
        </w:rPr>
      </w:r>
      <w:r/>
    </w:p>
    <w:p>
      <w:pPr>
        <w:pStyle w:val="760"/>
        <w:jc w:val="left"/>
        <w:spacing w:line="360" w:lineRule="auto"/>
        <w:shd w:val="clear" w:color="auto" w:fill="ffffff"/>
        <w:rPr>
          <w:rStyle w:val="883"/>
          <w:rFonts w:ascii="宋体"/>
          <w:b/>
          <w:bCs/>
          <w:color w:val="000000"/>
          <w:szCs w:val="21"/>
          <w:highlight w:val="none"/>
        </w:rPr>
      </w:pPr>
      <w:r>
        <w:rPr>
          <w:rStyle w:val="883"/>
          <w:rFonts w:ascii="宋体"/>
          <w:b/>
          <w:bCs/>
          <w:color w:val="000000"/>
          <w:szCs w:val="21"/>
          <w:highlight w:val="none"/>
        </w:rPr>
        <w:t xml:space="preserve"> </w:t>
      </w:r>
      <w:r>
        <w:rPr>
          <w:rStyle w:val="883"/>
          <w:rFonts w:ascii="宋体"/>
          <w:b/>
          <w:bCs/>
          <w:color w:val="000000"/>
          <w:szCs w:val="21"/>
          <w:highlight w:val="none"/>
        </w:rPr>
      </w:r>
      <w:r/>
    </w:p>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r>
      <w:r/>
    </w:p>
    <w:p>
      <w:pPr>
        <w:pStyle w:val="760"/>
        <w:spacing w:line="360" w:lineRule="auto"/>
        <w:shd w:val="clear" w:color="auto" w:fill="ffffff"/>
        <w:rPr>
          <w:rStyle w:val="883"/>
          <w:rFonts w:ascii="宋体"/>
          <w:b/>
          <w:bCs/>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883"/>
          <w:rFonts w:ascii="宋体"/>
          <w:b/>
          <w:bCs/>
          <w:color w:val="000000"/>
          <w:szCs w:val="21"/>
          <w:highlight w:val="none"/>
        </w:rPr>
      </w:r>
      <w:r/>
    </w:p>
    <w:p>
      <w:pPr>
        <w:pStyle w:val="760"/>
        <w:spacing w:line="360" w:lineRule="auto"/>
        <w:shd w:val="clear" w:color="auto" w:fill="ffffff"/>
        <w:rPr>
          <w:rFonts w:ascii="宋体" w:hAnsi="宋体"/>
          <w:b/>
          <w:bCs/>
          <w:color w:val="000000"/>
          <w:szCs w:val="21"/>
          <w:highlight w:val="none"/>
        </w:rPr>
      </w:pPr>
      <w:r>
        <w:rPr>
          <w:rStyle w:val="883"/>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760"/>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760"/>
        <w:jc w:val="center"/>
        <w:spacing w:line="360" w:lineRule="auto"/>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tbl>
      <w:tblPr>
        <w:tblW w:w="964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605"/>
        <w:gridCol w:w="1736"/>
        <w:gridCol w:w="1512"/>
        <w:gridCol w:w="1070"/>
        <w:gridCol w:w="1303"/>
        <w:gridCol w:w="1353"/>
        <w:gridCol w:w="1291"/>
      </w:tblGrid>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类别</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设备名称</w:t>
            </w:r>
            <w:r>
              <w:rPr>
                <w:rFonts w:ascii="宋体" w:hAnsi="宋体" w:eastAsia="宋体" w:cs="宋体"/>
                <w:i w:val="0"/>
                <w:iCs w:val="0"/>
                <w:color w:val="000000"/>
                <w:sz w:val="18"/>
                <w:szCs w:val="18"/>
                <w:highlight w:val="none"/>
                <w:u w:val="none"/>
                <w:lang w:val="en-US"/>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单价（元）</w:t>
            </w:r>
            <w:r>
              <w:rPr>
                <w:rFonts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制造商</w:t>
            </w:r>
            <w:r>
              <w:rPr>
                <w:rFonts w:ascii="宋体" w:hAnsi="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备注</w:t>
            </w:r>
            <w:r>
              <w:rPr>
                <w:rFonts w:ascii="宋体" w:hAnsi="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消防头盔</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消防员灭火防护服</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消防手套</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消防安全腰带</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消防员灭火防护靴</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备用气瓶</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消防员呼救器</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应急逃生自救安全绳</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消防员灭火防护头套</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抢险救援头盔</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抢险救援手套</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抢险救援服（夏季）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抢险救援靴</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绳索救援班组套装</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水域救援浮力背心</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水域救援头盔</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二节拉梯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15米金属拉梯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挂钩梯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单杠梯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他救面罩</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多功能担架</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折叠担架</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机动消防泵</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移动式消防炮</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65水带（20-65-20）</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80水带（25-80-20）</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50水带（20-50-20）</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水幕水带</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50型多功能水枪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消火栓扳手</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65型多功能水枪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泡沫管枪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直流水枪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三分水器（80进口，65出口）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三分水器（65进口，50出口）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二分水器（80进口，65出口） </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二分水器（65进口，50出口）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各种型号转换接口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止水器（65型）</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止水器（50型）</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4"/>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液压破拆工具组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机动链锯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无齿锯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钢筋速断器</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无火花工具</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手动破拆工具组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绝缘剪断钳</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消防斧</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丁字镐</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挠钩</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哈里根铁铤</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4"/>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便携式防盗门破拆工具组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毁锁器</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手持数字台</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运动相机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4"/>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双光无人机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照明类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佩戴式防爆照明灯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照明类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手提式强光照明灯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照明类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移动式照明灯组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有毒气体探测仪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可燃气体探测仪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测温仪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测距仪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漏电检测仪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警示锥</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隔离警示带</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线盘</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救生照明线</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97"/>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医药急救箱</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锂电池排烟机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假人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救援类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二冲程30匹马力舷外机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7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804"/>
        </w:trPr>
        <w:tc>
          <w:tcPr>
            <w:gridSpan w:val="8"/>
            <w:tcW w:w="9644" w:type="dxa"/>
            <w:vAlign w:val="center"/>
            <w:textDirection w:val="lrTb"/>
            <w:noWrap w:val="false"/>
          </w:tcPr>
          <w:p>
            <w:pPr>
              <w:pStyle w:val="760"/>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rFonts w:ascii="宋体" w:hAnsi="宋体" w:eastAsia="宋体" w:cs="宋体"/>
                <w:i w:val="0"/>
                <w:iCs w:val="0"/>
                <w:color w:val="000000"/>
                <w:sz w:val="18"/>
                <w:szCs w:val="18"/>
                <w:highlight w:val="none"/>
                <w:u w:val="none"/>
                <w:lang w:val="en-US" w:eastAsia="zh-CN" w:bidi="ar"/>
              </w:rPr>
            </w:r>
            <w:r/>
          </w:p>
        </w:tc>
      </w:tr>
      <w:tr>
        <w:trPr>
          <w:trHeight w:val="804"/>
        </w:trPr>
        <w:tc>
          <w:tcPr>
            <w:gridSpan w:val="8"/>
            <w:tcW w:w="9644" w:type="dxa"/>
            <w:vAlign w:val="center"/>
            <w:textDirection w:val="lrTb"/>
            <w:noWrap w:val="false"/>
          </w:tcPr>
          <w:p>
            <w:pPr>
              <w:pStyle w:val="76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883"/>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883"/>
                <w:rFonts w:hint="eastAsia" w:ascii="宋体"/>
                <w:color w:val="000000"/>
                <w:szCs w:val="21"/>
                <w:highlight w:val="none"/>
                <w:lang w:val="en-US" w:eastAsia="zh-CN"/>
              </w:rPr>
              <w:t xml:space="preserve"> </w:t>
            </w:r>
            <w:r>
              <w:rPr>
                <w:rStyle w:val="883"/>
                <w:rFonts w:hint="eastAsia" w:ascii="宋体"/>
                <w:color w:val="000000"/>
                <w:szCs w:val="21"/>
                <w:highlight w:val="none"/>
                <w:lang w:val="zh-CN"/>
              </w:rPr>
              <w:t xml:space="preserve">%。</w:t>
            </w:r>
            <w:r>
              <w:rPr>
                <w:rFonts w:hint="eastAsia" w:ascii="宋体" w:hAnsi="宋体" w:eastAsia="宋体" w:cs="宋体"/>
                <w:i w:val="0"/>
                <w:iCs w:val="0"/>
                <w:color w:val="000000"/>
                <w:sz w:val="18"/>
                <w:szCs w:val="18"/>
                <w:highlight w:val="none"/>
                <w:u w:val="none"/>
                <w:lang w:val="en-US" w:eastAsia="zh-CN" w:bidi="ar"/>
              </w:rPr>
            </w:r>
            <w:r/>
          </w:p>
        </w:tc>
      </w:tr>
    </w:tbl>
    <w:p>
      <w:pPr>
        <w:pStyle w:val="760"/>
        <w:jc w:val="center"/>
        <w:spacing w:line="360" w:lineRule="auto"/>
        <w:widowControl w:val="off"/>
        <w:rPr>
          <w:color w:val="000000"/>
          <w:sz w:val="28"/>
          <w:highlight w:val="none"/>
          <w:lang w:val="zh-CN"/>
        </w:rPr>
      </w:pPr>
      <w:r>
        <w:rPr>
          <w:color w:val="000000"/>
          <w:sz w:val="28"/>
          <w:highlight w:val="none"/>
          <w:lang w:val="zh-CN"/>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0"/>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w:t>
      </w:r>
      <w:r>
        <w:rPr>
          <w:rFonts w:hint="eastAsia" w:ascii="微软雅黑" w:hAnsi="微软雅黑" w:cs="微软雅黑"/>
          <w:color w:val="000000"/>
          <w:szCs w:val="21"/>
          <w:highlight w:val="none"/>
        </w:rPr>
      </w:r>
      <w:r/>
    </w:p>
    <w:p>
      <w:pPr>
        <w:pStyle w:val="760"/>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此表为表样，行数可自行添加，但表式不变。</w:t>
      </w:r>
      <w:r>
        <w:rPr>
          <w:rFonts w:ascii="微软雅黑" w:hAnsi="微软雅黑" w:cs="微软雅黑"/>
          <w:color w:val="000000"/>
          <w:szCs w:val="21"/>
          <w:highlight w:val="none"/>
        </w:rPr>
      </w:r>
      <w:r/>
    </w:p>
    <w:p>
      <w:pPr>
        <w:pStyle w:val="760"/>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总价=单价*数量，数量由供应商根据项目需求计算并填列。</w:t>
      </w:r>
      <w:r>
        <w:rPr>
          <w:rFonts w:ascii="微软雅黑" w:hAnsi="微软雅黑" w:cs="微软雅黑"/>
          <w:color w:val="000000"/>
          <w:szCs w:val="21"/>
          <w:highlight w:val="none"/>
        </w:rPr>
      </w:r>
      <w:r/>
    </w:p>
    <w:p>
      <w:pPr>
        <w:pStyle w:val="760"/>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highlight w:val="none"/>
        </w:rPr>
      </w:r>
      <w:r/>
    </w:p>
    <w:p>
      <w:pPr>
        <w:pStyle w:val="760"/>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hint="eastAsia" w:ascii="微软雅黑" w:hAnsi="微软雅黑" w:cs="微软雅黑"/>
          <w:color w:val="000000"/>
          <w:szCs w:val="21"/>
          <w:highlight w:val="none"/>
        </w:rPr>
      </w:r>
      <w:r/>
    </w:p>
    <w:p>
      <w:pPr>
        <w:pStyle w:val="924"/>
        <w:ind w:firstLine="0"/>
        <w:spacing w:line="360" w:lineRule="auto"/>
        <w:rPr>
          <w:rFonts w:hint="eastAsia"/>
          <w:color w:val="000000"/>
          <w:highlight w:val="none"/>
          <w:lang w:val="en-US"/>
        </w:rPr>
      </w:pPr>
      <w:r>
        <w:rPr>
          <w:rFonts w:hint="eastAsia" w:ascii="微软雅黑" w:hAnsi="微软雅黑" w:cs="微软雅黑"/>
          <w:color w:val="000000"/>
          <w:szCs w:val="21"/>
          <w:highlight w:val="none"/>
          <w:lang w:val="en-US" w:eastAsia="zh-CN"/>
        </w:rPr>
        <w:t xml:space="preserve">5、</w:t>
      </w:r>
      <w:r>
        <w:rPr>
          <w:rFonts w:hint="eastAsia"/>
          <w:color w:val="000000"/>
          <w:highlight w:val="none"/>
          <w:lang w:val="en-US"/>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color w:val="000000"/>
          <w:highlight w:val="none"/>
          <w:lang w:val="en-US"/>
        </w:rPr>
      </w:r>
      <w:r/>
    </w:p>
    <w:p>
      <w:pPr>
        <w:pStyle w:val="760"/>
        <w:jc w:val="left"/>
        <w:spacing w:line="360" w:lineRule="auto"/>
        <w:tabs>
          <w:tab w:val="left" w:pos="220" w:leader="none"/>
        </w:tabs>
        <w:rPr>
          <w:rFonts w:hint="eastAsia" w:ascii="微软雅黑" w:hAnsi="微软雅黑" w:eastAsia="宋体" w:cs="微软雅黑"/>
          <w:color w:val="000000"/>
          <w:szCs w:val="21"/>
          <w:highlight w:val="none"/>
          <w:lang w:val="en-US" w:eastAsia="zh-CN"/>
        </w:rPr>
      </w:pPr>
      <w:r>
        <w:rPr>
          <w:rFonts w:hint="eastAsia" w:ascii="微软雅黑" w:hAnsi="微软雅黑" w:eastAsia="宋体" w:cs="微软雅黑"/>
          <w:color w:val="000000"/>
          <w:szCs w:val="21"/>
          <w:highlight w:val="none"/>
          <w:lang w:val="en-US" w:eastAsia="zh-CN"/>
        </w:rPr>
      </w:r>
      <w:r/>
    </w:p>
    <w:p>
      <w:pPr>
        <w:pStyle w:val="760"/>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760"/>
        <w:jc w:val="left"/>
        <w:spacing w:line="360" w:lineRule="auto"/>
        <w:shd w:val="clear" w:color="auto" w:fill="ffffff"/>
        <w:rPr>
          <w:rStyle w:val="883"/>
          <w:color w:val="000000"/>
          <w:szCs w:val="21"/>
          <w:highlight w:val="none"/>
          <w:lang w:val="zh-CN"/>
        </w:rPr>
      </w:pPr>
      <w:r>
        <w:rPr>
          <w:rStyle w:val="883"/>
          <w:color w:val="000000"/>
          <w:szCs w:val="21"/>
          <w:highlight w:val="none"/>
          <w:lang w:val="zh-CN"/>
        </w:rPr>
        <w:br w:type="page" w:clear="all"/>
      </w:r>
      <w:r>
        <w:rPr>
          <w:rStyle w:val="883"/>
          <w:color w:val="000000"/>
          <w:szCs w:val="21"/>
          <w:highlight w:val="none"/>
          <w:lang w:val="zh-CN"/>
        </w:rPr>
      </w:r>
      <w:r/>
    </w:p>
    <w:p>
      <w:pPr>
        <w:pStyle w:val="760"/>
        <w:jc w:val="left"/>
        <w:spacing w:line="360" w:lineRule="auto"/>
        <w:shd w:val="clear" w:color="auto" w:fill="ffffff"/>
        <w:rPr>
          <w:rStyle w:val="883"/>
          <w:rFonts w:ascii="宋体"/>
          <w:b/>
          <w:bCs/>
          <w:color w:val="000000"/>
          <w:sz w:val="24"/>
          <w:highlight w:val="none"/>
          <w:lang w:val="zh-CN"/>
        </w:rPr>
      </w:pPr>
      <w:r>
        <w:rPr>
          <w:rStyle w:val="883"/>
          <w:rFonts w:hint="eastAsia" w:ascii="宋体" w:hAnsi="宋体"/>
          <w:b/>
          <w:bCs/>
          <w:color w:val="000000"/>
          <w:sz w:val="24"/>
          <w:highlight w:val="none"/>
          <w:lang w:val="zh-CN"/>
        </w:rPr>
        <w:t xml:space="preserve">附件</w:t>
      </w:r>
      <w:r>
        <w:rPr>
          <w:rStyle w:val="883"/>
          <w:rFonts w:hint="eastAsia" w:ascii="宋体" w:hAnsi="宋体"/>
          <w:b/>
          <w:bCs/>
          <w:color w:val="000000"/>
          <w:sz w:val="24"/>
          <w:highlight w:val="none"/>
        </w:rPr>
        <w:t xml:space="preserve">五</w:t>
      </w:r>
      <w:r>
        <w:rPr>
          <w:rStyle w:val="883"/>
          <w:rFonts w:hint="eastAsia" w:ascii="宋体" w:hAnsi="宋体"/>
          <w:b/>
          <w:bCs/>
          <w:color w:val="000000"/>
          <w:sz w:val="24"/>
          <w:highlight w:val="none"/>
          <w:lang w:val="zh-CN"/>
        </w:rPr>
        <w:t xml:space="preserve">、技术规格偏离表格式</w:t>
      </w:r>
      <w:r>
        <w:rPr>
          <w:rStyle w:val="883"/>
          <w:rFonts w:ascii="宋体"/>
          <w:b/>
          <w:bCs/>
          <w:color w:val="000000"/>
          <w:sz w:val="24"/>
          <w:highlight w:val="none"/>
          <w:lang w:val="zh-CN"/>
        </w:rPr>
      </w:r>
      <w:r/>
    </w:p>
    <w:p>
      <w:pPr>
        <w:pStyle w:val="760"/>
        <w:ind w:left="420"/>
        <w:jc w:val="center"/>
        <w:spacing w:line="360" w:lineRule="auto"/>
        <w:shd w:val="clear" w:color="auto" w:fill="ffffff"/>
        <w:rPr>
          <w:rStyle w:val="883"/>
          <w:rFonts w:ascii="宋体"/>
          <w:color w:val="000000"/>
          <w:szCs w:val="21"/>
          <w:highlight w:val="none"/>
        </w:rPr>
      </w:pPr>
      <w:r>
        <w:rPr>
          <w:rStyle w:val="883"/>
          <w:rFonts w:hint="eastAsia" w:ascii="宋体" w:hAnsi="宋体"/>
          <w:color w:val="000000"/>
          <w:sz w:val="36"/>
          <w:szCs w:val="36"/>
          <w:highlight w:val="none"/>
        </w:rPr>
        <w:t xml:space="preserve">技术规格偏离表</w:t>
      </w:r>
      <w:r>
        <w:rPr>
          <w:rStyle w:val="883"/>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项目名称：</w:t>
            </w:r>
            <w:r>
              <w:rPr>
                <w:rStyle w:val="883"/>
                <w:rFonts w:ascii="宋体"/>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项目编号：</w:t>
            </w:r>
            <w:r>
              <w:rPr>
                <w:rStyle w:val="883"/>
                <w:rFonts w:ascii="宋体"/>
                <w:color w:val="000000"/>
                <w:szCs w:val="21"/>
                <w:highlight w:val="none"/>
              </w:rPr>
              <w:t xml:space="preserve">  </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序号</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招标要求规格</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投标响应</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偏离</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备注</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bl>
    <w:p>
      <w:pPr>
        <w:pStyle w:val="760"/>
        <w:jc w:val="left"/>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说明：</w:t>
      </w:r>
      <w:r>
        <w:rPr>
          <w:rStyle w:val="883"/>
          <w:rFonts w:ascii="宋体"/>
          <w:color w:val="000000"/>
          <w:szCs w:val="21"/>
          <w:highlight w:val="none"/>
        </w:rPr>
      </w:r>
      <w:r/>
    </w:p>
    <w:p>
      <w:pPr>
        <w:pStyle w:val="760"/>
        <w:jc w:val="left"/>
        <w:spacing w:line="360" w:lineRule="auto"/>
        <w:shd w:val="clear" w:color="auto" w:fill="ffffff"/>
        <w:rPr>
          <w:rStyle w:val="883"/>
          <w:rFonts w:ascii="宋体" w:hAnsi="宋体"/>
          <w:color w:val="000000"/>
          <w:szCs w:val="21"/>
          <w:highlight w:val="none"/>
        </w:rPr>
      </w:pPr>
      <w:r>
        <w:rPr>
          <w:rStyle w:val="883"/>
          <w:rFonts w:ascii="宋体" w:hAnsi="宋体"/>
          <w:bCs/>
          <w:color w:val="000000"/>
          <w:szCs w:val="21"/>
          <w:highlight w:val="none"/>
        </w:rPr>
        <w:t xml:space="preserve">1</w:t>
      </w:r>
      <w:r>
        <w:rPr>
          <w:rStyle w:val="883"/>
          <w:rFonts w:hint="eastAsia" w:ascii="宋体" w:hAnsi="宋体"/>
          <w:bCs/>
          <w:color w:val="000000"/>
          <w:szCs w:val="21"/>
          <w:highlight w:val="none"/>
        </w:rPr>
        <w:t xml:space="preserve">、</w:t>
      </w:r>
      <w:r>
        <w:rPr>
          <w:rStyle w:val="883"/>
          <w:rFonts w:hint="eastAsia" w:ascii="宋体" w:hAnsi="宋体"/>
          <w:color w:val="000000"/>
          <w:szCs w:val="21"/>
          <w:highlight w:val="none"/>
        </w:rPr>
        <w:t xml:space="preserve">如果行数不够，请自行增加。</w:t>
      </w:r>
      <w:r>
        <w:rPr>
          <w:rStyle w:val="883"/>
          <w:rFonts w:ascii="宋体" w:hAnsi="宋体"/>
          <w:color w:val="000000"/>
          <w:szCs w:val="21"/>
          <w:highlight w:val="none"/>
        </w:rPr>
      </w:r>
      <w:r/>
    </w:p>
    <w:p>
      <w:pPr>
        <w:pStyle w:val="924"/>
        <w:ind w:firstLine="0"/>
        <w:spacing w:line="360" w:lineRule="auto"/>
        <w:rPr>
          <w:rFonts w:hint="eastAsia"/>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color w:val="000000"/>
          <w:highlight w:val="none"/>
          <w:lang w:val="en-US"/>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24"/>
        <w:ind w:firstLine="420"/>
        <w:spacing w:line="360" w:lineRule="auto"/>
        <w:rPr>
          <w:color w:val="000000"/>
          <w:highlight w:val="none"/>
          <w:lang w:val="en-US"/>
        </w:rPr>
      </w:pPr>
      <w:r>
        <w:rPr>
          <w:color w:val="000000"/>
          <w:highlight w:val="none"/>
          <w:lang w:val="en-US"/>
        </w:rPr>
      </w:r>
      <w:r/>
    </w:p>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924"/>
        <w:ind w:firstLine="420"/>
        <w:spacing w:line="360" w:lineRule="auto"/>
        <w:rPr>
          <w:rStyle w:val="883"/>
          <w:rFonts w:ascii="宋体"/>
          <w:color w:val="000000"/>
          <w:szCs w:val="21"/>
          <w:highlight w:val="none"/>
        </w:rPr>
      </w:pPr>
      <w:r>
        <w:rPr>
          <w:rStyle w:val="883"/>
          <w:rFonts w:ascii="宋体"/>
          <w:color w:val="000000"/>
          <w:szCs w:val="21"/>
          <w:highlight w:val="none"/>
        </w:rPr>
      </w:r>
      <w:r/>
    </w:p>
    <w:p>
      <w:pPr>
        <w:pStyle w:val="760"/>
        <w:jc w:val="left"/>
        <w:spacing w:line="360" w:lineRule="auto"/>
        <w:shd w:val="clear" w:color="auto" w:fill="ffffff"/>
        <w:rPr>
          <w:rStyle w:val="883"/>
          <w:rFonts w:ascii="宋体"/>
          <w:b/>
          <w:bCs/>
          <w:color w:val="000000"/>
          <w:sz w:val="24"/>
          <w:highlight w:val="none"/>
          <w:lang w:val="zh-CN"/>
        </w:rPr>
      </w:pPr>
      <w:r>
        <w:rPr>
          <w:rStyle w:val="883"/>
          <w:rFonts w:hint="eastAsia" w:ascii="宋体" w:hAnsi="宋体"/>
          <w:b/>
          <w:bCs/>
          <w:color w:val="000000"/>
          <w:sz w:val="24"/>
          <w:highlight w:val="none"/>
          <w:lang w:val="zh-CN"/>
        </w:rPr>
        <w:t xml:space="preserve">附件</w:t>
      </w:r>
      <w:r>
        <w:rPr>
          <w:rStyle w:val="883"/>
          <w:rFonts w:hint="eastAsia" w:ascii="宋体" w:hAnsi="宋体"/>
          <w:b/>
          <w:bCs/>
          <w:color w:val="000000"/>
          <w:sz w:val="24"/>
          <w:highlight w:val="none"/>
        </w:rPr>
        <w:t xml:space="preserve">六</w:t>
      </w:r>
      <w:r>
        <w:rPr>
          <w:rStyle w:val="883"/>
          <w:rFonts w:hint="eastAsia" w:ascii="宋体" w:hAnsi="宋体"/>
          <w:b/>
          <w:bCs/>
          <w:color w:val="000000"/>
          <w:sz w:val="24"/>
          <w:highlight w:val="none"/>
          <w:lang w:val="zh-CN"/>
        </w:rPr>
        <w:t xml:space="preserve">、商务条款偏离表格式</w:t>
      </w:r>
      <w:r>
        <w:rPr>
          <w:rStyle w:val="883"/>
          <w:rFonts w:ascii="宋体"/>
          <w:b/>
          <w:bCs/>
          <w:color w:val="000000"/>
          <w:sz w:val="24"/>
          <w:highlight w:val="none"/>
          <w:lang w:val="zh-CN"/>
        </w:rPr>
      </w:r>
      <w:r/>
    </w:p>
    <w:p>
      <w:pPr>
        <w:pStyle w:val="760"/>
        <w:ind w:firstLine="420"/>
        <w:jc w:val="center"/>
        <w:spacing w:line="360" w:lineRule="auto"/>
        <w:shd w:val="clear" w:color="auto" w:fill="ffffff"/>
        <w:rPr>
          <w:rStyle w:val="883"/>
          <w:rFonts w:ascii="宋体"/>
          <w:color w:val="000000"/>
          <w:szCs w:val="21"/>
          <w:highlight w:val="none"/>
        </w:rPr>
      </w:pPr>
      <w:r>
        <w:rPr>
          <w:rStyle w:val="883"/>
          <w:rFonts w:hint="eastAsia" w:ascii="宋体" w:hAnsi="宋体"/>
          <w:color w:val="000000"/>
          <w:sz w:val="36"/>
          <w:szCs w:val="36"/>
          <w:highlight w:val="none"/>
        </w:rPr>
        <w:t xml:space="preserve">商务条款偏离表</w:t>
      </w:r>
      <w:r>
        <w:rPr>
          <w:rStyle w:val="883"/>
          <w:rFonts w:ascii="宋体"/>
          <w:color w:val="000000"/>
          <w:szCs w:val="21"/>
          <w:highlight w:val="none"/>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ascii="宋体"/>
                <w:color w:val="000000"/>
                <w:sz w:val="24"/>
                <w:highlight w:val="none"/>
              </w:rPr>
              <w:t xml:space="preserve"> </w:t>
            </w:r>
            <w:r>
              <w:rPr>
                <w:rStyle w:val="883"/>
                <w:rFonts w:hint="eastAsia" w:ascii="宋体" w:hAnsi="宋体"/>
                <w:color w:val="000000"/>
                <w:szCs w:val="21"/>
                <w:highlight w:val="none"/>
              </w:rPr>
              <w:t xml:space="preserve">项目名称：</w:t>
            </w:r>
            <w:r>
              <w:rPr>
                <w:rStyle w:val="883"/>
                <w:rFonts w:ascii="宋体"/>
                <w:color w:val="000000"/>
                <w:szCs w:val="21"/>
                <w:highlight w:val="none"/>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项目编号：</w:t>
            </w:r>
            <w:r>
              <w:rPr>
                <w:rStyle w:val="883"/>
                <w:rFonts w:ascii="宋体"/>
                <w:color w:val="000000"/>
                <w:szCs w:val="21"/>
                <w:highlight w:val="none"/>
              </w:rPr>
              <w:t xml:space="preserve">         </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序号</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招标文件要求的商务条款</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投标响应</w:t>
            </w:r>
            <w:r>
              <w:rPr>
                <w:rStyle w:val="883"/>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偏离</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备注</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60"/>
              <w:jc w:val="left"/>
              <w:spacing w:line="360" w:lineRule="auto"/>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760"/>
              <w:jc w:val="left"/>
              <w:spacing w:line="360" w:lineRule="auto"/>
              <w:rPr>
                <w:rStyle w:val="883"/>
                <w:rFonts w:ascii="宋体"/>
                <w:color w:val="000000"/>
                <w:sz w:val="2"/>
                <w:highlight w:val="none"/>
              </w:rPr>
            </w:pPr>
            <w:r>
              <w:rPr>
                <w:rStyle w:val="883"/>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760"/>
              <w:jc w:val="left"/>
              <w:spacing w:line="360" w:lineRule="auto"/>
              <w:rPr>
                <w:rStyle w:val="883"/>
                <w:rFonts w:ascii="宋体"/>
                <w:color w:val="000000"/>
                <w:sz w:val="2"/>
                <w:highlight w:val="none"/>
              </w:rPr>
            </w:pPr>
            <w:r>
              <w:rPr>
                <w:rStyle w:val="883"/>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760"/>
              <w:jc w:val="left"/>
              <w:spacing w:line="360" w:lineRule="auto"/>
              <w:rPr>
                <w:rStyle w:val="883"/>
                <w:rFonts w:ascii="宋体"/>
                <w:color w:val="000000"/>
                <w:sz w:val="2"/>
                <w:highlight w:val="none"/>
              </w:rPr>
            </w:pPr>
            <w:r>
              <w:rPr>
                <w:rStyle w:val="883"/>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760"/>
              <w:jc w:val="left"/>
              <w:spacing w:line="360" w:lineRule="auto"/>
              <w:rPr>
                <w:rStyle w:val="883"/>
                <w:rFonts w:ascii="宋体"/>
                <w:color w:val="000000"/>
                <w:sz w:val="2"/>
                <w:highlight w:val="none"/>
              </w:rPr>
            </w:pPr>
            <w:r>
              <w:rPr>
                <w:rStyle w:val="883"/>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760"/>
              <w:jc w:val="left"/>
              <w:spacing w:line="360" w:lineRule="auto"/>
              <w:rPr>
                <w:rStyle w:val="883"/>
                <w:rFonts w:ascii="宋体"/>
                <w:color w:val="000000"/>
                <w:sz w:val="2"/>
                <w:highlight w:val="none"/>
              </w:rPr>
            </w:pPr>
            <w:r>
              <w:rPr>
                <w:rStyle w:val="883"/>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760"/>
              <w:jc w:val="left"/>
              <w:spacing w:line="360" w:lineRule="auto"/>
              <w:rPr>
                <w:rStyle w:val="883"/>
                <w:rFonts w:ascii="宋体"/>
                <w:color w:val="000000"/>
                <w:sz w:val="2"/>
                <w:highlight w:val="none"/>
              </w:rPr>
            </w:pPr>
            <w:r>
              <w:rPr>
                <w:rStyle w:val="883"/>
                <w:rFonts w:ascii="宋体"/>
                <w:color w:val="000000"/>
                <w:sz w:val="2"/>
                <w:highlight w:val="none"/>
              </w:rPr>
            </w:r>
            <w:r/>
          </w:p>
        </w:tc>
      </w:tr>
    </w:tbl>
    <w:p>
      <w:pPr>
        <w:pStyle w:val="760"/>
        <w:jc w:val="left"/>
        <w:spacing w:line="360" w:lineRule="auto"/>
        <w:shd w:val="clear" w:color="auto" w:fill="ffffff"/>
        <w:rPr>
          <w:rStyle w:val="883"/>
          <w:rFonts w:ascii="宋体" w:hAnsi="宋体"/>
          <w:color w:val="000000"/>
          <w:szCs w:val="21"/>
          <w:highlight w:val="none"/>
        </w:rPr>
      </w:pPr>
      <w:r>
        <w:rPr>
          <w:rStyle w:val="883"/>
          <w:rFonts w:hint="eastAsia" w:ascii="宋体" w:hAnsi="宋体"/>
          <w:color w:val="000000"/>
          <w:szCs w:val="21"/>
          <w:highlight w:val="none"/>
        </w:rPr>
        <w:t xml:space="preserve">1、说明：如果行数不够，请自行增加。</w:t>
      </w:r>
      <w:r>
        <w:rPr>
          <w:rStyle w:val="883"/>
          <w:rFonts w:ascii="宋体" w:hAnsi="宋体"/>
          <w:color w:val="000000"/>
          <w:szCs w:val="21"/>
          <w:highlight w:val="none"/>
        </w:rPr>
      </w:r>
      <w:r/>
    </w:p>
    <w:p>
      <w:pPr>
        <w:pStyle w:val="924"/>
        <w:ind w:firstLine="0"/>
        <w:spacing w:line="360" w:lineRule="auto"/>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760"/>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0"/>
        <w:jc w:val="left"/>
        <w:spacing w:line="360" w:lineRule="auto"/>
        <w:shd w:val="clear" w:color="auto" w:fill="ffffff"/>
        <w:rPr>
          <w:rStyle w:val="883"/>
          <w:rFonts w:ascii="宋体"/>
          <w:color w:val="000000"/>
          <w:szCs w:val="21"/>
          <w:highlight w:val="none"/>
        </w:rPr>
      </w:pPr>
      <w:r>
        <w:rPr>
          <w:rStyle w:val="883"/>
          <w:rFonts w:ascii="宋体"/>
          <w:color w:val="000000"/>
          <w:szCs w:val="21"/>
          <w:highlight w:val="none"/>
        </w:rPr>
        <w:t xml:space="preserve"> </w:t>
      </w:r>
      <w:r>
        <w:rPr>
          <w:rStyle w:val="883"/>
          <w:rFonts w:ascii="宋体"/>
          <w:color w:val="000000"/>
          <w:szCs w:val="21"/>
          <w:highlight w:val="none"/>
        </w:rPr>
      </w:r>
      <w:r/>
    </w:p>
    <w:p>
      <w:pPr>
        <w:pStyle w:val="760"/>
        <w:jc w:val="left"/>
        <w:spacing w:line="360" w:lineRule="auto"/>
        <w:rPr>
          <w:rStyle w:val="883"/>
          <w:rFonts w:ascii="宋体" w:hAnsi="宋体"/>
          <w:b/>
          <w:bCs/>
          <w:color w:val="000000"/>
          <w:sz w:val="24"/>
          <w:highlight w:val="none"/>
        </w:rPr>
      </w:pPr>
      <w:r>
        <w:rPr>
          <w:rStyle w:val="883"/>
          <w:rFonts w:ascii="宋体" w:hAnsi="宋体"/>
          <w:b/>
          <w:bCs/>
          <w:color w:val="000000"/>
          <w:sz w:val="24"/>
          <w:highlight w:val="none"/>
        </w:rPr>
        <w:br w:type="page" w:clear="all"/>
      </w:r>
      <w:r>
        <w:rPr>
          <w:rStyle w:val="883"/>
          <w:rFonts w:ascii="宋体" w:hAnsi="宋体"/>
          <w:b/>
          <w:bCs/>
          <w:color w:val="000000"/>
          <w:sz w:val="24"/>
          <w:highlight w:val="none"/>
        </w:rPr>
      </w:r>
      <w:r/>
    </w:p>
    <w:p>
      <w:pPr>
        <w:pStyle w:val="760"/>
        <w:spacing w:line="360" w:lineRule="auto"/>
        <w:rPr>
          <w:rStyle w:val="883"/>
          <w:rFonts w:ascii="宋体"/>
          <w:b/>
          <w:bCs/>
          <w:color w:val="000000"/>
          <w:sz w:val="24"/>
          <w:highlight w:val="none"/>
        </w:rPr>
      </w:pPr>
      <w:r>
        <w:rPr>
          <w:rStyle w:val="883"/>
          <w:rFonts w:hint="eastAsia" w:ascii="宋体" w:hAnsi="宋体"/>
          <w:b/>
          <w:bCs/>
          <w:color w:val="000000"/>
          <w:sz w:val="24"/>
          <w:highlight w:val="none"/>
        </w:rPr>
        <w:t xml:space="preserve">附件七、投标人类似业绩情况表</w:t>
      </w:r>
      <w:r>
        <w:rPr>
          <w:rStyle w:val="883"/>
          <w:rFonts w:ascii="宋体"/>
          <w:b/>
          <w:bCs/>
          <w:color w:val="000000"/>
          <w:sz w:val="24"/>
          <w:highlight w:val="none"/>
        </w:rPr>
      </w:r>
      <w:r/>
    </w:p>
    <w:p>
      <w:pPr>
        <w:pStyle w:val="760"/>
        <w:jc w:val="center"/>
        <w:spacing w:line="360" w:lineRule="auto"/>
        <w:rPr>
          <w:rStyle w:val="883"/>
          <w:rFonts w:ascii="宋体"/>
          <w:color w:val="000000"/>
          <w:sz w:val="36"/>
          <w:szCs w:val="36"/>
          <w:highlight w:val="none"/>
        </w:rPr>
      </w:pPr>
      <w:r>
        <w:rPr>
          <w:rStyle w:val="883"/>
          <w:rFonts w:hint="eastAsia" w:ascii="宋体" w:hAnsi="宋体"/>
          <w:color w:val="000000"/>
          <w:sz w:val="36"/>
          <w:szCs w:val="36"/>
          <w:highlight w:val="none"/>
        </w:rPr>
        <w:t xml:space="preserve">投标人近年来类似业绩情况表</w:t>
      </w:r>
      <w:r>
        <w:rPr>
          <w:rStyle w:val="883"/>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序号</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项目名称</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业主单位</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项目</w:t>
            </w:r>
            <w:r>
              <w:rPr>
                <w:rStyle w:val="883"/>
                <w:rFonts w:ascii="宋体"/>
                <w:color w:val="000000"/>
                <w:szCs w:val="21"/>
                <w:highlight w:val="none"/>
              </w:rPr>
            </w:r>
            <w:r/>
          </w:p>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规模</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项目</w:t>
            </w:r>
            <w:r>
              <w:rPr>
                <w:rStyle w:val="883"/>
                <w:rFonts w:ascii="宋体"/>
                <w:color w:val="000000"/>
                <w:szCs w:val="21"/>
                <w:highlight w:val="none"/>
              </w:rPr>
            </w:r>
            <w:r/>
          </w:p>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内容</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签约及服务</w:t>
            </w:r>
            <w:r>
              <w:rPr>
                <w:rStyle w:val="883"/>
                <w:rFonts w:ascii="宋体"/>
                <w:color w:val="000000"/>
                <w:szCs w:val="21"/>
                <w:highlight w:val="none"/>
              </w:rPr>
            </w:r>
            <w:r/>
          </w:p>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时间</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联系人及电话</w:t>
            </w: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备注</w:t>
            </w:r>
            <w:r>
              <w:rPr>
                <w:rStyle w:val="883"/>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0"/>
              <w:ind w:firstLine="120"/>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0"/>
              <w:jc w:val="center"/>
              <w:spacing w:line="360" w:lineRule="auto"/>
              <w:rPr>
                <w:rStyle w:val="883"/>
                <w:rFonts w:ascii="宋体"/>
                <w:color w:val="000000"/>
                <w:szCs w:val="21"/>
                <w:highlight w:val="none"/>
              </w:rPr>
            </w:pPr>
            <w:r>
              <w:rPr>
                <w:rStyle w:val="883"/>
                <w:rFonts w:ascii="宋体"/>
                <w:color w:val="000000"/>
                <w:szCs w:val="21"/>
                <w:highlight w:val="none"/>
              </w:rPr>
            </w:r>
            <w:r/>
          </w:p>
        </w:tc>
      </w:tr>
    </w:tbl>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0"/>
        <w:spacing w:line="360" w:lineRule="auto"/>
        <w:rPr>
          <w:rStyle w:val="883"/>
          <w:rFonts w:ascii="宋体"/>
          <w:bCs/>
          <w:color w:val="000000"/>
          <w:szCs w:val="21"/>
          <w:highlight w:val="none"/>
        </w:rPr>
      </w:pPr>
      <w:r>
        <w:rPr>
          <w:rStyle w:val="883"/>
          <w:rFonts w:hint="eastAsia" w:ascii="宋体" w:hAnsi="宋体"/>
          <w:bCs/>
          <w:color w:val="000000"/>
          <w:szCs w:val="21"/>
          <w:highlight w:val="none"/>
        </w:rPr>
        <w:t xml:space="preserve">说明：请投标人根据第三章评标标准要求提供相关资料。</w:t>
      </w:r>
      <w:r>
        <w:rPr>
          <w:rStyle w:val="883"/>
          <w:rFonts w:ascii="宋体"/>
          <w:bCs/>
          <w:color w:val="000000"/>
          <w:szCs w:val="21"/>
          <w:highlight w:val="none"/>
        </w:rPr>
      </w:r>
      <w:r/>
    </w:p>
    <w:p>
      <w:pPr>
        <w:pStyle w:val="760"/>
        <w:jc w:val="left"/>
        <w:spacing w:line="360" w:lineRule="auto"/>
        <w:rPr>
          <w:rStyle w:val="883"/>
          <w:rFonts w:ascii="宋体" w:hAnsi="宋体"/>
          <w:b/>
          <w:color w:val="000000"/>
          <w:highlight w:val="none"/>
        </w:rPr>
      </w:pPr>
      <w:r>
        <w:rPr>
          <w:rStyle w:val="883"/>
          <w:rFonts w:ascii="宋体" w:hAnsi="宋体"/>
          <w:b/>
          <w:color w:val="000000"/>
          <w:highlight w:val="none"/>
        </w:rPr>
        <w:br w:type="page" w:clear="all"/>
      </w:r>
      <w:r>
        <w:rPr>
          <w:rStyle w:val="883"/>
          <w:rFonts w:ascii="宋体" w:hAnsi="宋体"/>
          <w:b/>
          <w:color w:val="000000"/>
          <w:highlight w:val="none"/>
        </w:rPr>
      </w:r>
      <w:r/>
    </w:p>
    <w:p>
      <w:pPr>
        <w:pStyle w:val="760"/>
        <w:spacing w:line="360" w:lineRule="auto"/>
        <w:rPr>
          <w:rStyle w:val="883"/>
          <w:rFonts w:ascii="宋体" w:hAnsi="宋体"/>
          <w:b/>
          <w:color w:val="000000"/>
          <w:highlight w:val="none"/>
        </w:rPr>
      </w:pPr>
      <w:r>
        <w:rPr>
          <w:rStyle w:val="883"/>
          <w:rFonts w:hint="eastAsia" w:ascii="宋体" w:hAnsi="宋体"/>
          <w:b/>
          <w:color w:val="000000"/>
          <w:highlight w:val="none"/>
        </w:rPr>
        <w:t xml:space="preserve">附件八、拟参与本项目人员一览表</w:t>
      </w:r>
      <w:r>
        <w:rPr>
          <w:rStyle w:val="883"/>
          <w:rFonts w:ascii="宋体" w:hAnsi="宋体"/>
          <w:b/>
          <w:color w:val="000000"/>
          <w:highlight w:val="none"/>
        </w:rPr>
      </w:r>
      <w:r/>
    </w:p>
    <w:p>
      <w:pPr>
        <w:pStyle w:val="760"/>
        <w:jc w:val="center"/>
        <w:spacing w:line="360" w:lineRule="auto"/>
        <w:rPr>
          <w:rStyle w:val="883"/>
          <w:rFonts w:ascii="宋体" w:hAnsi="宋体"/>
          <w:color w:val="000000"/>
          <w:sz w:val="28"/>
          <w:highlight w:val="none"/>
        </w:rPr>
      </w:pPr>
      <w:r/>
      <w:bookmarkStart w:id="39" w:name="OLE_LINK4"/>
      <w:r>
        <w:rPr>
          <w:rStyle w:val="883"/>
          <w:rFonts w:hint="eastAsia" w:ascii="宋体" w:hAnsi="宋体"/>
          <w:color w:val="000000"/>
          <w:sz w:val="28"/>
          <w:highlight w:val="none"/>
        </w:rPr>
        <w:t xml:space="preserve">拟参与本项目人员一览表</w:t>
      </w:r>
      <w:r>
        <w:rPr>
          <w:rStyle w:val="883"/>
          <w:rFonts w:ascii="宋体" w:hAnsi="宋体"/>
          <w:color w:val="000000"/>
          <w:sz w:val="28"/>
          <w:highlight w:val="none"/>
        </w:rPr>
      </w:r>
      <w:r/>
    </w:p>
    <w:p>
      <w:pPr>
        <w:pStyle w:val="962"/>
        <w:ind w:firstLine="211"/>
        <w:jc w:val="left"/>
        <w:spacing w:before="100" w:beforeAutospacing="1" w:after="100" w:afterAutospacing="1" w:line="360" w:lineRule="auto"/>
        <w:rPr>
          <w:rFonts w:hAnsi="宋体"/>
          <w:b/>
          <w:bCs/>
          <w:color w:val="000000"/>
          <w:szCs w:val="21"/>
          <w:highlight w:val="none"/>
        </w:rPr>
      </w:pPr>
      <w:r/>
      <w:bookmarkEnd w:id="39"/>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学历</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760"/>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60"/>
              <w:spacing w:line="360" w:lineRule="auto"/>
              <w:rPr>
                <w:rFonts w:ascii="宋体" w:hAnsi="宋体"/>
                <w:color w:val="000000"/>
                <w:szCs w:val="21"/>
                <w:highlight w:val="none"/>
              </w:rPr>
            </w:pPr>
            <w:r>
              <w:rPr>
                <w:rFonts w:ascii="宋体" w:hAnsi="宋体"/>
                <w:color w:val="000000"/>
                <w:szCs w:val="21"/>
                <w:highlight w:val="none"/>
              </w:rPr>
            </w:r>
            <w:r/>
          </w:p>
        </w:tc>
      </w:tr>
    </w:tbl>
    <w:p>
      <w:pPr>
        <w:pStyle w:val="760"/>
        <w:spacing w:line="360" w:lineRule="auto"/>
        <w:rPr>
          <w:rFonts w:ascii="宋体" w:hAnsi="宋体"/>
          <w:color w:val="000000"/>
          <w:szCs w:val="21"/>
          <w:highlight w:val="none"/>
        </w:rPr>
      </w:pPr>
      <w:r>
        <w:rPr>
          <w:rFonts w:ascii="宋体" w:hAnsi="宋体"/>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0"/>
        <w:spacing w:line="360" w:lineRule="auto"/>
        <w:rPr>
          <w:rFonts w:ascii="宋体" w:hAnsi="宋体"/>
          <w:bCs/>
          <w:color w:val="000000"/>
          <w:szCs w:val="21"/>
          <w:highlight w:val="none"/>
        </w:rPr>
      </w:pPr>
      <w:r>
        <w:rPr>
          <w:rFonts w:ascii="宋体" w:hAnsi="宋体"/>
          <w:bCs/>
          <w:color w:val="000000"/>
          <w:szCs w:val="21"/>
          <w:highlight w:val="none"/>
        </w:rPr>
      </w:r>
      <w:r/>
    </w:p>
    <w:p>
      <w:pPr>
        <w:pStyle w:val="760"/>
        <w:spacing w:line="360" w:lineRule="auto"/>
        <w:rPr>
          <w:rStyle w:val="883"/>
          <w:rFonts w:ascii="宋体" w:hAnsi="宋体"/>
          <w:b/>
          <w:color w:val="000000"/>
          <w:sz w:val="28"/>
          <w:highlight w:val="none"/>
        </w:rPr>
      </w:pPr>
      <w:r>
        <w:rPr>
          <w:rStyle w:val="883"/>
          <w:rFonts w:ascii="宋体" w:hAnsi="宋体"/>
          <w:b/>
          <w:color w:val="000000"/>
          <w:sz w:val="28"/>
          <w:highlight w:val="none"/>
        </w:rPr>
      </w:r>
      <w:r/>
    </w:p>
    <w:p>
      <w:pPr>
        <w:pStyle w:val="760"/>
        <w:spacing w:line="360" w:lineRule="auto"/>
        <w:rPr>
          <w:rStyle w:val="883"/>
          <w:rFonts w:ascii="宋体" w:hAnsi="宋体"/>
          <w:b/>
          <w:color w:val="000000"/>
          <w:highlight w:val="none"/>
        </w:rPr>
      </w:pPr>
      <w:r>
        <w:rPr>
          <w:rStyle w:val="883"/>
          <w:rFonts w:ascii="宋体" w:hAnsi="宋体"/>
          <w:b/>
          <w:color w:val="000000"/>
          <w:highlight w:val="none"/>
        </w:rPr>
      </w:r>
      <w:r/>
    </w:p>
    <w:p>
      <w:pPr>
        <w:pStyle w:val="760"/>
        <w:jc w:val="left"/>
        <w:spacing w:line="360" w:lineRule="auto"/>
        <w:rPr>
          <w:rStyle w:val="883"/>
          <w:rFonts w:ascii="宋体" w:hAnsi="宋体"/>
          <w:b/>
          <w:color w:val="000000"/>
          <w:highlight w:val="none"/>
        </w:rPr>
      </w:pPr>
      <w:r>
        <w:rPr>
          <w:rStyle w:val="883"/>
          <w:rFonts w:ascii="宋体" w:hAnsi="宋体"/>
          <w:b/>
          <w:color w:val="000000"/>
          <w:highlight w:val="none"/>
        </w:rPr>
        <w:br w:type="page" w:clear="all"/>
      </w:r>
      <w:r>
        <w:rPr>
          <w:rStyle w:val="883"/>
          <w:rFonts w:ascii="宋体" w:hAnsi="宋体"/>
          <w:b/>
          <w:color w:val="000000"/>
          <w:highlight w:val="none"/>
        </w:rPr>
      </w:r>
      <w:r/>
    </w:p>
    <w:p>
      <w:pPr>
        <w:pStyle w:val="760"/>
        <w:jc w:val="left"/>
        <w:spacing w:line="360" w:lineRule="auto"/>
        <w:shd w:val="clear" w:color="auto" w:fill="ffffff"/>
        <w:rPr>
          <w:rFonts w:ascii="宋体" w:hAnsi="宋体"/>
          <w:b/>
          <w:bCs/>
          <w:color w:val="000000"/>
          <w:sz w:val="24"/>
          <w:highlight w:val="none"/>
          <w:lang w:val="zh-CN"/>
        </w:rPr>
      </w:pPr>
      <w:r>
        <w:rPr>
          <w:rStyle w:val="883"/>
          <w:rFonts w:hint="eastAsia" w:ascii="宋体" w:hAnsi="宋体"/>
          <w:b/>
          <w:color w:val="000000"/>
          <w:highlight w:val="none"/>
        </w:rPr>
        <w:t xml:space="preserve">附件九、</w:t>
      </w:r>
      <w:r>
        <w:rPr>
          <w:rFonts w:hint="eastAsia" w:ascii="宋体" w:hAnsi="宋体"/>
          <w:b/>
          <w:bCs/>
          <w:color w:val="000000"/>
          <w:sz w:val="24"/>
          <w:highlight w:val="none"/>
          <w:lang w:val="zh-CN"/>
        </w:rPr>
        <w:t xml:space="preserve">供货一览表格式</w:t>
      </w:r>
      <w:r>
        <w:rPr>
          <w:rFonts w:ascii="宋体" w:hAnsi="宋体"/>
          <w:b/>
          <w:bCs/>
          <w:color w:val="000000"/>
          <w:sz w:val="24"/>
          <w:highlight w:val="none"/>
          <w:lang w:val="zh-CN"/>
        </w:rPr>
      </w:r>
      <w:r/>
    </w:p>
    <w:p>
      <w:pPr>
        <w:pStyle w:val="760"/>
        <w:spacing w:line="360" w:lineRule="auto"/>
        <w:rPr>
          <w:rStyle w:val="883"/>
          <w:rFonts w:ascii="宋体"/>
          <w:b/>
          <w:color w:val="000000"/>
          <w:highlight w:val="none"/>
        </w:rPr>
      </w:pPr>
      <w:r>
        <w:rPr>
          <w:rStyle w:val="883"/>
          <w:rFonts w:ascii="宋体"/>
          <w:b/>
          <w:color w:val="000000"/>
          <w:highlight w:val="none"/>
        </w:rPr>
      </w:r>
      <w:r/>
    </w:p>
    <w:p>
      <w:pPr>
        <w:pStyle w:val="760"/>
        <w:jc w:val="center"/>
        <w:spacing w:line="360" w:lineRule="auto"/>
        <w:rPr>
          <w:rFonts w:ascii="华文细黑" w:hAnsi="Verdana" w:eastAsia="华文细黑" w:cs="Verdana"/>
          <w:color w:val="000000"/>
          <w:sz w:val="36"/>
          <w:szCs w:val="36"/>
          <w:highlight w:val="none"/>
          <w:lang w:val="zh-CN"/>
        </w:rPr>
      </w:pPr>
      <w:r>
        <w:rPr>
          <w:rFonts w:hint="eastAsia" w:ascii="华文细黑" w:hAnsi="Verdana" w:eastAsia="华文细黑" w:cs="Verdana"/>
          <w:color w:val="000000"/>
          <w:sz w:val="36"/>
          <w:szCs w:val="36"/>
          <w:highlight w:val="none"/>
          <w:lang w:val="zh-CN"/>
        </w:rPr>
        <w:t xml:space="preserve">供货一览表</w:t>
      </w:r>
      <w:r>
        <w:rPr>
          <w:rFonts w:ascii="华文细黑" w:hAnsi="Verdana" w:eastAsia="华文细黑" w:cs="Verdana"/>
          <w:color w:val="000000"/>
          <w:sz w:val="36"/>
          <w:szCs w:val="36"/>
          <w:highlight w:val="none"/>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760"/>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项目名称：</w:t>
            </w:r>
            <w:r>
              <w:rPr>
                <w:rFonts w:ascii="宋体" w:hAnsi="宋体" w:cs="Verdana"/>
                <w:b/>
                <w:color w:val="000000"/>
                <w:szCs w:val="21"/>
                <w:highlight w:val="none"/>
                <w:lang w:val="zh-CN"/>
              </w:rPr>
            </w:r>
            <w:r/>
          </w:p>
        </w:tc>
        <w:tc>
          <w:tcPr>
            <w:gridSpan w:val="2"/>
            <w:tcW w:w="3352" w:type="dxa"/>
            <w:vAlign w:val="center"/>
            <w:textDirection w:val="lrTb"/>
            <w:noWrap w:val="false"/>
          </w:tcPr>
          <w:p>
            <w:pPr>
              <w:pStyle w:val="760"/>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项目编号：</w:t>
            </w:r>
            <w:r>
              <w:rPr>
                <w:rFonts w:ascii="宋体" w:hAnsi="宋体" w:cs="Verdana"/>
                <w:b/>
                <w:color w:val="000000"/>
                <w:szCs w:val="21"/>
                <w:highlight w:val="none"/>
                <w:lang w:val="zh-CN"/>
              </w:rPr>
            </w:r>
            <w:r/>
          </w:p>
        </w:tc>
      </w:tr>
      <w:tr>
        <w:trPr>
          <w:trHeight w:val="350"/>
        </w:trPr>
        <w:tc>
          <w:tcPr>
            <w:gridSpan w:val="2"/>
            <w:tcW w:w="1369" w:type="dxa"/>
            <w:vAlign w:val="center"/>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gridSpan w:val="2"/>
            <w:tcW w:w="1810" w:type="dxa"/>
            <w:vAlign w:val="center"/>
            <w:textDirection w:val="lrTb"/>
            <w:noWrap w:val="false"/>
          </w:tcPr>
          <w:p>
            <w:pPr>
              <w:pStyle w:val="760"/>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576" w:type="dxa"/>
            <w:vAlign w:val="center"/>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品牌</w:t>
            </w:r>
            <w:r>
              <w:rPr>
                <w:rFonts w:ascii="宋体" w:hAnsi="宋体" w:cs="Verdana"/>
                <w:color w:val="000000"/>
                <w:szCs w:val="21"/>
                <w:highlight w:val="none"/>
                <w:lang w:val="zh-CN"/>
              </w:rPr>
            </w:r>
            <w:r/>
          </w:p>
        </w:tc>
        <w:tc>
          <w:tcPr>
            <w:tcW w:w="1449" w:type="dxa"/>
            <w:vAlign w:val="center"/>
            <w:textDirection w:val="lrTb"/>
            <w:noWrap w:val="false"/>
          </w:tcPr>
          <w:p>
            <w:pPr>
              <w:pStyle w:val="760"/>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766" w:type="dxa"/>
            <w:vAlign w:val="center"/>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规格、型号</w:t>
            </w:r>
            <w:r>
              <w:rPr>
                <w:rFonts w:ascii="宋体" w:hAnsi="宋体" w:cs="Verdana"/>
                <w:color w:val="000000"/>
                <w:szCs w:val="21"/>
                <w:highlight w:val="none"/>
                <w:lang w:val="zh-CN"/>
              </w:rPr>
            </w:r>
            <w:r/>
          </w:p>
        </w:tc>
        <w:tc>
          <w:tcPr>
            <w:tcW w:w="1609" w:type="dxa"/>
            <w:vAlign w:val="center"/>
            <w:textDirection w:val="lrTb"/>
            <w:noWrap w:val="false"/>
          </w:tcPr>
          <w:p>
            <w:pPr>
              <w:pStyle w:val="760"/>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gridSpan w:val="2"/>
            <w:tcW w:w="1369"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生产企业名称</w:t>
            </w:r>
            <w:r>
              <w:rPr>
                <w:rFonts w:ascii="宋体" w:hAnsi="宋体" w:cs="Verdana"/>
                <w:color w:val="000000"/>
                <w:szCs w:val="21"/>
                <w:highlight w:val="none"/>
                <w:lang w:val="zh-CN"/>
              </w:rPr>
            </w:r>
            <w:r/>
          </w:p>
        </w:tc>
        <w:tc>
          <w:tcPr>
            <w:gridSpan w:val="3"/>
            <w:tcW w:w="3386"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449"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生产企业地址</w:t>
            </w:r>
            <w:r>
              <w:rPr>
                <w:rFonts w:ascii="宋体" w:hAnsi="宋体" w:cs="Verdana"/>
                <w:color w:val="000000"/>
                <w:szCs w:val="21"/>
                <w:highlight w:val="none"/>
                <w:lang w:val="zh-CN"/>
              </w:rPr>
            </w:r>
            <w:r/>
          </w:p>
        </w:tc>
        <w:tc>
          <w:tcPr>
            <w:gridSpan w:val="3"/>
            <w:tcW w:w="3375"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序号</w:t>
            </w:r>
            <w:r>
              <w:rPr>
                <w:rFonts w:ascii="宋体" w:hAnsi="宋体" w:cs="Verdana"/>
                <w:color w:val="000000"/>
                <w:szCs w:val="21"/>
                <w:highlight w:val="none"/>
                <w:lang w:val="zh-CN"/>
              </w:rPr>
            </w:r>
            <w:r/>
          </w:p>
        </w:tc>
        <w:tc>
          <w:tcPr>
            <w:gridSpan w:val="2"/>
            <w:tcW w:w="1220" w:type="dxa"/>
            <w:vAlign w:val="top"/>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tcW w:w="921" w:type="dxa"/>
            <w:vAlign w:val="top"/>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数量</w:t>
            </w:r>
            <w:r>
              <w:rPr>
                <w:rFonts w:ascii="宋体" w:hAnsi="宋体" w:cs="Verdana"/>
                <w:color w:val="000000"/>
                <w:szCs w:val="21"/>
                <w:highlight w:val="none"/>
                <w:lang w:val="zh-CN"/>
              </w:rPr>
            </w:r>
            <w:r/>
          </w:p>
        </w:tc>
        <w:tc>
          <w:tcPr>
            <w:gridSpan w:val="5"/>
            <w:tcW w:w="6400" w:type="dxa"/>
            <w:vAlign w:val="top"/>
            <w:textDirection w:val="lrTb"/>
            <w:noWrap w:val="false"/>
          </w:tcPr>
          <w:p>
            <w:pPr>
              <w:pStyle w:val="760"/>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主要技术参数</w:t>
            </w: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bl>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760"/>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760"/>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t xml:space="preserve">说明：</w:t>
      </w:r>
      <w:r>
        <w:rPr>
          <w:rFonts w:ascii="宋体" w:hAnsi="宋体" w:cs="Verdana"/>
          <w:color w:val="000000"/>
          <w:szCs w:val="21"/>
          <w:highlight w:val="none"/>
          <w:lang w:val="zh-CN"/>
        </w:rPr>
      </w:r>
      <w:r/>
    </w:p>
    <w:p>
      <w:pPr>
        <w:pStyle w:val="760"/>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、如果行数不够，请自行增加。</w:t>
      </w:r>
      <w:r>
        <w:rPr>
          <w:rFonts w:ascii="宋体" w:hAnsi="宋体" w:cs="Verdana"/>
          <w:color w:val="000000"/>
          <w:szCs w:val="21"/>
          <w:highlight w:val="none"/>
          <w:lang w:val="zh-CN"/>
        </w:rPr>
      </w:r>
      <w:r/>
    </w:p>
    <w:p>
      <w:pPr>
        <w:pStyle w:val="784"/>
        <w:spacing w:line="360" w:lineRule="auto"/>
        <w:rPr>
          <w:color w:val="000000"/>
          <w:highlight w:val="none"/>
          <w:lang w:val="zh-CN"/>
        </w:rPr>
      </w:pPr>
      <w:r>
        <w:rPr>
          <w:color w:val="000000"/>
          <w:highlight w:val="none"/>
          <w:lang w:val="zh-CN"/>
        </w:rPr>
      </w:r>
      <w:r/>
    </w:p>
    <w:p>
      <w:pPr>
        <w:pStyle w:val="760"/>
        <w:jc w:val="left"/>
        <w:spacing w:line="360" w:lineRule="auto"/>
        <w:shd w:val="clear" w:color="auto" w:fill="ffffff"/>
        <w:rPr>
          <w:rFonts w:cs="Verdana"/>
          <w:color w:val="000000"/>
          <w:szCs w:val="21"/>
          <w:highlight w:val="none"/>
          <w:lang w:val="zh-CN"/>
        </w:rPr>
      </w:pPr>
      <w:r>
        <w:rPr>
          <w:rFonts w:cs="Verdana"/>
          <w:color w:val="000000"/>
          <w:szCs w:val="21"/>
          <w:highlight w:val="none"/>
          <w:lang w:val="zh-CN"/>
        </w:rPr>
      </w:r>
      <w:r/>
    </w:p>
    <w:p>
      <w:pPr>
        <w:pStyle w:val="760"/>
        <w:ind w:right="633"/>
        <w:jc w:val="left"/>
        <w:spacing w:line="360" w:lineRule="auto"/>
        <w:shd w:val="clear" w:color="auto" w:fill="ffffff"/>
        <w:rPr>
          <w:rStyle w:val="883"/>
          <w:rFonts w:ascii="宋体"/>
          <w:b/>
          <w:color w:val="000000"/>
          <w:szCs w:val="21"/>
          <w:highlight w:val="none"/>
        </w:rPr>
      </w:pPr>
      <w:r>
        <w:rPr>
          <w:rStyle w:val="883"/>
          <w:rFonts w:ascii="宋体"/>
          <w:b/>
          <w:color w:val="000000"/>
          <w:szCs w:val="21"/>
          <w:highlight w:val="none"/>
        </w:rPr>
        <w:br w:type="page" w:clear="all"/>
      </w:r>
      <w:r>
        <w:rPr>
          <w:rStyle w:val="883"/>
          <w:rFonts w:ascii="宋体"/>
          <w:b/>
          <w:color w:val="000000"/>
          <w:szCs w:val="21"/>
          <w:highlight w:val="none"/>
        </w:rPr>
      </w:r>
      <w:r/>
    </w:p>
    <w:p>
      <w:pPr>
        <w:pStyle w:val="760"/>
        <w:jc w:val="left"/>
        <w:spacing w:line="360" w:lineRule="auto"/>
        <w:shd w:val="clear" w:color="auto" w:fill="ffffff"/>
        <w:rPr>
          <w:color w:val="000000"/>
          <w:highlight w:val="none"/>
        </w:rPr>
      </w:pPr>
      <w:r>
        <w:rPr>
          <w:rStyle w:val="883"/>
          <w:rFonts w:hint="eastAsia" w:ascii="宋体" w:hAnsi="宋体"/>
          <w:b/>
          <w:color w:val="000000"/>
          <w:highlight w:val="none"/>
        </w:rPr>
        <w:t xml:space="preserve">附件十、</w:t>
      </w:r>
      <w:r>
        <w:rPr>
          <w:rStyle w:val="883"/>
          <w:rFonts w:hint="eastAsia" w:ascii="宋体" w:hAnsi="宋体"/>
          <w:b/>
          <w:color w:val="000000"/>
          <w:szCs w:val="21"/>
          <w:highlight w:val="none"/>
          <w:lang w:val="zh-CN"/>
        </w:rPr>
        <w:t xml:space="preserve">资格证明文件</w:t>
      </w:r>
      <w:r>
        <w:rPr>
          <w:color w:val="000000"/>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（1）具有独立承担民事责任的能力（提供法人或者其他组织的营业执照，自然人的身份证明）；</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（2）具有良好的商业信誉和健全的财务会计制度；</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（4）有依法缴纳税收和社会保障资金的良好记录；</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（6）法律、行政法规规定的其他条件。</w:t>
      </w:r>
      <w:r>
        <w:rPr>
          <w:rFonts w:ascii="宋体" w:hAnsi="宋体"/>
          <w:bCs/>
          <w:color w:val="000000"/>
          <w:sz w:val="24"/>
          <w:highlight w:val="none"/>
        </w:rPr>
        <w:br w:type="page" w:clear="all"/>
      </w:r>
      <w:r>
        <w:rPr>
          <w:rFonts w:hint="eastAsia" w:ascii="宋体" w:hAnsi="宋体"/>
          <w:bCs/>
          <w:color w:val="000000"/>
          <w:sz w:val="24"/>
          <w:highlight w:val="none"/>
        </w:rPr>
        <w:t xml:space="preserve">附件1：具有独立承担民事责任的能力（提供法人或者其他组织的营业执照，自然人的身份证明）；</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附件2：具有良好的商业信誉和健全的财务会计制度；</w:t>
      </w:r>
      <w:r>
        <w:rPr>
          <w:rFonts w:hint="eastAsia" w:ascii="宋体" w:hAnsi="宋体"/>
          <w:bCs/>
          <w:color w:val="000000"/>
          <w:sz w:val="24"/>
          <w:highlight w:val="none"/>
        </w:rPr>
      </w:r>
      <w:r/>
    </w:p>
    <w:p>
      <w:pPr>
        <w:pStyle w:val="76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60"/>
        <w:jc w:val="left"/>
        <w:spacing w:line="360" w:lineRule="auto"/>
        <w:shd w:val="clear" w:color="auto" w:fill="ffffff"/>
        <w:rPr>
          <w:rFonts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附件3：具有履行合同所必需的设备和专业技术能力（根据项目需求提供履行合同所必需的设备和专业技术能力的证明材料）；</w:t>
      </w:r>
      <w:r>
        <w:rPr>
          <w:rFonts w:ascii="宋体" w:hAnsi="宋体"/>
          <w:bCs/>
          <w:color w:val="000000"/>
          <w:sz w:val="24"/>
          <w:highlight w:val="none"/>
        </w:rPr>
      </w:r>
      <w:r/>
    </w:p>
    <w:p>
      <w:pPr>
        <w:pStyle w:val="760"/>
        <w:jc w:val="center"/>
        <w:spacing w:line="360" w:lineRule="auto"/>
        <w:widowControl w:val="off"/>
        <w:rPr>
          <w:rFonts w:ascii="宋体" w:hAnsi="宋体" w:cs="宋体"/>
          <w:color w:val="000000"/>
          <w:sz w:val="32"/>
          <w:szCs w:val="32"/>
          <w:highlight w:val="none"/>
          <w:lang w:val="zh-CN"/>
        </w:rPr>
      </w:pPr>
      <w:r/>
      <w:bookmarkStart w:id="40" w:name="OLE_LINK5"/>
      <w:r>
        <w:rPr>
          <w:rFonts w:hint="eastAsia" w:ascii="宋体" w:hAnsi="宋体" w:cs="宋体"/>
          <w:color w:val="000000"/>
          <w:sz w:val="32"/>
          <w:szCs w:val="32"/>
          <w:highlight w:val="none"/>
          <w:lang w:val="zh-CN"/>
        </w:rPr>
        <w:t xml:space="preserve">具备履行合同所必需的设备和专业技术能力的声明格式</w:t>
      </w:r>
      <w:r>
        <w:rPr>
          <w:rFonts w:ascii="宋体" w:hAnsi="宋体" w:cs="宋体"/>
          <w:color w:val="000000"/>
          <w:sz w:val="32"/>
          <w:szCs w:val="32"/>
          <w:highlight w:val="none"/>
          <w:lang w:val="zh-CN"/>
        </w:rPr>
      </w:r>
      <w:r/>
    </w:p>
    <w:p>
      <w:pPr>
        <w:pStyle w:val="760"/>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760"/>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主要设备有：                          。( 若有 )</w:t>
      </w:r>
      <w:r>
        <w:rPr>
          <w:rFonts w:ascii="宋体" w:hAnsi="宋体" w:cs="宋体"/>
          <w:color w:val="000000"/>
          <w:highlight w:val="none"/>
        </w:rPr>
      </w:r>
      <w:r/>
    </w:p>
    <w:p>
      <w:pPr>
        <w:pStyle w:val="760"/>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主要专业技术能力有：                  。( 若有 )</w:t>
      </w:r>
      <w:r>
        <w:rPr>
          <w:rFonts w:ascii="宋体" w:hAnsi="宋体" w:cs="宋体"/>
          <w:color w:val="000000"/>
          <w:highlight w:val="none"/>
        </w:rPr>
      </w:r>
      <w:r/>
    </w:p>
    <w:p>
      <w:pPr>
        <w:pStyle w:val="760"/>
        <w:spacing w:line="360" w:lineRule="auto"/>
        <w:widowControl w:val="off"/>
        <w:rPr>
          <w:rFonts w:ascii="宋体" w:hAnsi="宋体" w:cs="宋体"/>
          <w:color w:val="000000"/>
          <w:highlight w:val="none"/>
        </w:rPr>
      </w:pPr>
      <w:r>
        <w:rPr>
          <w:rFonts w:ascii="宋体" w:hAnsi="宋体" w:cs="宋体"/>
          <w:color w:val="000000"/>
          <w:highlight w:val="none"/>
        </w:rPr>
      </w:r>
      <w:r/>
    </w:p>
    <w:p>
      <w:pPr>
        <w:pStyle w:val="760"/>
        <w:spacing w:line="360" w:lineRule="auto"/>
        <w:widowControl w:val="off"/>
        <w:rPr>
          <w:rFonts w:ascii="宋体" w:hAnsi="宋体" w:cs="宋体"/>
          <w:color w:val="000000"/>
          <w:highlight w:val="none"/>
        </w:rPr>
      </w:pPr>
      <w:r>
        <w:rPr>
          <w:rFonts w:ascii="宋体" w:hAnsi="宋体" w:cs="宋体"/>
          <w:color w:val="000000"/>
          <w:highlight w:val="none"/>
        </w:rPr>
      </w:r>
      <w:r/>
    </w:p>
    <w:p>
      <w:pPr>
        <w:pStyle w:val="760"/>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w:t>
      </w:r>
      <w:r>
        <w:rPr>
          <w:rStyle w:val="883"/>
          <w:rFonts w:hint="eastAsia" w:ascii="宋体" w:hAnsi="宋体"/>
          <w:color w:val="000000"/>
          <w:szCs w:val="21"/>
          <w:highlight w:val="none"/>
        </w:rPr>
        <w:t xml:space="preserve">投标人名称：（电子公章）</w:t>
      </w:r>
      <w:r>
        <w:rPr>
          <w:rFonts w:ascii="宋体" w:hAnsi="宋体" w:cs="宋体"/>
          <w:color w:val="000000"/>
          <w:highlight w:val="none"/>
        </w:rPr>
      </w:r>
      <w:r/>
    </w:p>
    <w:p>
      <w:pPr>
        <w:pStyle w:val="760"/>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日期：______年    月    日</w:t>
      </w:r>
      <w:r>
        <w:rPr>
          <w:rFonts w:ascii="宋体" w:hAnsi="宋体" w:cs="宋体"/>
          <w:color w:val="000000"/>
          <w:highlight w:val="none"/>
        </w:rPr>
      </w:r>
      <w:r/>
    </w:p>
    <w:p>
      <w:pPr>
        <w:pStyle w:val="760"/>
        <w:ind w:firstLine="420"/>
        <w:jc w:val="left"/>
        <w:spacing w:line="360" w:lineRule="auto"/>
        <w:rPr>
          <w:rFonts w:hint="eastAsia" w:ascii="宋体" w:hAnsi="宋体"/>
          <w:bCs/>
          <w:color w:val="000000"/>
          <w:sz w:val="24"/>
          <w:highlight w:val="none"/>
        </w:rPr>
      </w:pPr>
      <w:r/>
      <w:bookmarkEnd w:id="40"/>
      <w:r>
        <w:rPr>
          <w:bCs/>
          <w:color w:val="000000"/>
          <w:highlight w:val="none"/>
        </w:rPr>
        <w:br w:type="page" w:clear="all"/>
      </w:r>
      <w:r>
        <w:rPr>
          <w:rFonts w:hint="eastAsia" w:ascii="宋体" w:hAnsi="宋体"/>
          <w:bCs/>
          <w:color w:val="000000"/>
          <w:highlight w:val="none"/>
        </w:rPr>
        <w:t xml:space="preserve">附件4：</w:t>
      </w:r>
      <w:r>
        <w:rPr>
          <w:rFonts w:hint="eastAsia" w:ascii="宋体" w:hAnsi="宋体"/>
          <w:bCs/>
          <w:color w:val="000000"/>
          <w:sz w:val="24"/>
          <w:highlight w:val="none"/>
        </w:rPr>
        <w:t xml:space="preserve">有依法缴纳税收和社会保障资金的良好记录；</w:t>
      </w:r>
      <w:r>
        <w:rPr>
          <w:rFonts w:hint="eastAsia" w:ascii="宋体" w:hAnsi="宋体"/>
          <w:bCs/>
          <w:color w:val="000000"/>
          <w:sz w:val="24"/>
          <w:highlight w:val="none"/>
        </w:rPr>
      </w:r>
      <w:r/>
    </w:p>
    <w:p>
      <w:pPr>
        <w:pStyle w:val="784"/>
        <w:spacing w:line="360" w:lineRule="auto"/>
        <w:rPr>
          <w:rFonts w:hint="eastAsia" w:ascii="宋体" w:hAnsi="宋体"/>
          <w:bCs/>
          <w:color w:val="000000"/>
          <w:highlight w:val="none"/>
        </w:rPr>
      </w:pPr>
      <w:r>
        <w:rPr>
          <w:rFonts w:hint="eastAsia" w:ascii="宋体" w:hAnsi="宋体"/>
          <w:bCs/>
          <w:color w:val="000000"/>
          <w:highlight w:val="none"/>
        </w:rPr>
      </w:r>
      <w:r/>
    </w:p>
    <w:p>
      <w:pPr>
        <w:pStyle w:val="784"/>
        <w:spacing w:line="360" w:lineRule="auto"/>
        <w:rPr>
          <w:rStyle w:val="883"/>
          <w:rFonts w:hint="eastAsia" w:ascii="宋体" w:hAnsi="宋体"/>
          <w:b/>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lang w:val="en-US" w:eastAsia="zh-CN"/>
        </w:rPr>
        <w:t xml:space="preserve">附件5：</w:t>
      </w:r>
      <w:r>
        <w:rPr>
          <w:rFonts w:hint="eastAsia" w:ascii="宋体" w:hAnsi="宋体"/>
          <w:bCs/>
          <w:color w:val="000000"/>
          <w:highlight w:val="none"/>
        </w:rPr>
        <w:t xml:space="preserve">参加政府采购活动前三年内，在经营活动中没有重大违法记录（提供参加本次政府采购活动前3年内在经营活动中没有重大违法记录的书面声明）</w:t>
      </w:r>
      <w:r>
        <w:rPr>
          <w:rStyle w:val="883"/>
          <w:rFonts w:hint="eastAsia" w:ascii="宋体" w:hAnsi="宋体"/>
          <w:b/>
          <w:color w:val="000000"/>
          <w:highlight w:val="none"/>
        </w:rPr>
      </w:r>
      <w:r/>
    </w:p>
    <w:p>
      <w:pPr>
        <w:pStyle w:val="784"/>
        <w:spacing w:line="360" w:lineRule="auto"/>
        <w:rPr>
          <w:rStyle w:val="883"/>
          <w:rFonts w:ascii="宋体" w:hAnsi="宋体"/>
          <w:b/>
          <w:color w:val="000000"/>
          <w:highlight w:val="none"/>
        </w:rPr>
      </w:pPr>
      <w:r>
        <w:rPr>
          <w:rStyle w:val="883"/>
          <w:rFonts w:ascii="宋体" w:hAnsi="宋体"/>
          <w:b/>
          <w:color w:val="000000"/>
          <w:highlight w:val="none"/>
        </w:rPr>
      </w:r>
      <w:r/>
    </w:p>
    <w:p>
      <w:pPr>
        <w:pStyle w:val="760"/>
        <w:jc w:val="center"/>
        <w:spacing w:line="360" w:lineRule="auto"/>
        <w:rPr>
          <w:rStyle w:val="883"/>
          <w:rFonts w:ascii="宋体"/>
          <w:color w:val="000000"/>
          <w:sz w:val="28"/>
          <w:szCs w:val="36"/>
          <w:highlight w:val="none"/>
        </w:rPr>
      </w:pPr>
      <w:r>
        <w:rPr>
          <w:rStyle w:val="883"/>
          <w:rFonts w:ascii="宋体"/>
          <w:color w:val="000000"/>
          <w:sz w:val="28"/>
          <w:szCs w:val="36"/>
          <w:highlight w:val="none"/>
        </w:rPr>
      </w:r>
      <w:r/>
    </w:p>
    <w:p>
      <w:pPr>
        <w:pStyle w:val="760"/>
        <w:jc w:val="center"/>
        <w:spacing w:line="360" w:lineRule="auto"/>
        <w:rPr>
          <w:rStyle w:val="883"/>
          <w:rFonts w:ascii="宋体"/>
          <w:color w:val="000000"/>
          <w:sz w:val="36"/>
          <w:szCs w:val="36"/>
          <w:highlight w:val="none"/>
        </w:rPr>
      </w:pPr>
      <w:r/>
      <w:bookmarkStart w:id="41" w:name="OLE_LINK6"/>
      <w:r>
        <w:rPr>
          <w:rStyle w:val="883"/>
          <w:rFonts w:hint="eastAsia" w:ascii="宋体" w:hAnsi="宋体"/>
          <w:color w:val="000000"/>
          <w:sz w:val="36"/>
          <w:szCs w:val="36"/>
          <w:highlight w:val="none"/>
        </w:rPr>
        <w:t xml:space="preserve">无重大违法记录声明</w:t>
      </w:r>
      <w:r>
        <w:rPr>
          <w:rStyle w:val="883"/>
          <w:rFonts w:ascii="宋体"/>
          <w:color w:val="000000"/>
          <w:sz w:val="36"/>
          <w:szCs w:val="36"/>
          <w:highlight w:val="none"/>
        </w:rPr>
      </w:r>
      <w:r/>
    </w:p>
    <w:p>
      <w:pPr>
        <w:pStyle w:val="760"/>
        <w:spacing w:line="360" w:lineRule="auto"/>
        <w:rPr>
          <w:rStyle w:val="883"/>
          <w:rFonts w:ascii="宋体"/>
          <w:color w:val="000000"/>
          <w:szCs w:val="21"/>
          <w:highlight w:val="none"/>
        </w:rPr>
      </w:pPr>
      <w:r>
        <w:rPr>
          <w:rStyle w:val="883"/>
          <w:rFonts w:ascii="宋体"/>
          <w:color w:val="000000"/>
          <w:szCs w:val="21"/>
          <w:highlight w:val="none"/>
        </w:rPr>
      </w:r>
      <w:r/>
    </w:p>
    <w:p>
      <w:pPr>
        <w:pStyle w:val="760"/>
        <w:spacing w:line="360" w:lineRule="auto"/>
        <w:rPr>
          <w:rStyle w:val="883"/>
          <w:rFonts w:ascii="宋体"/>
          <w:color w:val="000000"/>
          <w:szCs w:val="21"/>
          <w:highlight w:val="none"/>
        </w:rPr>
      </w:pPr>
      <w:r>
        <w:rPr>
          <w:rStyle w:val="883"/>
          <w:rFonts w:hint="eastAsia" w:ascii="宋体" w:hAnsi="宋体"/>
          <w:color w:val="000000"/>
          <w:szCs w:val="21"/>
          <w:highlight w:val="none"/>
        </w:rPr>
        <w:t xml:space="preserve">南京市江宁区人民政府江宁街道办事处：</w:t>
      </w:r>
      <w:r>
        <w:rPr>
          <w:rStyle w:val="883"/>
          <w:rFonts w:ascii="宋体"/>
          <w:color w:val="000000"/>
          <w:szCs w:val="21"/>
          <w:highlight w:val="none"/>
        </w:rPr>
      </w:r>
      <w:r/>
    </w:p>
    <w:p>
      <w:pPr>
        <w:pStyle w:val="760"/>
        <w:spacing w:line="360" w:lineRule="auto"/>
        <w:rPr>
          <w:rStyle w:val="883"/>
          <w:rFonts w:ascii="宋体"/>
          <w:color w:val="000000"/>
          <w:highlight w:val="none"/>
        </w:rPr>
      </w:pPr>
      <w:r>
        <w:rPr>
          <w:rStyle w:val="883"/>
          <w:rFonts w:ascii="宋体"/>
          <w:color w:val="000000"/>
          <w:highlight w:val="none"/>
        </w:rPr>
      </w:r>
      <w:r/>
    </w:p>
    <w:p>
      <w:pPr>
        <w:pStyle w:val="760"/>
        <w:ind w:firstLine="420"/>
        <w:spacing w:line="360" w:lineRule="auto"/>
        <w:rPr>
          <w:rStyle w:val="883"/>
          <w:rFonts w:ascii="宋体"/>
          <w:color w:val="000000"/>
          <w:highlight w:val="none"/>
        </w:rPr>
      </w:pPr>
      <w:r>
        <w:rPr>
          <w:rStyle w:val="883"/>
          <w:rFonts w:hint="eastAsia" w:ascii="宋体" w:hAnsi="宋体"/>
          <w:color w:val="000000"/>
          <w:highlight w:val="none"/>
        </w:rPr>
        <w:t xml:space="preserve">我单位（供应商名称）郑重声明：</w:t>
      </w:r>
      <w:r>
        <w:rPr>
          <w:rStyle w:val="883"/>
          <w:rFonts w:ascii="宋体"/>
          <w:color w:val="000000"/>
          <w:highlight w:val="none"/>
        </w:rPr>
      </w:r>
      <w:r/>
    </w:p>
    <w:p>
      <w:pPr>
        <w:pStyle w:val="760"/>
        <w:ind w:firstLine="420"/>
        <w:spacing w:line="360" w:lineRule="auto"/>
        <w:rPr>
          <w:rStyle w:val="883"/>
          <w:rFonts w:ascii="宋体"/>
          <w:color w:val="000000"/>
          <w:highlight w:val="none"/>
        </w:rPr>
      </w:pPr>
      <w:r>
        <w:rPr>
          <w:rStyle w:val="883"/>
          <w:rFonts w:hint="eastAsia" w:ascii="宋体" w:hAnsi="宋体"/>
          <w:color w:val="000000"/>
          <w:highlight w:val="none"/>
        </w:rPr>
        <w:t xml:space="preserve">参加政府采购活动前</w:t>
      </w:r>
      <w:r>
        <w:rPr>
          <w:rStyle w:val="883"/>
          <w:rFonts w:ascii="宋体" w:hAnsi="宋体"/>
          <w:color w:val="000000"/>
          <w:highlight w:val="none"/>
        </w:rPr>
        <w:t xml:space="preserve">3</w:t>
      </w:r>
      <w:r>
        <w:rPr>
          <w:rStyle w:val="883"/>
          <w:rFonts w:hint="eastAsia" w:ascii="宋体" w:hAnsi="宋体"/>
          <w:color w:val="000000"/>
          <w:highlight w:val="none"/>
        </w:rPr>
        <w:t xml:space="preserve">年内在经营活动中（在下划线上如实填写：有或没有）重大违法记录。</w:t>
      </w:r>
      <w:r>
        <w:rPr>
          <w:rStyle w:val="883"/>
          <w:rFonts w:ascii="宋体"/>
          <w:color w:val="000000"/>
          <w:highlight w:val="none"/>
        </w:rPr>
      </w:r>
      <w:r/>
    </w:p>
    <w:p>
      <w:pPr>
        <w:pStyle w:val="760"/>
        <w:ind w:firstLine="315"/>
        <w:spacing w:line="360" w:lineRule="auto"/>
        <w:rPr>
          <w:rStyle w:val="883"/>
          <w:rFonts w:ascii="宋体"/>
          <w:color w:val="000000"/>
          <w:highlight w:val="none"/>
        </w:rPr>
      </w:pPr>
      <w:r>
        <w:rPr>
          <w:rStyle w:val="883"/>
          <w:rFonts w:hint="eastAsia" w:ascii="宋体" w:hAnsi="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883"/>
          <w:rFonts w:ascii="宋体"/>
          <w:color w:val="000000"/>
          <w:highlight w:val="none"/>
        </w:rPr>
      </w:r>
      <w:r/>
    </w:p>
    <w:p>
      <w:pPr>
        <w:pStyle w:val="760"/>
        <w:spacing w:line="360" w:lineRule="auto"/>
        <w:rPr>
          <w:rStyle w:val="883"/>
          <w:rFonts w:ascii="宋体"/>
          <w:color w:val="000000"/>
          <w:highlight w:val="none"/>
        </w:rPr>
      </w:pPr>
      <w:r>
        <w:rPr>
          <w:rStyle w:val="883"/>
          <w:rFonts w:ascii="宋体"/>
          <w:color w:val="000000"/>
          <w:highlight w:val="none"/>
        </w:rPr>
      </w:r>
      <w:r/>
    </w:p>
    <w:p>
      <w:pPr>
        <w:pStyle w:val="760"/>
        <w:spacing w:line="360" w:lineRule="auto"/>
        <w:rPr>
          <w:rStyle w:val="883"/>
          <w:rFonts w:ascii="宋体"/>
          <w:color w:val="000000"/>
          <w:highlight w:val="none"/>
        </w:rPr>
      </w:pPr>
      <w:r>
        <w:rPr>
          <w:rStyle w:val="883"/>
          <w:rFonts w:ascii="宋体"/>
          <w:color w:val="000000"/>
          <w:highlight w:val="none"/>
        </w:rPr>
      </w:r>
      <w:r/>
    </w:p>
    <w:p>
      <w:pPr>
        <w:pStyle w:val="760"/>
        <w:ind w:right="1260"/>
        <w:jc w:val="center"/>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                                投标人名称：（电子公章）</w:t>
      </w:r>
      <w:r>
        <w:rPr>
          <w:rStyle w:val="883"/>
          <w:rFonts w:ascii="宋体"/>
          <w:color w:val="000000"/>
          <w:szCs w:val="21"/>
          <w:highlight w:val="none"/>
        </w:rPr>
      </w:r>
      <w:r/>
    </w:p>
    <w:p>
      <w:pPr>
        <w:pStyle w:val="760"/>
        <w:ind w:firstLine="5250"/>
        <w:spacing w:line="360" w:lineRule="auto"/>
        <w:shd w:val="clear" w:color="auto" w:fill="ffffff"/>
        <w:rPr>
          <w:rStyle w:val="883"/>
          <w:rFonts w:ascii="宋体"/>
          <w:color w:val="000000"/>
          <w:szCs w:val="21"/>
          <w:highlight w:val="none"/>
        </w:rPr>
      </w:pPr>
      <w:r>
        <w:rPr>
          <w:rStyle w:val="883"/>
          <w:rFonts w:hint="eastAsia" w:ascii="宋体" w:hAnsi="宋体"/>
          <w:color w:val="000000"/>
          <w:szCs w:val="21"/>
          <w:highlight w:val="none"/>
        </w:rPr>
        <w:t xml:space="preserve">日期：</w:t>
      </w:r>
      <w:r>
        <w:rPr>
          <w:rStyle w:val="883"/>
          <w:rFonts w:ascii="宋体"/>
          <w:color w:val="000000"/>
          <w:szCs w:val="21"/>
          <w:highlight w:val="none"/>
        </w:rPr>
      </w:r>
      <w:r/>
    </w:p>
    <w:p>
      <w:pPr>
        <w:pStyle w:val="760"/>
        <w:ind w:right="633"/>
        <w:spacing w:line="360" w:lineRule="auto"/>
        <w:shd w:val="clear" w:color="auto" w:fill="ffffff"/>
        <w:rPr>
          <w:rFonts w:hint="eastAsia" w:ascii="宋体" w:hAnsi="宋体"/>
          <w:bCs/>
          <w:color w:val="000000"/>
          <w:sz w:val="24"/>
          <w:highlight w:val="none"/>
        </w:rPr>
      </w:pPr>
      <w:r/>
      <w:bookmarkEnd w:id="41"/>
      <w:r>
        <w:rPr>
          <w:rStyle w:val="883"/>
          <w:rFonts w:ascii="宋体"/>
          <w:b/>
          <w:color w:val="000000"/>
          <w:szCs w:val="21"/>
          <w:highlight w:val="none"/>
        </w:rPr>
        <w:br w:type="page" w:clear="all"/>
      </w:r>
      <w:r>
        <w:rPr>
          <w:rFonts w:hint="eastAsia" w:ascii="宋体" w:hAnsi="宋体"/>
          <w:bCs/>
          <w:color w:val="000000"/>
          <w:sz w:val="24"/>
          <w:highlight w:val="none"/>
        </w:rPr>
        <w:t xml:space="preserve">附件6：法律、行政法规规定的其他条件。</w:t>
      </w:r>
      <w:r>
        <w:rPr>
          <w:rFonts w:hint="eastAsia" w:ascii="宋体" w:hAnsi="宋体"/>
          <w:bCs/>
          <w:color w:val="000000"/>
          <w:sz w:val="24"/>
          <w:highlight w:val="none"/>
        </w:rPr>
      </w:r>
      <w:r/>
    </w:p>
    <w:p>
      <w:pPr>
        <w:pStyle w:val="760"/>
        <w:spacing w:line="360" w:lineRule="auto"/>
        <w:rPr>
          <w:rFonts w:ascii="宋体" w:hAnsi="宋体" w:cs="宋体"/>
          <w:b/>
          <w:color w:val="000000"/>
          <w:sz w:val="22"/>
          <w:szCs w:val="22"/>
          <w:highlight w:val="none"/>
        </w:rPr>
        <w:outlineLvl w:val="1"/>
      </w:pPr>
      <w:r>
        <w:rPr>
          <w:rFonts w:hint="eastAsia" w:ascii="宋体" w:hAnsi="宋体"/>
          <w:color w:val="000000"/>
          <w:sz w:val="28"/>
          <w:szCs w:val="28"/>
          <w:highlight w:val="none"/>
        </w:rPr>
        <w:br w:type="page" w:clear="all"/>
      </w:r>
      <w:r>
        <w:rPr>
          <w:rFonts w:hint="eastAsia" w:ascii="宋体" w:hAnsi="宋体"/>
          <w:bCs/>
          <w:color w:val="000000"/>
          <w:sz w:val="24"/>
          <w:highlight w:val="none"/>
        </w:rPr>
        <w:t xml:space="preserve">附件7：《南京市政府采购供应商信用记录表暨信用承诺书》</w:t>
      </w:r>
      <w:r>
        <w:rPr>
          <w:rFonts w:ascii="宋体" w:hAnsi="宋体" w:cs="宋体"/>
          <w:b/>
          <w:color w:val="000000"/>
          <w:sz w:val="22"/>
          <w:szCs w:val="22"/>
          <w:highlight w:val="none"/>
        </w:rPr>
      </w:r>
      <w:r/>
    </w:p>
    <w:p>
      <w:pPr>
        <w:pStyle w:val="760"/>
        <w:ind w:firstLine="422"/>
        <w:jc w:val="center"/>
        <w:spacing w:line="360" w:lineRule="auto"/>
        <w:widowControl w:val="off"/>
        <w:rPr>
          <w:rFonts w:hint="eastAsia" w:ascii="宋体" w:hAnsi="宋体" w:cs="宋体"/>
          <w:color w:val="000000"/>
          <w:szCs w:val="21"/>
          <w:highlight w:val="none"/>
        </w:rPr>
      </w:pPr>
      <w:r>
        <w:rPr>
          <w:rFonts w:hint="eastAsia"/>
          <w:b/>
          <w:bCs/>
          <w:color w:val="000000"/>
          <w:szCs w:val="21"/>
          <w:highlight w:val="none"/>
        </w:rPr>
        <w:t xml:space="preserve">《南京市政府采购供应商信用记录表暨信用承诺书》</w:t>
      </w:r>
      <w:r>
        <w:rPr>
          <w:rFonts w:hint="eastAsia" w:ascii="宋体" w:hAnsi="宋体" w:cs="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政府采购信用承诺：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根据《关于在政府采购活动中推行信用承诺制的通知》宁财购通〔</w:t>
      </w:r>
      <w:r>
        <w:rPr>
          <w:rFonts w:ascii="宋体" w:hAnsi="宋体"/>
          <w:color w:val="000000"/>
          <w:szCs w:val="21"/>
          <w:highlight w:val="none"/>
        </w:rPr>
        <w:t xml:space="preserve">2021</w:t>
      </w: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号规定，</w:t>
      </w:r>
      <w:r>
        <w:rPr>
          <w:rFonts w:ascii="宋体" w:hAnsi="宋体"/>
          <w:color w:val="000000"/>
          <w:szCs w:val="21"/>
          <w:highlight w:val="none"/>
        </w:rPr>
        <w:t xml:space="preserve"> </w:t>
      </w:r>
      <w:r>
        <w:rPr>
          <w:rFonts w:hint="eastAsia" w:ascii="宋体" w:hAnsi="宋体" w:cs="宋体"/>
          <w:color w:val="000000"/>
          <w:szCs w:val="21"/>
          <w:highlight w:val="none"/>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南京公共采购信息网</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首页（</w:t>
      </w:r>
      <w:r>
        <w:rPr>
          <w:rFonts w:ascii="宋体" w:hAnsi="宋体"/>
          <w:color w:val="000000"/>
          <w:szCs w:val="21"/>
          <w:highlight w:val="none"/>
        </w:rPr>
        <w:t xml:space="preserve">https://njgc.jfh.com/</w:t>
      </w:r>
      <w:r>
        <w:rPr>
          <w:rFonts w:hint="eastAsia" w:ascii="宋体" w:hAnsi="宋体" w:cs="宋体"/>
          <w:color w:val="000000"/>
          <w:szCs w:val="21"/>
          <w:highlight w:val="none"/>
        </w:rPr>
        <w:t xml:space="preserve">）</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南京市政府采购供应商诚信档案</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系统链接打开系统页面（</w:t>
      </w:r>
      <w:r>
        <w:rPr>
          <w:rFonts w:ascii="宋体" w:hAnsi="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t xml:space="preserve">）登录（未注册的供应商应先点击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供应商注册点这里</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并按要求完成注册），然后在</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模块页面点击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信用记录打印</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下载本单位信用记录表，由法人签字并盖单位公章，上传至电子响应文件中</w:t>
      </w:r>
      <w:r>
        <w:rPr>
          <w:rFonts w:hint="eastAsia"/>
          <w:color w:val="000000"/>
          <w:szCs w:val="21"/>
          <w:highlight w:val="none"/>
        </w:rPr>
        <w:t xml:space="preserve">，响应文件将按无效投标处理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）符合国家相关规定的财务状况报告；</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）依法缴纳税收的证明材料；</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）依法缴纳社会保障资金的证明材料；</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）具备履行政府采购合同所必需的设备和专业技术能力的证明材料；</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）参加政府采购活动前三年内在经营活动中没有重大违法记录的证明材料；</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s="宋体"/>
          <w:color w:val="000000"/>
          <w:szCs w:val="21"/>
          <w:highlight w:val="none"/>
        </w:rPr>
        <w:t xml:space="preserve">）未被列入失信被执行人、重大税收违法失信主体、政府采购严重违法失信行为记录名单的证明材料。</w:t>
      </w:r>
      <w:r>
        <w:rPr>
          <w:rFonts w:ascii="宋体" w:hAnsi="宋体"/>
          <w:color w:val="000000"/>
          <w:szCs w:val="21"/>
          <w:highlight w:val="none"/>
        </w:rPr>
      </w:r>
      <w:r/>
    </w:p>
    <w:p>
      <w:pPr>
        <w:pStyle w:val="760"/>
        <w:ind w:firstLine="210"/>
        <w:spacing w:line="360" w:lineRule="auto"/>
        <w:widowControl w:val="off"/>
        <w:rPr>
          <w:color w:val="000000"/>
          <w:szCs w:val="21"/>
          <w:highlight w:val="none"/>
        </w:rPr>
      </w:pPr>
      <w:r>
        <w:rPr>
          <w:rFonts w:hint="eastAsia" w:ascii="宋体" w:hAnsi="宋体"/>
          <w:color w:val="000000"/>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rPr>
        <w:t xml:space="preserve">按采购文件要求胶装提交采购人或采购代理机构核验。经核验无误后，由采购人或采购代理机构发出中标（成交）通知书。</w:t>
      </w:r>
      <w:r>
        <w:rPr>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）供应商被列入严重失信主体名单；</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）被相关监管部门作出行政处罚且尚在处罚有效期内；</w:t>
      </w:r>
      <w:r>
        <w:rPr>
          <w:rFonts w:ascii="宋体" w:hAnsi="宋体"/>
          <w:color w:val="000000"/>
          <w:szCs w:val="21"/>
          <w:highlight w:val="none"/>
        </w:rPr>
      </w:r>
      <w:r/>
    </w:p>
    <w:p>
      <w:pPr>
        <w:pStyle w:val="760"/>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）其他法律、行政法规规定的不适用信用承诺的情形。</w:t>
      </w:r>
      <w:r>
        <w:rPr>
          <w:rFonts w:ascii="宋体" w:hAnsi="宋体"/>
          <w:color w:val="000000"/>
          <w:szCs w:val="21"/>
          <w:highlight w:val="none"/>
        </w:rPr>
      </w:r>
      <w:r/>
    </w:p>
    <w:p>
      <w:pPr>
        <w:pStyle w:val="76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提供虚假材料谋取中标、成交</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的违法行为。</w:t>
      </w:r>
      <w:r>
        <w:rPr>
          <w:rFonts w:ascii="宋体" w:hAnsi="宋体" w:cs="宋体"/>
          <w:color w:val="000000"/>
          <w:szCs w:val="21"/>
          <w:highlight w:val="none"/>
        </w:rPr>
      </w:r>
      <w:r/>
    </w:p>
    <w:p>
      <w:pPr>
        <w:pStyle w:val="760"/>
        <w:jc w:val="left"/>
        <w:spacing w:line="360" w:lineRule="auto"/>
        <w:widowControl w:val="off"/>
        <w:rPr>
          <w:rFonts w:ascii="宋体" w:hAnsi="宋体"/>
          <w:color w:val="000000"/>
          <w:highlight w:val="none"/>
        </w:rPr>
      </w:pPr>
      <w:r>
        <w:rPr>
          <w:rFonts w:hint="eastAsia" w:ascii="宋体" w:hAnsi="宋体" w:eastAsia="Calibri" w:cs="宋体"/>
          <w:b/>
          <w:color w:val="000000"/>
          <w:sz w:val="22"/>
          <w:szCs w:val="22"/>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760"/>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760"/>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760"/>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760"/>
        <w:ind w:firstLine="420"/>
        <w:spacing w:line="360" w:lineRule="auto"/>
        <w:widowControl w:val="off"/>
        <w:rPr>
          <w:rFonts w:ascii="宋体" w:hAnsi="宋体"/>
          <w:color w:val="000000"/>
          <w:highlight w:val="none"/>
        </w:rPr>
      </w:pPr>
      <w:r>
        <w:rPr>
          <w:rFonts w:ascii="宋体" w:hAnsi="宋体"/>
          <w:color w:val="000000"/>
          <w:highlight w:val="none"/>
        </w:rPr>
      </w:r>
      <w:r/>
    </w:p>
    <w:p>
      <w:pPr>
        <w:pStyle w:val="760"/>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760"/>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760"/>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760"/>
        <w:ind w:firstLine="420"/>
        <w:spacing w:line="360" w:lineRule="auto"/>
        <w:rPr>
          <w:color w:val="000000"/>
          <w:highlight w:val="none"/>
        </w:rPr>
      </w:pPr>
      <w:r>
        <w:rPr>
          <w:color w:val="000000"/>
          <w:highlight w:val="none"/>
        </w:rPr>
      </w:r>
      <w:r/>
    </w:p>
    <w:p>
      <w:pPr>
        <w:pStyle w:val="760"/>
        <w:ind w:firstLine="420"/>
        <w:spacing w:line="360" w:lineRule="auto"/>
        <w:rPr>
          <w:color w:val="000000"/>
          <w:highlight w:val="none"/>
        </w:rPr>
      </w:pPr>
      <w:r>
        <w:rPr>
          <w:color w:val="000000"/>
          <w:highlight w:val="none"/>
        </w:rPr>
      </w:r>
      <w:r/>
    </w:p>
    <w:p>
      <w:pPr>
        <w:pStyle w:val="760"/>
        <w:ind w:firstLine="420"/>
        <w:spacing w:line="360" w:lineRule="auto"/>
        <w:rPr>
          <w:color w:val="000000"/>
          <w:highlight w:val="none"/>
        </w:rPr>
      </w:pPr>
      <w:r>
        <w:rPr>
          <w:color w:val="000000"/>
          <w:highlight w:val="none"/>
        </w:rPr>
      </w:r>
      <w:r/>
    </w:p>
    <w:p>
      <w:pPr>
        <w:pStyle w:val="760"/>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760"/>
        <w:jc w:val="center"/>
        <w:spacing w:line="360" w:lineRule="auto"/>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lang w:val="zh-CN"/>
        </w:rPr>
        <w:t xml:space="preserve">一</w:t>
      </w:r>
      <w:r>
        <w:rPr>
          <w:rFonts w:ascii="宋体" w:hAnsi="宋体"/>
          <w:b/>
          <w:color w:val="000000"/>
          <w:highlight w:val="none"/>
          <w:lang w:val="zh-CN"/>
        </w:rPr>
        <w:t xml:space="preserve">、</w:t>
      </w:r>
      <w:r>
        <w:rPr>
          <w:rFonts w:hint="eastAsia" w:ascii="宋体" w:hAnsi="宋体"/>
          <w:b/>
          <w:color w:val="000000"/>
          <w:highlight w:val="none"/>
          <w:lang w:val="en-US" w:eastAsia="zh-CN"/>
        </w:rPr>
        <w:t xml:space="preserve">11-1 </w:t>
      </w:r>
      <w:r>
        <w:rPr>
          <w:rFonts w:hint="eastAsia" w:ascii="宋体" w:hAnsi="宋体" w:cs="宋体"/>
          <w:b/>
          <w:color w:val="000000"/>
          <w:szCs w:val="21"/>
          <w:highlight w:val="none"/>
        </w:rPr>
        <w:t xml:space="preserve">中小企业声明函（货物）</w:t>
      </w:r>
      <w:r>
        <w:rPr>
          <w:rFonts w:ascii="宋体" w:hAnsi="宋体" w:cs="宋体"/>
          <w:b/>
          <w:color w:val="000000"/>
          <w:szCs w:val="21"/>
          <w:highlight w:val="none"/>
        </w:rPr>
      </w:r>
      <w:r/>
    </w:p>
    <w:p>
      <w:pPr>
        <w:pStyle w:val="760"/>
        <w:spacing w:line="360" w:lineRule="auto"/>
        <w:widowControl w:val="off"/>
        <w:rPr>
          <w:rFonts w:ascii="宋体" w:hAnsi="宋体" w:cs="宋体"/>
          <w:color w:val="000000"/>
          <w:highlight w:val="none"/>
        </w:rPr>
      </w:pPr>
      <w:r>
        <w:rPr>
          <w:rFonts w:ascii="宋体" w:hAnsi="宋体" w:cs="宋体"/>
          <w:color w:val="000000"/>
          <w:highlight w:val="none"/>
        </w:rPr>
      </w:r>
      <w:r/>
    </w:p>
    <w:p>
      <w:pPr>
        <w:pStyle w:val="760"/>
        <w:ind w:firstLine="42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highlight w:val="none"/>
        </w:rPr>
      </w:r>
      <w:r/>
    </w:p>
    <w:p>
      <w:pPr>
        <w:pStyle w:val="760"/>
        <w:ind w:firstLine="405"/>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w:t>
      </w:r>
      <w:r>
        <w:rPr>
          <w:rFonts w:hint="eastAsia" w:ascii="宋体" w:hAnsi="宋体" w:cs="宋体"/>
          <w:color w:val="000000"/>
          <w:szCs w:val="21"/>
          <w:highlight w:val="none"/>
        </w:rPr>
        <w:t xml:space="preserve">万元</w:t>
      </w:r>
      <w:r>
        <w:rPr>
          <w:rFonts w:hint="eastAsia" w:ascii="宋体" w:hAnsi="宋体" w:cs="Calibri"/>
          <w:color w:val="000000"/>
          <w:szCs w:val="21"/>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ascii="宋体" w:hAnsi="宋体" w:cs="宋体"/>
          <w:color w:val="000000"/>
          <w:highlight w:val="none"/>
        </w:rPr>
      </w:r>
      <w:r/>
    </w:p>
    <w:p>
      <w:pPr>
        <w:pStyle w:val="760"/>
        <w:ind w:firstLine="405"/>
        <w:keepLines/>
        <w:keepNext/>
        <w:spacing w:before="260" w:after="260" w:line="360" w:lineRule="auto"/>
        <w:widowControl w:val="off"/>
        <w:rPr>
          <w:rFonts w:ascii="宋体" w:hAnsi="宋体" w:cs="宋体"/>
          <w:color w:val="000000"/>
          <w:highlight w:val="none"/>
          <w:u w:val="single"/>
        </w:rPr>
        <w:outlineLvl w:val="1"/>
      </w:pPr>
      <w:r>
        <w:rPr>
          <w:rFonts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76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760"/>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760"/>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760"/>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760"/>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760"/>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60"/>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784"/>
        <w:jc w:val="center"/>
        <w:spacing w:line="360" w:lineRule="auto"/>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784"/>
        <w:jc w:val="center"/>
        <w:spacing w:line="360" w:lineRule="auto"/>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784"/>
        <w:spacing w:line="360" w:lineRule="auto"/>
        <w:rPr>
          <w:color w:val="000000"/>
          <w:sz w:val="21"/>
          <w:szCs w:val="21"/>
          <w:highlight w:val="none"/>
        </w:rPr>
      </w:pPr>
      <w:r>
        <w:rPr>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784"/>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784"/>
        <w:spacing w:line="360" w:lineRule="auto"/>
        <w:rPr>
          <w:color w:val="000000"/>
          <w:highlight w:val="none"/>
        </w:rPr>
      </w:pPr>
      <w:r>
        <w:rPr>
          <w:color w:val="000000"/>
          <w:highlight w:val="none"/>
        </w:rPr>
      </w:r>
      <w:r/>
    </w:p>
    <w:p>
      <w:pPr>
        <w:pStyle w:val="784"/>
        <w:spacing w:line="360" w:lineRule="auto"/>
        <w:rPr>
          <w:color w:val="000000"/>
          <w:highlight w:val="none"/>
        </w:rPr>
      </w:pPr>
      <w:r>
        <w:rPr>
          <w:color w:val="000000"/>
          <w:highlight w:val="none"/>
        </w:rPr>
      </w:r>
      <w:r/>
    </w:p>
    <w:p>
      <w:pPr>
        <w:pStyle w:val="784"/>
        <w:spacing w:line="360" w:lineRule="auto"/>
        <w:rPr>
          <w:color w:val="000000"/>
          <w:highlight w:val="none"/>
        </w:rPr>
      </w:pPr>
      <w:r>
        <w:rPr>
          <w:color w:val="000000"/>
          <w:highlight w:val="none"/>
        </w:rPr>
      </w:r>
      <w:r/>
    </w:p>
    <w:p>
      <w:pPr>
        <w:pStyle w:val="760"/>
        <w:spacing w:line="360" w:lineRule="auto"/>
        <w:widowControl w:val="off"/>
        <w:rPr>
          <w:rFonts w:ascii="Calibri" w:hAnsi="Calibri"/>
          <w:color w:val="000000"/>
          <w:highlight w:val="none"/>
        </w:rPr>
      </w:pPr>
      <w:r>
        <w:rPr>
          <w:rFonts w:ascii="Calibri" w:hAnsi="Calibri"/>
          <w:color w:val="000000"/>
          <w:highlight w:val="none"/>
        </w:rPr>
      </w:r>
      <w:r/>
    </w:p>
    <w:p>
      <w:pPr>
        <w:pStyle w:val="760"/>
        <w:keepLines/>
        <w:keepNext/>
        <w:spacing w:line="360" w:lineRule="auto"/>
        <w:rPr>
          <w:rFonts w:ascii="Times New Roman" w:hAnsi="Times New Roman" w:eastAsia="仿宋" w:cs="Times New Roman"/>
          <w:bCs/>
          <w:color w:val="000000"/>
          <w:sz w:val="24"/>
          <w:szCs w:val="24"/>
          <w:highlight w:val="none"/>
        </w:rPr>
        <w:outlineLvl w:val="2"/>
      </w:pPr>
      <w:r>
        <w:rPr>
          <w:rFonts w:ascii="宋体" w:hAnsi="宋体"/>
          <w:color w:val="000000"/>
          <w:highlight w:val="none"/>
          <w:lang w:val="zh-CN"/>
        </w:rPr>
        <w:br w:type="page" w:clear="all"/>
      </w:r>
      <w:bookmarkStart w:id="42" w:name="_Toc540"/>
      <w:r>
        <w:rPr>
          <w:rFonts w:hint="eastAsia" w:ascii="宋体" w:hAnsi="宋体"/>
          <w:b/>
          <w:color w:val="000000"/>
          <w:highlight w:val="none"/>
          <w:lang w:val="en-US" w:eastAsia="zh-CN"/>
        </w:rPr>
        <w:t xml:space="preserve">11-2 </w:t>
      </w:r>
      <w:r>
        <w:rPr>
          <w:rFonts w:hint="eastAsia" w:ascii="Times New Roman" w:hAnsi="Times New Roman" w:eastAsia="仿宋" w:cs="Times New Roman"/>
          <w:bCs/>
          <w:color w:val="000000"/>
          <w:sz w:val="24"/>
          <w:szCs w:val="24"/>
          <w:highlight w:val="none"/>
          <w:lang w:val="en-US" w:eastAsia="zh-CN"/>
        </w:rPr>
        <w:t xml:space="preserve">采购本国产品的支持政策</w:t>
      </w:r>
      <w:r>
        <w:rPr>
          <w:rFonts w:ascii="Times New Roman" w:hAnsi="Times New Roman" w:eastAsia="仿宋" w:cs="Times New Roman"/>
          <w:bCs/>
          <w:color w:val="000000"/>
          <w:sz w:val="24"/>
          <w:szCs w:val="24"/>
          <w:highlight w:val="none"/>
        </w:rPr>
      </w:r>
      <w:r/>
    </w:p>
    <w:p>
      <w:pPr>
        <w:pStyle w:val="760"/>
        <w:jc w:val="center"/>
        <w:keepLines/>
        <w:keepNext/>
        <w:spacing w:line="360" w:lineRule="auto"/>
        <w:rPr>
          <w:rFonts w:ascii="Times New Roman" w:hAnsi="Times New Roman" w:eastAsia="仿宋" w:cs="Times New Roman"/>
          <w:b/>
          <w:color w:val="000000"/>
          <w:sz w:val="24"/>
          <w:highlight w:val="none"/>
        </w:rPr>
        <w:outlineLvl w:val="2"/>
      </w:pPr>
      <w:r/>
      <w:bookmarkStart w:id="43" w:name="_Toc21845"/>
      <w:r>
        <w:rPr>
          <w:rFonts w:ascii="Times New Roman" w:hAnsi="Times New Roman" w:eastAsia="仿宋" w:cs="Times New Roman"/>
          <w:b/>
          <w:color w:val="000000"/>
          <w:sz w:val="24"/>
          <w:highlight w:val="none"/>
        </w:rPr>
        <w:t xml:space="preserve">关于符合本国产品标准的声明函</w:t>
      </w:r>
      <w:bookmarkEnd w:id="43"/>
      <w:r>
        <w:rPr>
          <w:rFonts w:ascii="Times New Roman" w:hAnsi="Times New Roman" w:eastAsia="仿宋" w:cs="Times New Roman"/>
          <w:b/>
          <w:color w:val="000000"/>
          <w:sz w:val="24"/>
          <w:highlight w:val="none"/>
        </w:rPr>
      </w:r>
      <w:r/>
    </w:p>
    <w:p>
      <w:pPr>
        <w:pStyle w:val="805"/>
        <w:ind w:firstLine="420"/>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highlight w:val="none"/>
        </w:rPr>
      </w:r>
      <w:r/>
    </w:p>
    <w:p>
      <w:pPr>
        <w:pStyle w:val="805"/>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1.</w:t>
      </w:r>
      <w:r>
        <w:rPr>
          <w:rStyle w:val="812"/>
          <w:rFonts w:ascii="Times New Roman" w:hAnsi="Times New Roman" w:eastAsia="仿宋" w:cs="Times New Roman"/>
          <w:i w:val="0"/>
          <w:color w:val="000000"/>
          <w:highlight w:val="none"/>
          <w:u w:val="single"/>
          <w:shd w:val="clear" w:color="auto" w:fill="ffffff"/>
        </w:rPr>
        <w:t xml:space="preserve">（产品名称1）</w:t>
      </w:r>
      <w:r>
        <w:rPr>
          <w:rStyle w:val="812"/>
          <w:rFonts w:ascii="Times New Roman" w:hAnsi="Times New Roman" w:eastAsia="仿宋" w:cs="Times New Roman"/>
          <w:i w:val="0"/>
          <w:color w:val="000000"/>
          <w:highlight w:val="none"/>
          <w:shd w:val="clear" w:color="auto" w:fill="ffffff"/>
          <w:vertAlign w:val="superscript"/>
        </w:rPr>
        <w:t xml:space="preserve">1</w:t>
      </w:r>
      <w:r>
        <w:rPr>
          <w:rFonts w:ascii="Times New Roman" w:hAnsi="Times New Roman" w:eastAsia="仿宋" w:cs="Times New Roman"/>
          <w:color w:val="000000"/>
          <w:highlight w:val="none"/>
          <w:shd w:val="clear" w:color="auto" w:fill="ffffff"/>
        </w:rPr>
        <w:t xml:space="preserve">，生产厂为</w:t>
      </w:r>
      <w:r>
        <w:rPr>
          <w:rStyle w:val="812"/>
          <w:rFonts w:ascii="Times New Roman" w:hAnsi="Times New Roman" w:eastAsia="仿宋" w:cs="Times New Roman"/>
          <w:i w:val="0"/>
          <w:color w:val="000000"/>
          <w:highlight w:val="none"/>
          <w:u w:val="single"/>
          <w:shd w:val="clear" w:color="auto" w:fill="ffffff"/>
        </w:rPr>
        <w:t xml:space="preserve">（厂名）</w:t>
      </w:r>
      <w:r>
        <w:rPr>
          <w:rStyle w:val="812"/>
          <w:rFonts w:ascii="Times New Roman" w:hAnsi="Times New Roman" w:eastAsia="仿宋" w:cs="Times New Roman"/>
          <w:i w:val="0"/>
          <w:color w:val="000000"/>
          <w:highlight w:val="none"/>
          <w:shd w:val="clear" w:color="auto" w:fill="ffffff"/>
          <w:vertAlign w:val="superscript"/>
        </w:rPr>
        <w:t xml:space="preserve">2</w:t>
      </w:r>
      <w:r>
        <w:rPr>
          <w:rFonts w:ascii="Times New Roman" w:hAnsi="Times New Roman" w:eastAsia="仿宋" w:cs="Times New Roman"/>
          <w:color w:val="000000"/>
          <w:highlight w:val="none"/>
          <w:shd w:val="clear" w:color="auto" w:fill="ffffff"/>
        </w:rPr>
        <w:t xml:space="preserve">，厂址为</w:t>
      </w:r>
      <w:r>
        <w:rPr>
          <w:rStyle w:val="812"/>
          <w:rFonts w:ascii="Times New Roman" w:hAnsi="Times New Roman" w:eastAsia="仿宋" w:cs="Times New Roman"/>
          <w:i w:val="0"/>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u w:val="single"/>
          <w:shd w:val="clear" w:color="auto" w:fill="ffffff"/>
        </w:rPr>
        <w:t xml:space="preserve"> </w:t>
      </w:r>
      <w:r>
        <w:rPr>
          <w:rStyle w:val="812"/>
          <w:rFonts w:ascii="Times New Roman" w:hAnsi="Times New Roman" w:eastAsia="仿宋" w:cs="Times New Roman"/>
          <w:i w:val="0"/>
          <w:color w:val="000000"/>
          <w:highlight w:val="none"/>
          <w:u w:val="single"/>
          <w:shd w:val="clear" w:color="auto" w:fill="ffffff"/>
        </w:rPr>
        <w:t xml:space="preserve">（产品名称1） </w:t>
      </w:r>
      <w:r>
        <w:rPr>
          <w:rFonts w:ascii="Times New Roman" w:hAnsi="Times New Roman" w:eastAsia="仿宋" w:cs="Times New Roman"/>
          <w:color w:val="000000"/>
          <w:highlight w:val="none"/>
          <w:shd w:val="clear" w:color="auto" w:fill="ffffff"/>
        </w:rPr>
        <w:t xml:space="preserve">的中国境内生产的组件成本占比≥</w:t>
      </w:r>
      <w:r>
        <w:rPr>
          <w:rStyle w:val="812"/>
          <w:rFonts w:ascii="Times New Roman" w:hAnsi="Times New Roman" w:eastAsia="仿宋" w:cs="Times New Roman"/>
          <w:i w:val="0"/>
          <w:color w:val="000000"/>
          <w:highlight w:val="none"/>
          <w:u w:val="single"/>
          <w:shd w:val="clear" w:color="auto" w:fill="ffffff"/>
        </w:rPr>
        <w:t xml:space="preserve">（规定比例）</w:t>
      </w:r>
      <w:r>
        <w:rPr>
          <w:rStyle w:val="812"/>
          <w:rFonts w:ascii="Times New Roman" w:hAnsi="Times New Roman" w:eastAsia="仿宋" w:cs="Times New Roman"/>
          <w:i w:val="0"/>
          <w:color w:val="000000"/>
          <w:highlight w:val="none"/>
          <w:shd w:val="clear" w:color="auto" w:fill="ffffff"/>
          <w:vertAlign w:val="superscript"/>
        </w:rPr>
        <w:t xml:space="preserve">3</w:t>
      </w:r>
      <w:r>
        <w:rPr>
          <w:rFonts w:ascii="Times New Roman" w:hAnsi="Times New Roman" w:eastAsia="仿宋" w:cs="Times New Roman"/>
          <w:color w:val="000000"/>
          <w:highlight w:val="none"/>
          <w:shd w:val="clear" w:color="auto" w:fill="ffffff"/>
        </w:rPr>
        <w:t xml:space="preserve">。</w:t>
      </w:r>
      <w:r>
        <w:rPr>
          <w:rStyle w:val="812"/>
          <w:rFonts w:ascii="Times New Roman" w:hAnsi="Times New Roman" w:eastAsia="仿宋" w:cs="Times New Roman"/>
          <w:i w:val="0"/>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812"/>
          <w:rFonts w:ascii="Times New Roman" w:hAnsi="Times New Roman" w:eastAsia="仿宋" w:cs="Times New Roman"/>
          <w:i w:val="0"/>
          <w:color w:val="000000"/>
          <w:highlight w:val="none"/>
          <w:u w:val="single"/>
          <w:shd w:val="clear" w:color="auto" w:fill="ffffff"/>
        </w:rPr>
        <w:t xml:space="preserve">（关键组件）</w:t>
      </w:r>
      <w:r>
        <w:rPr>
          <w:rStyle w:val="812"/>
          <w:rFonts w:ascii="Times New Roman" w:hAnsi="Times New Roman" w:eastAsia="仿宋" w:cs="Times New Roman"/>
          <w:i w:val="0"/>
          <w:color w:val="000000"/>
          <w:highlight w:val="none"/>
          <w:shd w:val="clear" w:color="auto" w:fill="ffffff"/>
          <w:vertAlign w:val="superscript"/>
        </w:rPr>
        <w:t xml:space="preserve">4</w:t>
      </w:r>
      <w:r>
        <w:rPr>
          <w:rFonts w:ascii="Times New Roman" w:hAnsi="Times New Roman" w:eastAsia="仿宋" w:cs="Times New Roman"/>
          <w:color w:val="000000"/>
          <w:highlight w:val="none"/>
          <w:shd w:val="clear" w:color="auto" w:fill="ffffff"/>
        </w:rPr>
        <w:t xml:space="preserve">在中国境内生产。</w:t>
      </w:r>
      <w:r>
        <w:rPr>
          <w:rStyle w:val="812"/>
          <w:rFonts w:ascii="Times New Roman" w:hAnsi="Times New Roman" w:eastAsia="仿宋" w:cs="Times New Roman"/>
          <w:i w:val="0"/>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812"/>
          <w:rFonts w:ascii="Times New Roman" w:hAnsi="Times New Roman" w:eastAsia="仿宋" w:cs="Times New Roman"/>
          <w:i w:val="0"/>
          <w:color w:val="000000"/>
          <w:highlight w:val="none"/>
          <w:u w:val="single"/>
          <w:shd w:val="clear" w:color="auto" w:fill="ffffff"/>
        </w:rPr>
        <w:t xml:space="preserve">（关键工序）</w:t>
      </w:r>
      <w:r>
        <w:rPr>
          <w:rStyle w:val="812"/>
          <w:rFonts w:ascii="Times New Roman" w:hAnsi="Times New Roman" w:eastAsia="仿宋" w:cs="Times New Roman"/>
          <w:i w:val="0"/>
          <w:color w:val="000000"/>
          <w:highlight w:val="none"/>
          <w:shd w:val="clear" w:color="auto" w:fill="ffffff"/>
          <w:vertAlign w:val="superscript"/>
        </w:rPr>
        <w:t xml:space="preserve">5</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805"/>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2.</w:t>
      </w:r>
      <w:r>
        <w:rPr>
          <w:rStyle w:val="812"/>
          <w:rFonts w:ascii="Times New Roman" w:hAnsi="Times New Roman" w:eastAsia="仿宋" w:cs="Times New Roman"/>
          <w:i w:val="0"/>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，生产厂为</w:t>
      </w:r>
      <w:r>
        <w:rPr>
          <w:rStyle w:val="812"/>
          <w:rFonts w:ascii="Times New Roman" w:hAnsi="Times New Roman" w:eastAsia="仿宋" w:cs="Times New Roman"/>
          <w:i w:val="0"/>
          <w:color w:val="000000"/>
          <w:highlight w:val="none"/>
          <w:u w:val="single"/>
          <w:shd w:val="clear" w:color="auto" w:fill="ffffff"/>
        </w:rPr>
        <w:t xml:space="preserve">（厂名）</w:t>
      </w:r>
      <w:r>
        <w:rPr>
          <w:rFonts w:ascii="Times New Roman" w:hAnsi="Times New Roman" w:eastAsia="仿宋" w:cs="Times New Roman"/>
          <w:color w:val="000000"/>
          <w:highlight w:val="none"/>
          <w:shd w:val="clear" w:color="auto" w:fill="ffffff"/>
        </w:rPr>
        <w:t xml:space="preserve">，厂址为</w:t>
      </w:r>
      <w:r>
        <w:rPr>
          <w:rStyle w:val="812"/>
          <w:rFonts w:ascii="Times New Roman" w:hAnsi="Times New Roman" w:eastAsia="仿宋" w:cs="Times New Roman"/>
          <w:i w:val="0"/>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Style w:val="812"/>
          <w:rFonts w:ascii="Times New Roman" w:hAnsi="Times New Roman" w:eastAsia="仿宋" w:cs="Times New Roman"/>
          <w:i w:val="0"/>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的中国境内生产的组件成本占比≥</w:t>
      </w:r>
      <w:r>
        <w:rPr>
          <w:rStyle w:val="812"/>
          <w:rFonts w:ascii="Times New Roman" w:hAnsi="Times New Roman" w:eastAsia="仿宋" w:cs="Times New Roman"/>
          <w:i w:val="0"/>
          <w:color w:val="000000"/>
          <w:highlight w:val="none"/>
          <w:u w:val="single"/>
          <w:shd w:val="clear" w:color="auto" w:fill="ffffff"/>
        </w:rPr>
        <w:t xml:space="preserve">（规定比例）</w:t>
      </w:r>
      <w:r>
        <w:rPr>
          <w:rFonts w:ascii="Times New Roman" w:hAnsi="Times New Roman" w:eastAsia="仿宋" w:cs="Times New Roman"/>
          <w:color w:val="000000"/>
          <w:highlight w:val="none"/>
          <w:shd w:val="clear" w:color="auto" w:fill="ffffff"/>
        </w:rPr>
        <w:t xml:space="preserve">。</w:t>
      </w:r>
      <w:r>
        <w:rPr>
          <w:rStyle w:val="812"/>
          <w:rFonts w:ascii="Times New Roman" w:hAnsi="Times New Roman" w:eastAsia="仿宋" w:cs="Times New Roman"/>
          <w:i w:val="0"/>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w:t>
      </w:r>
      <w:r>
        <w:rPr>
          <w:rStyle w:val="812"/>
          <w:rFonts w:ascii="Times New Roman" w:hAnsi="Times New Roman" w:eastAsia="仿宋" w:cs="Times New Roman"/>
          <w:i w:val="0"/>
          <w:color w:val="000000"/>
          <w:highlight w:val="none"/>
          <w:u w:val="single"/>
          <w:shd w:val="clear" w:color="auto" w:fill="ffffff"/>
        </w:rPr>
        <w:t xml:space="preserve">（关键组件）</w:t>
      </w:r>
      <w:r>
        <w:rPr>
          <w:rFonts w:ascii="Times New Roman" w:hAnsi="Times New Roman" w:eastAsia="仿宋" w:cs="Times New Roman"/>
          <w:color w:val="000000"/>
          <w:highlight w:val="none"/>
          <w:shd w:val="clear" w:color="auto" w:fill="ffffff"/>
        </w:rPr>
        <w:t xml:space="preserve">在中国境内生产。</w:t>
      </w:r>
      <w:r>
        <w:rPr>
          <w:rStyle w:val="812"/>
          <w:rFonts w:ascii="Times New Roman" w:hAnsi="Times New Roman" w:eastAsia="仿宋" w:cs="Times New Roman"/>
          <w:i w:val="0"/>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812"/>
          <w:rFonts w:ascii="Times New Roman" w:hAnsi="Times New Roman" w:eastAsia="仿宋" w:cs="Times New Roman"/>
          <w:i w:val="0"/>
          <w:color w:val="000000"/>
          <w:highlight w:val="none"/>
          <w:u w:val="single"/>
          <w:shd w:val="clear" w:color="auto" w:fill="ffffff"/>
        </w:rPr>
        <w:t xml:space="preserve">（关键工序）</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805"/>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rPr>
      </w:r>
      <w:r/>
    </w:p>
    <w:p>
      <w:pPr>
        <w:pStyle w:val="805"/>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本公司（单位）对上述声明内容的真实性负责。如有虚假，愿承担相应法律责任。</w:t>
      </w:r>
      <w:r>
        <w:rPr>
          <w:rFonts w:ascii="Times New Roman" w:hAnsi="Times New Roman" w:eastAsia="仿宋" w:cs="Times New Roman"/>
          <w:color w:val="000000"/>
          <w:highlight w:val="none"/>
        </w:rPr>
      </w:r>
      <w:r/>
    </w:p>
    <w:p>
      <w:pPr>
        <w:pStyle w:val="805"/>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05"/>
        <w:ind w:right="480" w:firstLine="37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公司（单位）名称（盖章）：　        </w:t>
      </w:r>
      <w:r>
        <w:rPr>
          <w:rFonts w:ascii="Times New Roman" w:hAnsi="Times New Roman" w:eastAsia="仿宋" w:cs="Times New Roman"/>
          <w:color w:val="000000"/>
          <w:highlight w:val="none"/>
        </w:rPr>
      </w:r>
      <w:r/>
    </w:p>
    <w:p>
      <w:pPr>
        <w:pStyle w:val="805"/>
        <w:jc w:val="center"/>
        <w:spacing w:before="30" w:beforeAutospacing="0" w:after="30" w:afterAutospacing="0" w:line="360" w:lineRule="auto"/>
        <w:rPr>
          <w:rFonts w:hint="eastAsia" w:ascii="仿宋" w:hAnsi="仿宋" w:eastAsia="仿宋" w:cs="仿宋"/>
          <w:color w:val="000000"/>
          <w:highlight w:val="none"/>
        </w:rPr>
      </w:pPr>
      <w:r>
        <w:rPr>
          <w:rFonts w:ascii="Times New Roman" w:hAnsi="Times New Roman" w:eastAsia="仿宋" w:cs="Times New Roman"/>
          <w:color w:val="000000"/>
          <w:highlight w:val="none"/>
          <w:shd w:val="clear" w:color="auto" w:fill="ffffff"/>
        </w:rPr>
        <w:t xml:space="preserve">                                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highlight w:val="none"/>
        </w:rPr>
      </w:r>
      <w:r/>
    </w:p>
    <w:p>
      <w:pPr>
        <w:pStyle w:val="805"/>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__________________</w:t>
      </w:r>
      <w:r>
        <w:rPr>
          <w:rFonts w:ascii="Times New Roman" w:hAnsi="Times New Roman" w:eastAsia="仿宋" w:cs="Times New Roman"/>
          <w:color w:val="000000"/>
          <w:highlight w:val="none"/>
        </w:rPr>
      </w:r>
      <w:r/>
    </w:p>
    <w:p>
      <w:pPr>
        <w:pStyle w:val="805"/>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1.产品如有型号，请在“产品名称”栏一并填写。</w:t>
      </w:r>
      <w:r>
        <w:rPr>
          <w:rFonts w:ascii="Times New Roman" w:hAnsi="Times New Roman" w:eastAsia="仿宋" w:cs="Times New Roman"/>
          <w:color w:val="000000"/>
          <w:sz w:val="22"/>
          <w:highlight w:val="none"/>
        </w:rPr>
      </w:r>
      <w:r/>
    </w:p>
    <w:p>
      <w:pPr>
        <w:pStyle w:val="805"/>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2.生产厂名与厂址应与生产厂营业执照载明的相关信息保持一致。</w:t>
      </w:r>
      <w:r>
        <w:rPr>
          <w:rFonts w:ascii="Times New Roman" w:hAnsi="Times New Roman" w:eastAsia="仿宋" w:cs="Times New Roman"/>
          <w:color w:val="000000"/>
          <w:sz w:val="22"/>
          <w:highlight w:val="none"/>
        </w:rPr>
      </w:r>
      <w:r/>
    </w:p>
    <w:p>
      <w:pPr>
        <w:pStyle w:val="805"/>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highlight w:val="none"/>
        </w:rPr>
      </w:r>
      <w:r/>
    </w:p>
    <w:p>
      <w:pPr>
        <w:pStyle w:val="805"/>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4.该产品的关键组件要求实施前，“关键组件”栏可不填，下同。</w:t>
      </w:r>
      <w:r>
        <w:rPr>
          <w:rFonts w:ascii="Times New Roman" w:hAnsi="Times New Roman" w:eastAsia="仿宋" w:cs="Times New Roman"/>
          <w:color w:val="000000"/>
          <w:sz w:val="22"/>
          <w:highlight w:val="none"/>
        </w:rPr>
      </w:r>
      <w:r/>
    </w:p>
    <w:p>
      <w:pPr>
        <w:pStyle w:val="805"/>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5.该产品的关键工序要求实施前，“关键工序”栏可不填，下同。</w:t>
      </w:r>
      <w:r>
        <w:rPr>
          <w:rFonts w:ascii="Times New Roman" w:hAnsi="Times New Roman" w:eastAsia="仿宋" w:cs="Times New Roman"/>
          <w:color w:val="000000"/>
          <w:sz w:val="22"/>
          <w:highlight w:val="none"/>
          <w:shd w:val="clear" w:color="auto" w:fill="ffffff"/>
        </w:rPr>
      </w:r>
      <w:r/>
    </w:p>
    <w:p>
      <w:pPr>
        <w:pStyle w:val="805"/>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6.用斜线划除的地方无需填写。</w:t>
      </w:r>
      <w:r>
        <w:rPr>
          <w:rFonts w:ascii="Times New Roman" w:hAnsi="Times New Roman" w:eastAsia="仿宋" w:cs="Times New Roman"/>
          <w:color w:val="000000"/>
          <w:sz w:val="22"/>
          <w:highlight w:val="none"/>
          <w:shd w:val="clear" w:color="auto" w:fill="ffffff"/>
        </w:rPr>
      </w:r>
      <w:r/>
    </w:p>
    <w:p>
      <w:pPr>
        <w:pStyle w:val="805"/>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lang w:val="en-US" w:eastAsia="zh-CN"/>
        </w:rPr>
      </w:pPr>
      <w:r>
        <w:rPr>
          <w:rFonts w:hint="eastAsia" w:ascii="Times New Roman" w:hAnsi="Times New Roman" w:eastAsia="仿宋" w:cs="Times New Roman"/>
          <w:color w:val="000000"/>
          <w:sz w:val="22"/>
          <w:highlight w:val="none"/>
          <w:shd w:val="clear" w:color="auto" w:fill="ffffff"/>
          <w:lang w:val="en-US" w:eastAsia="zh-CN"/>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highlight w:val="none"/>
          <w:shd w:val="clear" w:color="auto" w:fill="ffffff"/>
          <w:lang w:val="en-US" w:eastAsia="zh-CN"/>
        </w:rPr>
      </w:r>
      <w:r/>
    </w:p>
    <w:p>
      <w:pPr>
        <w:pStyle w:val="805"/>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lang w:val="en-US" w:eastAsia="zh-CN"/>
        </w:rPr>
      </w:pPr>
      <w:r>
        <w:rPr>
          <w:rFonts w:hint="eastAsia" w:ascii="Times New Roman" w:hAnsi="Times New Roman" w:eastAsia="仿宋" w:cs="Times New Roman"/>
          <w:color w:val="000000"/>
          <w:sz w:val="22"/>
          <w:highlight w:val="none"/>
          <w:shd w:val="clear" w:color="auto" w:fill="ffffff"/>
          <w:lang w:val="en-US" w:eastAsia="zh-CN"/>
        </w:rPr>
        <w:t xml:space="preserve">8.中标、成交供应商提供的《声明函》或有关证明文件将随中标、成交结果同时公告。</w:t>
      </w:r>
      <w:r>
        <w:rPr>
          <w:rFonts w:hint="eastAsia" w:ascii="Times New Roman" w:hAnsi="Times New Roman" w:eastAsia="仿宋" w:cs="Times New Roman"/>
          <w:color w:val="000000"/>
          <w:sz w:val="22"/>
          <w:highlight w:val="none"/>
          <w:shd w:val="clear" w:color="auto" w:fill="ffffff"/>
          <w:lang w:val="en-US" w:eastAsia="zh-CN"/>
        </w:rPr>
      </w:r>
      <w:r/>
    </w:p>
    <w:p>
      <w:pPr>
        <w:pStyle w:val="760"/>
        <w:ind w:right="633"/>
        <w:jc w:val="center"/>
        <w:spacing w:line="360" w:lineRule="auto"/>
        <w:shd w:val="clear" w:color="auto" w:fill="ffffff"/>
        <w:rPr>
          <w:rFonts w:ascii="宋体" w:hAnsi="宋体"/>
          <w:b/>
          <w:color w:val="000000"/>
          <w:sz w:val="28"/>
          <w:szCs w:val="28"/>
          <w:highlight w:val="none"/>
        </w:rPr>
        <w:outlineLvl w:val="0"/>
      </w:pPr>
      <w:r>
        <w:rPr>
          <w:rFonts w:ascii="宋体" w:hAnsi="宋体"/>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42"/>
      <w:r>
        <w:rPr>
          <w:rFonts w:ascii="宋体" w:hAnsi="宋体"/>
          <w:b/>
          <w:color w:val="000000"/>
          <w:sz w:val="28"/>
          <w:szCs w:val="28"/>
          <w:highlight w:val="none"/>
        </w:rPr>
      </w:r>
      <w:r/>
    </w:p>
    <w:p>
      <w:pPr>
        <w:pStyle w:val="760"/>
        <w:jc w:val="center"/>
        <w:spacing w:line="360" w:lineRule="auto"/>
        <w:rPr>
          <w:rFonts w:ascii="宋体" w:hAnsi="宋体"/>
          <w:color w:val="000000"/>
          <w:sz w:val="28"/>
          <w:szCs w:val="28"/>
          <w:highlight w:val="none"/>
        </w:rPr>
        <w:outlineLvl w:val="0"/>
      </w:pPr>
      <w:r/>
      <w:bookmarkStart w:id="44" w:name="_Toc8827"/>
      <w:r>
        <w:rPr>
          <w:rFonts w:hint="eastAsia" w:ascii="宋体" w:hAnsi="宋体"/>
          <w:color w:val="000000"/>
          <w:sz w:val="28"/>
          <w:szCs w:val="28"/>
          <w:highlight w:val="none"/>
        </w:rPr>
        <w:t xml:space="preserve">12-1残疾人福利性单位声明函</w:t>
      </w:r>
      <w:bookmarkEnd w:id="44"/>
      <w:r>
        <w:rPr>
          <w:rFonts w:ascii="宋体" w:hAnsi="宋体"/>
          <w:color w:val="000000"/>
          <w:sz w:val="28"/>
          <w:szCs w:val="28"/>
          <w:highlight w:val="none"/>
        </w:rPr>
      </w:r>
      <w:r/>
    </w:p>
    <w:p>
      <w:pPr>
        <w:pStyle w:val="760"/>
        <w:ind w:firstLine="420"/>
        <w:spacing w:line="360" w:lineRule="auto"/>
        <w:rPr>
          <w:rFonts w:ascii="Calibri" w:hAnsi="Calibri"/>
          <w:color w:val="000000"/>
          <w:highlight w:val="none"/>
        </w:rPr>
      </w:pPr>
      <w:r>
        <w:rPr>
          <w:rFonts w:ascii="Calibri" w:hAnsi="Calibri"/>
          <w:color w:val="000000"/>
          <w:highlight w:val="none"/>
        </w:rPr>
      </w:r>
      <w:r/>
    </w:p>
    <w:p>
      <w:pPr>
        <w:pStyle w:val="760"/>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760"/>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760"/>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760"/>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760"/>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760"/>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760"/>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760"/>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76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760"/>
        <w:spacing w:line="360" w:lineRule="auto"/>
        <w:rPr>
          <w:rFonts w:ascii="宋体" w:hAnsi="宋体"/>
          <w:color w:val="000000"/>
          <w:szCs w:val="21"/>
          <w:highlight w:val="none"/>
        </w:rPr>
      </w:pPr>
      <w:r>
        <w:rPr>
          <w:rFonts w:ascii="宋体" w:hAnsi="宋体"/>
          <w:color w:val="000000"/>
          <w:szCs w:val="21"/>
          <w:highlight w:val="none"/>
        </w:rPr>
      </w:r>
      <w:r/>
    </w:p>
    <w:p>
      <w:pPr>
        <w:pStyle w:val="7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60"/>
        <w:jc w:val="center"/>
        <w:spacing w:line="360" w:lineRule="auto"/>
        <w:rPr>
          <w:rFonts w:ascii="宋体" w:hAnsi="宋体"/>
          <w:color w:val="000000"/>
          <w:sz w:val="28"/>
          <w:szCs w:val="28"/>
          <w:highlight w:val="none"/>
        </w:rPr>
        <w:outlineLvl w:val="0"/>
      </w:pPr>
      <w:r/>
      <w:bookmarkStart w:id="45" w:name="_Toc15854"/>
      <w:r>
        <w:rPr>
          <w:rFonts w:hint="eastAsia" w:ascii="宋体" w:hAnsi="宋体"/>
          <w:color w:val="000000"/>
          <w:sz w:val="28"/>
          <w:szCs w:val="28"/>
          <w:highlight w:val="none"/>
        </w:rPr>
        <w:t xml:space="preserve">12-2属于监狱企业的证明文件</w:t>
      </w:r>
      <w:bookmarkEnd w:id="45"/>
      <w:r>
        <w:rPr>
          <w:rFonts w:ascii="宋体" w:hAnsi="宋体"/>
          <w:color w:val="000000"/>
          <w:sz w:val="28"/>
          <w:szCs w:val="28"/>
          <w:highlight w:val="none"/>
        </w:rPr>
      </w:r>
      <w:r/>
    </w:p>
    <w:p>
      <w:pPr>
        <w:pStyle w:val="760"/>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760"/>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784"/>
        <w:spacing w:line="360" w:lineRule="auto"/>
        <w:rPr>
          <w:color w:val="000000"/>
          <w:highlight w:val="none"/>
        </w:rPr>
      </w:pPr>
      <w:r>
        <w:rPr>
          <w:color w:val="000000"/>
          <w:highlight w:val="none"/>
        </w:rPr>
      </w:r>
      <w:r/>
    </w:p>
    <w:p>
      <w:pPr>
        <w:pStyle w:val="760"/>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760"/>
        <w:jc w:val="left"/>
        <w:spacing w:line="360" w:lineRule="auto"/>
        <w:rPr>
          <w:rFonts w:ascii="宋体" w:hAnsi="宋体"/>
          <w:b/>
          <w:color w:val="000000"/>
          <w:highlight w:val="none"/>
          <w:lang w:val="zh-CN"/>
        </w:rPr>
      </w:pPr>
      <w:r>
        <w:rPr>
          <w:rFonts w:ascii="宋体" w:hAnsi="宋体"/>
          <w:b/>
          <w:color w:val="000000"/>
          <w:highlight w:val="none"/>
          <w:lang w:val="zh-CN"/>
        </w:rPr>
      </w:r>
      <w:r/>
    </w:p>
    <w:p>
      <w:pPr>
        <w:pStyle w:val="924"/>
        <w:ind w:firstLine="422"/>
        <w:spacing w:line="360" w:lineRule="auto"/>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服务方案</w:t>
      </w:r>
      <w:r>
        <w:rPr>
          <w:rFonts w:ascii="宋体" w:hAnsi="宋体"/>
          <w:b/>
          <w:color w:val="000000"/>
          <w:szCs w:val="24"/>
          <w:highlight w:val="none"/>
        </w:rPr>
      </w:r>
      <w:r/>
    </w:p>
    <w:p>
      <w:pPr>
        <w:pStyle w:val="924"/>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924"/>
        <w:ind w:firstLine="422"/>
        <w:spacing w:line="360" w:lineRule="auto"/>
        <w:rPr>
          <w:rFonts w:ascii="宋体" w:hAnsi="宋体"/>
          <w:b/>
          <w:color w:val="000000"/>
          <w:szCs w:val="24"/>
          <w:highlight w:val="none"/>
        </w:rPr>
        <w:outlineLvl w:val="0"/>
      </w:pPr>
      <w:r/>
      <w:bookmarkStart w:id="46" w:name="_Toc23828"/>
      <w:r>
        <w:rPr>
          <w:rFonts w:hint="eastAsia" w:ascii="宋体" w:hAnsi="宋体"/>
          <w:b/>
          <w:color w:val="000000"/>
          <w:szCs w:val="24"/>
          <w:highlight w:val="none"/>
        </w:rPr>
        <w:t xml:space="preserve">（各投标人根据招标文件规定的服务方案打分细则内容，格式自拟）</w:t>
      </w:r>
      <w:bookmarkEnd w:id="46"/>
      <w:r>
        <w:rPr>
          <w:rFonts w:ascii="宋体" w:hAnsi="宋体"/>
          <w:b/>
          <w:color w:val="000000"/>
          <w:szCs w:val="24"/>
          <w:highlight w:val="none"/>
        </w:rPr>
      </w:r>
      <w:r/>
    </w:p>
    <w:p>
      <w:pPr>
        <w:pStyle w:val="760"/>
        <w:ind w:firstLine="420"/>
        <w:spacing w:line="360" w:lineRule="auto"/>
        <w:rPr>
          <w:rFonts w:ascii="宋体" w:hAnsi="宋体"/>
          <w:b/>
          <w:color w:val="000000"/>
          <w:highlight w:val="none"/>
          <w:lang w:val="zh-CN"/>
        </w:rPr>
      </w:pPr>
      <w:r>
        <w:rPr>
          <w:rFonts w:ascii="宋体" w:hAnsi="宋体"/>
          <w:b/>
          <w:color w:val="000000"/>
          <w:highlight w:val="none"/>
          <w:lang w:val="zh-CN"/>
        </w:rPr>
      </w:r>
      <w:r/>
    </w:p>
    <w:p>
      <w:pPr>
        <w:pStyle w:val="924"/>
        <w:ind w:firstLine="420"/>
        <w:spacing w:line="360" w:lineRule="auto"/>
        <w:rPr>
          <w:color w:val="000000"/>
          <w:highlight w:val="none"/>
        </w:rPr>
      </w:pPr>
      <w:r>
        <w:rPr>
          <w:color w:val="000000"/>
          <w:highlight w:val="none"/>
        </w:rPr>
      </w:r>
      <w:r/>
    </w:p>
    <w:p>
      <w:pPr>
        <w:pStyle w:val="924"/>
        <w:ind w:firstLine="420"/>
        <w:spacing w:line="360" w:lineRule="auto"/>
        <w:rPr>
          <w:color w:val="000000"/>
          <w:highlight w:val="none"/>
        </w:rPr>
      </w:pPr>
      <w:r>
        <w:rPr>
          <w:color w:val="000000"/>
          <w:highlight w:val="none"/>
        </w:rPr>
      </w:r>
      <w:r/>
    </w:p>
    <w:p>
      <w:pPr>
        <w:pStyle w:val="924"/>
        <w:ind w:firstLine="420"/>
        <w:spacing w:line="360" w:lineRule="auto"/>
        <w:rPr>
          <w:color w:val="000000"/>
          <w:highlight w:val="none"/>
        </w:rPr>
      </w:pPr>
      <w:r>
        <w:rPr>
          <w:color w:val="000000"/>
          <w:highlight w:val="none"/>
        </w:rPr>
      </w:r>
      <w:r/>
    </w:p>
    <w:p>
      <w:pPr>
        <w:pStyle w:val="924"/>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760"/>
        <w:ind w:firstLine="420"/>
        <w:spacing w:line="360" w:lineRule="auto"/>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760"/>
        <w:ind w:right="633"/>
        <w:jc w:val="left"/>
        <w:spacing w:line="360" w:lineRule="auto"/>
        <w:shd w:val="clear" w:color="auto" w:fill="ffffff"/>
        <w:rPr>
          <w:rFonts w:ascii="宋体" w:hAnsi="宋体"/>
          <w:b/>
          <w:color w:val="000000"/>
          <w:highlight w:val="none"/>
          <w:lang w:val="zh-CN"/>
        </w:rPr>
        <w:outlineLvl w:val="0"/>
      </w:pPr>
      <w:r/>
      <w:bookmarkStart w:id="47" w:name="_Toc13714"/>
      <w:r>
        <w:rPr>
          <w:rFonts w:ascii="宋体" w:hAnsi="宋体"/>
          <w:b/>
          <w:color w:val="000000"/>
          <w:highlight w:val="none"/>
          <w:lang w:val="zh-CN"/>
        </w:rPr>
        <w:t xml:space="preserve">（各投标人根据采购文件规定的打分细则对应提供相关证明材料等，格式自拟）</w:t>
      </w:r>
      <w:bookmarkEnd w:id="47"/>
      <w:r>
        <w:rPr>
          <w:rFonts w:ascii="宋体" w:hAnsi="宋体"/>
          <w:b/>
          <w:color w:val="000000"/>
          <w:highlight w:val="none"/>
          <w:lang w:val="zh-CN"/>
        </w:rPr>
      </w:r>
      <w:r/>
    </w:p>
    <w:p>
      <w:pPr>
        <w:pStyle w:val="924"/>
        <w:ind w:firstLine="420"/>
        <w:spacing w:line="360" w:lineRule="auto"/>
        <w:rPr>
          <w:color w:val="000000"/>
          <w:highlight w:val="none"/>
        </w:rPr>
      </w:pPr>
      <w:r>
        <w:rPr>
          <w:color w:val="000000"/>
          <w:highlight w:val="none"/>
        </w:rPr>
      </w:r>
      <w:r/>
    </w:p>
    <w:p>
      <w:pPr>
        <w:pStyle w:val="760"/>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PMingLiU">
    <w:panose1 w:val="02020500000000000000"/>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rPr>
        <w:rStyle w:val="88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76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760"/>
                    </w:pPr>
                    <w:r/>
                    <w:r/>
                  </w:p>
                </w:txbxContent>
              </v:textbox>
            </v:shape>
          </w:pict>
        </mc:Fallback>
      </mc:AlternateContent>
    </w:r>
    <w:r>
      <w:rPr>
        <w:rStyle w:val="883"/>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76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7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796"/>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陆郎、铜井消防站装备器材采购招标文件</w:t>
    </w:r>
    <w:r/>
  </w:p>
  <w:p>
    <w:pPr>
      <w:pStyle w:val="871"/>
      <w:tabs>
        <w:tab w:val="center" w:pos="4153" w:leader="none"/>
        <w:tab w:val="right" w:pos="8306" w:leader="none"/>
      </w:tabs>
      <w:rPr>
        <w:rStyle w:val="883"/>
      </w:rPr>
      <w:pBdr>
        <w:bottom w:val="none" w:color="000000" w:sz="0" w:space="0"/>
      </w:pBdr>
    </w:pPr>
    <w:r>
      <w:rPr>
        <w:rStyle w:val="883"/>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796"/>
      <w:jc w:val="right"/>
      <w:tabs>
        <w:tab w:val="center" w:pos="4153" w:leader="none"/>
        <w:tab w:val="right" w:pos="8306" w:leader="none"/>
      </w:tabs>
    </w:pPr>
    <w:r>
      <w:rPr>
        <w:rFonts w:hint="eastAsia" w:ascii="宋体" w:hAnsi="宋体" w:cs="宋体"/>
        <w:b/>
        <w:bCs/>
        <w:color w:val="000000"/>
        <w:sz w:val="22"/>
        <w:szCs w:val="21"/>
        <w:lang w:val="zh-TW"/>
      </w:rPr>
      <w:t xml:space="preserve">陆郎、铜井消防站装备器材采购招标文件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46"/>
      <w:isLgl w:val="false"/>
      <w:suff w:val="tab"/>
      <w:lvlText w:val="%1."/>
      <w:lvlJc w:val="left"/>
      <w:pPr>
        <w:pStyle w:val="760"/>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60"/>
        <w:ind w:left="630" w:hanging="420"/>
        <w:tabs>
          <w:tab w:val="num" w:pos="630" w:leader="none"/>
        </w:tabs>
      </w:pPr>
      <w:rPr>
        <w:rFonts w:cs="Times New Roman"/>
      </w:rPr>
    </w:lvl>
    <w:lvl w:ilvl="1">
      <w:start w:val="1"/>
      <w:numFmt w:val="decimal"/>
      <w:isLgl w:val="false"/>
      <w:suff w:val="tab"/>
      <w:lvlText w:val="%2)"/>
      <w:lvlJc w:val="left"/>
      <w:pPr>
        <w:pStyle w:val="760"/>
        <w:ind w:left="990" w:hanging="360"/>
        <w:tabs>
          <w:tab w:val="num" w:pos="990" w:leader="none"/>
        </w:tabs>
      </w:pPr>
      <w:rPr>
        <w:color w:val="000000"/>
      </w:rPr>
    </w:lvl>
    <w:lvl w:ilvl="2">
      <w:start w:val="1"/>
      <w:numFmt w:val="lowerRoman"/>
      <w:isLgl w:val="false"/>
      <w:suff w:val="tab"/>
      <w:lvlText w:val="%3."/>
      <w:lvlJc w:val="right"/>
      <w:pPr>
        <w:pStyle w:val="760"/>
        <w:ind w:left="1470" w:hanging="420"/>
        <w:tabs>
          <w:tab w:val="num" w:pos="1470" w:leader="none"/>
        </w:tabs>
      </w:pPr>
      <w:rPr>
        <w:rFonts w:cs="Times New Roman"/>
      </w:rPr>
    </w:lvl>
    <w:lvl w:ilvl="3">
      <w:start w:val="1"/>
      <w:numFmt w:val="decimal"/>
      <w:isLgl w:val="false"/>
      <w:suff w:val="tab"/>
      <w:lvlText w:val="%4."/>
      <w:lvlJc w:val="left"/>
      <w:pPr>
        <w:pStyle w:val="760"/>
        <w:ind w:left="1890" w:hanging="420"/>
        <w:tabs>
          <w:tab w:val="num" w:pos="1890" w:leader="none"/>
        </w:tabs>
      </w:pPr>
      <w:rPr>
        <w:rFonts w:cs="Times New Roman"/>
      </w:rPr>
    </w:lvl>
    <w:lvl w:ilvl="4">
      <w:start w:val="1"/>
      <w:numFmt w:val="lowerLetter"/>
      <w:isLgl w:val="false"/>
      <w:suff w:val="tab"/>
      <w:lvlText w:val="%5)"/>
      <w:lvlJc w:val="left"/>
      <w:pPr>
        <w:pStyle w:val="760"/>
        <w:ind w:left="2310" w:hanging="420"/>
        <w:tabs>
          <w:tab w:val="num" w:pos="2310" w:leader="none"/>
        </w:tabs>
      </w:pPr>
      <w:rPr>
        <w:rFonts w:cs="Times New Roman"/>
      </w:rPr>
    </w:lvl>
    <w:lvl w:ilvl="5">
      <w:start w:val="1"/>
      <w:numFmt w:val="lowerRoman"/>
      <w:isLgl w:val="false"/>
      <w:suff w:val="tab"/>
      <w:lvlText w:val="%6."/>
      <w:lvlJc w:val="right"/>
      <w:pPr>
        <w:pStyle w:val="760"/>
        <w:ind w:left="2730" w:hanging="420"/>
        <w:tabs>
          <w:tab w:val="num" w:pos="2730" w:leader="none"/>
        </w:tabs>
      </w:pPr>
      <w:rPr>
        <w:rFonts w:cs="Times New Roman"/>
      </w:rPr>
    </w:lvl>
    <w:lvl w:ilvl="6">
      <w:start w:val="1"/>
      <w:numFmt w:val="decimal"/>
      <w:isLgl w:val="false"/>
      <w:suff w:val="tab"/>
      <w:lvlText w:val="%7."/>
      <w:lvlJc w:val="left"/>
      <w:pPr>
        <w:pStyle w:val="760"/>
        <w:ind w:left="3150" w:hanging="420"/>
        <w:tabs>
          <w:tab w:val="num" w:pos="3150" w:leader="none"/>
        </w:tabs>
      </w:pPr>
      <w:rPr>
        <w:rFonts w:cs="Times New Roman"/>
      </w:rPr>
    </w:lvl>
    <w:lvl w:ilvl="7">
      <w:start w:val="1"/>
      <w:numFmt w:val="lowerLetter"/>
      <w:isLgl w:val="false"/>
      <w:suff w:val="tab"/>
      <w:lvlText w:val="%8)"/>
      <w:lvlJc w:val="left"/>
      <w:pPr>
        <w:pStyle w:val="760"/>
        <w:ind w:left="3570" w:hanging="420"/>
        <w:tabs>
          <w:tab w:val="num" w:pos="3570" w:leader="none"/>
        </w:tabs>
      </w:pPr>
      <w:rPr>
        <w:rFonts w:cs="Times New Roman"/>
      </w:rPr>
    </w:lvl>
    <w:lvl w:ilvl="8">
      <w:start w:val="1"/>
      <w:numFmt w:val="lowerRoman"/>
      <w:isLgl w:val="false"/>
      <w:suff w:val="tab"/>
      <w:lvlText w:val="%9."/>
      <w:lvlJc w:val="right"/>
      <w:pPr>
        <w:pStyle w:val="760"/>
        <w:ind w:left="3990" w:hanging="420"/>
        <w:tabs>
          <w:tab w:val="num" w:pos="3990" w:leader="none"/>
        </w:tabs>
      </w:pPr>
      <w:rPr>
        <w:rFonts w:cs="Times New Roman"/>
      </w:rPr>
    </w:lvl>
  </w:abstractNum>
  <w:abstractNum w:abstractNumId="3">
    <w:multiLevelType w:val="hybridMultilevel"/>
    <w:lvl w:ilvl="0">
      <w:start w:val="1"/>
      <w:numFmt w:val="chineseCountingThousand"/>
      <w:pStyle w:val="908"/>
      <w:isLgl w:val="false"/>
      <w:suff w:val="nothing"/>
      <w:lvlText w:val="第%1章"/>
      <w:lvlJc w:val="left"/>
      <w:pPr>
        <w:pStyle w:val="760"/>
        <w:ind w:left="3402"/>
      </w:pPr>
      <w:rPr>
        <w:rFonts w:cs="Times New Roman"/>
      </w:rPr>
    </w:lvl>
    <w:lvl w:ilvl="1">
      <w:start w:val="1"/>
      <w:numFmt w:val="lowerLetter"/>
      <w:pStyle w:val="932"/>
      <w:isLgl w:val="false"/>
      <w:suff w:val="tab"/>
      <w:lvlText w:val="%1)"/>
      <w:lvlJc w:val="left"/>
      <w:pPr>
        <w:pStyle w:val="760"/>
        <w:ind w:left="840" w:hanging="420"/>
      </w:pPr>
      <w:rPr>
        <w:rFonts w:cs="Times New Roman"/>
      </w:rPr>
    </w:lvl>
    <w:lvl w:ilvl="2">
      <w:start w:val="1"/>
      <w:numFmt w:val="lowerRoman"/>
      <w:pStyle w:val="945"/>
      <w:isLgl w:val="false"/>
      <w:suff w:val="tab"/>
      <w:lvlText w:val="%1."/>
      <w:lvlJc w:val="right"/>
      <w:pPr>
        <w:pStyle w:val="760"/>
        <w:ind w:left="1260" w:hanging="420"/>
      </w:pPr>
      <w:rPr>
        <w:rFonts w:cs="Times New Roman"/>
      </w:rPr>
    </w:lvl>
    <w:lvl w:ilvl="3">
      <w:start w:val="1"/>
      <w:numFmt w:val="decimal"/>
      <w:pStyle w:val="929"/>
      <w:isLgl w:val="false"/>
      <w:suff w:val="tab"/>
      <w:lvlText w:val="%1."/>
      <w:lvlJc w:val="left"/>
      <w:pPr>
        <w:pStyle w:val="760"/>
        <w:ind w:left="1680" w:hanging="420"/>
      </w:pPr>
      <w:rPr>
        <w:rFonts w:cs="Times New Roman"/>
      </w:rPr>
    </w:lvl>
    <w:lvl w:ilvl="4">
      <w:start w:val="1"/>
      <w:numFmt w:val="lowerLetter"/>
      <w:pStyle w:val="938"/>
      <w:isLgl w:val="false"/>
      <w:suff w:val="tab"/>
      <w:lvlText w:val="%1)"/>
      <w:lvlJc w:val="left"/>
      <w:pPr>
        <w:pStyle w:val="760"/>
        <w:ind w:left="2100" w:hanging="420"/>
      </w:pPr>
      <w:rPr>
        <w:rFonts w:cs="Times New Roman"/>
      </w:rPr>
    </w:lvl>
    <w:lvl w:ilvl="5">
      <w:start w:val="1"/>
      <w:numFmt w:val="lowerRoman"/>
      <w:pStyle w:val="912"/>
      <w:isLgl w:val="false"/>
      <w:suff w:val="tab"/>
      <w:lvlText w:val="%1."/>
      <w:lvlJc w:val="right"/>
      <w:pPr>
        <w:pStyle w:val="760"/>
        <w:ind w:left="2520" w:hanging="420"/>
      </w:pPr>
      <w:rPr>
        <w:rFonts w:cs="Times New Roman"/>
      </w:rPr>
    </w:lvl>
    <w:lvl w:ilvl="6">
      <w:start w:val="1"/>
      <w:numFmt w:val="decimal"/>
      <w:pStyle w:val="959"/>
      <w:isLgl w:val="false"/>
      <w:suff w:val="tab"/>
      <w:lvlText w:val="%1."/>
      <w:lvlJc w:val="left"/>
      <w:pPr>
        <w:pStyle w:val="760"/>
        <w:ind w:left="2940" w:hanging="420"/>
      </w:pPr>
      <w:rPr>
        <w:rFonts w:cs="Times New Roman"/>
      </w:rPr>
    </w:lvl>
    <w:lvl w:ilvl="7">
      <w:start w:val="1"/>
      <w:numFmt w:val="lowerLetter"/>
      <w:pStyle w:val="911"/>
      <w:isLgl w:val="false"/>
      <w:suff w:val="tab"/>
      <w:lvlText w:val="%1)"/>
      <w:lvlJc w:val="left"/>
      <w:pPr>
        <w:pStyle w:val="760"/>
        <w:ind w:left="3360" w:hanging="420"/>
      </w:pPr>
      <w:rPr>
        <w:rFonts w:cs="Times New Roman"/>
      </w:rPr>
    </w:lvl>
    <w:lvl w:ilvl="8">
      <w:start w:val="1"/>
      <w:numFmt w:val="lowerRoman"/>
      <w:pStyle w:val="926"/>
      <w:isLgl w:val="false"/>
      <w:suff w:val="tab"/>
      <w:lvlText w:val="%1."/>
      <w:lvlJc w:val="right"/>
      <w:pPr>
        <w:pStyle w:val="760"/>
        <w:ind w:left="3780" w:hanging="420"/>
      </w:pPr>
      <w:rPr>
        <w:rFonts w:cs="Times New Roman"/>
      </w:rPr>
    </w:lvl>
  </w:abstractNum>
  <w:abstractNum w:abstractNumId="4">
    <w:multiLevelType w:val="hybridMultilevel"/>
    <w:lvl w:ilvl="0">
      <w:start w:val="1"/>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0"/>
        <w:ind w:left="0" w:firstLine="0"/>
      </w:pPr>
      <w:rPr>
        <w:rFonts w:ascii="Times New Roman" w:hAnsi="Times New Roman" w:cs="Times New Roman"/>
      </w:rPr>
    </w:lvl>
    <w:lvl w:ilvl="1">
      <w:start w:val="1"/>
      <w:numFmt w:val="decimal"/>
      <w:isLgl w:val="false"/>
      <w:suff w:val="tab"/>
      <w:lvlText w:val="%2."/>
      <w:lvlJc w:val="left"/>
      <w:pPr>
        <w:pStyle w:val="760"/>
        <w:ind w:left="1440" w:hanging="360"/>
        <w:tabs>
          <w:tab w:val="num" w:pos="1440" w:leader="none"/>
        </w:tabs>
      </w:pPr>
    </w:lvl>
    <w:lvl w:ilvl="2">
      <w:start w:val="1"/>
      <w:numFmt w:val="decimal"/>
      <w:isLgl w:val="false"/>
      <w:suff w:val="tab"/>
      <w:lvlText w:val="%3."/>
      <w:lvlJc w:val="left"/>
      <w:pPr>
        <w:pStyle w:val="760"/>
        <w:ind w:left="2160" w:hanging="360"/>
        <w:tabs>
          <w:tab w:val="num" w:pos="2160" w:leader="none"/>
        </w:tabs>
      </w:pPr>
    </w:lvl>
    <w:lvl w:ilvl="3">
      <w:start w:val="1"/>
      <w:numFmt w:val="decimal"/>
      <w:isLgl w:val="false"/>
      <w:suff w:val="tab"/>
      <w:lvlText w:val="%4."/>
      <w:lvlJc w:val="left"/>
      <w:pPr>
        <w:pStyle w:val="760"/>
        <w:ind w:left="2880" w:hanging="360"/>
        <w:tabs>
          <w:tab w:val="num" w:pos="2880" w:leader="none"/>
        </w:tabs>
      </w:pPr>
    </w:lvl>
    <w:lvl w:ilvl="4">
      <w:start w:val="1"/>
      <w:numFmt w:val="decimal"/>
      <w:isLgl w:val="false"/>
      <w:suff w:val="tab"/>
      <w:lvlText w:val="%5."/>
      <w:lvlJc w:val="left"/>
      <w:pPr>
        <w:pStyle w:val="760"/>
        <w:ind w:left="3600" w:hanging="360"/>
        <w:tabs>
          <w:tab w:val="num" w:pos="3600" w:leader="none"/>
        </w:tabs>
      </w:pPr>
    </w:lvl>
    <w:lvl w:ilvl="5">
      <w:start w:val="1"/>
      <w:numFmt w:val="decimal"/>
      <w:isLgl w:val="false"/>
      <w:suff w:val="tab"/>
      <w:lvlText w:val="%6."/>
      <w:lvlJc w:val="left"/>
      <w:pPr>
        <w:pStyle w:val="760"/>
        <w:ind w:left="4320" w:hanging="360"/>
        <w:tabs>
          <w:tab w:val="num" w:pos="4320" w:leader="none"/>
        </w:tabs>
      </w:pPr>
    </w:lvl>
    <w:lvl w:ilvl="6">
      <w:start w:val="1"/>
      <w:numFmt w:val="decimal"/>
      <w:isLgl w:val="false"/>
      <w:suff w:val="tab"/>
      <w:lvlText w:val="%7."/>
      <w:lvlJc w:val="left"/>
      <w:pPr>
        <w:pStyle w:val="760"/>
        <w:ind w:left="5040" w:hanging="360"/>
        <w:tabs>
          <w:tab w:val="num" w:pos="5040" w:leader="none"/>
        </w:tabs>
      </w:pPr>
    </w:lvl>
    <w:lvl w:ilvl="7">
      <w:start w:val="1"/>
      <w:numFmt w:val="decimal"/>
      <w:isLgl w:val="false"/>
      <w:suff w:val="tab"/>
      <w:lvlText w:val="%8."/>
      <w:lvlJc w:val="left"/>
      <w:pPr>
        <w:pStyle w:val="760"/>
        <w:ind w:left="5760" w:hanging="360"/>
        <w:tabs>
          <w:tab w:val="num" w:pos="5760" w:leader="none"/>
        </w:tabs>
      </w:pPr>
    </w:lvl>
    <w:lvl w:ilvl="8">
      <w:start w:val="1"/>
      <w:numFmt w:val="decimal"/>
      <w:isLgl w:val="false"/>
      <w:suff w:val="tab"/>
      <w:lvlText w:val="%9."/>
      <w:lvlJc w:val="left"/>
      <w:pPr>
        <w:pStyle w:val="760"/>
        <w:ind w:left="6480" w:hanging="360"/>
        <w:tabs>
          <w:tab w:val="num" w:pos="6480" w:leader="none"/>
        </w:tabs>
      </w:pPr>
    </w:lvl>
  </w:abstractNum>
  <w:abstractNum w:abstractNumId="6">
    <w:multiLevelType w:val="hybridMultilevel"/>
    <w:lvl w:ilvl="0">
      <w:start w:val="1"/>
      <w:numFmt w:val="decimal"/>
      <w:isLgl w:val="false"/>
      <w:suff w:val="tab"/>
      <w:lvlText w:val="%1."/>
      <w:lvlJc w:val="left"/>
      <w:pPr>
        <w:pStyle w:val="7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0"/>
    <w:next w:val="760"/>
    <w:uiPriority w:val="39"/>
    <w:unhideWhenUsed/>
    <w:pPr>
      <w:ind w:left="0" w:right="0" w:firstLine="0"/>
      <w:spacing w:after="57"/>
    </w:pPr>
  </w:style>
  <w:style w:type="paragraph" w:styleId="181">
    <w:name w:val="toc 2"/>
    <w:basedOn w:val="760"/>
    <w:next w:val="760"/>
    <w:uiPriority w:val="39"/>
    <w:unhideWhenUsed/>
    <w:pPr>
      <w:ind w:left="283" w:right="0" w:firstLine="0"/>
      <w:spacing w:after="57"/>
    </w:p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60"/>
    <w:link w:val="760"/>
    <w:qFormat/>
    <w:pPr>
      <w:jc w:val="both"/>
    </w:pPr>
    <w:rPr>
      <w:sz w:val="21"/>
      <w:szCs w:val="24"/>
      <w:lang w:val="en-US" w:eastAsia="zh-CN" w:bidi="ar-SA"/>
    </w:rPr>
  </w:style>
  <w:style w:type="paragraph" w:styleId="761">
    <w:name w:val="标题 1"/>
    <w:basedOn w:val="760"/>
    <w:next w:val="760"/>
    <w:link w:val="772"/>
    <w:uiPriority w:val="99"/>
    <w:qFormat/>
    <w:pPr>
      <w:jc w:val="center"/>
      <w:keepLines/>
      <w:keepNext/>
      <w:spacing w:before="340" w:after="330" w:line="578" w:lineRule="auto"/>
      <w:widowControl w:val="off"/>
      <w:outlineLvl w:val="0"/>
    </w:pPr>
    <w:rPr>
      <w:b/>
      <w:bCs/>
      <w:sz w:val="44"/>
      <w:szCs w:val="44"/>
    </w:rPr>
  </w:style>
  <w:style w:type="paragraph" w:styleId="762">
    <w:name w:val="标题 2"/>
    <w:basedOn w:val="760"/>
    <w:next w:val="760"/>
    <w:link w:val="773"/>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763">
    <w:name w:val="标题 3"/>
    <w:basedOn w:val="760"/>
    <w:next w:val="760"/>
    <w:link w:val="774"/>
    <w:uiPriority w:val="99"/>
    <w:qFormat/>
    <w:pPr>
      <w:keepLines/>
      <w:keepNext/>
      <w:spacing w:before="260" w:after="260" w:line="416" w:lineRule="auto"/>
      <w:widowControl w:val="off"/>
      <w:outlineLvl w:val="2"/>
    </w:pPr>
    <w:rPr>
      <w:b/>
      <w:bCs/>
      <w:sz w:val="32"/>
      <w:szCs w:val="32"/>
    </w:rPr>
  </w:style>
  <w:style w:type="paragraph" w:styleId="764">
    <w:name w:val="标题 4"/>
    <w:basedOn w:val="760"/>
    <w:next w:val="760"/>
    <w:link w:val="775"/>
    <w:uiPriority w:val="99"/>
    <w:qFormat/>
    <w:pPr>
      <w:keepLines/>
      <w:keepNext/>
      <w:spacing w:before="280" w:after="290" w:line="376" w:lineRule="auto"/>
      <w:widowControl w:val="off"/>
      <w:outlineLvl w:val="3"/>
    </w:pPr>
    <w:rPr>
      <w:rFonts w:ascii="Cambria" w:hAnsi="Cambria"/>
      <w:b/>
      <w:bCs/>
      <w:sz w:val="28"/>
      <w:szCs w:val="28"/>
    </w:rPr>
  </w:style>
  <w:style w:type="paragraph" w:styleId="765">
    <w:name w:val="标题 5"/>
    <w:basedOn w:val="760"/>
    <w:next w:val="760"/>
    <w:link w:val="776"/>
    <w:uiPriority w:val="99"/>
    <w:qFormat/>
    <w:pPr>
      <w:keepLines/>
      <w:keepNext/>
      <w:spacing w:before="280" w:after="290" w:line="376" w:lineRule="auto"/>
      <w:widowControl w:val="off"/>
      <w:outlineLvl w:val="4"/>
    </w:pPr>
    <w:rPr>
      <w:b/>
      <w:bCs/>
      <w:sz w:val="28"/>
      <w:szCs w:val="28"/>
    </w:rPr>
  </w:style>
  <w:style w:type="paragraph" w:styleId="766">
    <w:name w:val="标题 6"/>
    <w:basedOn w:val="760"/>
    <w:next w:val="760"/>
    <w:link w:val="777"/>
    <w:uiPriority w:val="99"/>
    <w:qFormat/>
    <w:pPr>
      <w:keepLines/>
      <w:keepNext/>
      <w:spacing w:before="240" w:after="64" w:line="320" w:lineRule="auto"/>
      <w:widowControl w:val="off"/>
      <w:outlineLvl w:val="5"/>
    </w:pPr>
    <w:rPr>
      <w:rFonts w:ascii="Cambria" w:hAnsi="Cambria"/>
      <w:b/>
      <w:bCs/>
      <w:sz w:val="24"/>
    </w:rPr>
  </w:style>
  <w:style w:type="paragraph" w:styleId="767">
    <w:name w:val="标题 7"/>
    <w:basedOn w:val="760"/>
    <w:next w:val="760"/>
    <w:link w:val="778"/>
    <w:uiPriority w:val="99"/>
    <w:qFormat/>
    <w:pPr>
      <w:keepLines/>
      <w:keepNext/>
      <w:spacing w:before="240" w:after="64" w:line="320" w:lineRule="auto"/>
      <w:widowControl w:val="off"/>
      <w:outlineLvl w:val="6"/>
    </w:pPr>
    <w:rPr>
      <w:b/>
      <w:bCs/>
      <w:sz w:val="24"/>
    </w:rPr>
  </w:style>
  <w:style w:type="paragraph" w:styleId="768">
    <w:name w:val="标题 8"/>
    <w:basedOn w:val="760"/>
    <w:next w:val="760"/>
    <w:link w:val="779"/>
    <w:uiPriority w:val="99"/>
    <w:qFormat/>
    <w:pPr>
      <w:keepLines/>
      <w:keepNext/>
      <w:spacing w:before="240" w:after="64" w:line="320" w:lineRule="auto"/>
      <w:widowControl w:val="off"/>
      <w:outlineLvl w:val="7"/>
    </w:pPr>
    <w:rPr>
      <w:rFonts w:ascii="Cambria" w:hAnsi="Cambria"/>
      <w:sz w:val="24"/>
    </w:rPr>
  </w:style>
  <w:style w:type="paragraph" w:styleId="769">
    <w:name w:val="标题 9"/>
    <w:basedOn w:val="760"/>
    <w:next w:val="760"/>
    <w:link w:val="780"/>
    <w:uiPriority w:val="99"/>
    <w:qFormat/>
    <w:pPr>
      <w:keepLines/>
      <w:keepNext/>
      <w:spacing w:before="240" w:after="64" w:line="320" w:lineRule="auto"/>
      <w:widowControl w:val="off"/>
      <w:outlineLvl w:val="8"/>
    </w:pPr>
    <w:rPr>
      <w:rFonts w:ascii="Cambria" w:hAnsi="Cambria"/>
      <w:szCs w:val="21"/>
    </w:rPr>
  </w:style>
  <w:style w:type="character" w:styleId="770">
    <w:name w:val="默认段落字体"/>
    <w:next w:val="770"/>
    <w:link w:val="760"/>
    <w:uiPriority w:val="1"/>
    <w:unhideWhenUsed/>
  </w:style>
  <w:style w:type="table" w:styleId="771">
    <w:name w:val="普通表格"/>
    <w:next w:val="771"/>
    <w:link w:val="760"/>
    <w:uiPriority w:val="99"/>
    <w:unhideWhenUsed/>
    <w:qFormat/>
    <w:tblPr/>
  </w:style>
  <w:style w:type="character" w:styleId="772">
    <w:name w:val="标题 1 Char"/>
    <w:next w:val="772"/>
    <w:link w:val="761"/>
    <w:uiPriority w:val="99"/>
    <w:qFormat/>
    <w:rPr>
      <w:rFonts w:cs="Times New Roman"/>
      <w:b/>
      <w:bCs/>
      <w:sz w:val="44"/>
      <w:szCs w:val="44"/>
    </w:rPr>
  </w:style>
  <w:style w:type="character" w:styleId="773">
    <w:name w:val="标题 2 Char"/>
    <w:next w:val="773"/>
    <w:link w:val="762"/>
    <w:uiPriority w:val="99"/>
    <w:qFormat/>
    <w:rPr>
      <w:rFonts w:ascii="Arial" w:hAnsi="Arial" w:eastAsia="黑体" w:cs="Arial"/>
      <w:b/>
      <w:bCs/>
      <w:sz w:val="32"/>
      <w:szCs w:val="32"/>
    </w:rPr>
  </w:style>
  <w:style w:type="character" w:styleId="774">
    <w:name w:val="标题 3 Char"/>
    <w:next w:val="774"/>
    <w:link w:val="763"/>
    <w:uiPriority w:val="99"/>
    <w:qFormat/>
    <w:rPr>
      <w:rFonts w:cs="Times New Roman"/>
      <w:b/>
      <w:bCs/>
      <w:sz w:val="32"/>
      <w:szCs w:val="32"/>
    </w:rPr>
  </w:style>
  <w:style w:type="character" w:styleId="775">
    <w:name w:val="标题 4 Char"/>
    <w:next w:val="775"/>
    <w:link w:val="764"/>
    <w:uiPriority w:val="99"/>
    <w:qFormat/>
    <w:rPr>
      <w:rFonts w:ascii="Cambria" w:hAnsi="Cambria" w:cs="Times New Roman"/>
      <w:b/>
      <w:bCs/>
      <w:sz w:val="28"/>
      <w:szCs w:val="28"/>
    </w:rPr>
  </w:style>
  <w:style w:type="character" w:styleId="776">
    <w:name w:val="标题 5 Char"/>
    <w:next w:val="776"/>
    <w:link w:val="765"/>
    <w:uiPriority w:val="99"/>
    <w:qFormat/>
    <w:rPr>
      <w:rFonts w:cs="Times New Roman"/>
      <w:b/>
      <w:bCs/>
      <w:sz w:val="28"/>
      <w:szCs w:val="28"/>
    </w:rPr>
  </w:style>
  <w:style w:type="character" w:styleId="777">
    <w:name w:val="标题 6 Char"/>
    <w:next w:val="777"/>
    <w:link w:val="766"/>
    <w:uiPriority w:val="99"/>
    <w:qFormat/>
    <w:rPr>
      <w:rFonts w:ascii="Cambria" w:hAnsi="Cambria" w:cs="Times New Roman"/>
      <w:b/>
      <w:bCs/>
      <w:sz w:val="24"/>
      <w:szCs w:val="24"/>
    </w:rPr>
  </w:style>
  <w:style w:type="character" w:styleId="778">
    <w:name w:val="标题 7 Char"/>
    <w:next w:val="778"/>
    <w:link w:val="767"/>
    <w:uiPriority w:val="99"/>
    <w:qFormat/>
    <w:rPr>
      <w:rFonts w:cs="Times New Roman"/>
      <w:b/>
      <w:bCs/>
      <w:sz w:val="24"/>
      <w:szCs w:val="24"/>
    </w:rPr>
  </w:style>
  <w:style w:type="character" w:styleId="779">
    <w:name w:val="标题 8 Char"/>
    <w:next w:val="779"/>
    <w:link w:val="768"/>
    <w:uiPriority w:val="99"/>
    <w:qFormat/>
    <w:rPr>
      <w:rFonts w:ascii="Cambria" w:hAnsi="Cambria" w:cs="Times New Roman"/>
      <w:sz w:val="24"/>
      <w:szCs w:val="24"/>
    </w:rPr>
  </w:style>
  <w:style w:type="character" w:styleId="780">
    <w:name w:val="标题 9 Char"/>
    <w:next w:val="780"/>
    <w:link w:val="769"/>
    <w:uiPriority w:val="99"/>
    <w:qFormat/>
    <w:rPr>
      <w:rFonts w:ascii="Cambria" w:hAnsi="Cambria" w:cs="Times New Roman"/>
      <w:sz w:val="21"/>
      <w:szCs w:val="21"/>
    </w:rPr>
  </w:style>
  <w:style w:type="paragraph" w:styleId="781">
    <w:name w:val="正文缩进"/>
    <w:basedOn w:val="760"/>
    <w:next w:val="781"/>
    <w:link w:val="760"/>
    <w:uiPriority w:val="99"/>
    <w:semiHidden/>
    <w:qFormat/>
    <w:pPr>
      <w:ind w:firstLine="420"/>
      <w:widowControl w:val="off"/>
    </w:pPr>
  </w:style>
  <w:style w:type="paragraph" w:styleId="782">
    <w:name w:val="批注文字"/>
    <w:basedOn w:val="760"/>
    <w:next w:val="782"/>
    <w:link w:val="783"/>
    <w:qFormat/>
    <w:pPr>
      <w:contextualSpacing/>
      <w:jc w:val="left"/>
      <w:widowControl w:val="off"/>
    </w:pPr>
    <w:rPr>
      <w:color w:val="0000ff"/>
      <w:sz w:val="24"/>
    </w:rPr>
  </w:style>
  <w:style w:type="character" w:styleId="783">
    <w:name w:val="批注文字 Char"/>
    <w:next w:val="783"/>
    <w:link w:val="782"/>
    <w:qFormat/>
    <w:rPr>
      <w:rFonts w:cs="Times New Roman"/>
      <w:color w:val="0000ff"/>
      <w:sz w:val="24"/>
      <w:szCs w:val="24"/>
      <w:lang w:val="en-US" w:eastAsia="zh-CN" w:bidi="ar-SA"/>
    </w:rPr>
  </w:style>
  <w:style w:type="paragraph" w:styleId="784">
    <w:name w:val="正文文本"/>
    <w:basedOn w:val="760"/>
    <w:next w:val="784"/>
    <w:link w:val="785"/>
    <w:uiPriority w:val="99"/>
    <w:qFormat/>
    <w:rPr>
      <w:sz w:val="24"/>
    </w:rPr>
  </w:style>
  <w:style w:type="character" w:styleId="785">
    <w:name w:val="正文文本 Char"/>
    <w:next w:val="785"/>
    <w:link w:val="784"/>
    <w:uiPriority w:val="99"/>
    <w:semiHidden/>
    <w:qFormat/>
    <w:rPr>
      <w:rFonts w:cs="Times New Roman"/>
      <w:sz w:val="24"/>
      <w:szCs w:val="24"/>
    </w:rPr>
  </w:style>
  <w:style w:type="paragraph" w:styleId="786">
    <w:name w:val="目录 5"/>
    <w:basedOn w:val="760"/>
    <w:next w:val="760"/>
    <w:link w:val="760"/>
    <w:uiPriority w:val="99"/>
    <w:semiHidden/>
    <w:qFormat/>
    <w:pPr>
      <w:ind w:left="840"/>
      <w:jc w:val="left"/>
    </w:pPr>
    <w:rPr>
      <w:sz w:val="18"/>
    </w:rPr>
  </w:style>
  <w:style w:type="paragraph" w:styleId="787">
    <w:name w:val="目录 3"/>
    <w:basedOn w:val="760"/>
    <w:next w:val="760"/>
    <w:link w:val="760"/>
    <w:uiPriority w:val="99"/>
    <w:semiHidden/>
    <w:qFormat/>
    <w:pPr>
      <w:ind w:left="420"/>
      <w:jc w:val="left"/>
    </w:pPr>
    <w:rPr>
      <w:i/>
      <w:sz w:val="20"/>
    </w:rPr>
  </w:style>
  <w:style w:type="paragraph" w:styleId="788">
    <w:name w:val="纯文本"/>
    <w:basedOn w:val="760"/>
    <w:next w:val="788"/>
    <w:link w:val="789"/>
    <w:uiPriority w:val="99"/>
    <w:qFormat/>
    <w:pPr>
      <w:widowControl w:val="off"/>
    </w:pPr>
    <w:rPr>
      <w:rFonts w:ascii="宋体" w:hAnsi="Courier New"/>
      <w:sz w:val="20"/>
      <w:szCs w:val="20"/>
    </w:rPr>
  </w:style>
  <w:style w:type="character" w:styleId="789">
    <w:name w:val="纯文本 Char"/>
    <w:next w:val="789"/>
    <w:link w:val="788"/>
    <w:uiPriority w:val="99"/>
    <w:qFormat/>
    <w:rPr>
      <w:rFonts w:ascii="宋体" w:hAnsi="Courier New" w:cs="Times New Roman"/>
    </w:rPr>
  </w:style>
  <w:style w:type="paragraph" w:styleId="790">
    <w:name w:val="日期"/>
    <w:basedOn w:val="760"/>
    <w:next w:val="760"/>
    <w:link w:val="791"/>
    <w:uiPriority w:val="99"/>
    <w:qFormat/>
    <w:rPr>
      <w:sz w:val="24"/>
      <w:szCs w:val="20"/>
    </w:rPr>
  </w:style>
  <w:style w:type="character" w:styleId="791">
    <w:name w:val="日期 Char"/>
    <w:next w:val="791"/>
    <w:link w:val="790"/>
    <w:uiPriority w:val="99"/>
    <w:qFormat/>
    <w:rPr>
      <w:rFonts w:cs="Times New Roman"/>
      <w:sz w:val="24"/>
    </w:rPr>
  </w:style>
  <w:style w:type="paragraph" w:styleId="792">
    <w:name w:val="批注框文本"/>
    <w:basedOn w:val="760"/>
    <w:next w:val="792"/>
    <w:link w:val="793"/>
    <w:rPr>
      <w:sz w:val="18"/>
      <w:szCs w:val="18"/>
    </w:rPr>
  </w:style>
  <w:style w:type="character" w:styleId="793">
    <w:name w:val="批注框文本 Char"/>
    <w:next w:val="793"/>
    <w:link w:val="792"/>
    <w:qFormat/>
    <w:rPr>
      <w:rFonts w:cs="Times New Roman"/>
      <w:sz w:val="18"/>
      <w:szCs w:val="18"/>
    </w:rPr>
  </w:style>
  <w:style w:type="paragraph" w:styleId="794">
    <w:name w:val="页脚"/>
    <w:basedOn w:val="760"/>
    <w:next w:val="794"/>
    <w:link w:val="795"/>
    <w:qFormat/>
    <w:pPr>
      <w:jc w:val="left"/>
      <w:tabs>
        <w:tab w:val="center" w:pos="4153" w:leader="none"/>
        <w:tab w:val="right" w:pos="8306" w:leader="none"/>
      </w:tabs>
    </w:pPr>
    <w:rPr>
      <w:sz w:val="18"/>
      <w:szCs w:val="18"/>
    </w:rPr>
  </w:style>
  <w:style w:type="character" w:styleId="795">
    <w:name w:val="页脚 Char"/>
    <w:next w:val="795"/>
    <w:link w:val="794"/>
    <w:qFormat/>
    <w:rPr>
      <w:rFonts w:cs="Times New Roman"/>
      <w:sz w:val="18"/>
      <w:szCs w:val="18"/>
    </w:rPr>
  </w:style>
  <w:style w:type="paragraph" w:styleId="796">
    <w:name w:val="页眉"/>
    <w:basedOn w:val="760"/>
    <w:next w:val="796"/>
    <w:link w:val="797"/>
    <w:qFormat/>
    <w:pPr>
      <w:jc w:val="center"/>
      <w:tabs>
        <w:tab w:val="center" w:pos="4153" w:leader="none"/>
        <w:tab w:val="right" w:pos="8306" w:leader="none"/>
      </w:tabs>
      <w:pBdr>
        <w:bottom w:val="single" w:color="000000" w:sz="6" w:space="1"/>
      </w:pBdr>
    </w:pPr>
    <w:rPr>
      <w:sz w:val="18"/>
      <w:szCs w:val="18"/>
    </w:rPr>
  </w:style>
  <w:style w:type="character" w:styleId="797">
    <w:name w:val="页眉 Char"/>
    <w:next w:val="797"/>
    <w:link w:val="796"/>
    <w:qFormat/>
    <w:rPr>
      <w:rFonts w:cs="Times New Roman"/>
      <w:sz w:val="18"/>
      <w:szCs w:val="18"/>
    </w:rPr>
  </w:style>
  <w:style w:type="paragraph" w:styleId="798">
    <w:name w:val="目录 4"/>
    <w:basedOn w:val="760"/>
    <w:next w:val="760"/>
    <w:link w:val="760"/>
    <w:uiPriority w:val="99"/>
    <w:semiHidden/>
    <w:qFormat/>
    <w:pPr>
      <w:ind w:left="630"/>
      <w:jc w:val="left"/>
    </w:pPr>
    <w:rPr>
      <w:sz w:val="18"/>
    </w:rPr>
  </w:style>
  <w:style w:type="paragraph" w:styleId="799">
    <w:name w:val="列表"/>
    <w:basedOn w:val="800"/>
    <w:next w:val="799"/>
    <w:link w:val="760"/>
    <w:uiPriority w:val="99"/>
    <w:qFormat/>
    <w:pPr>
      <w:jc w:val="left"/>
      <w:spacing w:after="120"/>
    </w:pPr>
    <w:rPr>
      <w:rFonts w:eastAsia="宋体"/>
      <w:b w:val="0"/>
    </w:rPr>
  </w:style>
  <w:style w:type="paragraph" w:styleId="800">
    <w:name w:val="BodyText1"/>
    <w:basedOn w:val="760"/>
    <w:next w:val="800"/>
    <w:link w:val="801"/>
    <w:uiPriority w:val="99"/>
    <w:qFormat/>
    <w:pPr>
      <w:jc w:val="center"/>
    </w:pPr>
    <w:rPr>
      <w:rFonts w:eastAsia="幼圆"/>
      <w:b/>
      <w:sz w:val="24"/>
      <w:szCs w:val="20"/>
    </w:rPr>
  </w:style>
  <w:style w:type="character" w:styleId="801">
    <w:name w:val="UserStyle_52"/>
    <w:next w:val="801"/>
    <w:link w:val="800"/>
    <w:uiPriority w:val="99"/>
    <w:qFormat/>
    <w:rPr>
      <w:rFonts w:eastAsia="幼圆"/>
      <w:b/>
      <w:sz w:val="24"/>
    </w:rPr>
  </w:style>
  <w:style w:type="paragraph" w:styleId="802">
    <w:name w:val="目录 2"/>
    <w:basedOn w:val="760"/>
    <w:next w:val="760"/>
    <w:link w:val="760"/>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03">
    <w:name w:val="HTML 预设格式"/>
    <w:basedOn w:val="760"/>
    <w:next w:val="803"/>
    <w:link w:val="804"/>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04">
    <w:name w:val="HTML 预设格式 Char"/>
    <w:next w:val="804"/>
    <w:link w:val="803"/>
    <w:uiPriority w:val="99"/>
    <w:semiHidden/>
    <w:rPr>
      <w:rFonts w:ascii="宋体" w:hAnsi="宋体" w:cs="宋体"/>
      <w:sz w:val="24"/>
      <w:szCs w:val="24"/>
    </w:rPr>
  </w:style>
  <w:style w:type="paragraph" w:styleId="805">
    <w:name w:val="普通(网站)"/>
    <w:basedOn w:val="760"/>
    <w:next w:val="805"/>
    <w:link w:val="760"/>
    <w:uiPriority w:val="99"/>
    <w:qFormat/>
    <w:pPr>
      <w:jc w:val="left"/>
      <w:spacing w:before="100" w:beforeAutospacing="1" w:after="100" w:afterAutospacing="1"/>
    </w:pPr>
    <w:rPr>
      <w:rFonts w:ascii="Arial" w:hAnsi="Arial" w:cs="Arial"/>
      <w:sz w:val="24"/>
    </w:rPr>
  </w:style>
  <w:style w:type="paragraph" w:styleId="806">
    <w:name w:val="标题"/>
    <w:basedOn w:val="760"/>
    <w:next w:val="806"/>
    <w:link w:val="807"/>
    <w:uiPriority w:val="99"/>
    <w:qFormat/>
    <w:pPr>
      <w:jc w:val="center"/>
    </w:pPr>
    <w:rPr>
      <w:b/>
      <w:sz w:val="30"/>
      <w:szCs w:val="20"/>
    </w:rPr>
  </w:style>
  <w:style w:type="character" w:styleId="807">
    <w:name w:val="标题 Char"/>
    <w:next w:val="807"/>
    <w:link w:val="806"/>
    <w:uiPriority w:val="99"/>
    <w:qFormat/>
    <w:rPr>
      <w:rFonts w:cs="Times New Roman"/>
      <w:b/>
      <w:sz w:val="30"/>
    </w:rPr>
  </w:style>
  <w:style w:type="paragraph" w:styleId="808">
    <w:name w:val="批注主题"/>
    <w:basedOn w:val="782"/>
    <w:next w:val="782"/>
    <w:link w:val="809"/>
    <w:qFormat/>
    <w:rPr>
      <w:b/>
      <w:bCs/>
      <w:color w:val="000000"/>
    </w:rPr>
  </w:style>
  <w:style w:type="character" w:styleId="809">
    <w:name w:val="批注主题 Char"/>
    <w:next w:val="809"/>
    <w:link w:val="808"/>
    <w:qFormat/>
    <w:rPr>
      <w:rFonts w:cs="Times New Roman"/>
      <w:b/>
      <w:bCs/>
      <w:sz w:val="24"/>
      <w:szCs w:val="24"/>
    </w:rPr>
  </w:style>
  <w:style w:type="table" w:styleId="810">
    <w:name w:val="网格型"/>
    <w:basedOn w:val="771"/>
    <w:next w:val="810"/>
    <w:link w:val="760"/>
    <w:uiPriority w:val="99"/>
    <w:qFormat/>
    <w:tblPr/>
  </w:style>
  <w:style w:type="character" w:styleId="811">
    <w:name w:val="已访问的超链接"/>
    <w:next w:val="811"/>
    <w:link w:val="760"/>
    <w:uiPriority w:val="99"/>
    <w:qFormat/>
    <w:rPr>
      <w:rFonts w:cs="Times New Roman"/>
      <w:color w:val="000000"/>
      <w:sz w:val="18"/>
    </w:rPr>
  </w:style>
  <w:style w:type="character" w:styleId="812">
    <w:name w:val="强调"/>
    <w:next w:val="812"/>
    <w:link w:val="760"/>
    <w:uiPriority w:val="99"/>
    <w:qFormat/>
    <w:rPr>
      <w:rFonts w:cs="Times New Roman"/>
      <w:color w:val="cc0000"/>
    </w:rPr>
  </w:style>
  <w:style w:type="character" w:styleId="813">
    <w:name w:val="HTML 打字机"/>
    <w:next w:val="813"/>
    <w:link w:val="760"/>
    <w:uiPriority w:val="99"/>
    <w:unhideWhenUsed/>
    <w:qFormat/>
    <w:rPr>
      <w:rFonts w:ascii="monospace" w:hAnsi="monospace" w:eastAsia="monospace" w:cs="monospace"/>
      <w:sz w:val="20"/>
    </w:rPr>
  </w:style>
  <w:style w:type="character" w:styleId="814">
    <w:name w:val="HTML 缩写"/>
    <w:next w:val="814"/>
    <w:link w:val="760"/>
    <w:uiPriority w:val="99"/>
    <w:unhideWhenUsed/>
    <w:qFormat/>
  </w:style>
  <w:style w:type="character" w:styleId="815">
    <w:name w:val="超链接"/>
    <w:next w:val="815"/>
    <w:link w:val="760"/>
    <w:qFormat/>
    <w:rPr>
      <w:rFonts w:cs="Times New Roman"/>
      <w:color w:val="000000"/>
      <w:sz w:val="18"/>
    </w:rPr>
  </w:style>
  <w:style w:type="character" w:styleId="816">
    <w:name w:val="HTML 代码"/>
    <w:next w:val="816"/>
    <w:link w:val="760"/>
    <w:uiPriority w:val="99"/>
    <w:unhideWhenUsed/>
    <w:qFormat/>
    <w:rPr>
      <w:rFonts w:ascii="monospace" w:hAnsi="monospace" w:eastAsia="monospace" w:cs="monospace"/>
      <w:sz w:val="20"/>
    </w:rPr>
  </w:style>
  <w:style w:type="character" w:styleId="817">
    <w:name w:val="批注引用"/>
    <w:next w:val="817"/>
    <w:link w:val="760"/>
    <w:qFormat/>
    <w:rPr>
      <w:rFonts w:cs="Times New Roman"/>
      <w:sz w:val="21"/>
      <w:szCs w:val="21"/>
    </w:rPr>
  </w:style>
  <w:style w:type="character" w:styleId="818">
    <w:name w:val="HTML 引文"/>
    <w:next w:val="818"/>
    <w:link w:val="760"/>
    <w:uiPriority w:val="99"/>
    <w:unhideWhenUsed/>
    <w:qFormat/>
    <w:rPr>
      <w:color w:val="008000"/>
    </w:rPr>
  </w:style>
  <w:style w:type="character" w:styleId="819">
    <w:name w:val="HTML 键盘"/>
    <w:next w:val="819"/>
    <w:link w:val="760"/>
    <w:uiPriority w:val="99"/>
    <w:unhideWhenUsed/>
    <w:qFormat/>
    <w:rPr>
      <w:rFonts w:ascii="monospace" w:hAnsi="monospace" w:eastAsia="monospace" w:cs="monospace"/>
      <w:sz w:val="20"/>
    </w:rPr>
  </w:style>
  <w:style w:type="character" w:styleId="820">
    <w:name w:val="HTML 样本"/>
    <w:next w:val="820"/>
    <w:link w:val="760"/>
    <w:uiPriority w:val="99"/>
    <w:unhideWhenUsed/>
    <w:qFormat/>
    <w:rPr>
      <w:rFonts w:ascii="monospace" w:hAnsi="monospace" w:eastAsia="monospace" w:cs="monospace"/>
    </w:rPr>
  </w:style>
  <w:style w:type="character" w:styleId="821">
    <w:name w:val="UserStyle_39"/>
    <w:next w:val="821"/>
    <w:link w:val="822"/>
    <w:uiPriority w:val="99"/>
    <w:qFormat/>
    <w:rPr>
      <w:rFonts w:ascii="Arial" w:hAnsi="Arial"/>
      <w:sz w:val="24"/>
    </w:rPr>
  </w:style>
  <w:style w:type="paragraph" w:styleId="822">
    <w:name w:val="UserStyle_40"/>
    <w:basedOn w:val="823"/>
    <w:next w:val="822"/>
    <w:link w:val="821"/>
    <w:uiPriority w:val="99"/>
    <w:qFormat/>
  </w:style>
  <w:style w:type="paragraph" w:styleId="823">
    <w:name w:val="UserStyle_9"/>
    <w:basedOn w:val="760"/>
    <w:next w:val="823"/>
    <w:link w:val="824"/>
    <w:uiPriority w:val="99"/>
    <w:qFormat/>
    <w:pPr>
      <w:ind w:left="3240" w:hanging="3240"/>
    </w:pPr>
    <w:rPr>
      <w:rFonts w:ascii="Arial" w:hAnsi="Arial"/>
      <w:sz w:val="24"/>
      <w:szCs w:val="20"/>
    </w:rPr>
  </w:style>
  <w:style w:type="character" w:styleId="824">
    <w:name w:val="UserStyle_8"/>
    <w:next w:val="824"/>
    <w:link w:val="823"/>
    <w:uiPriority w:val="99"/>
    <w:qFormat/>
    <w:rPr>
      <w:rFonts w:ascii="Arial" w:hAnsi="Arial"/>
      <w:sz w:val="24"/>
    </w:rPr>
  </w:style>
  <w:style w:type="character" w:styleId="825">
    <w:name w:val="UserStyle_35"/>
    <w:next w:val="825"/>
    <w:link w:val="760"/>
    <w:uiPriority w:val="99"/>
    <w:qFormat/>
    <w:rPr>
      <w:rFonts w:ascii="Cambria" w:hAnsi="Cambria"/>
      <w:b/>
      <w:sz w:val="24"/>
    </w:rPr>
  </w:style>
  <w:style w:type="character" w:styleId="826">
    <w:name w:val="UserStyle_46"/>
    <w:next w:val="826"/>
    <w:link w:val="760"/>
    <w:uiPriority w:val="99"/>
    <w:qFormat/>
    <w:rPr>
      <w:rFonts w:ascii="Verdana" w:hAnsi="Verdana"/>
      <w:sz w:val="21"/>
    </w:rPr>
  </w:style>
  <w:style w:type="character" w:styleId="827">
    <w:name w:val="UserStyle_14"/>
    <w:next w:val="827"/>
    <w:link w:val="760"/>
    <w:uiPriority w:val="99"/>
    <w:qFormat/>
    <w:rPr>
      <w:rFonts w:ascii="宋体" w:hAnsi="宋体" w:eastAsia="宋体"/>
      <w:color w:val="000000"/>
      <w:sz w:val="20"/>
    </w:rPr>
  </w:style>
  <w:style w:type="character" w:styleId="828">
    <w:name w:val="UserStyle_47"/>
    <w:next w:val="828"/>
    <w:link w:val="829"/>
    <w:uiPriority w:val="99"/>
    <w:qFormat/>
    <w:rPr>
      <w:rFonts w:ascii="宋体" w:hAnsi="Courier New" w:eastAsia="楷体_GB2312"/>
      <w:sz w:val="26"/>
    </w:rPr>
  </w:style>
  <w:style w:type="paragraph" w:styleId="829">
    <w:name w:val="UserStyle_48"/>
    <w:basedOn w:val="760"/>
    <w:next w:val="829"/>
    <w:link w:val="828"/>
    <w:uiPriority w:val="99"/>
    <w:qFormat/>
    <w:rPr>
      <w:rFonts w:ascii="宋体" w:hAnsi="Courier New" w:eastAsia="楷体_GB2312"/>
      <w:sz w:val="26"/>
      <w:szCs w:val="20"/>
    </w:rPr>
  </w:style>
  <w:style w:type="character" w:styleId="830">
    <w:name w:val="UserStyle_13"/>
    <w:next w:val="830"/>
    <w:link w:val="760"/>
    <w:uiPriority w:val="99"/>
    <w:qFormat/>
    <w:rPr>
      <w:rFonts w:ascii="宋体" w:hAnsi="宋体" w:eastAsia="宋体"/>
      <w:color w:val="000000"/>
      <w:sz w:val="24"/>
    </w:rPr>
  </w:style>
  <w:style w:type="character" w:styleId="831">
    <w:name w:val="UserStyle_44"/>
    <w:next w:val="831"/>
    <w:link w:val="760"/>
    <w:uiPriority w:val="99"/>
    <w:qFormat/>
    <w:rPr>
      <w:rFonts w:ascii="Cambria" w:hAnsi="Cambria"/>
      <w:sz w:val="21"/>
    </w:rPr>
  </w:style>
  <w:style w:type="character" w:styleId="832">
    <w:name w:val="UserStyle_45"/>
    <w:next w:val="832"/>
    <w:link w:val="760"/>
    <w:uiPriority w:val="99"/>
    <w:qFormat/>
    <w:rPr>
      <w:b/>
      <w:sz w:val="24"/>
    </w:rPr>
  </w:style>
  <w:style w:type="character" w:styleId="833">
    <w:name w:val="UserStyle_19"/>
    <w:next w:val="833"/>
    <w:link w:val="760"/>
    <w:uiPriority w:val="99"/>
    <w:qFormat/>
    <w:rPr>
      <w:b/>
      <w:sz w:val="28"/>
    </w:rPr>
  </w:style>
  <w:style w:type="character" w:styleId="834">
    <w:name w:val="UserStyle_32"/>
    <w:next w:val="834"/>
    <w:link w:val="760"/>
    <w:uiPriority w:val="99"/>
    <w:qFormat/>
    <w:rPr>
      <w:rFonts w:ascii="Cambria" w:hAnsi="Cambria"/>
      <w:b/>
      <w:sz w:val="32"/>
    </w:rPr>
  </w:style>
  <w:style w:type="character" w:styleId="835">
    <w:name w:val="UserStyle_16"/>
    <w:next w:val="835"/>
    <w:link w:val="836"/>
    <w:uiPriority w:val="99"/>
    <w:qFormat/>
    <w:rPr>
      <w:sz w:val="18"/>
    </w:rPr>
  </w:style>
  <w:style w:type="paragraph" w:styleId="836">
    <w:name w:val="页脚1"/>
    <w:basedOn w:val="760"/>
    <w:next w:val="836"/>
    <w:link w:val="835"/>
    <w:uiPriority w:val="99"/>
    <w:qFormat/>
    <w:pPr>
      <w:jc w:val="left"/>
      <w:tabs>
        <w:tab w:val="center" w:pos="4153" w:leader="none"/>
        <w:tab w:val="right" w:pos="8306" w:leader="none"/>
      </w:tabs>
    </w:pPr>
    <w:rPr>
      <w:sz w:val="18"/>
      <w:szCs w:val="20"/>
    </w:rPr>
  </w:style>
  <w:style w:type="character" w:styleId="837">
    <w:name w:val="UserStyle_29"/>
    <w:next w:val="837"/>
    <w:link w:val="760"/>
    <w:uiPriority w:val="99"/>
    <w:qFormat/>
    <w:rPr>
      <w:rFonts w:eastAsia="宋体"/>
      <w:sz w:val="24"/>
      <w:lang w:val="en-US" w:eastAsia="zh-CN"/>
    </w:rPr>
  </w:style>
  <w:style w:type="character" w:styleId="838">
    <w:name w:val="UserStyle_36"/>
    <w:next w:val="838"/>
    <w:link w:val="760"/>
    <w:uiPriority w:val="99"/>
    <w:qFormat/>
    <w:rPr>
      <w:rFonts w:eastAsia="宋体"/>
      <w:sz w:val="18"/>
      <w:lang w:val="en-US" w:eastAsia="zh-CN"/>
    </w:rPr>
  </w:style>
  <w:style w:type="character" w:styleId="839">
    <w:name w:val="HtmlCode1"/>
    <w:next w:val="839"/>
    <w:link w:val="760"/>
    <w:uiPriority w:val="99"/>
    <w:qFormat/>
    <w:rPr>
      <w:rFonts w:ascii="Courier New" w:hAnsi="Courier New"/>
      <w:sz w:val="20"/>
    </w:rPr>
  </w:style>
  <w:style w:type="character" w:styleId="840">
    <w:name w:val="UserStyle_31"/>
    <w:next w:val="840"/>
    <w:link w:val="841"/>
    <w:uiPriority w:val="99"/>
    <w:semiHidden/>
    <w:qFormat/>
    <w:rPr>
      <w:rFonts w:ascii="Courier New" w:hAnsi="Courier New"/>
      <w:lang w:val="en-US" w:eastAsia="zh-CN" w:bidi="ar-SA"/>
    </w:rPr>
  </w:style>
  <w:style w:type="paragraph" w:styleId="841">
    <w:name w:val="宏文本1"/>
    <w:next w:val="841"/>
    <w:link w:val="840"/>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42">
    <w:name w:val="UserStyle_22"/>
    <w:next w:val="842"/>
    <w:link w:val="760"/>
    <w:uiPriority w:val="99"/>
    <w:qFormat/>
    <w:rPr>
      <w:rFonts w:ascii="Times New Roman" w:hAnsi="Times New Roman"/>
      <w:color w:val="000000"/>
      <w:sz w:val="21"/>
    </w:rPr>
  </w:style>
  <w:style w:type="character" w:styleId="843">
    <w:name w:val="UserStyle_26"/>
    <w:next w:val="843"/>
    <w:link w:val="844"/>
    <w:uiPriority w:val="99"/>
    <w:qFormat/>
    <w:rPr>
      <w:sz w:val="24"/>
    </w:rPr>
  </w:style>
  <w:style w:type="paragraph" w:styleId="844">
    <w:name w:val="BodyTextIndent1"/>
    <w:basedOn w:val="760"/>
    <w:next w:val="844"/>
    <w:link w:val="843"/>
    <w:uiPriority w:val="99"/>
    <w:qFormat/>
    <w:pPr>
      <w:ind w:left="420"/>
      <w:spacing w:after="120"/>
    </w:pPr>
    <w:rPr>
      <w:sz w:val="24"/>
      <w:szCs w:val="20"/>
    </w:rPr>
  </w:style>
  <w:style w:type="character" w:styleId="845">
    <w:name w:val="UserStyle_50"/>
    <w:next w:val="845"/>
    <w:link w:val="846"/>
    <w:uiPriority w:val="99"/>
    <w:qFormat/>
    <w:rPr>
      <w:rFonts w:ascii="宋体"/>
      <w:sz w:val="28"/>
    </w:rPr>
  </w:style>
  <w:style w:type="paragraph" w:styleId="846">
    <w:name w:val="UserStyle_51"/>
    <w:basedOn w:val="760"/>
    <w:next w:val="846"/>
    <w:link w:val="845"/>
    <w:uiPriority w:val="99"/>
    <w:qFormat/>
    <w:pPr>
      <w:numPr>
        <w:ilvl w:val="0"/>
        <w:numId w:val="1"/>
      </w:numPr>
      <w:ind w:left="0" w:firstLine="0"/>
      <w:spacing w:before="120"/>
      <w:tabs>
        <w:tab w:val="left" w:pos="720" w:leader="none"/>
      </w:tabs>
    </w:pPr>
    <w:rPr>
      <w:rFonts w:ascii="宋体"/>
      <w:sz w:val="28"/>
      <w:szCs w:val="20"/>
    </w:rPr>
  </w:style>
  <w:style w:type="character" w:styleId="847">
    <w:name w:val="UserStyle_20"/>
    <w:next w:val="847"/>
    <w:link w:val="760"/>
    <w:uiPriority w:val="99"/>
    <w:qFormat/>
    <w:rPr>
      <w:rFonts w:eastAsia="宋体"/>
      <w:sz w:val="18"/>
      <w:lang w:val="en-US" w:eastAsia="zh-CN"/>
    </w:rPr>
  </w:style>
  <w:style w:type="character" w:styleId="848">
    <w:name w:val="UserStyle_28"/>
    <w:next w:val="848"/>
    <w:link w:val="760"/>
    <w:uiPriority w:val="99"/>
    <w:qFormat/>
    <w:rPr>
      <w:rFonts w:ascii="宋体" w:hAnsi="宋体" w:eastAsia="宋体"/>
      <w:color w:val="000000"/>
      <w:sz w:val="21"/>
    </w:rPr>
  </w:style>
  <w:style w:type="character" w:styleId="849">
    <w:name w:val="UserStyle_43"/>
    <w:next w:val="849"/>
    <w:link w:val="760"/>
    <w:uiPriority w:val="99"/>
    <w:qFormat/>
    <w:rPr>
      <w:rFonts w:ascii="Cambria" w:hAnsi="Cambria"/>
      <w:b/>
      <w:sz w:val="28"/>
    </w:rPr>
  </w:style>
  <w:style w:type="character" w:styleId="850">
    <w:name w:val="UserStyle_10"/>
    <w:next w:val="850"/>
    <w:link w:val="760"/>
    <w:uiPriority w:val="99"/>
    <w:qFormat/>
    <w:rPr>
      <w:rFonts w:ascii="Times New Roman" w:hAnsi="Times New Roman" w:eastAsia="宋体"/>
      <w:sz w:val="24"/>
    </w:rPr>
  </w:style>
  <w:style w:type="character" w:styleId="851">
    <w:name w:val="HtmlCite1"/>
    <w:next w:val="851"/>
    <w:link w:val="760"/>
    <w:uiPriority w:val="99"/>
    <w:qFormat/>
    <w:rPr>
      <w:color w:val="008000"/>
    </w:rPr>
  </w:style>
  <w:style w:type="character" w:styleId="852">
    <w:name w:val="UserStyle_3"/>
    <w:next w:val="852"/>
    <w:link w:val="853"/>
    <w:uiPriority w:val="99"/>
    <w:qFormat/>
    <w:rPr>
      <w:b/>
      <w:sz w:val="24"/>
    </w:rPr>
  </w:style>
  <w:style w:type="paragraph" w:styleId="853">
    <w:name w:val="AnnotationSubject1"/>
    <w:basedOn w:val="854"/>
    <w:next w:val="854"/>
    <w:link w:val="852"/>
    <w:uiPriority w:val="99"/>
    <w:qFormat/>
    <w:rPr>
      <w:b/>
    </w:rPr>
  </w:style>
  <w:style w:type="paragraph" w:styleId="854">
    <w:name w:val="AnnotationText1"/>
    <w:basedOn w:val="760"/>
    <w:next w:val="854"/>
    <w:link w:val="855"/>
    <w:uiPriority w:val="99"/>
    <w:qFormat/>
    <w:pPr>
      <w:jc w:val="left"/>
    </w:pPr>
    <w:rPr>
      <w:sz w:val="24"/>
      <w:szCs w:val="20"/>
    </w:rPr>
  </w:style>
  <w:style w:type="character" w:styleId="855">
    <w:name w:val="UserStyle_30"/>
    <w:next w:val="855"/>
    <w:link w:val="854"/>
    <w:uiPriority w:val="99"/>
    <w:qFormat/>
    <w:rPr>
      <w:sz w:val="24"/>
    </w:rPr>
  </w:style>
  <w:style w:type="character" w:styleId="856">
    <w:name w:val="UserStyle_5"/>
    <w:next w:val="856"/>
    <w:link w:val="760"/>
    <w:uiPriority w:val="99"/>
    <w:qFormat/>
    <w:rPr>
      <w:b/>
      <w:sz w:val="44"/>
    </w:rPr>
  </w:style>
  <w:style w:type="character" w:styleId="857">
    <w:name w:val="font71"/>
    <w:next w:val="857"/>
    <w:link w:val="760"/>
    <w:qFormat/>
    <w:rPr>
      <w:rFonts w:hint="eastAsia" w:ascii="宋体" w:hAnsi="宋体" w:eastAsia="宋体" w:cs="宋体"/>
      <w:color w:val="000000"/>
      <w:sz w:val="21"/>
      <w:szCs w:val="21"/>
      <w:u w:val="none"/>
    </w:rPr>
  </w:style>
  <w:style w:type="character" w:styleId="858">
    <w:name w:val="font81"/>
    <w:next w:val="858"/>
    <w:link w:val="760"/>
    <w:qFormat/>
    <w:rPr>
      <w:rFonts w:hint="eastAsia" w:ascii="宋体" w:hAnsi="宋体" w:eastAsia="宋体" w:cs="宋体"/>
      <w:color w:val="ff0000"/>
      <w:sz w:val="20"/>
      <w:szCs w:val="20"/>
      <w:u w:val="none"/>
    </w:rPr>
  </w:style>
  <w:style w:type="character" w:styleId="859">
    <w:name w:val="font01"/>
    <w:next w:val="859"/>
    <w:link w:val="760"/>
    <w:uiPriority w:val="99"/>
    <w:qFormat/>
    <w:rPr>
      <w:rFonts w:ascii="Times New Roman" w:hAnsi="Times New Roman"/>
      <w:color w:val="000000"/>
      <w:sz w:val="24"/>
      <w:u w:val="none"/>
    </w:rPr>
  </w:style>
  <w:style w:type="character" w:styleId="860">
    <w:name w:val="font101"/>
    <w:next w:val="860"/>
    <w:link w:val="760"/>
    <w:qFormat/>
    <w:rPr>
      <w:rFonts w:hint="eastAsia" w:ascii="宋体" w:hAnsi="宋体" w:eastAsia="宋体" w:cs="宋体"/>
      <w:color w:val="ff0000"/>
      <w:sz w:val="21"/>
      <w:szCs w:val="21"/>
      <w:u w:val="none"/>
    </w:rPr>
  </w:style>
  <w:style w:type="character" w:styleId="861">
    <w:name w:val="UserStyle_27"/>
    <w:next w:val="861"/>
    <w:link w:val="760"/>
    <w:uiPriority w:val="99"/>
    <w:qFormat/>
    <w:rPr>
      <w:rFonts w:eastAsia="宋体"/>
      <w:sz w:val="24"/>
      <w:lang w:val="en-US" w:eastAsia="zh-CN"/>
    </w:rPr>
  </w:style>
  <w:style w:type="character" w:styleId="862">
    <w:name w:val="UserStyle_12"/>
    <w:next w:val="862"/>
    <w:link w:val="760"/>
    <w:uiPriority w:val="99"/>
    <w:qFormat/>
  </w:style>
  <w:style w:type="character" w:styleId="863">
    <w:name w:val="UserStyle_37"/>
    <w:next w:val="863"/>
    <w:link w:val="760"/>
    <w:uiPriority w:val="99"/>
    <w:qFormat/>
    <w:rPr>
      <w:rFonts w:ascii="Cambria" w:hAnsi="Cambria"/>
      <w:sz w:val="24"/>
    </w:rPr>
  </w:style>
  <w:style w:type="character" w:styleId="864">
    <w:name w:val="UserStyle_2"/>
    <w:next w:val="864"/>
    <w:link w:val="865"/>
    <w:uiPriority w:val="99"/>
    <w:qFormat/>
    <w:rPr>
      <w:sz w:val="21"/>
    </w:rPr>
  </w:style>
  <w:style w:type="paragraph" w:styleId="865">
    <w:name w:val="BodyText21"/>
    <w:basedOn w:val="760"/>
    <w:next w:val="865"/>
    <w:link w:val="864"/>
    <w:uiPriority w:val="99"/>
    <w:qFormat/>
    <w:pPr>
      <w:spacing w:after="120" w:line="480" w:lineRule="auto"/>
    </w:pPr>
    <w:rPr>
      <w:szCs w:val="20"/>
    </w:rPr>
  </w:style>
  <w:style w:type="character" w:styleId="866">
    <w:name w:val="纯文本 Char1"/>
    <w:next w:val="866"/>
    <w:link w:val="760"/>
    <w:uiPriority w:val="99"/>
    <w:semiHidden/>
    <w:qFormat/>
    <w:rPr>
      <w:rFonts w:ascii="宋体" w:hAnsi="Courier New" w:cs="Courier New"/>
      <w:sz w:val="21"/>
      <w:szCs w:val="21"/>
    </w:rPr>
  </w:style>
  <w:style w:type="character" w:styleId="867">
    <w:name w:val="UserStyle_33"/>
    <w:next w:val="867"/>
    <w:link w:val="760"/>
    <w:uiPriority w:val="99"/>
    <w:qFormat/>
    <w:rPr>
      <w:rFonts w:eastAsia="宋体"/>
      <w:sz w:val="24"/>
      <w:lang w:val="en-US" w:eastAsia="zh-CN"/>
    </w:rPr>
  </w:style>
  <w:style w:type="character" w:styleId="868">
    <w:name w:val="UserStyle_11"/>
    <w:next w:val="868"/>
    <w:link w:val="869"/>
    <w:uiPriority w:val="99"/>
    <w:qFormat/>
    <w:rPr>
      <w:sz w:val="16"/>
    </w:rPr>
  </w:style>
  <w:style w:type="paragraph" w:styleId="869">
    <w:name w:val="BodyText31"/>
    <w:basedOn w:val="760"/>
    <w:next w:val="869"/>
    <w:link w:val="868"/>
    <w:uiPriority w:val="99"/>
    <w:qFormat/>
    <w:pPr>
      <w:spacing w:after="120"/>
    </w:pPr>
    <w:rPr>
      <w:sz w:val="16"/>
      <w:szCs w:val="20"/>
    </w:rPr>
  </w:style>
  <w:style w:type="character" w:styleId="870">
    <w:name w:val="UserStyle_7"/>
    <w:next w:val="870"/>
    <w:link w:val="871"/>
    <w:uiPriority w:val="99"/>
    <w:qFormat/>
    <w:rPr>
      <w:sz w:val="18"/>
    </w:rPr>
  </w:style>
  <w:style w:type="paragraph" w:styleId="871">
    <w:name w:val="页眉1"/>
    <w:basedOn w:val="760"/>
    <w:next w:val="871"/>
    <w:link w:val="870"/>
    <w:uiPriority w:val="99"/>
    <w:qFormat/>
    <w:pPr>
      <w:jc w:val="center"/>
      <w:tabs>
        <w:tab w:val="center" w:pos="4153" w:leader="none"/>
        <w:tab w:val="right" w:pos="8306" w:leader="none"/>
      </w:tabs>
      <w:pBdr>
        <w:bottom w:val="single" w:color="000000" w:sz="6" w:space="1"/>
      </w:pBdr>
    </w:pPr>
    <w:rPr>
      <w:sz w:val="18"/>
      <w:szCs w:val="20"/>
    </w:rPr>
  </w:style>
  <w:style w:type="character" w:styleId="872">
    <w:name w:val="UserStyle_23"/>
    <w:next w:val="872"/>
    <w:link w:val="760"/>
    <w:uiPriority w:val="99"/>
    <w:qFormat/>
    <w:rPr>
      <w:rFonts w:ascii="Calibri" w:hAnsi="Calibri"/>
      <w:color w:val="000000"/>
      <w:sz w:val="24"/>
    </w:rPr>
  </w:style>
  <w:style w:type="character" w:styleId="873">
    <w:name w:val="AnnotationReference1"/>
    <w:next w:val="873"/>
    <w:link w:val="760"/>
    <w:uiPriority w:val="99"/>
    <w:qFormat/>
    <w:rPr>
      <w:sz w:val="21"/>
    </w:rPr>
  </w:style>
  <w:style w:type="character" w:styleId="874">
    <w:name w:val="c-icon28"/>
    <w:next w:val="874"/>
    <w:link w:val="760"/>
    <w:qFormat/>
  </w:style>
  <w:style w:type="character" w:styleId="875">
    <w:name w:val="hover27"/>
    <w:next w:val="875"/>
    <w:link w:val="760"/>
    <w:qFormat/>
    <w:rPr>
      <w:color w:val="315efb"/>
    </w:rPr>
  </w:style>
  <w:style w:type="character" w:styleId="876">
    <w:name w:val="font91"/>
    <w:next w:val="876"/>
    <w:link w:val="760"/>
    <w:qFormat/>
    <w:rPr>
      <w:rFonts w:hint="eastAsia" w:ascii="宋体" w:hAnsi="宋体" w:eastAsia="宋体" w:cs="宋体"/>
      <w:b/>
      <w:bCs/>
      <w:color w:val="ff0000"/>
      <w:sz w:val="21"/>
      <w:szCs w:val="21"/>
      <w:u w:val="none"/>
    </w:rPr>
  </w:style>
  <w:style w:type="character" w:styleId="877">
    <w:name w:val="hover26"/>
    <w:next w:val="877"/>
    <w:link w:val="760"/>
    <w:qFormat/>
  </w:style>
  <w:style w:type="character" w:styleId="878">
    <w:name w:val="UserStyle_15"/>
    <w:next w:val="878"/>
    <w:link w:val="760"/>
    <w:uiPriority w:val="99"/>
    <w:qFormat/>
    <w:rPr>
      <w:rFonts w:eastAsia="宋体"/>
      <w:sz w:val="24"/>
      <w:lang w:val="en-US" w:eastAsia="zh-CN"/>
    </w:rPr>
  </w:style>
  <w:style w:type="character" w:styleId="879">
    <w:name w:val="UserStyle_1"/>
    <w:next w:val="879"/>
    <w:link w:val="880"/>
    <w:uiPriority w:val="99"/>
    <w:qFormat/>
    <w:rPr>
      <w:sz w:val="24"/>
    </w:rPr>
  </w:style>
  <w:style w:type="paragraph" w:styleId="880">
    <w:name w:val="NormalIndent1"/>
    <w:basedOn w:val="760"/>
    <w:next w:val="880"/>
    <w:link w:val="879"/>
    <w:uiPriority w:val="99"/>
    <w:qFormat/>
    <w:pPr>
      <w:ind w:firstLine="420"/>
    </w:pPr>
    <w:rPr>
      <w:sz w:val="24"/>
      <w:szCs w:val="20"/>
    </w:rPr>
  </w:style>
  <w:style w:type="character" w:styleId="881">
    <w:name w:val="UserStyle_41"/>
    <w:next w:val="881"/>
    <w:link w:val="882"/>
    <w:uiPriority w:val="99"/>
    <w:qFormat/>
    <w:rPr>
      <w:sz w:val="16"/>
    </w:rPr>
  </w:style>
  <w:style w:type="paragraph" w:styleId="882">
    <w:name w:val="BodyTextIndent31"/>
    <w:basedOn w:val="760"/>
    <w:next w:val="882"/>
    <w:link w:val="881"/>
    <w:uiPriority w:val="99"/>
    <w:qFormat/>
    <w:pPr>
      <w:ind w:left="420"/>
      <w:spacing w:after="120"/>
    </w:pPr>
    <w:rPr>
      <w:sz w:val="16"/>
      <w:szCs w:val="20"/>
    </w:rPr>
  </w:style>
  <w:style w:type="character" w:styleId="883">
    <w:name w:val="NormalCharacter1"/>
    <w:next w:val="883"/>
    <w:link w:val="760"/>
    <w:qFormat/>
  </w:style>
  <w:style w:type="character" w:styleId="884">
    <w:name w:val="UserStyle_49"/>
    <w:next w:val="884"/>
    <w:link w:val="760"/>
    <w:uiPriority w:val="99"/>
    <w:qFormat/>
    <w:rPr>
      <w:b/>
      <w:sz w:val="32"/>
    </w:rPr>
  </w:style>
  <w:style w:type="character" w:styleId="885">
    <w:name w:val="font21"/>
    <w:next w:val="885"/>
    <w:link w:val="760"/>
    <w:qFormat/>
    <w:rPr>
      <w:rFonts w:hint="eastAsia" w:ascii="宋体" w:hAnsi="宋体" w:eastAsia="宋体" w:cs="宋体"/>
      <w:b/>
      <w:bCs/>
      <w:color w:val="000000"/>
      <w:sz w:val="21"/>
      <w:szCs w:val="21"/>
      <w:u w:val="none"/>
    </w:rPr>
  </w:style>
  <w:style w:type="character" w:styleId="886">
    <w:name w:val="UserStyle_21"/>
    <w:next w:val="886"/>
    <w:link w:val="887"/>
    <w:uiPriority w:val="99"/>
    <w:qFormat/>
    <w:rPr>
      <w:sz w:val="18"/>
    </w:rPr>
  </w:style>
  <w:style w:type="paragraph" w:styleId="887">
    <w:name w:val="Acetate1"/>
    <w:basedOn w:val="760"/>
    <w:next w:val="887"/>
    <w:link w:val="886"/>
    <w:uiPriority w:val="99"/>
    <w:qFormat/>
    <w:rPr>
      <w:sz w:val="18"/>
      <w:szCs w:val="20"/>
    </w:rPr>
  </w:style>
  <w:style w:type="character" w:styleId="888">
    <w:name w:val="font31"/>
    <w:next w:val="888"/>
    <w:link w:val="760"/>
    <w:uiPriority w:val="99"/>
    <w:qFormat/>
    <w:rPr>
      <w:rFonts w:ascii="宋体" w:hAnsi="宋体" w:eastAsia="宋体"/>
      <w:color w:val="000000"/>
      <w:sz w:val="24"/>
      <w:u w:val="none"/>
    </w:rPr>
  </w:style>
  <w:style w:type="character" w:styleId="889">
    <w:name w:val="font51"/>
    <w:next w:val="889"/>
    <w:link w:val="760"/>
    <w:qFormat/>
    <w:rPr>
      <w:rFonts w:hint="eastAsia" w:ascii="仿宋" w:hAnsi="仿宋" w:eastAsia="仿宋" w:cs="仿宋"/>
      <w:color w:val="ff0000"/>
      <w:sz w:val="20"/>
      <w:szCs w:val="20"/>
      <w:u w:val="none"/>
    </w:rPr>
  </w:style>
  <w:style w:type="character" w:styleId="890">
    <w:name w:val="UserStyle_34"/>
    <w:next w:val="890"/>
    <w:link w:val="891"/>
    <w:uiPriority w:val="99"/>
    <w:qFormat/>
    <w:rPr>
      <w:rFonts w:ascii="宋体"/>
      <w:sz w:val="18"/>
    </w:rPr>
  </w:style>
  <w:style w:type="paragraph" w:styleId="891">
    <w:name w:val="NavPane1"/>
    <w:basedOn w:val="760"/>
    <w:next w:val="891"/>
    <w:link w:val="890"/>
    <w:uiPriority w:val="99"/>
    <w:qFormat/>
    <w:rPr>
      <w:rFonts w:ascii="宋体"/>
      <w:sz w:val="18"/>
      <w:szCs w:val="20"/>
    </w:rPr>
  </w:style>
  <w:style w:type="character" w:styleId="892">
    <w:name w:val="UserStyle_42"/>
    <w:next w:val="892"/>
    <w:link w:val="893"/>
    <w:uiPriority w:val="99"/>
    <w:qFormat/>
    <w:rPr>
      <w:rFonts w:ascii="宋体" w:hAnsi="Arial"/>
      <w:sz w:val="28"/>
    </w:rPr>
  </w:style>
  <w:style w:type="paragraph" w:styleId="893">
    <w:name w:val="BodyTextIndent21"/>
    <w:basedOn w:val="760"/>
    <w:next w:val="893"/>
    <w:link w:val="892"/>
    <w:uiPriority w:val="99"/>
    <w:qFormat/>
    <w:pPr>
      <w:ind w:left="-210" w:hanging="20"/>
      <w:spacing w:line="500" w:lineRule="exact"/>
    </w:pPr>
    <w:rPr>
      <w:rFonts w:ascii="宋体" w:hAnsi="Arial"/>
      <w:sz w:val="28"/>
      <w:szCs w:val="20"/>
    </w:rPr>
  </w:style>
  <w:style w:type="character" w:styleId="894">
    <w:name w:val="UserStyle_17"/>
    <w:next w:val="894"/>
    <w:link w:val="895"/>
    <w:uiPriority w:val="99"/>
    <w:qFormat/>
    <w:rPr>
      <w:sz w:val="24"/>
    </w:rPr>
  </w:style>
  <w:style w:type="paragraph" w:styleId="895">
    <w:name w:val="UserStyle_18"/>
    <w:basedOn w:val="760"/>
    <w:next w:val="895"/>
    <w:link w:val="894"/>
    <w:uiPriority w:val="99"/>
    <w:qFormat/>
    <w:pPr>
      <w:ind w:left="1098" w:hanging="2"/>
      <w:spacing w:after="60" w:line="264" w:lineRule="auto"/>
      <w:tabs>
        <w:tab w:val="left" w:pos="1020" w:leader="none"/>
        <w:tab w:val="left" w:pos="1090" w:leader="none"/>
      </w:tabs>
    </w:pPr>
    <w:rPr>
      <w:sz w:val="24"/>
      <w:szCs w:val="20"/>
    </w:rPr>
  </w:style>
  <w:style w:type="character" w:styleId="896">
    <w:name w:val="font41"/>
    <w:next w:val="896"/>
    <w:link w:val="760"/>
    <w:qFormat/>
    <w:rPr>
      <w:rFonts w:hint="eastAsia" w:ascii="宋体" w:hAnsi="宋体" w:eastAsia="宋体" w:cs="宋体"/>
      <w:b/>
      <w:bCs/>
      <w:color w:val="000000"/>
      <w:sz w:val="21"/>
      <w:szCs w:val="21"/>
      <w:u w:val="none"/>
    </w:rPr>
  </w:style>
  <w:style w:type="character" w:styleId="897">
    <w:name w:val="font11"/>
    <w:next w:val="897"/>
    <w:link w:val="760"/>
    <w:qFormat/>
    <w:rPr>
      <w:rFonts w:hint="eastAsia" w:ascii="宋体" w:hAnsi="宋体" w:eastAsia="宋体" w:cs="宋体"/>
      <w:b/>
      <w:bCs/>
      <w:color w:val="000000"/>
      <w:sz w:val="22"/>
      <w:szCs w:val="22"/>
      <w:u w:val="none"/>
    </w:rPr>
  </w:style>
  <w:style w:type="character" w:styleId="898">
    <w:name w:val="PageNumber1"/>
    <w:next w:val="898"/>
    <w:link w:val="760"/>
    <w:uiPriority w:val="99"/>
    <w:qFormat/>
    <w:rPr>
      <w:rFonts w:eastAsia="宋体"/>
      <w:b/>
      <w:sz w:val="24"/>
      <w:lang w:val="en-US" w:eastAsia="zh-CN"/>
    </w:rPr>
  </w:style>
  <w:style w:type="character" w:styleId="899">
    <w:name w:val="UserStyle_24"/>
    <w:next w:val="899"/>
    <w:link w:val="900"/>
    <w:uiPriority w:val="99"/>
    <w:qFormat/>
    <w:rPr>
      <w:rFonts w:ascii="宋体"/>
      <w:color w:val="000000"/>
      <w:sz w:val="24"/>
      <w:szCs w:val="24"/>
      <w:lang w:val="en-US" w:eastAsia="zh-CN" w:bidi="ar-SA"/>
    </w:rPr>
  </w:style>
  <w:style w:type="paragraph" w:styleId="900">
    <w:name w:val="UserStyle_25"/>
    <w:next w:val="900"/>
    <w:link w:val="899"/>
    <w:uiPriority w:val="99"/>
    <w:qFormat/>
    <w:rPr>
      <w:rFonts w:ascii="宋体"/>
      <w:color w:val="000000"/>
      <w:sz w:val="24"/>
      <w:szCs w:val="24"/>
      <w:lang w:val="en-US" w:eastAsia="zh-CN" w:bidi="ar-SA"/>
    </w:rPr>
  </w:style>
  <w:style w:type="character" w:styleId="901">
    <w:name w:val="font112"/>
    <w:next w:val="901"/>
    <w:link w:val="760"/>
    <w:qFormat/>
    <w:rPr>
      <w:rFonts w:hint="eastAsia" w:ascii="宋体" w:hAnsi="宋体" w:eastAsia="宋体" w:cs="宋体"/>
      <w:color w:val="555555"/>
      <w:sz w:val="21"/>
      <w:szCs w:val="21"/>
      <w:u w:val="none"/>
    </w:rPr>
  </w:style>
  <w:style w:type="character" w:styleId="902">
    <w:name w:val="UserStyle_0"/>
    <w:next w:val="902"/>
    <w:link w:val="903"/>
    <w:uiPriority w:val="99"/>
    <w:qFormat/>
    <w:rPr>
      <w:rFonts w:ascii="Ari"/>
      <w:lang w:val="en-US" w:eastAsia="zh-CN"/>
    </w:rPr>
  </w:style>
  <w:style w:type="paragraph" w:styleId="903">
    <w:name w:val="PlainText1"/>
    <w:basedOn w:val="760"/>
    <w:next w:val="903"/>
    <w:link w:val="902"/>
    <w:uiPriority w:val="99"/>
    <w:qFormat/>
    <w:rPr>
      <w:rFonts w:ascii="Ari"/>
      <w:sz w:val="20"/>
      <w:szCs w:val="20"/>
    </w:rPr>
  </w:style>
  <w:style w:type="character" w:styleId="904">
    <w:name w:val="UserStyle_38"/>
    <w:next w:val="904"/>
    <w:link w:val="760"/>
    <w:uiPriority w:val="99"/>
    <w:qFormat/>
  </w:style>
  <w:style w:type="character" w:styleId="905">
    <w:name w:val="Max1"/>
    <w:next w:val="905"/>
    <w:link w:val="760"/>
    <w:uiPriority w:val="99"/>
    <w:semiHidden/>
    <w:qFormat/>
    <w:rPr>
      <w:color w:val="808080"/>
    </w:rPr>
  </w:style>
  <w:style w:type="paragraph" w:styleId="906">
    <w:name w:val="UserStyle_75"/>
    <w:basedOn w:val="760"/>
    <w:next w:val="906"/>
    <w:link w:val="760"/>
    <w:uiPriority w:val="99"/>
    <w:qFormat/>
    <w:pPr>
      <w:ind w:left="795" w:hanging="360"/>
      <w:tabs>
        <w:tab w:val="left" w:pos="795" w:leader="none"/>
      </w:tabs>
    </w:pPr>
    <w:rPr>
      <w:sz w:val="24"/>
    </w:rPr>
  </w:style>
  <w:style w:type="paragraph" w:styleId="907">
    <w:name w:val="WPSOffice手动目录 1"/>
    <w:next w:val="907"/>
    <w:link w:val="760"/>
    <w:rPr>
      <w:lang w:val="en-US" w:eastAsia="zh-CN" w:bidi="ar-SA"/>
    </w:rPr>
  </w:style>
  <w:style w:type="paragraph" w:styleId="908">
    <w:name w:val="Heading11"/>
    <w:basedOn w:val="760"/>
    <w:next w:val="760"/>
    <w:link w:val="760"/>
    <w:uiPriority w:val="99"/>
    <w:qFormat/>
    <w:pPr>
      <w:numPr>
        <w:ilvl w:val="0"/>
        <w:numId w:val="2"/>
      </w:numPr>
      <w:jc w:val="center"/>
      <w:keepLines/>
      <w:keepNext/>
      <w:spacing w:before="340" w:after="330" w:line="578" w:lineRule="auto"/>
    </w:pPr>
    <w:rPr>
      <w:b/>
      <w:bCs/>
      <w:sz w:val="32"/>
      <w:szCs w:val="44"/>
    </w:rPr>
  </w:style>
  <w:style w:type="paragraph" w:styleId="909">
    <w:name w:val="266"/>
    <w:basedOn w:val="908"/>
    <w:next w:val="760"/>
    <w:link w:val="760"/>
    <w:uiPriority w:val="99"/>
    <w:qFormat/>
    <w:pPr>
      <w:numPr>
        <w:ilvl w:val="0"/>
        <w:numId w:val="0"/>
      </w:numPr>
      <w:jc w:val="left"/>
      <w:spacing w:before="480" w:after="0" w:line="276" w:lineRule="auto"/>
    </w:pPr>
    <w:rPr>
      <w:rFonts w:ascii="Cambria" w:hAnsi="Cambria"/>
      <w:color w:val="365f91"/>
      <w:sz w:val="28"/>
      <w:szCs w:val="28"/>
    </w:rPr>
  </w:style>
  <w:style w:type="paragraph" w:styleId="910">
    <w:name w:val="UserStyle_58"/>
    <w:basedOn w:val="760"/>
    <w:next w:val="910"/>
    <w:link w:val="760"/>
    <w:uiPriority w:val="99"/>
    <w:qFormat/>
    <w:pPr>
      <w:jc w:val="left"/>
    </w:pPr>
    <w:rPr>
      <w:sz w:val="24"/>
    </w:rPr>
  </w:style>
  <w:style w:type="paragraph" w:styleId="911">
    <w:name w:val="Heading81"/>
    <w:basedOn w:val="760"/>
    <w:next w:val="760"/>
    <w:link w:val="760"/>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912">
    <w:name w:val="Heading61"/>
    <w:basedOn w:val="760"/>
    <w:next w:val="760"/>
    <w:link w:val="760"/>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913">
    <w:name w:val="UserStyle_61"/>
    <w:basedOn w:val="891"/>
    <w:next w:val="913"/>
    <w:link w:val="760"/>
    <w:uiPriority w:val="99"/>
    <w:qFormat/>
    <w:pPr>
      <w:spacing w:line="360" w:lineRule="auto"/>
      <w:shd w:val="clear" w:color="auto" w:fill="000080"/>
    </w:pPr>
    <w:rPr>
      <w:rFonts w:ascii="Times New Roman"/>
      <w:sz w:val="21"/>
    </w:rPr>
  </w:style>
  <w:style w:type="paragraph" w:styleId="914">
    <w:name w:val="_Style 7"/>
    <w:basedOn w:val="761"/>
    <w:next w:val="760"/>
    <w:link w:val="760"/>
    <w:uiPriority w:val="99"/>
    <w:qFormat/>
    <w:pPr>
      <w:tabs>
        <w:tab w:val="left" w:pos="1440" w:leader="none"/>
        <w:tab w:val="left" w:pos="5670" w:leader="none"/>
      </w:tabs>
      <w:outlineLvl w:val="9"/>
    </w:pPr>
  </w:style>
  <w:style w:type="paragraph" w:styleId="915">
    <w:name w:val="font5"/>
    <w:basedOn w:val="760"/>
    <w:next w:val="915"/>
    <w:link w:val="760"/>
    <w:uiPriority w:val="99"/>
    <w:qFormat/>
    <w:pPr>
      <w:jc w:val="left"/>
      <w:spacing w:before="100" w:beforeAutospacing="1" w:after="100" w:afterAutospacing="1"/>
    </w:pPr>
    <w:rPr>
      <w:rFonts w:ascii="宋体" w:hAnsi="宋体" w:cs="宋体"/>
      <w:sz w:val="18"/>
      <w:szCs w:val="18"/>
    </w:rPr>
  </w:style>
  <w:style w:type="paragraph" w:styleId="916">
    <w:name w:val="UserStyle_68"/>
    <w:basedOn w:val="760"/>
    <w:next w:val="916"/>
    <w:link w:val="760"/>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917">
    <w:name w:val="UserStyle_70"/>
    <w:basedOn w:val="760"/>
    <w:next w:val="917"/>
    <w:link w:val="760"/>
    <w:uiPriority w:val="99"/>
    <w:qFormat/>
    <w:pPr>
      <w:ind w:firstLine="200"/>
      <w:spacing w:line="360" w:lineRule="auto"/>
    </w:pPr>
    <w:rPr>
      <w:sz w:val="24"/>
      <w:szCs w:val="28"/>
    </w:rPr>
  </w:style>
  <w:style w:type="paragraph" w:styleId="918">
    <w:name w:val="TOC11"/>
    <w:basedOn w:val="760"/>
    <w:next w:val="760"/>
    <w:link w:val="760"/>
    <w:uiPriority w:val="99"/>
    <w:qFormat/>
  </w:style>
  <w:style w:type="paragraph" w:styleId="919">
    <w:name w:val="UserStyle_76"/>
    <w:basedOn w:val="760"/>
    <w:next w:val="919"/>
    <w:link w:val="760"/>
    <w:uiPriority w:val="99"/>
    <w:qFormat/>
    <w:rPr>
      <w:szCs w:val="20"/>
    </w:rPr>
  </w:style>
  <w:style w:type="paragraph" w:styleId="920">
    <w:name w:val="UserStyle_73"/>
    <w:basedOn w:val="760"/>
    <w:next w:val="920"/>
    <w:link w:val="760"/>
    <w:uiPriority w:val="99"/>
    <w:qFormat/>
    <w:pPr>
      <w:ind w:firstLine="420"/>
      <w:jc w:val="left"/>
    </w:pPr>
    <w:rPr>
      <w:sz w:val="24"/>
    </w:rPr>
  </w:style>
  <w:style w:type="paragraph" w:styleId="921">
    <w:name w:val="xl72"/>
    <w:basedOn w:val="760"/>
    <w:next w:val="921"/>
    <w:link w:val="76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22">
    <w:name w:val="UserStyle_54"/>
    <w:basedOn w:val="760"/>
    <w:next w:val="760"/>
    <w:link w:val="760"/>
    <w:uiPriority w:val="99"/>
    <w:qFormat/>
    <w:rPr>
      <w:sz w:val="24"/>
      <w:szCs w:val="20"/>
    </w:rPr>
  </w:style>
  <w:style w:type="paragraph" w:styleId="923">
    <w:name w:val="178"/>
    <w:next w:val="923"/>
    <w:link w:val="760"/>
    <w:uiPriority w:val="99"/>
    <w:qFormat/>
    <w:rPr>
      <w:sz w:val="21"/>
      <w:szCs w:val="24"/>
      <w:lang w:val="en-US" w:eastAsia="zh-CN" w:bidi="ar-SA"/>
    </w:rPr>
  </w:style>
  <w:style w:type="paragraph" w:styleId="924">
    <w:name w:val="首行缩进"/>
    <w:basedOn w:val="760"/>
    <w:next w:val="924"/>
    <w:link w:val="760"/>
    <w:qFormat/>
    <w:pPr>
      <w:ind w:firstLine="480"/>
    </w:pPr>
    <w:rPr>
      <w:szCs w:val="20"/>
      <w:lang w:val="zh-CN"/>
    </w:rPr>
  </w:style>
  <w:style w:type="paragraph" w:styleId="925">
    <w:name w:val="179"/>
    <w:basedOn w:val="760"/>
    <w:next w:val="925"/>
    <w:link w:val="760"/>
    <w:uiPriority w:val="99"/>
    <w:qFormat/>
    <w:pPr>
      <w:ind w:firstLine="420"/>
    </w:pPr>
  </w:style>
  <w:style w:type="paragraph" w:styleId="926">
    <w:name w:val="Heading91"/>
    <w:basedOn w:val="760"/>
    <w:next w:val="760"/>
    <w:link w:val="760"/>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927">
    <w:name w:val="列出段落1"/>
    <w:basedOn w:val="760"/>
    <w:next w:val="927"/>
    <w:link w:val="760"/>
    <w:uiPriority w:val="34"/>
    <w:qFormat/>
    <w:pPr>
      <w:ind w:firstLine="420"/>
      <w:widowControl w:val="off"/>
    </w:pPr>
    <w:rPr>
      <w:szCs w:val="20"/>
    </w:rPr>
  </w:style>
  <w:style w:type="paragraph" w:styleId="928">
    <w:name w:val="UserStyle_57"/>
    <w:next w:val="760"/>
    <w:link w:val="760"/>
    <w:uiPriority w:val="99"/>
    <w:qFormat/>
    <w:rPr>
      <w:rFonts w:ascii="Arial" w:hAnsi="Arial"/>
      <w:sz w:val="22"/>
      <w:szCs w:val="22"/>
      <w:lang w:val="de-DE" w:eastAsia="de-DE" w:bidi="ar-SA"/>
    </w:rPr>
  </w:style>
  <w:style w:type="paragraph" w:styleId="929">
    <w:name w:val="Heading41"/>
    <w:basedOn w:val="760"/>
    <w:next w:val="760"/>
    <w:link w:val="760"/>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930">
    <w:name w:val="HtmlNormal1"/>
    <w:basedOn w:val="760"/>
    <w:next w:val="930"/>
    <w:link w:val="760"/>
    <w:uiPriority w:val="99"/>
    <w:qFormat/>
    <w:pPr>
      <w:jc w:val="left"/>
      <w:spacing w:before="100" w:beforeAutospacing="1" w:after="100" w:afterAutospacing="1"/>
    </w:pPr>
    <w:rPr>
      <w:rFonts w:ascii="宋体" w:hAnsi="宋体"/>
      <w:sz w:val="24"/>
    </w:rPr>
  </w:style>
  <w:style w:type="paragraph" w:styleId="931">
    <w:name w:val="UserStyle_53"/>
    <w:basedOn w:val="932"/>
    <w:next w:val="800"/>
    <w:link w:val="760"/>
    <w:uiPriority w:val="99"/>
    <w:qFormat/>
    <w:pPr>
      <w:spacing w:before="156" w:after="156" w:line="360" w:lineRule="auto"/>
      <w:tabs>
        <w:tab w:val="left" w:pos="840" w:leader="none"/>
      </w:tabs>
    </w:pPr>
    <w:rPr>
      <w:bCs w:val="0"/>
      <w:sz w:val="24"/>
    </w:rPr>
  </w:style>
  <w:style w:type="paragraph" w:styleId="932">
    <w:name w:val="Heading21"/>
    <w:basedOn w:val="760"/>
    <w:next w:val="760"/>
    <w:link w:val="760"/>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933">
    <w:name w:val="UserStyle_55"/>
    <w:basedOn w:val="760"/>
    <w:next w:val="933"/>
    <w:link w:val="760"/>
    <w:uiPriority w:val="99"/>
    <w:qFormat/>
    <w:pPr>
      <w:contextualSpacing/>
      <w:ind w:left="720"/>
      <w:jc w:val="left"/>
    </w:pPr>
    <w:rPr>
      <w:rFonts w:ascii="Arial" w:hAnsi="Arial" w:eastAsia="黑体"/>
      <w:sz w:val="24"/>
      <w:lang w:eastAsia="en-US"/>
    </w:rPr>
  </w:style>
  <w:style w:type="paragraph" w:styleId="934">
    <w:name w:val="xl68"/>
    <w:basedOn w:val="760"/>
    <w:next w:val="934"/>
    <w:link w:val="76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35">
    <w:name w:val="UserStyle_78"/>
    <w:basedOn w:val="760"/>
    <w:next w:val="935"/>
    <w:link w:val="760"/>
    <w:uiPriority w:val="99"/>
    <w:qFormat/>
    <w:pPr>
      <w:ind w:firstLine="567"/>
      <w:spacing w:line="480" w:lineRule="atLeast"/>
    </w:pPr>
    <w:rPr>
      <w:rFonts w:ascii="Ari" w:eastAsia="Times New Roman"/>
      <w:sz w:val="28"/>
      <w:szCs w:val="20"/>
    </w:rPr>
  </w:style>
  <w:style w:type="paragraph" w:styleId="936">
    <w:name w:val="UserStyle_62"/>
    <w:basedOn w:val="760"/>
    <w:next w:val="936"/>
    <w:link w:val="760"/>
    <w:uiPriority w:val="99"/>
    <w:qFormat/>
    <w:pPr>
      <w:ind w:left="600" w:hanging="600"/>
      <w:spacing w:line="420" w:lineRule="exact"/>
    </w:pPr>
    <w:rPr>
      <w:rFonts w:ascii="宋体" w:hAnsi="宋体"/>
      <w:color w:val="000000"/>
      <w:sz w:val="24"/>
      <w:szCs w:val="20"/>
    </w:rPr>
  </w:style>
  <w:style w:type="paragraph" w:styleId="937">
    <w:name w:val="UserStyle_63"/>
    <w:basedOn w:val="760"/>
    <w:next w:val="937"/>
    <w:link w:val="760"/>
    <w:uiPriority w:val="99"/>
    <w:qFormat/>
    <w:pPr>
      <w:ind w:firstLine="560"/>
      <w:jc w:val="left"/>
      <w:spacing w:line="460" w:lineRule="exact"/>
    </w:pPr>
    <w:rPr>
      <w:rFonts w:ascii="仿宋_GB2312" w:hAnsi="仿宋_GB2312" w:eastAsia="仿宋_GB2312"/>
      <w:sz w:val="28"/>
      <w:szCs w:val="20"/>
    </w:rPr>
  </w:style>
  <w:style w:type="paragraph" w:styleId="938">
    <w:name w:val="Heading51"/>
    <w:basedOn w:val="760"/>
    <w:next w:val="760"/>
    <w:link w:val="760"/>
    <w:uiPriority w:val="99"/>
    <w:qFormat/>
    <w:pPr>
      <w:numPr>
        <w:ilvl w:val="4"/>
        <w:numId w:val="2"/>
      </w:numPr>
      <w:keepLines/>
      <w:keepNext/>
      <w:spacing w:before="280" w:after="290" w:line="376" w:lineRule="auto"/>
      <w:tabs>
        <w:tab w:val="left" w:pos="2100" w:leader="none"/>
      </w:tabs>
    </w:pPr>
    <w:rPr>
      <w:b/>
      <w:bCs/>
      <w:sz w:val="28"/>
      <w:szCs w:val="28"/>
    </w:rPr>
  </w:style>
  <w:style w:type="paragraph" w:styleId="939">
    <w:name w:val="UserStyle_79"/>
    <w:basedOn w:val="760"/>
    <w:next w:val="939"/>
    <w:link w:val="760"/>
    <w:uiPriority w:val="99"/>
    <w:qFormat/>
    <w:pPr>
      <w:jc w:val="left"/>
    </w:pPr>
    <w:rPr>
      <w:rFonts w:ascii="Calibri" w:hAnsi="Calibri"/>
      <w:sz w:val="22"/>
      <w:lang w:eastAsia="en-US"/>
    </w:rPr>
  </w:style>
  <w:style w:type="paragraph" w:styleId="940">
    <w:name w:val="ListBullet1"/>
    <w:basedOn w:val="760"/>
    <w:next w:val="940"/>
    <w:link w:val="760"/>
    <w:uiPriority w:val="99"/>
    <w:qFormat/>
    <w:pPr>
      <w:tabs>
        <w:tab w:val="left" w:pos="0" w:leader="none"/>
      </w:tabs>
    </w:pPr>
    <w:rPr>
      <w:szCs w:val="20"/>
    </w:rPr>
  </w:style>
  <w:style w:type="paragraph" w:styleId="941">
    <w:name w:val="正文 New New New New New New New"/>
    <w:next w:val="941"/>
    <w:link w:val="760"/>
    <w:uiPriority w:val="99"/>
    <w:qFormat/>
    <w:pPr>
      <w:jc w:val="both"/>
      <w:widowControl w:val="off"/>
    </w:pPr>
    <w:rPr>
      <w:sz w:val="21"/>
      <w:lang w:val="en-US" w:eastAsia="zh-CN" w:bidi="ar-SA"/>
    </w:rPr>
  </w:style>
  <w:style w:type="paragraph" w:styleId="942">
    <w:name w:val="UserStyle_77"/>
    <w:basedOn w:val="760"/>
    <w:next w:val="942"/>
    <w:link w:val="760"/>
    <w:uiPriority w:val="99"/>
    <w:qFormat/>
    <w:pPr>
      <w:ind w:left="360" w:hanging="360"/>
      <w:tabs>
        <w:tab w:val="left" w:pos="360" w:leader="none"/>
        <w:tab w:val="left" w:pos="1545" w:leader="none"/>
      </w:tabs>
    </w:pPr>
    <w:rPr>
      <w:szCs w:val="20"/>
    </w:rPr>
  </w:style>
  <w:style w:type="paragraph" w:styleId="943">
    <w:name w:val="xl73"/>
    <w:basedOn w:val="760"/>
    <w:next w:val="943"/>
    <w:link w:val="760"/>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944">
    <w:name w:val="正文（绿盟科技）"/>
    <w:next w:val="944"/>
    <w:link w:val="760"/>
    <w:qFormat/>
    <w:pPr>
      <w:spacing w:line="300" w:lineRule="auto"/>
    </w:pPr>
    <w:rPr>
      <w:rFonts w:ascii="Arial" w:hAnsi="Arial" w:cs="黑体"/>
      <w:sz w:val="21"/>
      <w:szCs w:val="21"/>
      <w:lang w:val="en-US" w:eastAsia="zh-CN" w:bidi="ar-SA"/>
    </w:rPr>
  </w:style>
  <w:style w:type="paragraph" w:styleId="945">
    <w:name w:val="Heading31"/>
    <w:basedOn w:val="760"/>
    <w:next w:val="760"/>
    <w:link w:val="760"/>
    <w:uiPriority w:val="99"/>
    <w:qFormat/>
    <w:pPr>
      <w:numPr>
        <w:ilvl w:val="2"/>
        <w:numId w:val="2"/>
      </w:numPr>
      <w:keepLines/>
      <w:keepNext/>
      <w:spacing w:before="260" w:after="260" w:line="416" w:lineRule="auto"/>
      <w:tabs>
        <w:tab w:val="left" w:pos="1260" w:leader="none"/>
      </w:tabs>
    </w:pPr>
    <w:rPr>
      <w:b/>
      <w:bCs/>
      <w:sz w:val="32"/>
      <w:szCs w:val="32"/>
    </w:rPr>
  </w:style>
  <w:style w:type="paragraph" w:styleId="946">
    <w:name w:val="UserStyle_74"/>
    <w:basedOn w:val="760"/>
    <w:next w:val="946"/>
    <w:link w:val="760"/>
    <w:uiPriority w:val="99"/>
    <w:qFormat/>
  </w:style>
  <w:style w:type="paragraph" w:styleId="947">
    <w:name w:val="UserStyle_56"/>
    <w:basedOn w:val="945"/>
    <w:next w:val="760"/>
    <w:link w:val="760"/>
    <w:uiPriority w:val="99"/>
    <w:qFormat/>
    <w:pPr>
      <w:spacing w:before="0" w:after="0" w:line="400" w:lineRule="exact"/>
      <w:tabs>
        <w:tab w:val="left" w:pos="1260" w:leader="none"/>
      </w:tabs>
    </w:pPr>
    <w:rPr>
      <w:rFonts w:eastAsia="黑体"/>
      <w:b w:val="0"/>
      <w:bCs w:val="0"/>
      <w:sz w:val="24"/>
      <w:szCs w:val="20"/>
    </w:rPr>
  </w:style>
  <w:style w:type="paragraph" w:styleId="948">
    <w:name w:val="UserStyle_65"/>
    <w:basedOn w:val="760"/>
    <w:next w:val="948"/>
    <w:link w:val="760"/>
    <w:uiPriority w:val="99"/>
    <w:qFormat/>
    <w:pPr>
      <w:ind w:firstLine="200"/>
    </w:pPr>
    <w:rPr>
      <w:sz w:val="24"/>
      <w:szCs w:val="20"/>
    </w:rPr>
  </w:style>
  <w:style w:type="paragraph" w:styleId="949">
    <w:name w:val="UserStyle_60"/>
    <w:basedOn w:val="760"/>
    <w:next w:val="949"/>
    <w:link w:val="760"/>
    <w:uiPriority w:val="99"/>
    <w:qFormat/>
    <w:pPr>
      <w:tabs>
        <w:tab w:val="left" w:pos="0" w:leader="none"/>
        <w:tab w:val="left" w:pos="420" w:leader="none"/>
        <w:tab w:val="left" w:pos="709" w:leader="none"/>
      </w:tabs>
    </w:pPr>
    <w:rPr>
      <w:rFonts w:ascii="宋体" w:hAnsi="宋体"/>
      <w:szCs w:val="20"/>
    </w:rPr>
  </w:style>
  <w:style w:type="paragraph" w:styleId="950">
    <w:name w:val="UserStyle_71"/>
    <w:basedOn w:val="760"/>
    <w:next w:val="950"/>
    <w:link w:val="760"/>
    <w:uiPriority w:val="99"/>
    <w:qFormat/>
    <w:rPr>
      <w:b/>
      <w:bCs/>
      <w:sz w:val="24"/>
    </w:rPr>
  </w:style>
  <w:style w:type="paragraph" w:styleId="951">
    <w:name w:val="列出段落"/>
    <w:basedOn w:val="760"/>
    <w:next w:val="951"/>
    <w:link w:val="760"/>
    <w:uiPriority w:val="34"/>
    <w:qFormat/>
    <w:pPr>
      <w:ind w:firstLine="420"/>
      <w:jc w:val="left"/>
    </w:pPr>
    <w:rPr>
      <w:rFonts w:ascii="宋体" w:hAnsi="宋体" w:cs="宋体"/>
      <w:sz w:val="24"/>
      <w:szCs w:val="20"/>
    </w:rPr>
  </w:style>
  <w:style w:type="paragraph" w:styleId="952">
    <w:name w:val="UserStyle_67"/>
    <w:basedOn w:val="760"/>
    <w:next w:val="952"/>
    <w:link w:val="760"/>
    <w:uiPriority w:val="99"/>
    <w:qFormat/>
    <w:pPr>
      <w:ind w:left="830" w:hanging="534"/>
      <w:jc w:val="left"/>
      <w:spacing w:line="480" w:lineRule="exact"/>
    </w:pPr>
    <w:rPr>
      <w:rFonts w:ascii="仿宋_GB2312" w:hAnsi="仿宋_GB2312" w:eastAsia="仿宋_GB2312"/>
      <w:sz w:val="28"/>
      <w:szCs w:val="20"/>
    </w:rPr>
  </w:style>
  <w:style w:type="paragraph" w:styleId="953">
    <w:name w:val="UserStyle_69"/>
    <w:basedOn w:val="760"/>
    <w:next w:val="953"/>
    <w:link w:val="760"/>
    <w:uiPriority w:val="99"/>
    <w:qFormat/>
    <w:pPr>
      <w:ind w:firstLine="200"/>
      <w:spacing w:line="360" w:lineRule="auto"/>
    </w:pPr>
    <w:rPr>
      <w:rFonts w:ascii="仿宋_GB2312" w:hAnsi="Calibri"/>
      <w:sz w:val="24"/>
      <w:szCs w:val="21"/>
    </w:rPr>
  </w:style>
  <w:style w:type="paragraph" w:styleId="954">
    <w:name w:val="UserStyle_72"/>
    <w:basedOn w:val="760"/>
    <w:next w:val="954"/>
    <w:link w:val="760"/>
    <w:uiPriority w:val="99"/>
    <w:qFormat/>
    <w:pPr>
      <w:jc w:val="left"/>
      <w:spacing w:before="100" w:beforeAutospacing="1" w:after="100" w:afterAutospacing="1"/>
    </w:pPr>
    <w:rPr>
      <w:rFonts w:ascii="宋体" w:hAnsi="宋体"/>
      <w:sz w:val="24"/>
    </w:rPr>
  </w:style>
  <w:style w:type="paragraph" w:styleId="955">
    <w:name w:val="修订"/>
    <w:next w:val="955"/>
    <w:link w:val="760"/>
    <w:uiPriority w:val="99"/>
    <w:semiHidden/>
    <w:rPr>
      <w:sz w:val="21"/>
      <w:szCs w:val="24"/>
      <w:lang w:val="en-US" w:eastAsia="zh-CN" w:bidi="ar-SA"/>
    </w:rPr>
  </w:style>
  <w:style w:type="paragraph" w:styleId="956">
    <w:name w:val="UserStyle_64"/>
    <w:basedOn w:val="760"/>
    <w:next w:val="956"/>
    <w:link w:val="760"/>
    <w:uiPriority w:val="99"/>
    <w:qFormat/>
    <w:pPr>
      <w:jc w:val="left"/>
      <w:spacing w:after="160" w:line="240" w:lineRule="exact"/>
    </w:pPr>
    <w:rPr>
      <w:rFonts w:ascii="Verdana" w:hAnsi="Verdana" w:eastAsia="仿宋_GB2312"/>
      <w:sz w:val="24"/>
      <w:szCs w:val="20"/>
      <w:lang w:eastAsia="en-US"/>
    </w:rPr>
  </w:style>
  <w:style w:type="paragraph" w:styleId="957">
    <w:name w:val="xl69"/>
    <w:basedOn w:val="760"/>
    <w:next w:val="957"/>
    <w:link w:val="76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58">
    <w:name w:val="正文_0"/>
    <w:next w:val="958"/>
    <w:link w:val="760"/>
    <w:qFormat/>
    <w:pPr>
      <w:jc w:val="both"/>
      <w:widowControl w:val="off"/>
    </w:pPr>
    <w:rPr>
      <w:rFonts w:ascii="Calibri" w:hAnsi="Calibri"/>
      <w:lang w:val="en-US" w:eastAsia="zh-CN" w:bidi="ar-SA"/>
    </w:rPr>
  </w:style>
  <w:style w:type="paragraph" w:styleId="959">
    <w:name w:val="Heading71"/>
    <w:basedOn w:val="760"/>
    <w:next w:val="760"/>
    <w:link w:val="760"/>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960">
    <w:name w:val="UserStyle_66"/>
    <w:basedOn w:val="760"/>
    <w:next w:val="960"/>
    <w:link w:val="760"/>
    <w:uiPriority w:val="99"/>
    <w:qFormat/>
    <w:pPr>
      <w:jc w:val="left"/>
      <w:spacing w:after="160" w:line="240" w:lineRule="exact"/>
    </w:pPr>
  </w:style>
  <w:style w:type="paragraph" w:styleId="961">
    <w:name w:val="xl70"/>
    <w:basedOn w:val="760"/>
    <w:next w:val="961"/>
    <w:link w:val="76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2">
    <w:name w:val="纯文本1"/>
    <w:basedOn w:val="760"/>
    <w:next w:val="962"/>
    <w:link w:val="760"/>
    <w:qFormat/>
    <w:pPr>
      <w:widowControl w:val="off"/>
    </w:pPr>
    <w:rPr>
      <w:rFonts w:hint="eastAsia" w:ascii="宋体" w:hAnsi="Courier New" w:eastAsia="楷体_GB2312"/>
      <w:sz w:val="28"/>
      <w:szCs w:val="20"/>
    </w:rPr>
  </w:style>
  <w:style w:type="paragraph" w:styleId="963">
    <w:name w:val="xl71"/>
    <w:basedOn w:val="760"/>
    <w:next w:val="963"/>
    <w:link w:val="76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4">
    <w:name w:val="UserStyle_59"/>
    <w:basedOn w:val="760"/>
    <w:next w:val="964"/>
    <w:link w:val="760"/>
    <w:uiPriority w:val="99"/>
    <w:qFormat/>
    <w:pPr>
      <w:contextualSpacing/>
      <w:ind w:left="720"/>
      <w:jc w:val="left"/>
    </w:pPr>
    <w:rPr>
      <w:rFonts w:ascii="Arial" w:hAnsi="Arial" w:eastAsia="黑体"/>
      <w:sz w:val="24"/>
      <w:lang w:eastAsia="en-US"/>
    </w:rPr>
  </w:style>
  <w:style w:type="paragraph" w:styleId="965">
    <w:name w:val="xl74"/>
    <w:basedOn w:val="760"/>
    <w:next w:val="965"/>
    <w:link w:val="76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966">
    <w:name w:val="网格型21"/>
    <w:basedOn w:val="771"/>
    <w:next w:val="966"/>
    <w:link w:val="760"/>
    <w:uiPriority w:val="39"/>
    <w:qFormat/>
    <w:tblPr/>
  </w:style>
  <w:style w:type="table" w:styleId="967">
    <w:name w:val="TableNormal1"/>
    <w:next w:val="967"/>
    <w:link w:val="760"/>
    <w:uiPriority w:val="99"/>
    <w:qFormat/>
    <w:rPr>
      <w:lang w:val="en-US" w:eastAsia="zh-CN" w:bidi="ar-SA"/>
    </w:rPr>
    <w:tblPr/>
  </w:style>
  <w:style w:type="table" w:styleId="968">
    <w:name w:val="网格型2"/>
    <w:basedOn w:val="771"/>
    <w:next w:val="968"/>
    <w:link w:val="760"/>
    <w:uiPriority w:val="39"/>
    <w:qFormat/>
    <w:rPr>
      <w:rFonts w:ascii="等线" w:hAnsi="等线" w:eastAsia="等线"/>
    </w:rPr>
    <w:tblPr/>
  </w:style>
  <w:style w:type="table" w:styleId="969">
    <w:name w:val="TableGrid1"/>
    <w:basedOn w:val="967"/>
    <w:next w:val="969"/>
    <w:link w:val="760"/>
    <w:uiPriority w:val="99"/>
    <w:qFormat/>
    <w:tblPr/>
  </w:style>
  <w:style w:type="table" w:styleId="970">
    <w:name w:val="网格型3"/>
    <w:basedOn w:val="771"/>
    <w:next w:val="970"/>
    <w:link w:val="760"/>
    <w:uiPriority w:val="39"/>
    <w:rPr>
      <w:rFonts w:ascii="等线" w:hAnsi="等线" w:eastAsia="等线" w:cs="Times New Roman"/>
      <w:sz w:val="21"/>
      <w:szCs w:val="24"/>
    </w:rPr>
    <w:tblPr/>
  </w:style>
  <w:style w:type="table" w:styleId="971">
    <w:name w:val="网格型1"/>
    <w:next w:val="971"/>
    <w:link w:val="760"/>
    <w:uiPriority w:val="99"/>
    <w:qFormat/>
    <w:pPr>
      <w:jc w:val="both"/>
      <w:widowControl w:val="off"/>
    </w:pPr>
    <w:rPr>
      <w:lang w:val="en-US" w:eastAsia="zh-CN" w:bidi="ar-SA"/>
    </w:rPr>
    <w:tblPr/>
  </w:style>
  <w:style w:type="character" w:styleId="972">
    <w:name w:val="active16"/>
    <w:next w:val="972"/>
    <w:link w:val="760"/>
    <w:rPr>
      <w:color w:val="ffffff"/>
      <w:shd w:val="clear" w:color="auto" w:fill="0f5bb9"/>
    </w:rPr>
  </w:style>
  <w:style w:type="paragraph" w:styleId="973">
    <w:name w:val="AONormal"/>
    <w:next w:val="973"/>
    <w:link w:val="760"/>
    <w:qFormat/>
    <w:pPr>
      <w:ind w:firstLine="440"/>
      <w:spacing w:line="400" w:lineRule="exact"/>
    </w:pPr>
    <w:rPr>
      <w:rFonts w:ascii="华文楷体" w:hAnsi="华文楷体" w:eastAsia="华文楷体" w:cs="华文楷体"/>
      <w:sz w:val="22"/>
      <w:szCs w:val="21"/>
      <w:lang w:val="en-US" w:eastAsia="zh-CN" w:bidi="ar-SA"/>
    </w:rPr>
  </w:style>
  <w:style w:type="paragraph" w:styleId="974">
    <w:name w:val="1.1"/>
    <w:basedOn w:val="760"/>
    <w:next w:val="760"/>
    <w:link w:val="760"/>
    <w:qFormat/>
    <w:pPr>
      <w:spacing w:line="360" w:lineRule="auto"/>
      <w:outlineLvl w:val="1"/>
    </w:pPr>
    <w:rPr>
      <w:rFonts w:ascii="Cambria" w:hAnsi="Cambria" w:eastAsia="黑体"/>
      <w:b/>
      <w:sz w:val="36"/>
    </w:rPr>
  </w:style>
  <w:style w:type="table" w:styleId="975">
    <w:name w:val="网格型4"/>
    <w:basedOn w:val="771"/>
    <w:next w:val="975"/>
    <w:link w:val="760"/>
    <w:qFormat/>
    <w:pPr>
      <w:jc w:val="both"/>
      <w:widowControl w:val="off"/>
    </w:pPr>
    <w:tblPr/>
  </w:style>
  <w:style w:type="paragraph" w:styleId="976">
    <w:name w:val="正文 A"/>
    <w:next w:val="976"/>
    <w:link w:val="760"/>
    <w:uiPriority w:val="99"/>
    <w:qFormat/>
    <w:rPr>
      <w:rFonts w:ascii="Arial Unicode MS" w:hAnsi="Arial Unicode MS" w:eastAsia="宋体" w:cs="Arial Unicode MS"/>
      <w:color w:val="000000"/>
      <w:lang w:val="en-US" w:eastAsia="zh-CN" w:bidi="ar-SA"/>
    </w:rPr>
  </w:style>
  <w:style w:type="character" w:styleId="23456" w:default="1">
    <w:name w:val="Default Paragraph Font"/>
    <w:uiPriority w:val="1"/>
    <w:semiHidden/>
    <w:unhideWhenUsed/>
  </w:style>
  <w:style w:type="numbering" w:styleId="23457" w:default="1">
    <w:name w:val="No List"/>
    <w:uiPriority w:val="99"/>
    <w:semiHidden/>
    <w:unhideWhenUsed/>
  </w:style>
  <w:style w:type="table" w:styleId="234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3</cp:revision>
  <dcterms:created xsi:type="dcterms:W3CDTF">2025-06-10T07:37:00Z</dcterms:created>
  <dcterms:modified xsi:type="dcterms:W3CDTF">2026-07-21T03:06:39Z</dcterms:modified>
</cp:coreProperties>
</file>