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right="0" w:firstLine="1785"/>
        <w:jc w:val="both"/>
        <w:spacing w:before="0" w:after="0" w:line="1039" w:lineRule="atLeast"/>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72"/>
        </w:rPr>
        <w:t xml:space="preserve">竞争性磋商文件</w:t>
      </w:r>
      <w:r/>
    </w:p>
    <w:p>
      <w:pPr>
        <w:ind w:left="0" w:right="0" w:firstLine="286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86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716"/>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项目名称：淮安市自然资源和规划局2026年度淮安市测绘地理信息数据更新项目</w:t>
      </w:r>
      <w:r/>
    </w:p>
    <w:p>
      <w:pPr>
        <w:ind w:left="0" w:right="0" w:firstLine="716"/>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716"/>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716"/>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项目编号：JSZC-320800-JSJH-C2026-0003</w:t>
      </w:r>
      <w:r/>
    </w:p>
    <w:p>
      <w:pPr>
        <w:ind w:left="-359" w:right="0" w:firstLine="3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 购 人：淮安市自然资源和规划局</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采购代理：江苏建昊工程咨询有限公司</w:t>
      </w:r>
      <w:r/>
    </w:p>
    <w:p>
      <w:pPr>
        <w:ind w:left="1260" w:right="0" w:firstLine="420"/>
        <w:jc w:val="both"/>
        <w:spacing w:before="0" w:after="0"/>
        <w:tabs>
          <w:tab w:val="left" w:pos="5215"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1260" w:right="0" w:firstLine="420"/>
        <w:jc w:val="both"/>
        <w:spacing w:before="0" w:after="0"/>
        <w:tabs>
          <w:tab w:val="left" w:pos="5215" w:leader="none"/>
          <w:tab w:val="left" w:pos="6854"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二〇二六年八月一十七日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第一章  磋商邀请</w:t>
      </w:r>
      <w:r/>
    </w:p>
    <w:p>
      <w:pPr>
        <w:ind w:left="0" w:right="0" w:firstLine="54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受淮安市自然资源和规划局的委托，江苏建昊工程咨询有限公司就淮安市自然资源和规划局2026年度淮安市测绘地理信息数据更新项目进行竞争性磋商采购，现邀请符合条件的供应商参加竞争性磋商。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项目概况：淮安市自然资源和规划局2026年度淮安市测绘地理信息数据更新项目 JSZC-320800-JSJH-C2026-0003 采购项目的潜在供应商应在苏采云政府采购一体化平台获取采购文件，并于2026年8月28日9点30分（北京时间）前提交响应文件。</w:t>
            </w:r>
            <w:r/>
          </w:p>
        </w:tc>
      </w:tr>
    </w:tbl>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项目编号：JSZC-320800-JSJH-C2026-0003</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项目名称：淮安市自然资源和规划局2026年度淮安市测绘地理信息数据更新项目</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采购方式：竞争性磋商</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预算金额：240万元</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最高限价：240万元</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采购需求：淮安市自然资源和规划局2026年度淮安市测绘地理信息数据更新项目，详见第五章项目采购需求。</w:t>
      </w:r>
      <w:r/>
    </w:p>
    <w:p>
      <w:pPr>
        <w:ind w:left="0" w:right="0" w:firstLine="56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合同履行期限：工作界内工作任务应于2026年11月30日前全部完成并提交给采购人，工作界外工作任务应于2027年9月30日前全部完成并提交给采购人。</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本项目（□是☑否）接受联合体竞争性磋商。</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本项目采购标的对应的中小企业划分标准所属行业为</w:t>
      </w:r>
      <w:r>
        <w:rPr>
          <w:rFonts w:ascii="FangSong" w:hAnsi="FangSong" w:eastAsia="FangSong" w:cs="FangSong"/>
          <w:color w:val="000000"/>
          <w:sz w:val="28"/>
          <w:u w:val="single"/>
        </w:rPr>
        <w:t xml:space="preserve">其他未列明行业</w:t>
      </w:r>
      <w:r>
        <w:rPr>
          <w:rFonts w:ascii="FangSong" w:hAnsi="FangSong" w:eastAsia="FangSong" w:cs="FangSong"/>
          <w:color w:val="000000"/>
          <w:sz w:val="28"/>
        </w:rPr>
        <w:t xml:space="preserve">。</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（一）符合《中华人民共和国政府采购法》第二十二条规定；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本项目按照以下第</w:t>
      </w:r>
      <w:r>
        <w:rPr>
          <w:rFonts w:ascii="FangSong" w:hAnsi="FangSong" w:eastAsia="FangSong" w:cs="FangSong"/>
          <w:color w:val="000000"/>
          <w:sz w:val="28"/>
          <w:u w:val="single"/>
        </w:rPr>
        <w:t xml:space="preserve">1</w:t>
      </w:r>
      <w:r>
        <w:rPr>
          <w:rFonts w:ascii="FangSong" w:hAnsi="FangSong" w:eastAsia="FangSong" w:cs="FangSong"/>
          <w:color w:val="000000"/>
          <w:sz w:val="28"/>
        </w:rPr>
        <w:t xml:space="preserve">种方式落实政府采购促进中小企业发展的要求：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2.本项目通过以下第（）种方式预留部分采购份额采购中小企业服务：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（1）本项目要求供应商以联合体形式参加，中小企业合同金额应当达到的比例为%，其中小微企业所占比例应为%（两项比例均应符合《政府采购促进中小企业发展管理办法》第八条规定）。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（2）本项目要求供应商进行合同分包，中小企业合同金额应当达到的比例为%，其中小微企业所占比例应为%（两项比例均应符合《政府采购促进中小企业发展管理办法》第八条规定）。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3.本项目为非预留份额的采购项目，对小微企业报价给予扣除，用扣除后的价格参加评审，具体详见第二章“供应商须知”第35.1项。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注：监狱企业、残疾人福利性单位视同小微企业；符合中小企业划分标准的个体工商户，在政府采购活动中视同中小企业，享受政府采购支持中小企业发展政策。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供应商须具有主管部门颁发的乙级及以上测绘资质，且专业范围应同时包括测绘航空摄影、摄影测量与遥感、地理信息系统工程三项。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（四）拒绝下述条件的供应商参加本次采购活动：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1.供应商单位负责人为同一人或者存在直接控股、管理关系的不同供应商，不得同时参加同一合同项下的政府采购活动。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2.凡为采购项目提供整体设计、规范编制或者项目管理、监理、检测等服务的供应商，不得再参加本项目的采购活动。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3.供应商被“信用中国”网站、“中国政府采购网”列入失信被执行人、重大税收违法案件当事人名单、政府采购严重违法失信行为记录名单。</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三、获取磋商文件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1.时间：自磋商公告发布之日起五个工作日。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四、响应文件提交</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截止时间：2026年8月28日9时30分（北京时间）</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地点：本项目采用远程“不见面”开标方式，无需到现场提交，请供应商在截止时间前提前登入苏采云政府采购一体化平台提交响应文件。</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五、开启</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时间：2026年8月28日9时30分（北京时间）</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地点：淮安市清江浦区健康东路联通大厦12楼1202室</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六、公告期限</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七、其他补充事宜</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1.本项目不收取磋商保证金；</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w:t>
      </w:r>
      <w:r>
        <w:rPr>
          <w:rFonts w:ascii="FangSong" w:hAnsi="FangSong" w:eastAsia="FangSong" w:cs="FangSong"/>
          <w:color w:val="000000"/>
          <w:sz w:val="28"/>
        </w:rPr>
        <w:t xml:space="preserve">3ce9.html。</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八、对本次采购提出询问，请按以下方式联系。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名称：淮安市自然资源和规划局</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地址：厦门路6号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联系方式：王女士       电话：0517-89000697</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名称：江苏建昊工程咨询有限公司</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地址：淮安市清江浦区健康东路联通大厦12楼1202室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联系方式：王工         电话：15366641180</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项目联系人：王工</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电话：15366641180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第二章  供应商须知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一、总则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1.适用范围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本竞争性磋商文件仅适用于本次采购邀请中所述项目的采购。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2.合格的供应商</w:t>
      </w:r>
      <w:r/>
    </w:p>
    <w:p>
      <w:pPr>
        <w:ind w:left="-359" w:right="0" w:firstLine="91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2.1满足第一章磋商邀请中供应商资格要求的规定。</w:t>
      </w:r>
      <w:r/>
    </w:p>
    <w:p>
      <w:pPr>
        <w:ind w:left="0" w:right="0" w:firstLine="566"/>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2.2</w:t>
      </w:r>
      <w:r>
        <w:rPr>
          <w:rFonts w:ascii="FangSong" w:hAnsi="FangSong" w:eastAsia="FangSong" w:cs="FangSong"/>
          <w:color w:val="000000"/>
          <w:sz w:val="28"/>
        </w:rPr>
        <w:t xml:space="preserve">满足磋商文件中实质性条款的规定。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3.适用法律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3.1《中华人民共和国政府采购法》、《中华人民共和国政府采购法实施条例》、《政府采购竞争性磋商采购方式管理暂行办法》等有关法律、规章和规定等。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4.磋商费用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4.1供应商应自行承担所有与参加磋商有关的费用。不论磋商的结果如何，江苏建昊工程咨询有限公司（以下简称采购代理）在任何情况下均无义务和责任承担这些费用。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本项目代理服务收费标准：以成交价为基数，参照原计价格〔2002〕1980号文标准的70%计取，各供应商在报价时须将此费用包含在报价中，无需单独列项计取，由成交供应商向江苏建昊工程咨询有限公司淮安分公司一次性付清代理服务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5.磋商文件的约束力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5.1供应商一旦参加本项目采购活动，即被认为接受了本磋商文件的规定和约束。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二、磋商文件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6.磋商文件构成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6.1磋商文件由以下部分组成：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6.1.1磋商邀请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6.1.2供应商须知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6.1.3评审方法与评审标准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6.1.4合同格式及条款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6.1.5采购需求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6.1.6响应文件格式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7.磋商文件的澄清和修改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在响应文件提交截止时间之前，采购代理可以对磋商文件进行澄清和修改，澄清或者修改的内容作为磋商文件的组成部分。澄清或者修改的内容可能影响响应文件编制的，采购代理将在提交首次响应文件截止时间至少5日前，在“江苏政府采购网”、“淮安市政府采购网”上发布书面更正公告通知所有获取磋商文件的供应商，更正公告内容将作为磋商文件的组成部分，并对供应商具有约束力。不足5日的，采购代理将顺延提交首次响应文件截止时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7.2采购代理可以视采购项目的具体情况，组织供应商进行现场考察或召开磋商前答疑会，但不单独或分别组织只有一个供应商参加的现场考察和答疑会。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三、响应文件的编制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8.响应文件的语言及度量衡单位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8.1供应商提交的响应文件以及供应商与采购代理就有关磋商的所有来往通知、函件和文件均应使用简体中文。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8.2除技术性能另有规定外，响应文件所使用的度量衡单位，均须采用国家法定计量单位。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9.响应文件构成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9.2如响应文件制作工具中格式和内容与“江苏政府采购网”、“淮安市政府采购网”发布的磋商文件不一致，请以“江苏政府采购网”、“淮安市政府采购网”发布的磋商文件为准。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10.证明磋商响应标的符合磋商文件规定的文件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10.1供应商应按照磋商文件要求提交证明文件，证明其及磋商响应标的符合磋商文件规定。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10.2磋商文件对证明文件无明确形式要求的，证明文件可以以文字资料、图纸和数据等形式提交。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11.分项报价表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11.1供应商应按照磋商文件规定格式填报分项报价表。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11.2磋商货币。响应文件中的单价和总价无特殊规定的采用人民币报价，以元为单位标注。磋商文件中另有规定的按规定执行。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12.技术要求响应及偏离表、商务要求响应及偏离表（如有）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12.1供应商需对磋商文件中的技术要求与商务要求逐项作出响应或偏离，并说明原因。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12.2供应商可在响应文件中提供认为需要的其他技术文件或说明。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13.服务承诺、培训计划、人员安排及其他（如有）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13.1供应商需根据磋商文件要求提供有关售后服务的管理制度，售后服务机构的分布情况，售后服务人员的数量、素质、技术水平及售后服务的反应能力等。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13.2供应商需根据磋商文件要求提供培训计划。</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13.3供应商需根据磋商文件要求提供磋商响应标的的主要组成部分、功能设计、实现思路及关键技术等。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14.磋商响应函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14.1供应商应按照磋商文件中提供的格式完整、正确填写磋商响应函。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15.方案部分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15.1本项目评标标准中的方案部分采用明标方式进行评审。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16.磋商有效期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16.1磋商有效期为从磋商之日起计算的九十天。磋商有效期比规定短的将被视为非响应磋商而予以拒绝。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16.2在特殊情况下，采购代理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17.响应文件的签署</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17.1响应文件仅需要在供应商进行签章的位置应进行电子签章。电子响应文件不得涂改、行间插字或删除，如果出现上述情况应重新编制。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四、响应文件上传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18.响应文件的上传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18.1供应商应当按照《操作手册》规定，在提交响应文件截止时间前制作并上传电子响应文件。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19.提交响应文件截止时间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19.1供应商上传电子响应文件的时间不得迟于磋商公告中规定的提交响应文件截止时间。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19.2供应商应充分考虑网络环境、网络带宽等风险因素，如因供应商自身原因造成的电子响应文件上传不成功的按照本磋商文件第二章第26.3.2条规定作无效响应处理。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19.3采购代理可以按照规定，通过修改磋商文件酌情延长提交响应文件截止日期，在此情况下，供应商的所有权利和义务以及供应商受制的截止日期均应以延长后新的截止日期为准。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20.响应文件被拒绝接收的情形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20.1在磋商文件规定的提交响应文件截止时间后上传的任何电子响应文件。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21.响应文件的撤回和修改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21.1响应文件的撤回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21.1.1供应商可在提交响应文件截止时间前，登录电子交易平台撤回电子响应文件。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21.1.2供应商在提交响应文件截止时间前撤回电子响应文件，且未重新上传的，则认为其不再参与本项目磋商活动。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21.2响应文件的修改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21.2.1供应商可在提交响应文件截止时间前，登录电子交易平台修改电子响应文件，电子响应文件以最终完成上传的为准。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21.2.2供应商不得在提交响应文件截止时间之后修改电子响应文件。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21.3供应商不得在提交电子响应文件截止时间起至磋商有效期满前撤回、修改电子响应文件。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五、响应文件的解密与评审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22.响应文件解密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22.1供应商应当按照《操作手册》规定，在苏采云系统规定的时间内对磋商响应文件进行解密。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23.磋商小组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23.1采购代理将组织磋商小组对响应文件进行评审。磋商小组由采购人代表和有关技术、经济等方面的专家组成，且人员构成符合政府采购有关规定。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23.2磋商小组独立工作，负责评审所有响应文件并确定成交候选人。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24.评审过程的保密与公正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24.1磋商小组、采购人和采购代理工作人员、相关监督人员等与评审工作有关的人员，对评审情况以及在评审过程中获悉的国家秘密、商业秘密负有保密责任。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24.2在评审过程中，供应商不得以任何行为影响磋商评审过程，否则其响应文件将被作为无效响应文件。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24.3在项目评审期间，采购代理将设专门人员与供应商联系。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24.4采购代理和磋商小组不向未成交的供应商解释未成交原因，也不公布评审过程中的相关细节。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25.评审过程中的澄清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25.3接到磋商小组澄清、说明和更正要求的供应商如未按规定作出澄清、说明和更正，其风险由供应商自行承担。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26.对响应文件的审查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26.1响应文件审查分为资格审查和符合性审查。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26.1.1资格审查：由磋商小组依据法律法规和磋商文件的规定，对响应文件中的资格证明文件进行审查，以确定供应商是否具备参加磋商的资格。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磋商小组在进行资格审查的同时，将在“信用中国”网站（www.creditchina.gov.cn）查询供应商的信用记录，以确定供应商是否具备磋商资格，查询结果留存并归档。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26.1.2符合性审查：依据磋商文件的规定，由磋商小组从响应文件的有效性、完整性和对磋商文件的响应程度进行审查，以确定是否对磋商文件的实质性要求作出响应。</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磋商文件规定的实质性要求存在负偏离，或者在实质上与磋商文件不一致，而且限制了合同中买方和采购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26.3 异常低价投标审查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26.3.1 评标过程中出现下列情形之一的，磋商小组应当启动异常低价投标审查程序：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（1）投标（响应）报价低于全部通过符合性审查供应商投标（响应）报价平均值50%的，即投标（响应）报价&lt;全部通过符合性审查供应商投标（响应）报价平均值×50%；</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（2）投标（响应）报价低于通过符合性审查的次低报价供应商投标（响应）报价50%的，即投标（响应）报价&lt;通过符合性审查的次低报价供应商投标（响应）报价×50%；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（3）投标（响应）报价低于采购项目最高限价45%的，即投标（响应）报价&lt;采购项目最高限价×45%；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（4）评审委员会基于专业判断，认为供应商报价过低，有可能影响产品质量或者不能诚信履约的其他情形。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26.3.2 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26.4未实质性响应磋商文件的情形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26.4.1供应商在苏采云系统规定的时间内未成功解密电子响应文件的。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26.4.2供应商未按照磋商文件要求上传电子响应文件的。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26.4.3同一供应商提交两个（含两个）以上不同的响应文件或者最后报价的。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26.4.4供应商不具备磋商文件中规定资格要求的。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26.4.5供应商的最后报价超过了采购预算。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26.4.6 磋商小组按照本磋商文件规定对供应商进行异常低价审查后，认为供应商不能证明其报价合理性的。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26.4.7不符合磋商文件中规定的实质性要求和条件的（实质性要求和条件是指本磋商文件中用带星号（“★”）的商务和技术要求）。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26.4.9 响应文件含有采购人不能接受的附加条件的。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26.4.10按照第37.4的要求本项目中具有“强制采购”产品，但未提供经国家确定的认证机构出具的、处于有效期之内该节能产品认证证书图片的；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26.4.11响应文件未按照磋商文件要求加盖CA电子公章的。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26.4.12其他法律法规及本磋商文件规定的属无效响应的情形。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26.5未实质性响应磋商文件的响应文件按无效响应处理。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26.6如果响应文件实质上没有响应磋商文件的要求，磋商小组将予以拒绝，供应商不得通过修改或撤销不符合要求的偏离或保留而使其成为实质性响应的文件。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26.7供应商在项目评审全过程中应保持通信畅通，并安排专人与采购代理及磋商小组联系。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27.磋商程序及评审方法和评审标准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27.1磋商程序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27.2评审方法和评审标准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27.2.1评审方法。经磋商确定最终采购需求和提交最后报价的供应商后，由磋商小组采用综合评分法对提交最后报价的供应商的响应文件和最后报价进行综合评分。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27.2.2评审标准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见本磋商文件第三章规定。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27.3采购活动终止的情况</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出现下列情形之一的，本次竞争性磋商采购活动将被终止：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27.3.1因情况变化，不再符合规定的竞争性磋商采购方式适用情形的。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27.3.2出现影响采购公正的违法、违规行为的。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27.3.3除本磋商文件第二章第27.1.2条第三款规定的情形外，在采购过程中符合要求的供应商或者最后报价未超过采购预算的供应商不足3家的。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27.3.4在苏采云系统规定时间内成功解密电子响应文件的供应商不足3家的。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28.推荐成交候选供应商</w:t>
      </w:r>
      <w:r/>
    </w:p>
    <w:p>
      <w:pPr>
        <w:ind w:left="0" w:right="0" w:firstLine="539"/>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28.1磋商小组将对通过资格性审查和符合性审查的响应文件进行评价和比较。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28.2磋商小组按磋商文件第三章中公布的评标标准对每份合格响应文件进行评审，推荐3名成交候选供应商。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28.3磋商小组发现磋商文件存在歧义、重大缺陷导致评审工作无法进行，或者磋商文件内容存在违反国家有关规定的，评审工作停止，采购代理修改磋商文件后重新组织采购活动。</w:t>
      </w:r>
      <w:r/>
    </w:p>
    <w:p>
      <w:pPr>
        <w:ind w:left="0" w:right="-634"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29.磋商过程保密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29.1在宣布成交结果前，凡属于审查、澄清、磋商、评审响应文件和确定成交等相关信息，均不得泄露给任何供应商或与评审工作无关的人员。</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29.2供应商不得探听上述信息，不得以任何行为影响磋商过程，否则将被取消成交资格。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29.3磋商小组名单在磋商前确定，并在磋商结果确定前保密。</w:t>
      </w:r>
      <w:r/>
    </w:p>
    <w:p>
      <w:pPr>
        <w:ind w:left="0" w:right="-634"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六、确定成交及签订合同</w:t>
      </w:r>
      <w:r/>
    </w:p>
    <w:p>
      <w:pPr>
        <w:ind w:left="0" w:right="-634"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30.确定成交供应商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30.1采购人将从磋商小组推荐的符合采购需求的成交候选供应商中按排名先后确定成交供应商。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30.2采购代理将在淮安市政府采购网发布成交结果公告。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30.3成交候选人在合同签订前，如经查实从参加该成交项目之日起计算所参加的政府采购活动前三年内，在经营活动中有行贿犯罪记录的，采购代理将取消其成交候选人资格。</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31.成交通知书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31.1成交结果确定后，采购代理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32.签订合同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32.1采购人与成交供应商应在成交通知书发出之日起三十日内签订政府采购合同。磋商文件、成交供应商的响应文件及澄清文件等均为签订合同依据。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32.2成交供应商自成交通知书发出之日起三十日内无正当理由不与采购人签订合同的，将按规定进行处理。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33.货物和服务的减少</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七、质疑处理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34.质疑处理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如系统无法提交质疑，则须通过书面形式提出），七个工作日之外以及未按34.5条的要求提供质疑的均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34.2上述应知其权益受到损害之日是指：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（1）对磋商文件提出质疑的，为采购文件公告期限届满之日起计算；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（2）对采购过程提出质疑的，为各采购程序环节结束之日起计算；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（3）对成交结果提出质疑的，为成交结果公告期限届满之日起计算。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34.3质疑供应商是指直接参加本次磋商活动的供应商，对未参加磋商活动的供应商或在磋商活动中自身权益未受到损害的供应商所提出的质疑不予受理。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34.4质疑供应商在法定质疑期内应当一次性针对同一采购环节提出质疑，若质疑供应商针对同一环节提出两次及两次以上质疑，仅受理第一次提出的质疑。</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34.5质疑函应当包括以下主要内容，附上相关证明材料。否则，采购代理不予受理。</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（1）质疑供应商的名称、地址、邮编、联系人及联系电话；</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（2）质疑项目的名称、编号；</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（3）具体、明确的质疑事项和与质疑事实相关的请求；</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（4）事实依据；</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（5）必要的法律依据；</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（6）提起质疑的日期；</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函格式以中国政府采购网公示的质疑函范本为准，必须署名，由法定代表人或者其授权代表签字，并加盖单位电子公章。授权代表签字的，还需提供法定代表人出具的办理质疑事项授权书（授权中必须载明具体权限、期限和事项）】</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34.6采购代理收到质疑函后，将对质疑的形式和内容进行审查，如质疑函内容、格式不符合规定，采购代理将告知质疑人进行补正。质疑人应当在法定质疑期限内进行补正并重新提交质疑函，拒不补正或者超过法定期限后未重新提交质疑函的，为无效质疑，采购代理有权不予受理。</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34.7对于内容、格式符合规定的质疑函，采购代理将在七个工作日内以电子文件的形式作出答复，但质疑答复的内容不涉及商业秘密。如果质疑供应商还需要纸质形式回复函的，需主动与采购代理联系索取，或者在质疑函中明确提出该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34.8供应商提出的质疑必须有理、有据，不得恶意质疑或提交虚假质疑。否则，一经查实，采购代理有权依据政府采购的有关规定，报请淮安市财政局政府采购管理处对该供应商列入失信行为或不良行为记录名单，进行相应的行政处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八、政府采购政策功能落实</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35.政策功能落实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35.1小微型企业价格扣除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（1）在货物采购项目中，货物由中小企业制造，即货物由中小企业生产且使用该中小企业商号或者注册商标；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35.1.2在货物采购项目中，供应商提供的货物既有中小企业制造货物，也有大型企业制造货物的，不享受本办法规定的中小企业扶持政策。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35.2联合体及分包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35.2.1以联合体形式参加政府采购活动，联合体各方均为中小企业的，联合体视同中小企业。其中，联合体各方均为小微企业的，联合体视同小微企业。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35.2.2享受扶持政策获得政府采购合同的，小微企业不得将合同分包给大中型企业，中型企业不得将合同分包给大型企业。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35.3小微型企业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（1）供应商须按照磋商文件的要求提供相应的《企业声明函》，详见磋商文件第六章示范格式。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（2）企业标准请参照《政府采购促进中小企业发展管理办法》（财库〔2020〕46号）文件规定自行填写。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35.4残疾人福利单位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（1）残疾人福利单位需按照招标文件的要求提供《残疾人福利性单位声明函》，详见招标文件第六章示范格式。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（2）残疾人福利单位标准请参照《关于促进残疾人就业政府采购政策的通知》（财库〔2017〕141号）。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35.5监狱和戒毒企业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（1）监狱企业参加政府采购活动时，需提供由省级以上监狱管理局、戒毒管理局（含新疆生产建设兵团）出具的属于监狱企业的证明文件）（在磋商文件中上传加盖出具单位公章的电子件）。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（2）监狱企业标准请参照《关于政府采购支持监狱企业发展有关问题的通知》（财库〔2014〕68号）。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36.节能、环保政策（本项目不涉及）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36.2节能产品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被列入“节能产品品目清单”的，实行</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36.3环保产品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本项目中</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被列入“环境标志产品品目清单”的，实行</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37.政府绿色采购</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根据《江苏省财政厅关于加强政府绿色采购有关事项的通知》（苏财购〔2023〕65号）的要求，落实政府绿色采购相关政策，具体如下：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37.1本项目为货物类采购项目的，所提供的产品需综合考虑节能环保、节水、循环再生、低碳、有机等因素；本项目为物业、合同能源管理等服务类采购项目的，应在服务中加强绿色低碳管理。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37.2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37.3本项目中涉及涂料、胶黏剂、油墨、清洗剂等挥发性有机物产品的，要执行国家和江苏省VOCs含量限制标准，优先使用低挥发性原辅材料，使用低VOCs含量的涂料、胶黏剂等。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38.履约资金扶持政策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38.2有融资贷款需求的成交人，与采购人在苏采云【合同在线签订】模块中进行合同在线签订时，【账户信息完善】的“是否融资”一栏中需选择“是”，同时完善收款账号信息和合同补充协议（融资账号）。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39.履约保证金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39.1本项目不收取履约保证金。</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05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305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305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305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3054"/>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3054"/>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第三章  评标标准</w:t>
      </w:r>
      <w:r/>
    </w:p>
    <w:p>
      <w:pPr>
        <w:ind w:left="0" w:right="0" w:firstLine="539"/>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本项目采用综合评分法进行评审。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磋商小组将依据下列评标标准进行评审，本评标标准的总分为100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三、具体标准：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1.价格：10分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采用低价优先法计算，满足招标文件要求且报价最低为评标基准价，其价格分为满分。其他供应商的价格分按照下列公式计算（小数点保留两位）：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报价得分＝（评标基准价/供应商报价）×10分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2.方案部分：48分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磋商小组根据供应商针对本项目提供的方案酌情评分，不提供分项方案的或者经三分之二评委认定分项方案存在重大偏差的该分项不得分。（方案格式自拟并加盖供应商电子签章）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（1）技术方案（10分）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结合项目需求和实际情况，根据供应商对本项目的实施方案是否周密，流程是否合理，措施是否得力，是否有可操作性进行综合评审。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方案周密合理，措施得力，操作性强的得10分；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方案内容完整，措施合理，操作性较强的得7分；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方案不完整，措施有缺漏，操作性一般的得4分；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方案基本上没有可操作性的得2分；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未提供方案的不得分。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（2）项目管理方案（10分）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根据供应商对本项目的管理方案（组织架构、管理制度、工期安排、保密措施、风险控制等）是否内容详细全面、针对性强、科学合理进行综合评审。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方案详细全面、针对性强、科学合理的得10分；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方案内容完整，措施合理，操作性较强的得7分；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方案不完整，措施有缺漏，操作性一般的得4分；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方案基本上没有可操作性的得2分；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未提供方案的不得分。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（3）质量保证措施（8分）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根据供应商提供的质量保证措施，方案是否全面、措施是否合理、质保要点是否明确、可操作性强进行综合评审。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方案详细全面、措施合理、质保要点明确、可操作性强的得8分；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方案基本全面、措施基本合理、质保要点基本明确、可操作性较强的得5分；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方案不全面、措施有遗漏、质保要点不明确、可操作性一般的得2分；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方案基本上没有可操作性的不得分。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（4）安全保密措施（8分）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根据供应商提供的安全保密措施，方案是否全面、措施是否合理、安全责任制是否明确、应急预案是否完善等进行综合评审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方案详细全面、措施合理、安全责任制明确、应急预案完善的得8分；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方案基本全面、措施基本合理、安全责任制基本明确、应急预案基本完善的得5分；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方案不全面、措施有遗漏、安全责任制不明确、应急预案不完善的得2分；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方案基本上没有可操作性的不得分。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（5）合理化建议（6分）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供应商能够根据本地实际情况，分析本项目重点，难点工作，并为高质量地完成本项目提出合理化、可行性建议。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分析全面透彻，建议清晰合理的得6分；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分析有针对性，建议较合理的得3分；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未分析、未提出建议的不得分。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（6）服务承诺（6分）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根据供应商对人员数量、仪器设备、项目进度、成果质量、项目实施过程中和项目完成后为采购人提供的额外服务等承诺的针对性，是否对项目实施有利进行综合评定。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服务承诺覆盖全面、针对性强的得6分；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服务承诺覆盖面有缺漏、针对性一般的得3分；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未提供服务承诺的不得分。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3.商务部分：35分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（1）供应商针对本项目拟派的项目负责人具有测绘相关专业正高级及以上技术职称得2分、注册测绘师资格得1分、核心涉密人员保密培训证书得1分，本项最高得4分，没有不得分。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（2）供应商针对本项目拟派的技术负责人具有测绘相关专业高级及以上技术职称得1分、注册测绘师资格得1分、注册安全工程师证书得1分，最高得3分，没有不得分。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（3）供应商针对本项目拟派的质量负责人具有测绘相关专业高级及以上技术职称得1分、注册测绘师资格得1分、省级地理信息质量监督专家库成员得1分，本项最高得3分，没有不得分。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（4）供应商针对本项目拟派的项目组其他成员（项目负责人、技术负责人、质量负责人除外）具有测绘类专业高级及以上职称证书的，每有1人得1分，本项最高得6分，没有不得分。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（5）供应商针对本项目拟派的项目组其他成员（项目负责人、技术负责人、质量负责人除外）具有国家注册测绘师证书的，每有1人得1分，本项最高得5分，没有不得分。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注：①以上（1）－（5）项人员不重复计分；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②注册测绘师必须为执业注册测绘师，须提供有效期内的执业凭证。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以上（1）－（5）项须提供相应人员具有的证书原件扫描件加盖供应商电子签章，同时须提供本单位为其缴纳的2026年5月份以来的任意1个月的社保证明材料或者上级主管部门开具的相关证明材料扫描件加盖供应商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供应商具有有效期内的质量管理体系认证证书、环境管理体系认证证书、测量体系认证证书、信息技术服务认证证书的，每提供1个证书得1分，本项最高得4分，未提供不得分。（提供证书扫描件加盖供应商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（7）供应商具有民用无人驾驶航空器运营合格证且3人以上具有民用无人驾驶航空器操控员执照的得2分，没有不得分。（提供证书扫描件加盖供应商电子签章）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供应商针对本项目拟投入自有或租赁单北斗版GNSS接收机6台及以上的得2分；6台以下或不提供的不得分。（需同时提供设备的购买发票、设备的照片及有效期内的仪器检定证书扫描件加盖供应商电子签章，如为租赁，需提供租赁合同扫描件加盖供应商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供应商针对本项目拟投入自有或租赁无人机4台及以上的得2分；4台以下或不提供的不得分。（需同时提供设备的购买发票、设备的照片及有效期内依法投保第三者责任险保险扫描件加盖供应商电子签章，如为租赁，需提供租赁合同扫描件加盖供应商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（10）供应商具有“大比例尺地形图数据编辑建库系统”、“实景三维数据建库和管理系统”相关软件著作权证书的，每有一个得2分，本项最高得4分，没有不得分。（提供证书扫描件加盖供应商电子签章）</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4.业绩：7分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（1）供应商自2024年1月1日以来（以合同签订日期为准），承接过大比例尺地形图测绘项目的，每提供1个得1分，本项最高得3分，没有不得分。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（2）供应商自2024年1月1日以来（以合同签订日期为准），承接过实景三维建设或更新项目的，每提供1个得1分，本项最高得2分，没有不得分。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（3）供应商自2024年1月1日以来（以合同签订日期为准），承担过地理实体建设项目的得2分，没有不得分。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注：上述（1）－（3）项须提供合同扫描件加盖供应电子签章，如合同中无法反映相关内容的还需提供用户单位出具的加盖公章的证明材料，否则不予认可。</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第四章  合同格式及条款</w:t>
      </w:r>
      <w:r/>
    </w:p>
    <w:p>
      <w:pPr>
        <w:ind w:left="0" w:right="0" w:firstLine="551"/>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ind w:left="0" w:right="0" w:firstLine="3626"/>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626"/>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一、合同格式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乙方：</w:t>
      </w:r>
      <w:r/>
    </w:p>
    <w:p>
      <w:pPr>
        <w:ind w:left="0" w:right="0" w:firstLine="635"/>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甲、乙双方根据（项目编号：）</w:t>
      </w:r>
      <w:r>
        <w:rPr>
          <w:rFonts w:ascii="FangSong" w:hAnsi="FangSong" w:eastAsia="FangSong" w:cs="FangSong"/>
          <w:color w:val="000000"/>
          <w:sz w:val="28"/>
          <w:u w:val="single"/>
        </w:rPr>
        <w:t xml:space="preserve">          （采购项目）</w:t>
      </w:r>
      <w:r>
        <w:rPr>
          <w:rFonts w:ascii="FangSong" w:hAnsi="FangSong" w:eastAsia="FangSong" w:cs="FangSong"/>
          <w:color w:val="000000"/>
          <w:sz w:val="28"/>
        </w:rPr>
        <w:t xml:space="preserve">竞争性磋商采购结果及磋商文件的要求，经协商一致，达成如下采购合同：</w:t>
      </w:r>
      <w:r/>
    </w:p>
    <w:p>
      <w:pPr>
        <w:ind w:left="-359" w:right="0" w:firstLine="96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一、服务内容及要求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本合同所提供的服务内容及要求详见“项目采购需求”。</w:t>
      </w:r>
      <w:r/>
    </w:p>
    <w:p>
      <w:pPr>
        <w:ind w:left="-359" w:right="0" w:firstLine="96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二、合同金额</w:t>
      </w:r>
      <w:r/>
    </w:p>
    <w:p>
      <w:pPr>
        <w:ind w:left="0" w:right="0" w:firstLine="49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本合同的总金额(大写)为___________元人民币，分项价格详见乙方提交的磋商报价表。</w:t>
      </w:r>
      <w:r/>
    </w:p>
    <w:p>
      <w:pPr>
        <w:ind w:left="-359" w:right="0" w:firstLine="96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三、服务时间和地点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本合同服务时间和地点在磋商文件中有明确规定。</w:t>
      </w:r>
      <w:r/>
    </w:p>
    <w:p>
      <w:pPr>
        <w:ind w:left="-357" w:right="0" w:firstLine="96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四、付款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本合同的付款条件在磋商文件中有明确规定。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五、验收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甲方按磋商文件相关要求进行。 </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六、合同纠纷处理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本合同执行过程中发生纠纷，由甲乙双方协商解决，若协商不成，做如下</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处理：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1.申请仲裁。选定仲裁机构为淮安仲裁委员会。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2.提起诉讼。约定由采购人所在地法院管辖。 </w:t>
      </w:r>
      <w:r/>
    </w:p>
    <w:p>
      <w:pPr>
        <w:ind w:left="0" w:right="0" w:firstLine="54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七、合同生效及其他</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本合同经甲乙双方授权代表签字盖章之日起生效。如有变动，必须经甲方、乙方协商一致方可更改。本合同一式四份，甲方、乙方各执二份。</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八、组成本合同的文件包括</w:t>
      </w:r>
      <w:r/>
    </w:p>
    <w:p>
      <w:pPr>
        <w:ind w:left="0" w:right="0" w:firstLine="565"/>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1.合同格式及条款；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2.磋商文件和乙方的响应文件；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3.成交通知书；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4.甲乙双方商定的其他必要文件。上述合同文件内容互为补充，如有不明确，由甲方负责解释。</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甲方：乙方：</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单位盖章：单位盖章：</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代表签字：代表签字：</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签订日期：签订日期：</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28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第五章  项目采购需求</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一、项目背景</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为全面衔接《江苏省 “十五五” 基础测绘规划》《江苏省实景三维数据省市县协同更新实施方案（2026 版）》以及 2026 年度淮安市自然资源和规划重点工作要求，立足淮安市国土空间治理现代化和智慧城市建设实际需求，夯实全市时空数据基底，全面保障地理信息数据的现势性、精准性、权威性，开展淮安市测绘地理信息数据更新项目。</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二、工作内容</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37"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3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37"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3409950" cy="40481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459991" name=""/>
                              <pic:cNvPicPr>
                                <a:picLocks noChangeAspect="1"/>
                              </pic:cNvPicPr>
                              <pic:nvPr/>
                            </pic:nvPicPr>
                            <pic:blipFill>
                              <a:blip/>
                              <a:stretch/>
                            </pic:blipFill>
                            <pic:spPr bwMode="auto">
                              <a:xfrm>
                                <a:off x="0" y="0"/>
                                <a:ext cx="3409949" cy="4048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8.5pt;height:318.8pt;mso-wrap-distance-left:0.0pt;mso-wrap-distance-top:0.0pt;mso-wrap-distance-right:0.0pt;mso-wrap-distance-bottom:0.0pt;" stroked="false">
                      <v:path textboxrect="0,0,0,0"/>
                    </v:shape>
                  </w:pict>
                </mc:Fallback>
              </mc:AlternateContent>
            </w:r>
            <w:r/>
          </w:p>
        </w:tc>
      </w:tr>
    </w:tbl>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淮安市主城区工作界内（面积约为 270.23km²）开展基础地理信息数据、实体全要素的更新和生产以及城市级实景三维模型更新等工作，主城周边城区范围内（扣除主城区工作边界范围，面积约657.61km²）开展存量地形图数据标准化处理工作，完成全市实景三维成果汇交工作，工作任务分布范围详见图 1 所示。</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图1 工作范围示意图</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2.1工作界内工作任务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根据《江苏省实景三维数据省市县协同更新实施方案（2026版）》，开展淮安市城市级基础地理实体数据更新并完成数据库建设，提升数据现势性至2026年，满足省市县协同任务要求。具体任务如下：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（1）完成淮安市区工作界内约270平方千米城市级基础地理实体更新</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江苏省实景三维数据省市县协同更新实施方案（2026版）》要求，对工作界范围内的基础地理实体进行更新，满足省级规定工作界范围，补齐要素类型，完成山体、水体、农林用地与其他土地、水利、交通、建（构）筑物及设施、管线、院落、行政区划单元、地名等全要素更新，确保数据完整覆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（2）完成淮安市区工作界内制图辅助要素更新</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江苏省实景三维数据省市县协同更新实施方案（2026版）》要求，将地形图数据有但实体缺失的内容作为制图辅助要素，例如等高线、高程点、体育场内轮廓线、立交桥边线、坡底线等，与基础地理实体进行同步更新，并基于基础地理实体数据派生地形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（3）城市级三维模型动态更新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依据实景三维江苏建设总体工作要求，在主城区工作边界范围内，针对变化区域开展分辨率优于 0.03 米的倾斜摄影测量作业，实施倾斜摄影三维模型建设，做好与已有倾斜摄影三维模型的接边处理，实现倾斜摄影三维模型更新。成果统一采用 CGCS2000 大地坐标系、1985 国家高程基准，严格遵照省级技术标准完成格网划分、瓦片组织、边界接边、纹理匀色、拓扑修正及元数据整理等工作，保障数据组织、存储格式、分级精度、现势性、纹理质量全部满足省级数据入库及对外发布相关技术要求。</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2.2工作界外工作任务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（1）存量地形图数据标准化处理及数据入库</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针对主城区工作边界及周边城区存量1∶1000地形图数据开展标准化规整与质量提升处理，严格遵循《江苏省 1∶500 1∶1000 1∶2000 基础地理信息地形要素数据规范》要求，统一数学基础、要素采集标准、数据图层、要素编码及属性表结构，实现地形图整体数据质量提升。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（2）完成淮安市区工作界外核心基础地理实体更新</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江苏省实景三维数据省市县协同更新实施方案（2026版）》要求，依据不动产登记、多测合一、民政专题资料等，完成工作界范围外核心基础地理实体更新，满足省级规定任务范围，主要包括院落、乡级以下行政区划单元、重要场所与机构地名等实体。</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三、技术要求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1.空间基准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（1）坐标系统：淮安2000坐标系（高斯-克吕格投影,中央子午线为119°10′），CGCS2000 国家大地坐标系（高斯-克吕格投影,中央子午线为120°）。</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（2）高程基准：1985国家高程基准。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（3）时间基准：公元纪年和北京时间。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2.地形图精度指标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（1）地形图平面精度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地物点点位中误差与间距中误差要求。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81"/>
        <w:gridCol w:w="1871"/>
        <w:gridCol w:w="2486"/>
        <w:gridCol w:w="2641"/>
      </w:tblGrid>
      <w:tr>
        <w:trPr>
          <w:trHeight w:val="507"/>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地区分类</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平面位置中误差（图上mm）</w:t>
            </w:r>
            <w:r/>
          </w:p>
        </w:tc>
        <w:tc>
          <w:tcPr>
            <w:gridSpan w:val="2"/>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512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邻近地物点间距中误差</w:t>
            </w:r>
            <w:r/>
          </w:p>
        </w:tc>
      </w:tr>
      <w:tr>
        <w:trPr>
          <w:trHeight w:val="574"/>
        </w:trPr>
        <w:tc>
          <w:tcPr>
            <w:vMerge w:val="continue"/>
            <w:textDirection w:val="lrTb"/>
            <w:noWrap w:val="false"/>
          </w:tcPr>
          <w:p>
            <w:r/>
            <w:r/>
          </w:p>
        </w:tc>
        <w:tc>
          <w:tcPr>
            <w:vMerge w:val="continue"/>
            <w:textDirection w:val="lrTb"/>
            <w:noWrap w:val="false"/>
          </w:tcPr>
          <w:p>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建、构筑物（图上mm）</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其他地物（图上mm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±0.50</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注：建筑物密集区及隐蔽地区在上述规定的基础上放宽0.5倍。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（2）基本等高距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平地采用0.5米等高距。平坦地区等高线不超过2条时可不绘等高线。</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（3）高程注记点精度及密度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城市建筑区和基本等高距为0.5m的平坦地区，高程注记点相对于邻近高程控制点的高程中误差不应大于±0.15m。</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其他地区高程精度应以等高线插求点的高程中误差来衡量，等高线插求点相对于邻近高程控制点的高程中误差，平地不应大于基本等高距的1/3。</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一般地区高程注记点图上每平方分米10～12个，居民地密集区及水稻田平坦地区每平方分米8～10个。高程注记至0.01米。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（4）平面和高程中误差的2倍为最大误差。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3.基础地理实体和三维模型数据位置精度</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559" w:lineRule="atLeast"/>
              <w:tabs>
                <w:tab w:val="left" w:pos="53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数据成果类型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559" w:lineRule="atLeast"/>
              <w:tabs>
                <w:tab w:val="left" w:pos="53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平面中误差（米）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559" w:lineRule="atLeast"/>
              <w:tabs>
                <w:tab w:val="left" w:pos="53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高程中误差（米）</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559" w:lineRule="atLeast"/>
              <w:tabs>
                <w:tab w:val="left" w:pos="53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基础地理实体数据成果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559" w:lineRule="atLeast"/>
              <w:tabs>
                <w:tab w:val="left" w:pos="53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559" w:lineRule="atLeast"/>
              <w:tabs>
                <w:tab w:val="left" w:pos="53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0.25-2.0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559" w:lineRule="atLeast"/>
              <w:tabs>
                <w:tab w:val="left" w:pos="53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三维模型数据成果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559" w:lineRule="atLeast"/>
              <w:tabs>
                <w:tab w:val="left" w:pos="53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559" w:lineRule="atLeast"/>
              <w:tabs>
                <w:tab w:val="left" w:pos="53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0.25</w:t>
            </w:r>
            <w:r/>
          </w:p>
        </w:tc>
      </w:tr>
      <w:tr>
        <w:trPr>
          <w:trHeight w:val="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559" w:lineRule="atLeast"/>
              <w:tabs>
                <w:tab w:val="left" w:pos="53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困难地区（如林区、阴影覆盖隐蔽区等）的可放宽两倍中误差为其最大误差。</w:t>
            </w:r>
            <w:r/>
          </w:p>
        </w:tc>
      </w:tr>
    </w:tbl>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4.基础地理实体更新内容及要求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（1）工作界内基础地理实体更新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作界内基础地理实体更新的类别包括山体、水体、农林用地与其他土地、水利、交通、建（构）筑物及设施、管线、院落、行政区划单元、地名、国土空间规划、其他管理区域等，具体内容参考《江苏省实景三维数据省市县协同更新实施方案（2026版）》附录E城市级基础地理实体更新内容及要求执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数据完成更新的基础上，需正确构建水系与附属设施、道路与附属设施、院落与房屋等重要要素的语义关系。如父子河流实体的组成关系；河湖岛、闸、坝与河流、湖泊的附属关系；收费站、服务区、高速公路出入口与国省道的附属关系；桥梁、隧道与国道、省道、县道、乡道、主干路、次干路的附属关系；房屋与院落的归属关系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（2）工作界外基础地理实体更新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工作界范围外核心基础地理实体更新的类别包括院落、乡级以下行政区划单元、重要场所与机构地名等，具体要求如下：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城镇住宅小区、机关团体、科教文卫、公园广场、交通场站等院落实体变化应更新，如因新建、改扩建、拆除、合并、分割等引起的院落位置、范围、权属、功能属性变化；对其他实体更新引起的院落关联变化应作协调更新处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乡级以下行政区域、界线、界桩、名称变化应更新，如因建制调整、区域拆分、合并、驻地迁移等引起的行政单元范围、界线走向、界桩点位、名称标识变化；对其他实体更新引起的行政区划关联变化应作协调更新处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村（含）以上等级居民地行政地名和政府驻地位置发生变化应更新，如因地名更名、命名、注销，政府驻地搬迁、调整等引起的地名标识、地理点位、权属关联变化；对其他实体更新引起的地名关联变化应作协调更新处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（3）工作界内制图辅助要素更新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基础地理实体及大比例尺地形图数据的分类体系、几何表达等差异，将地形图数据有但实体缺失的内容作为制图辅助要素，与基础地理实体进行同步更新，满足后续基于基础地理实体数据按需派生地形图的需求。包括基础地理实体分类中不存在的基础地理信息要素和用于地形图制图表达的要素，具体内容包括：河流流向、沟渠流向、潮汐流向、地面河流岸线、运河边线、干渠边线、支渠边线、溢洪道边线、船闸边线、体育场内轮廓线、立交桥边线、示坡线、首曲线、计曲线、间曲线、助曲线、等深线、高程点、比高点、水深点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（4）元数据技术要求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基础地理实体元数据符合《新型基础测绘与实景三维中国建设技术文件-4 基础地理实体数据元数据》要求。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5.城市级三维模型动态更新内容及要求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（1）航摄技术要求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1）航摄种类：IMU/DGPS辅助倾斜数码彩色航空摄影；</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2）航摄仪要求：不少于五镜头倾斜数码航摄仪（含），无人机航摄仪总像素不得低于1.8亿像素（含），大航摄仪单镜头像素不低于1.2亿像素（含）；</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3）带有高精度IMU/DGPS系统；</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4）全域航摄影像地面分辨率：等于或优于0.03米（下视）；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5）城市风貌区、文物保护区、其他特色建筑区，重点建筑物绕飞航摄影像地面分辨率：等于或优于0.015米（下视）；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6）垂直影像重叠度：航向重叠度在高层建筑物密集区域一般应设计为70%～80%，其他地区航向重叠度一般不低于60%，最低不低于53%；旁向重叠度一般应设计为50%～80%，最低不低于30%；</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7）倾斜影像重叠度：当满足垂直影像重叠度后，倾斜影像的航向和旁向重叠度可不再重新设计；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旋偏角：一般不大于15°；在像片航向和旁向重叠度满足要求的前提下，最大不超过35°；同一航线连续达到或接近最大旋偏角的像片数不应超过3张；同一摄区出现最大旋偏角的像片数不应大于摄区像片总数的4%；</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9）测区覆盖：保证测区边缘区域倾斜视角影像的覆盖范围，旁向范围超出摄区边界不少于3条基线；航向超出摄区边界不少于7条基线，覆盖不全须补测；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10）航飞时间保障：为了保证航空摄影顺利进行以及飞行质量，要求使用载人飞行器并配备陀螺稳定平台；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11）影像质量要求：各镜头影像须清晰、反差适中、色彩鲜明、颜色饱和、相同地物的色彩基调基本一致、有较丰富的层次和能辨别与地面分辨率相适应的细小地物影像；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航摄时间：在规定的航摄期限内，选择对成图影响较小、云雾少、无扬尘（沙）、光照充足、大气透明度好的晴或多云天气进行摄影。若为晴天拍摄，太阳高度角≥40°，阴影倍数≤1.2倍；若为多云天气拍摄，在保证照度的前提下可适当放宽太阳高度角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补摄与重摄：航摄过程中出现的绝对漏洞、相对漏洞及其它严重缺陷必须及时补摄，补摄航线的长度应超出漏洞外五条基线，应采用同一主距的航摄仪进行补摄，当某段POS数据经分析后无法使用，应对该段航线进行补摄，补摄航线的长度应超出该段航线外五条基线。</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（2）倾斜摄影三维模型成果要求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1）总体要求:模型纹理色调一致、均匀、无镶嵌痕迹，保障建筑物建模效果优良，模型分明，不能有明显变形、不平整、与实际不符情况。</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需对水系、交通、建筑、独立物、植被、地形等进行修饰，修饰后模型应进行细节层次重建，维持修饰前模型的目录、命名、空间范围和文件结构，不得新增瓦片文件，瓦片不得引用不存在的子瓦片文件，不得在瓦片文件内直接新增补丁模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水系:水系的同一横断面上的高程不得相差0.2米，对有遮挡处进行人工处理到设计精度要求；水面平整、无破面，放大到实际影像像素大小、以相机拍照视角观察时，不会出现与实际不符的情况。影像接边处无明显接痕，水面纹理可采用正射影像进行纹理映射。</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交通:对有遮挡处进行人工处理达到设计精度要求，道路及其附属设施的平面位置及高程信息满足三维模型整体表达精度，道路及其附属设施线状模型结构与实际情况一致，不能有明显不平整、变形等情况。放大到实际影像像素大小、以相机拍照视角观察时，不会出现与实际不符情况且影像接边处无明显接痕。</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5）建筑:所有建筑物几何形状（面、线、角）和纹理完整、正确；放大到实际影像像素大小、以相机拍照视角观察时，房檐、房角线平直。抵近观察时建筑物的轮廓、形状、纹理不变形。</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6）独立物:对电杆、灯杆、通信杆、烟囱等直径小于0.5米或厚度小于0.5米的广告牌等独立地物进行检查，对悬空部分直接删除，直径大于1米的要做出实际形状。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7）植被:植被模型一般不进行处理，主要是对直径小于1米，并且独立、没有支撑的部分进行删除，行树等趋于自然。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8）地形:真实反映地形起伏、地表形态、质地、色彩、纹理等特征。地形模型的平面位置及高程精度满足三维模型表达要求。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其他:不允许在模型表面出现与现实不符的孔洞,如水面、广告牌、玻璃幕墙等，需进行修复；模型中不允许存在孤立、细碎的3D悬浮物（如很小的树冠、残缺不全的路标牌等及其他异常错误目标），需进行修复；对提供的影像数据或补摄的影像中涉及如人脸、汽车牌号等隐私信息或保密信息进行模糊化处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10）模型分块：采用基于CGCS2000的球面墨卡托投影作为网格分块坐标系，以该坐标系下横坐标13306157.8839、纵坐标3913575.8483作为分块计算的原点，以152.874米为分块单元的边长，每个分块内模型满幅。</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11）将更新后的倾斜摄影三维模型转换成3DTile格式，转换后模型的几何和纹理表达效果应与转换前OSGB格式模型保持一致。</w:t>
      </w:r>
      <w:r/>
    </w:p>
    <w:p>
      <w:pPr>
        <w:ind w:left="0" w:right="0" w:firstLine="560"/>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6.存量地形图数据标准化处理及数据入库</w:t>
      </w:r>
      <w:r/>
    </w:p>
    <w:p>
      <w:pPr>
        <w:ind w:left="0" w:right="0" w:firstLine="560"/>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（1）统一全域地形要素采集标准和分类代码体系，规范图层命名与要素分类规则，统一各类要素属性字段名称、数据类型、字段长度及值域范围，保障要素属性准确、完整规范。</w:t>
      </w:r>
      <w:r/>
    </w:p>
    <w:p>
      <w:pPr>
        <w:ind w:left="0" w:right="0" w:firstLine="560"/>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（2）开展数据拓扑逻辑一致性处理，全面排查重复要素、伪节点、悬挂线段、要素自相交等各类几何拓扑问题。</w:t>
      </w:r>
      <w:r/>
    </w:p>
    <w:p>
      <w:pPr>
        <w:ind w:left="0" w:right="0" w:firstLine="560"/>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统一更新后地形图各类要素的属性表结构，规范属性字段名称、数据类型、字段长度及值域范围，全面校核完善属性内容，保证要素属性准确、完整、规范。将整改完成的标准化成果数据入库至淮安市基础地理信息数据库，同步完成数据格式适配，满足省级数据汇交标准及业务应用需求。</w:t>
      </w:r>
      <w:r/>
    </w:p>
    <w:p>
      <w:pPr>
        <w:ind w:left="0" w:right="0" w:firstLine="560"/>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7.主要技术依据</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标准代号 / 出版时间</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《实景三维中国建设技术大纲（2024 版）》</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2024 版</w:t>
            </w:r>
            <w:r/>
          </w:p>
        </w:tc>
      </w:tr>
      <w:tr>
        <w:trPr>
          <w:trHeight w:val="90"/>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《新型基础测绘与实景三维中国建设技术文件 1 名词解释》</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《新型基础测绘与实景三维中国建设技术文件 2 基础地理实体分类、粒度及精度基本要求》</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《新型基础测绘与实景三维中国建设技术文件 3 基础地理实体空间身份编码规则》</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《新型基础测绘与实景三维中国建设技术文件 4 基础地理实体数据元数据》</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《新型基础测绘与实景三维中国建设技术文件 6 基础地理实体数据采集生产技术规程》</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《新型基础测绘与实景三维中国建设技术文件 7 基础地理实体语义化基本规定》</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《新型基础测绘与实景三维中国建设技术文件 8 基础地理实体分类与代码》</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《新型基础测绘与实景三维中国建设技术文件 9 基于 1∶500 1∶1000 1∶2000 基础地理信息要素数据转换生产基础地理实体数据技术规程》</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《实景三维中国建设技术大纲 (2021 版)》</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2021.8</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《实景三维中国建设总体技术设计书（2023 2025 年）》</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2023.3</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《新型基础测绘与实景三维中国建设技术文件》</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2024.6</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 1:500 1:1000 1:2000 基础地理信息要素数据转换生产基础地理实体数据技术规程（试行）》</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2024.6</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《实景三维江苏建设技术文件 1 江苏省基础地理实体分类、粒度及精度基本要求（修订）》</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《实景三维江苏建设技术文件 2 江苏省基础地理实体数据库规范（修订）》</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《实景三维江苏建设技术文件 3 实景三维江苏建设成果质量控制方案（修订）》</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《江苏省实景三维数据省市县协同更新实施方案（2026 版）》</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2026.5</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《实景三维江苏建设技术设计书（2023 2025 年）》</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2023.6</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《江苏省基础地理实体分类、粒度及精度基本要求 (试行)》</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2023.11</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《江苏省基础地理实体数据库规范》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2024.12</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 1∶500 1∶1000 1∶2000 基础地理信息地形要素数据规范》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2016 年</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《基础地理信息要素数据转换生产实体数据技术规范》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2025.12</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《数字测绘成果质量检查与验收》</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18316 2008</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《测绘成果质量检查与验收》</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24356 2023</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《环境管理体系要求及使用指南》</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24001 2016</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《国家基本比例尺地图图式 第 1 部分：1∶500 1∶1000 1∶2000 地形图图式》</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20257.1 2017</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《基础地理信息要素分类与代码》</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13923 2022</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《职业健康安全管理体系要求及使用指南》</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GB/T 45001 2020</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《测绘作业人员安全规范》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CH1016 2008</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《城市三维建模技术规范》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CJJ/T 157—2010</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《测绘技术设计规定》</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CH/T 1004 2005</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《测绘技术总结编写规定》</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CH/T 1001 2005</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《无人机航摄安全作业基本要求》</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CH/Z 3001 2010</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《低空数字航空摄影测量内业规范》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CH∕Z 3003 2010</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《低空数字航空摄影测量外业规范》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CH∕Z 3004 2010</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《低空数字航空摄影规范》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CH∕Z 3005 2010</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37</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《卫星定位城市测量技术标准》</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CJJ/T 73 2019</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38</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《城市测量规范》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CJJ/T 8 2011</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39</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《GPS 高程测量规范》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DB32/T1223－2008</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《全球定位系统实时动态测量（RTK）技术规范》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CH/T 2009 2010</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《地理信息公共服务平台电子地图数据规范》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CH/Z 9011 2011</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《三维地理信息数据服务规范》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DB32/T 3867 2020</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《实景三维地理信息元数据规范》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DB32/T 4156 2021</w:t>
            </w:r>
            <w:r/>
          </w:p>
        </w:tc>
      </w:tr>
      <w:tr>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44</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其他相关国家、行业技术标准规范</w:t>
            </w:r>
            <w:r/>
          </w:p>
        </w:tc>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bl>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四、提交成果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项目成果主要有图件成果、数据库成果、文档成果等（数据成果应提交淮安2000坐标系和2000国家大地坐标系两套坐标成果）。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1.基础地理实体数据库（含制图辅助要素）和元数据各1套（GDB格式）；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2.1∶1000 DLG成果数据1套（DWG格式和GDB格式）；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3.倾斜摄影三维模型成果数据1套（OSGB瓦片集格式和3DTiles格式）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4.项目技术设计书、技术总结、检查报告、检验报告等相关文档。</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五、商务部分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（一）服务时间：工作界内工作任务应于2026年11月30日前全部完成并提交给甲方，工作界外工作任务应于2027年9月30日前全部完成并提交给甲方。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（二）服务地点：采购人指定地点。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（三）付款方式：签订合同之后付启动资金50万元，完成项目经验收合格后2027年一次性付清余款。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第六章  响应文件</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446"/>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w:t>
      </w:r>
      <w:r/>
    </w:p>
    <w:p>
      <w:pPr>
        <w:ind w:left="0" w:right="0" w:firstLine="1066"/>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66"/>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428"/>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428"/>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供应商：</w:t>
      </w:r>
      <w:r/>
    </w:p>
    <w:p>
      <w:pPr>
        <w:ind w:left="0" w:right="0" w:firstLine="1066"/>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66"/>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428"/>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645"/>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二〇二六年  月  日</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521"/>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一、磋商函</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淮安市自然资源和规划局：</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w:t>
      </w:r>
      <w:r>
        <w:rPr>
          <w:rFonts w:ascii="FangSong" w:hAnsi="FangSong" w:eastAsia="FangSong" w:cs="FangSong"/>
          <w:color w:val="000000"/>
          <w:sz w:val="28"/>
          <w:u w:val="single"/>
        </w:rPr>
        <w:t xml:space="preserve">      采购项目</w:t>
      </w:r>
      <w:r>
        <w:rPr>
          <w:rFonts w:ascii="FangSong" w:hAnsi="FangSong" w:eastAsia="FangSong" w:cs="FangSong"/>
          <w:color w:val="000000"/>
          <w:sz w:val="28"/>
        </w:rPr>
        <w:t xml:space="preserve">（项目编号：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）磋商文件（包括更正公告，如果有的话）收悉，我们经详细审阅和研究，现决定参加本项目磋商。同时，正式授权下述签字人</w:t>
      </w:r>
      <w:r>
        <w:rPr>
          <w:rFonts w:ascii="FangSong" w:hAnsi="FangSong" w:eastAsia="FangSong" w:cs="FangSong"/>
          <w:color w:val="000000"/>
          <w:sz w:val="28"/>
          <w:u w:val="single"/>
        </w:rPr>
        <w:t xml:space="preserve">（姓名和职务）</w:t>
      </w:r>
      <w:r>
        <w:rPr>
          <w:rFonts w:ascii="FangSong" w:hAnsi="FangSong" w:eastAsia="FangSong" w:cs="FangSong"/>
          <w:color w:val="000000"/>
          <w:sz w:val="28"/>
        </w:rPr>
        <w:t xml:space="preserve">代表</w:t>
      </w:r>
      <w:r>
        <w:rPr>
          <w:rFonts w:ascii="FangSong" w:hAnsi="FangSong" w:eastAsia="FangSong" w:cs="FangSong"/>
          <w:color w:val="000000"/>
          <w:sz w:val="28"/>
          <w:u w:val="single"/>
        </w:rPr>
        <w:t xml:space="preserve">（供应商单位名称）</w:t>
      </w:r>
      <w:r>
        <w:rPr>
          <w:rFonts w:ascii="FangSong" w:hAnsi="FangSong" w:eastAsia="FangSong" w:cs="FangSong"/>
          <w:color w:val="000000"/>
          <w:sz w:val="28"/>
        </w:rPr>
        <w:t xml:space="preserve">，全权处理本次项目磋商的有关事宜。</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1.我公司没有为本项目提供整体设计、规范编制或者项目管理、监理、检测等服务。</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2.参加本次采购活动前，我方没有被“信用中国”网站、“中国政府采购网”列入失信被执行人名单、重大税收违法案件当事人名单、政府采购严重违法失信行为记录名单。</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3.按照磋商文件中规定的各项要求，我方愿以（大写、人民币）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元（RMB</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元）的磋商总报价并按磋商文件的规定要求提供货物和服务。</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4.如果我们成交，我们将按磋商文件规定的时间提供货物和服务。</w:t>
      </w:r>
      <w:r/>
    </w:p>
    <w:p>
      <w:pPr>
        <w:ind w:left="0" w:right="0" w:firstLine="56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left="0" w:right="0" w:firstLine="56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6.我们同意向贵方提供贵方可能要求的与磋商有关的任何证据或资料，并保证所提供的都是真实的、准确的。</w:t>
      </w:r>
      <w:r/>
    </w:p>
    <w:p>
      <w:pPr>
        <w:ind w:left="0" w:right="0" w:firstLine="56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7.一旦我方成交，我方将按照磋商文件的规定，严格履行合同的责任和义务，并保证按磋商文件中规定的时间内提供货物和服务。</w:t>
      </w:r>
      <w:r/>
    </w:p>
    <w:p>
      <w:pPr>
        <w:ind w:left="0" w:right="0" w:firstLine="56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61" w:firstLine="33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w:t>
      </w:r>
      <w:r>
        <w:rPr>
          <w:rFonts w:ascii="FangSong" w:hAnsi="FangSong" w:eastAsia="FangSong" w:cs="FangSong"/>
          <w:color w:val="000000"/>
          <w:sz w:val="28"/>
          <w:u w:val="single"/>
        </w:rPr>
        <w:t xml:space="preserve">（电子签章）</w:t>
      </w:r>
      <w:r/>
    </w:p>
    <w:p>
      <w:pPr>
        <w:ind w:left="0" w:right="561" w:firstLine="33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561" w:firstLine="33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电话：传真：</w:t>
      </w:r>
      <w:r/>
    </w:p>
    <w:p>
      <w:pPr>
        <w:ind w:left="0" w:right="561" w:firstLine="42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p>
    <w:p>
      <w:pPr>
        <w:ind w:left="0" w:right="0" w:firstLine="3408"/>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926"/>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19"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二、磋商报价明细表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分项总价</w:t>
            </w:r>
            <w:r/>
          </w:p>
        </w:tc>
      </w:tr>
      <w:tr>
        <w:trP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3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ind w:left="0" w:right="0" w:firstLine="0"/>
              <w:jc w:val="both"/>
              <w:spacing w:before="200" w:after="20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投标总报价（人民币：元）</w:t>
            </w:r>
            <w:r/>
          </w:p>
        </w:tc>
      </w:tr>
    </w:tbl>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11"/>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 </w:t>
      </w:r>
      <w:r>
        <w:rPr>
          <w:rFonts w:ascii="FangSong" w:hAnsi="FangSong" w:eastAsia="FangSong" w:cs="FangSong"/>
          <w:color w:val="000000"/>
          <w:sz w:val="28"/>
          <w:u w:val="single"/>
        </w:rPr>
        <w:t xml:space="preserve">（电子签章）</w:t>
      </w:r>
      <w:r>
        <w:rPr>
          <w:rFonts w:ascii="FangSong" w:hAnsi="FangSong" w:eastAsia="FangSong" w:cs="FangSong"/>
          <w:color w:val="000000"/>
          <w:sz w:val="28"/>
        </w:rPr>
        <w:t xml:space="preserve">    </w:t>
      </w:r>
      <w:r/>
    </w:p>
    <w:p>
      <w:pPr>
        <w:ind w:left="0" w:right="0" w:firstLine="411"/>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法定代表人或其委托受托人签字：</w:t>
      </w:r>
      <w:r>
        <w:rPr>
          <w:rFonts w:ascii="FangSong" w:hAnsi="FangSong" w:eastAsia="FangSong" w:cs="FangSong"/>
          <w:color w:val="000000"/>
          <w:sz w:val="28"/>
          <w:u w:val="single"/>
        </w:rPr>
        <w:t xml:space="preserve"> （电子签章或电子签字） </w:t>
      </w:r>
      <w:r>
        <w:rPr>
          <w:rFonts w:ascii="FangSong" w:hAnsi="FangSong" w:eastAsia="FangSong" w:cs="FangSong"/>
          <w:color w:val="000000"/>
          <w:sz w:val="28"/>
        </w:rPr>
        <w:t xml:space="preserve">   </w:t>
      </w:r>
      <w:r/>
    </w:p>
    <w:p>
      <w:pPr>
        <w:ind w:left="0" w:right="0" w:firstLine="411"/>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p>
    <w:p>
      <w:pPr>
        <w:ind w:left="0" w:right="0" w:firstLine="411"/>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（1）此表为表样，行数可自行添加，但表式不变。</w:t>
      </w:r>
      <w:r/>
    </w:p>
    <w:p>
      <w:pPr>
        <w:ind w:left="0" w:right="0" w:firstLine="411"/>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（2）如果单价和总价不符时，以单价为准。</w:t>
      </w:r>
      <w:r/>
    </w:p>
    <w:p>
      <w:pPr>
        <w:ind w:left="0" w:right="0" w:firstLine="411"/>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（3）员工工资、专用工具、税金、保险等法定费用为不可让利部分（不可竞争费用），须按规定计算并报出，投标总报价不可低于上述相关费用合计，否则作无效响应文件处理。</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三、人员配备表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9"/>
        <w:gridCol w:w="1032"/>
        <w:gridCol w:w="1032"/>
        <w:gridCol w:w="1032"/>
        <w:gridCol w:w="1166"/>
        <w:gridCol w:w="1075"/>
        <w:gridCol w:w="1430"/>
        <w:gridCol w:w="15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1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拟任岗位</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w:t>
      </w:r>
      <w:r>
        <w:rPr>
          <w:rFonts w:ascii="FangSong" w:hAnsi="FangSong" w:eastAsia="FangSong" w:cs="FangSong"/>
          <w:color w:val="000000"/>
          <w:sz w:val="28"/>
          <w:u w:val="single"/>
        </w:rPr>
        <w:t xml:space="preserve">（电子签章）</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（电子签章或电子签字）</w:t>
      </w:r>
      <w:r/>
    </w:p>
    <w:p>
      <w:pPr>
        <w:ind w:left="0" w:right="34" w:firstLine="2715"/>
        <w:jc w:val="both"/>
        <w:spacing w:before="12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57"/>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四、资质审查时供应商必须提交的资格证明文件</w:t>
      </w:r>
      <w:r/>
    </w:p>
    <w:p>
      <w:pPr>
        <w:ind w:left="0" w:right="0" w:firstLine="55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1.供应商提供下列材料之一：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（1）法定代表人资格证明（格式详见示范格式一）和法定代表人身份证（加盖CA电子签章）；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（2）授权委托书（格式详见示范格式二）和受托人身份证（加盖CA电子签章）。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2.供应商提供下列材料之一：</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A.供应商为企业的：提供营业执照（三证合一）</w:t>
      </w:r>
      <w:r>
        <w:rPr>
          <w:rFonts w:ascii="FangSong" w:hAnsi="FangSong" w:eastAsia="FangSong" w:cs="FangSong"/>
          <w:b/>
          <w:color w:val="000000"/>
          <w:sz w:val="28"/>
        </w:rPr>
        <w:t xml:space="preserve">（扫描件并加盖供应商电子签章）</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B.供应商为事业单位的：提供事业法人证书</w:t>
      </w:r>
      <w:r>
        <w:rPr>
          <w:rFonts w:ascii="FangSong" w:hAnsi="FangSong" w:eastAsia="FangSong" w:cs="FangSong"/>
          <w:b/>
          <w:color w:val="000000"/>
          <w:sz w:val="28"/>
        </w:rPr>
        <w:t xml:space="preserve">（扫描件并加盖供应商电子签章）</w:t>
      </w:r>
      <w:r>
        <w:rPr>
          <w:rFonts w:ascii="FangSong" w:hAnsi="FangSong" w:eastAsia="FangSong" w:cs="FangSong"/>
          <w:color w:val="000000"/>
          <w:sz w:val="28"/>
        </w:rPr>
        <w:t xml:space="preserve">。</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3.供应商符合《中华人民共和国政府采购法》第二十二条规定条件的承诺函（格式详见示范格式三）；</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4.供应商须具有主管部门颁发的乙级及以上测绘资质，且专业范围应同时包括测绘航空摄影、摄影测量与遥感、地理信息系统工程三项</w:t>
      </w:r>
      <w:r>
        <w:rPr>
          <w:rFonts w:ascii="FangSong" w:hAnsi="FangSong" w:eastAsia="FangSong" w:cs="FangSong"/>
          <w:b/>
          <w:color w:val="000000"/>
          <w:sz w:val="28"/>
        </w:rPr>
        <w:t xml:space="preserve">（扫描件并加盖供应商电子签章）</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5.落实政府采购政策需满足的资格要求（提供下列任一项材料即可，必须提供）：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（1）企业声明函（详见示范格式四）；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（2）《残疾人福利性单位声明函》（详见示范格式五）；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（3）由省级以上监狱管理局、戒毒管理局（含新疆生产建设兵团）出具的属于监狱企业的证明文件（加盖出具单位公章的电子件）。</w:t>
      </w:r>
      <w:r/>
    </w:p>
    <w:p>
      <w:pPr>
        <w:ind w:left="0" w:right="0" w:firstLine="548"/>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48"/>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p>
    <w:p>
      <w:pPr>
        <w:ind w:left="0" w:right="0" w:firstLine="548"/>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left="0" w:right="0" w:firstLine="548"/>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2.供应商所提供的资格证明材料应真实、有效，代理公司及采购人保留对供应商提供的资格证明材料进行核查的权利。如发现供应商提供虚假资格证明材料，采购人将对其进行严肃处理。</w:t>
      </w:r>
      <w:r/>
    </w:p>
    <w:p>
      <w:pPr>
        <w:ind w:left="0" w:right="0" w:firstLine="1269"/>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1269"/>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1269"/>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五、综合评分时供应商需提供的证明文件</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（供应商根据第三章评标标准的要求提供相关材料）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六、示范格式</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示范格式一</w:t>
      </w:r>
      <w:r/>
    </w:p>
    <w:p>
      <w:pPr>
        <w:ind w:left="0" w:right="0" w:firstLine="2891"/>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2891"/>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法定代表人资格证明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姓名：性别：年龄：职务：</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（供应商单位名称）</w:t>
      </w:r>
      <w:r>
        <w:rPr>
          <w:rFonts w:ascii="FangSong" w:hAnsi="FangSong" w:eastAsia="FangSong" w:cs="FangSong"/>
          <w:color w:val="000000"/>
          <w:sz w:val="28"/>
        </w:rPr>
        <w:t xml:space="preserve">的法定代表人。为参与项目，签署上述项目的响应文件、进行招标、签署合同和处理与之有关的一切事务。</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546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w:t>
      </w:r>
      <w:r>
        <w:rPr>
          <w:rFonts w:ascii="FangSong" w:hAnsi="FangSong" w:eastAsia="FangSong" w:cs="FangSong"/>
          <w:color w:val="000000"/>
          <w:sz w:val="28"/>
          <w:u w:val="single"/>
        </w:rPr>
        <w:t xml:space="preserve">（电子签章）</w:t>
      </w:r>
      <w:r/>
    </w:p>
    <w:p>
      <w:pPr>
        <w:ind w:left="546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p>
    <w:p>
      <w:pPr>
        <w:ind w:left="0" w:right="56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注：供应商法定代表人参加磋商的，必须附法定代表人身份证扫描件。法定代表人授权其他人参加磋商的，仅需填写“授权委托书”。</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示范格式二</w:t>
      </w:r>
      <w:r/>
    </w:p>
    <w:p>
      <w:pPr>
        <w:ind w:left="0" w:right="0" w:firstLine="321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致淮安市自然资源和规划局：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委托方：</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受托人：姓名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性别：</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出生日期：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所在单位：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职务：</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 份 证：</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联系方式：</w:t>
      </w:r>
      <w:r>
        <w:rPr>
          <w:rFonts w:ascii="FangSong" w:hAnsi="FangSong" w:eastAsia="FangSong" w:cs="FangSong"/>
          <w:color w:val="000000"/>
          <w:sz w:val="28"/>
          <w:u w:val="single"/>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兹委托受托人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代表我公司参加江苏建昊工程咨询有限公司组织的</w:t>
      </w:r>
      <w:r>
        <w:rPr>
          <w:rFonts w:ascii="FangSong" w:hAnsi="FangSong" w:eastAsia="FangSong" w:cs="FangSong"/>
          <w:color w:val="000000"/>
          <w:sz w:val="28"/>
          <w:u w:val="single"/>
        </w:rPr>
        <w:t xml:space="preserve">（项目编号：        ）                采购项目</w:t>
      </w:r>
      <w:r>
        <w:rPr>
          <w:rFonts w:ascii="FangSong" w:hAnsi="FangSong" w:eastAsia="FangSong" w:cs="FangSong"/>
          <w:color w:val="000000"/>
          <w:sz w:val="28"/>
        </w:rPr>
        <w:t xml:space="preserve">的政府采购活动，受托人有权在该招标活动中，以我单位的名义签署磋商函和响应文件，与采购代理协商、澄清、解释，签订合同书并执行一切与此有关的事项。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受托人在办理上述事宜过程中以其自己的名义所签署的所有文件我公司均予以承认。受托人无转委托权。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委托期限：至上述事宜处理完毕止。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546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w:t>
      </w:r>
      <w:r>
        <w:rPr>
          <w:rFonts w:ascii="FangSong" w:hAnsi="FangSong" w:eastAsia="FangSong" w:cs="FangSong"/>
          <w:color w:val="000000"/>
          <w:sz w:val="28"/>
          <w:u w:val="single"/>
        </w:rPr>
        <w:t xml:space="preserve">（电子签章）</w:t>
      </w:r>
      <w:r/>
    </w:p>
    <w:p>
      <w:pPr>
        <w:ind w:left="546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p>
    <w:p>
      <w:pPr>
        <w:ind w:left="-359" w:right="0" w:firstLine="548"/>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注：供应商委托受托人参加磋商的，必须附受托人身份证扫描件。法定代表人直接参加磋商的，仅需填写“法定代表人资格证明”。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示范格式三</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符合《中华人民共和国政府采购法》第二十二条规定条件的声明函</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致淮安市自然资源和规划局：</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我公司参加贵单位组织实施的（项目编号：  ）采购项目的政府采购活动。针对《中华人民共和国政府采购法》第二十二条规定做出如下声明：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1.我单位具有独立承担民事责任的能力；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2.我单位具有良好的商业信誉和健全的财务会计制度；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3.我单位具有履行合同所必需的设备和专业技术能力；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4.我单位有依法缴纳税收和社会保障资金的良好记录；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5.参加本次政府采购活动前三年内，我公司在经营活动中没有因违法经营受到刑事处罚或者责令停产停业、吊销许可证或者执照、较大数额罚款等行政处罚。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6.我单位满足法律、行政法规规定的其他条件。</w:t>
      </w:r>
      <w:r/>
    </w:p>
    <w:p>
      <w:pPr>
        <w:ind w:left="588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588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right"/>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承诺人：</w:t>
      </w:r>
      <w:r>
        <w:rPr>
          <w:rFonts w:ascii="FangSong" w:hAnsi="FangSong" w:eastAsia="FangSong" w:cs="FangSong"/>
          <w:color w:val="000000"/>
          <w:sz w:val="28"/>
          <w:u w:val="single"/>
        </w:rPr>
        <w:t xml:space="preserve">（电子签章）</w:t>
      </w:r>
      <w:r/>
    </w:p>
    <w:p>
      <w:pPr>
        <w:ind w:left="588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示范格式四</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企业声明函（服务）</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致淮安市自然资源和规划局：</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（标的名称）</w:t>
      </w:r>
      <w:r>
        <w:rPr>
          <w:rFonts w:ascii="FangSong" w:hAnsi="FangSong" w:eastAsia="FangSong" w:cs="FangSong"/>
          <w:color w:val="000000"/>
          <w:sz w:val="28"/>
        </w:rPr>
        <w:t xml:space="preserve">，属于（采购文件中明确的所属行业）；承接企业为（企业名称），从业人员人，营业收入为万元，资产总额为万元，属于</w:t>
      </w:r>
      <w:r>
        <w:rPr>
          <w:rFonts w:ascii="FangSong" w:hAnsi="FangSong" w:eastAsia="FangSong" w:cs="FangSong"/>
          <w:color w:val="000000"/>
          <w:sz w:val="28"/>
          <w:u w:val="single"/>
        </w:rPr>
        <w:t xml:space="preserve">（中型企业、小型企业、微型企业）</w:t>
      </w:r>
      <w:r>
        <w:rPr>
          <w:rFonts w:ascii="FangSong" w:hAnsi="FangSong" w:eastAsia="FangSong" w:cs="FangSong"/>
          <w:color w:val="000000"/>
          <w:sz w:val="28"/>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（标的名称）</w:t>
      </w:r>
      <w:r>
        <w:rPr>
          <w:rFonts w:ascii="FangSong" w:hAnsi="FangSong" w:eastAsia="FangSong" w:cs="FangSong"/>
          <w:color w:val="000000"/>
          <w:sz w:val="28"/>
        </w:rPr>
        <w:t xml:space="preserve">，属于（采购文件中明确的所属行业）；承接企业为（企业名称），从业人员人，营业收入为万元，资产总额为万元，属于</w:t>
      </w:r>
      <w:r>
        <w:rPr>
          <w:rFonts w:ascii="FangSong" w:hAnsi="FangSong" w:eastAsia="FangSong" w:cs="FangSong"/>
          <w:color w:val="000000"/>
          <w:sz w:val="28"/>
          <w:u w:val="single"/>
        </w:rPr>
        <w:t xml:space="preserve">（中型企业、小型企业、微型企业）</w:t>
      </w:r>
      <w:r>
        <w:rPr>
          <w:rFonts w:ascii="FangSong" w:hAnsi="FangSong" w:eastAsia="FangSong" w:cs="FangSong"/>
          <w:color w:val="000000"/>
          <w:sz w:val="28"/>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w:t>
      </w:r>
      <w:r/>
    </w:p>
    <w:p>
      <w:pPr>
        <w:ind w:left="0" w:right="0" w:firstLine="39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w:t>
      </w:r>
      <w:r>
        <w:rPr>
          <w:rFonts w:ascii="FangSong" w:hAnsi="FangSong" w:eastAsia="FangSong" w:cs="FangSong"/>
          <w:color w:val="000000"/>
          <w:sz w:val="28"/>
          <w:u w:val="single"/>
        </w:rPr>
        <w:t xml:space="preserve">（电子签章）</w:t>
      </w:r>
      <w:r/>
    </w:p>
    <w:p>
      <w:pPr>
        <w:ind w:left="0" w:right="0" w:firstLine="39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（电子签章或电子签字）</w:t>
      </w:r>
      <w:r/>
    </w:p>
    <w:p>
      <w:pPr>
        <w:ind w:left="0" w:right="0" w:firstLine="39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注：从业人员、营业收入、资产总额填报上一年度数据，无上一年度数据的新成立企业可不填报。</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示范格式五</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残疾人福利性单位声明函</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致淮安市自然资源和规划局：</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本单位郑重声明，根据《财政部民政部中国残疾人联合会关于促进残疾人就业政府采购政策的通知》（财库〔2017〕141号）的规定，本单位为符合条件的残疾人福利性单位。即，本单位同时满足以下条件：</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1.根据《财政部民政部中国残疾人联合会关于促进残疾人就业政府采购政策的通知》（财库〔2017〕141号）规定的划分标准，本公司为残疾人福利性企业。</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注：本公司对上述声明的真实性负责。如有虚假，将依法承担相应责任。</w:t>
      </w:r>
      <w:r/>
    </w:p>
    <w:p>
      <w:pPr>
        <w:ind w:left="0" w:right="0" w:firstLine="39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w:t>
      </w:r>
      <w:r>
        <w:rPr>
          <w:rFonts w:ascii="FangSong" w:hAnsi="FangSong" w:eastAsia="FangSong" w:cs="FangSong"/>
          <w:color w:val="000000"/>
          <w:sz w:val="28"/>
          <w:u w:val="single"/>
        </w:rPr>
        <w:t xml:space="preserve">（电子签章）</w:t>
      </w:r>
      <w:r/>
    </w:p>
    <w:p>
      <w:pPr>
        <w:ind w:left="0" w:right="0" w:firstLine="39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（电子签章或电子签字）</w:t>
      </w:r>
      <w:r/>
    </w:p>
    <w:p>
      <w:pPr>
        <w:ind w:left="0" w:right="0" w:firstLine="39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p>
    <w:p>
      <w:pPr>
        <w:ind w:left="0" w:right="0" w:firstLine="565"/>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注：非残疾人福利性单位不需提供此函。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New Roman">
    <w:panose1 w:val="020206030504050203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刘何伟</cp:lastModifiedBy>
  <cp:revision>2</cp:revision>
  <dcterms:created xsi:type="dcterms:W3CDTF">2026-08-17T02:19:09Z</dcterms:created>
  <dcterms:modified xsi:type="dcterms:W3CDTF">2026-08-17T07:38:07Z</dcterms:modified>
</cp:coreProperties>
</file>