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JSZC-321183-DDTC-G2026-0002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2026-8-10</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92167999"/>
      <w:r/>
      <w:bookmarkStart w:id="3" w:name="_Toc100386033"/>
      <w:r/>
      <w:bookmarkStart w:id="4" w:name="_Toc20732967"/>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98669699"/>
      <w:r/>
      <w:bookmarkStart w:id="6" w:name="_Toc98669341"/>
      <w:r/>
      <w:bookmarkStart w:id="7" w:name="_Toc92168010"/>
      <w:r/>
      <w:bookmarkStart w:id="8" w:name="_Toc100386044"/>
      <w:r/>
      <w:bookmarkStart w:id="9" w:name="_Toc20732978"/>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获取招标文件，并于</w:t>
      </w:r>
      <w:r>
        <w:rPr>
          <w:rFonts w:hint="eastAsia" w:ascii="宋体" w:hAnsi="宋体" w:cs="宋体"/>
          <w:color w:val="auto"/>
          <w:sz w:val="24"/>
          <w:szCs w:val="28"/>
          <w:highlight w:val="yellow"/>
          <w:u w:val="single"/>
          <w:lang w:eastAsia="zh-CN"/>
        </w:rPr>
        <w:t xml:space="preserve">2026年8月27日</w:t>
      </w:r>
      <w:r>
        <w:rPr>
          <w:rFonts w:hint="eastAsia" w:ascii="宋体" w:hAnsi="宋体" w:eastAsia="宋体" w:cs="宋体"/>
          <w:color w:val="auto"/>
          <w:sz w:val="24"/>
          <w:szCs w:val="24"/>
          <w:highlight w:val="none"/>
          <w:u w:val="single"/>
        </w:rPr>
        <w:t xml:space="preserve">09点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1021"/>
        <w:ind w:left="-142"/>
        <w:jc w:val="both"/>
        <w:spacing w:line="360" w:lineRule="auto"/>
        <w:rPr>
          <w:rFonts w:hint="eastAsia" w:ascii="宋体" w:hAnsi="宋体" w:eastAsia="宋体" w:cs="宋体"/>
          <w:b w:val="0"/>
          <w:color w:val="auto"/>
          <w:sz w:val="24"/>
          <w:szCs w:val="28"/>
          <w:highlight w:val="none"/>
        </w:rPr>
      </w:pPr>
      <w:r/>
      <w:bookmarkStart w:id="10" w:name="_Toc35393621"/>
      <w:r/>
      <w:bookmarkStart w:id="11" w:name="_Toc35393790"/>
      <w:r/>
      <w:bookmarkStart w:id="12" w:name="_Toc28359002"/>
      <w:r/>
      <w:bookmarkStart w:id="13" w:name="_Toc28359079"/>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JSZC-321183-DDTC-G2026-0002</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1021"/>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最高限价：3412112.00元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1021"/>
        <w:ind w:left="-142"/>
        <w:jc w:val="both"/>
        <w:spacing w:line="360" w:lineRule="auto"/>
        <w:rPr>
          <w:rFonts w:hint="eastAsia" w:ascii="宋体" w:hAnsi="宋体" w:eastAsia="宋体" w:cs="宋体"/>
          <w:b w:val="0"/>
          <w:color w:val="auto"/>
          <w:sz w:val="24"/>
          <w:szCs w:val="28"/>
          <w:highlight w:val="none"/>
        </w:rPr>
      </w:pPr>
      <w:r/>
      <w:bookmarkStart w:id="15" w:name="_Toc35393622"/>
      <w:r/>
      <w:bookmarkStart w:id="16" w:name="_Toc28359003"/>
      <w:r/>
      <w:bookmarkStart w:id="17" w:name="_Toc35393791"/>
      <w:r/>
      <w:bookmarkStart w:id="18" w:name="_Toc28359080"/>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28359004"/>
      <w:r/>
      <w:bookmarkStart w:id="20" w:name="_Toc28359081"/>
      <w:r/>
      <w:bookmarkStart w:id="21" w:name="_Toc35393623"/>
      <w:r/>
      <w:bookmarkStart w:id="22" w:name="_Toc35393792"/>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1023"/>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highlight w:val="none"/>
          <w:lang w:eastAsia="zh-CN"/>
        </w:rPr>
        <w:t xml:space="preserve">公告发布之日起至2026年7月14日23:59（北京时间）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1021"/>
        <w:ind w:left="-142"/>
        <w:jc w:val="both"/>
        <w:spacing w:line="360" w:lineRule="auto"/>
        <w:rPr>
          <w:rFonts w:hint="eastAsia" w:ascii="宋体" w:hAnsi="宋体" w:eastAsia="宋体" w:cs="宋体"/>
          <w:b w:val="0"/>
          <w:color w:val="auto"/>
          <w:sz w:val="24"/>
          <w:szCs w:val="28"/>
          <w:highlight w:val="none"/>
        </w:rPr>
      </w:pPr>
      <w:r/>
      <w:bookmarkStart w:id="23" w:name="_Toc28359082"/>
      <w:r/>
      <w:bookmarkStart w:id="24" w:name="_Toc35393624"/>
      <w:r/>
      <w:bookmarkStart w:id="25" w:name="_Toc35393793"/>
      <w:r/>
      <w:bookmarkStart w:id="26" w:name="_Toc28359005"/>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2026年8月27日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1021"/>
        <w:ind w:left="-142"/>
        <w:jc w:val="both"/>
        <w:spacing w:line="360" w:lineRule="auto"/>
        <w:rPr>
          <w:rFonts w:hint="eastAsia" w:ascii="宋体" w:hAnsi="宋体" w:eastAsia="宋体" w:cs="宋体"/>
          <w:b w:val="0"/>
          <w:bCs/>
          <w:color w:val="auto"/>
          <w:sz w:val="24"/>
          <w:szCs w:val="28"/>
          <w:highlight w:val="none"/>
        </w:rPr>
      </w:pPr>
      <w:r/>
      <w:bookmarkStart w:id="27" w:name="_Toc35393625"/>
      <w:r/>
      <w:bookmarkStart w:id="28" w:name="_Toc28359007"/>
      <w:r/>
      <w:bookmarkStart w:id="29" w:name="_Toc35393794"/>
      <w:r/>
      <w:bookmarkStart w:id="30" w:name="_Toc28359084"/>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1021"/>
        <w:ind w:left="-142"/>
        <w:jc w:val="both"/>
        <w:spacing w:line="360" w:lineRule="auto"/>
        <w:rPr>
          <w:rFonts w:hint="eastAsia" w:ascii="宋体" w:hAnsi="宋体" w:eastAsia="宋体" w:cs="宋体"/>
          <w:color w:val="auto"/>
          <w:sz w:val="24"/>
          <w:szCs w:val="28"/>
          <w:highlight w:val="none"/>
        </w:rPr>
      </w:pPr>
      <w:r/>
      <w:bookmarkStart w:id="31" w:name="_Toc35393795"/>
      <w:r/>
      <w:bookmarkStart w:id="32" w:name="_Toc35393626"/>
      <w:r>
        <w:rPr>
          <w:rFonts w:hint="eastAsia" w:ascii="宋体" w:hAnsi="宋体" w:eastAsia="宋体" w:cs="宋体"/>
          <w:b w:val="0"/>
          <w:color w:val="auto"/>
          <w:sz w:val="24"/>
          <w:szCs w:val="28"/>
          <w:highlight w:val="none"/>
        </w:rPr>
        <w:t xml:space="preserve">六、其他补充事宜</w:t>
      </w:r>
      <w:bookmarkEnd w:id="31"/>
      <w:r/>
      <w:bookmarkEnd w:id="32"/>
      <w:r/>
      <w:bookmarkStart w:id="33" w:name="_Toc28359085"/>
      <w:r/>
      <w:bookmarkStart w:id="34" w:name="_Toc35393796"/>
      <w:r/>
      <w:bookmarkStart w:id="35" w:name="_Toc28359008"/>
      <w:r/>
      <w:bookmarkStart w:id="36" w:name="_Toc35393627"/>
      <w:r/>
      <w:r/>
    </w:p>
    <w:p>
      <w:pPr>
        <w:pStyle w:val="1024"/>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1025"/>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1024"/>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1024"/>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86"/>
      <w:r/>
      <w:bookmarkStart w:id="38" w:name="_Toc28359009"/>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92168000"/>
      <w:r/>
      <w:bookmarkStart w:id="40" w:name="_Toc100386034"/>
      <w:r>
        <w:rPr>
          <w:rFonts w:hint="eastAsia" w:ascii="宋体" w:hAnsi="宋体" w:eastAsia="宋体" w:cs="宋体"/>
          <w:color w:val="auto"/>
          <w:szCs w:val="32"/>
          <w:highlight w:val="none"/>
        </w:rPr>
        <w:br w:type="page" w:clear="all"/>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1023"/>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A无</w:t>
            </w:r>
            <w:r/>
          </w:p>
          <w:p>
            <w:pPr>
              <w:pStyle w:val="1027"/>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yellow"/>
                <w:u w:val="single"/>
                <w:lang w:val="en-US" w:eastAsia="zh-CN"/>
              </w:rPr>
              <w:t xml:space="preserve">2026年8月26日</w:t>
            </w:r>
            <w:r>
              <w:rPr>
                <w:rFonts w:hint="eastAsia" w:ascii="宋体" w:hAnsi="宋体" w:cs="宋体"/>
                <w:color w:val="auto"/>
                <w:sz w:val="24"/>
                <w:highlight w:val="none"/>
                <w:u w:val="single"/>
                <w:lang w:val="en-US" w:eastAsia="zh-CN"/>
              </w:rPr>
              <w:t xml:space="preserve">，上午8:30到下午17:30，过时不受理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1023"/>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1023"/>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1023"/>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92168002"/>
      <w:r/>
      <w:bookmarkStart w:id="46" w:name="_Toc100386036"/>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20732971"/>
      <w:r/>
      <w:bookmarkStart w:id="48" w:name="_Toc92168004"/>
      <w:r/>
      <w:bookmarkStart w:id="49" w:name="_Toc98669693"/>
      <w:r/>
      <w:bookmarkStart w:id="50" w:name="_Toc98669335"/>
      <w:r/>
      <w:bookmarkStart w:id="51" w:name="_Toc100386038"/>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100386039"/>
      <w:r/>
      <w:bookmarkStart w:id="53" w:name="_Toc98669336"/>
      <w:r/>
      <w:bookmarkStart w:id="54" w:name="_Toc98669694"/>
      <w:r/>
      <w:bookmarkStart w:id="55" w:name="_Toc92168005"/>
      <w:r/>
      <w:bookmarkStart w:id="56" w:name="_Toc20732973"/>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98669697"/>
      <w:r/>
      <w:bookmarkStart w:id="58" w:name="_Toc20732976"/>
      <w:r/>
      <w:bookmarkStart w:id="59" w:name="_Toc100386042"/>
      <w:r/>
      <w:bookmarkStart w:id="60" w:name="_Toc92168008"/>
      <w:r/>
      <w:bookmarkStart w:id="61" w:name="_Toc98669339"/>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98669698"/>
      <w:r/>
      <w:bookmarkStart w:id="63" w:name="_Toc92168009"/>
      <w:r/>
      <w:bookmarkStart w:id="64" w:name="_Toc20732977"/>
      <w:r/>
      <w:bookmarkStart w:id="65" w:name="_Toc100386043"/>
      <w:r/>
      <w:bookmarkStart w:id="66" w:name="_Toc98669340"/>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22"/>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1022"/>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1022"/>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1022"/>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1023"/>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1022"/>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1022"/>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1022"/>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1027"/>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3029"/>
      <w:r/>
      <w:bookmarkStart w:id="73" w:name="_Toc24059"/>
      <w:r/>
      <w:bookmarkStart w:id="74" w:name="_Toc2232"/>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7126"/>
      <w:r/>
      <w:bookmarkStart w:id="76" w:name="_Toc21295"/>
      <w:r/>
      <w:bookmarkStart w:id="77" w:name="_Toc24300"/>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3292"/>
      <w:r/>
      <w:bookmarkStart w:id="79" w:name="_Toc21551"/>
      <w:r/>
      <w:bookmarkStart w:id="80" w:name="_Toc21631"/>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26916"/>
      <w:r/>
      <w:bookmarkStart w:id="84" w:name="_Toc30506"/>
      <w:r/>
      <w:bookmarkStart w:id="85" w:name="_Toc30158"/>
      <w:r/>
      <w:bookmarkStart w:id="86" w:name="_Toc14993"/>
      <w:r/>
      <w:bookmarkStart w:id="87" w:name="_Toc3654"/>
      <w:r/>
      <w:bookmarkStart w:id="88" w:name="_Toc1814"/>
      <w:r/>
      <w:bookmarkStart w:id="89" w:name="_Toc22618"/>
      <w:r/>
      <w:bookmarkStart w:id="90" w:name="_Toc10340"/>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2846"/>
      <w:r/>
      <w:bookmarkStart w:id="92" w:name="_Toc19304"/>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1423"/>
      <w:r/>
      <w:bookmarkStart w:id="96" w:name="_Toc27250"/>
      <w:r/>
      <w:bookmarkStart w:id="97" w:name="_Toc19554"/>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6021"/>
      <w:r/>
      <w:bookmarkStart w:id="99" w:name="_Toc15583"/>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Toc487900349"/>
      <w:r/>
      <w:bookmarkStart w:id="102" w:name="_Ref467378463"/>
      <w:r/>
      <w:bookmarkStart w:id="103" w:name="_Toc19614"/>
      <w:r/>
      <w:bookmarkStart w:id="104" w:name="_Ref467379101"/>
      <w:r/>
      <w:bookmarkStart w:id="105" w:name="_Ref467379109"/>
      <w:r/>
      <w:bookmarkStart w:id="106" w:name="_Ref467378404"/>
      <w:r/>
      <w:bookmarkStart w:id="107" w:name="_Ref467379205"/>
      <w:r/>
      <w:bookmarkStart w:id="108" w:name="_Toc279701240"/>
      <w:r/>
      <w:bookmarkStart w:id="109" w:name="_Ref467379094"/>
      <w:r/>
      <w:bookmarkStart w:id="110" w:name="_Ref467379225"/>
      <w:r/>
      <w:bookmarkStart w:id="111" w:name="_Toc28763"/>
      <w:r/>
      <w:bookmarkStart w:id="112" w:name="_Ref467379195"/>
      <w:r/>
      <w:bookmarkStart w:id="113" w:name="_Toc259093669"/>
      <w:r/>
      <w:bookmarkStart w:id="114" w:name="_Ref467379214"/>
      <w:r/>
      <w:bookmarkStart w:id="115" w:name="_Toc16917"/>
      <w:r/>
      <w:bookmarkStart w:id="116" w:name="_Ref467378499"/>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27635"/>
      <w:r/>
      <w:bookmarkStart w:id="122" w:name="_Toc259093670"/>
      <w:r/>
      <w:bookmarkStart w:id="123" w:name="_Toc32504"/>
      <w:r/>
      <w:bookmarkStart w:id="124" w:name="_Toc13336"/>
      <w:r/>
      <w:bookmarkStart w:id="125" w:name="_Toc279701241"/>
      <w:r/>
      <w:bookmarkStart w:id="126" w:name="_Toc487900350"/>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487900351"/>
      <w:r/>
      <w:bookmarkStart w:id="128" w:name="_Toc279701242"/>
      <w:r/>
      <w:bookmarkStart w:id="129" w:name="_Toc27853"/>
      <w:r/>
      <w:bookmarkStart w:id="130" w:name="_Toc9829"/>
      <w:r/>
      <w:bookmarkStart w:id="131" w:name="_Toc31634"/>
      <w:r/>
      <w:bookmarkStart w:id="132" w:name="_Toc259093671"/>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11932"/>
      <w:r/>
      <w:bookmarkStart w:id="134" w:name="_Toc4194"/>
      <w:r/>
      <w:bookmarkStart w:id="135" w:name="_Toc29149"/>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Ref467379536"/>
      <w:r/>
      <w:bookmarkStart w:id="137" w:name="_Toc259093674"/>
      <w:r/>
      <w:bookmarkStart w:id="138" w:name="_Ref467378591"/>
      <w:r/>
      <w:bookmarkStart w:id="139" w:name="_Toc487900354"/>
      <w:r/>
      <w:bookmarkStart w:id="140" w:name="_Ref467379542"/>
      <w:r/>
      <w:bookmarkStart w:id="141" w:name="_Toc279701245"/>
      <w:r/>
      <w:bookmarkStart w:id="142" w:name="_Ref467379527"/>
      <w:r/>
      <w:bookmarkStart w:id="143" w:name="_Ref467378541"/>
      <w:r/>
      <w:bookmarkStart w:id="144" w:name="_Toc19074"/>
      <w:r/>
      <w:bookmarkStart w:id="145" w:name="_Toc30272"/>
      <w:r/>
      <w:bookmarkStart w:id="146" w:name="_Toc26182"/>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Ref467379793"/>
      <w:r/>
      <w:bookmarkStart w:id="150" w:name="_Toc487900357"/>
      <w:r/>
      <w:bookmarkStart w:id="151" w:name="_Toc279701247"/>
      <w:r/>
      <w:bookmarkStart w:id="152" w:name="_Ref467379807"/>
      <w:r/>
      <w:bookmarkStart w:id="153"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Toc279701248"/>
      <w:r/>
      <w:bookmarkStart w:id="156" w:name="_Ref467379852"/>
      <w:r/>
      <w:bookmarkStart w:id="157" w:name="_Ref467379923"/>
      <w:r/>
      <w:bookmarkStart w:id="158" w:name="_Ref467379863"/>
      <w:r/>
      <w:bookmarkStart w:id="159" w:name="_Toc259093677"/>
      <w:r/>
      <w:bookmarkStart w:id="160" w:name="_Toc487900358"/>
      <w:r/>
      <w:bookmarkStart w:id="161" w:name="_Toc3225"/>
      <w:r/>
      <w:bookmarkStart w:id="162" w:name="_Toc774"/>
      <w:r/>
      <w:bookmarkStart w:id="163" w:name="_Toc16110"/>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487900362"/>
      <w:r/>
      <w:bookmarkStart w:id="167" w:name="_Toc279701252"/>
      <w:r/>
      <w:bookmarkStart w:id="168" w:name="_Toc259093681"/>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Toc279701254"/>
      <w:r/>
      <w:bookmarkStart w:id="172" w:name="_Toc487900364"/>
      <w:r/>
      <w:bookmarkStart w:id="173" w:name="_Ref467378121"/>
      <w:r/>
      <w:bookmarkStart w:id="174" w:name="_Toc259093683"/>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487900369"/>
      <w:r/>
      <w:bookmarkStart w:id="176" w:name="_Toc259093688"/>
      <w:r/>
      <w:bookmarkStart w:id="177" w:name="_Toc279701259"/>
      <w:r/>
      <w:r/>
    </w:p>
    <w:p>
      <w:pPr>
        <w:ind w:firstLine="482"/>
        <w:spacing w:line="360" w:lineRule="auto"/>
        <w:rPr>
          <w:rFonts w:ascii="宋体" w:hAnsi="宋体" w:cs="宋体"/>
          <w:b/>
          <w:color w:val="auto"/>
          <w:sz w:val="24"/>
          <w:highlight w:val="none"/>
        </w:rPr>
        <w:outlineLvl w:val="0"/>
      </w:pPr>
      <w:r/>
      <w:bookmarkStart w:id="178" w:name="_Toc22955"/>
      <w:r/>
      <w:bookmarkStart w:id="179" w:name="_Toc15237"/>
      <w:r/>
      <w:bookmarkStart w:id="180" w:name="_Toc10366"/>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6508"/>
      <w:r/>
      <w:bookmarkStart w:id="182" w:name="_Toc14066"/>
      <w:r/>
      <w:bookmarkStart w:id="183" w:name="_Toc135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259093684"/>
      <w:r/>
      <w:bookmarkStart w:id="185" w:name="_Toc279701255"/>
      <w:r/>
      <w:bookmarkStart w:id="186" w:name="_Toc689"/>
      <w:r/>
      <w:bookmarkStart w:id="187" w:name="_Toc30676"/>
      <w:r/>
      <w:bookmarkStart w:id="188" w:name="_Toc487900365"/>
      <w:r/>
      <w:bookmarkStart w:id="189" w:name="_Toc6969"/>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16959"/>
      <w:r/>
      <w:bookmarkStart w:id="191" w:name="_Toc259093687"/>
      <w:r/>
      <w:bookmarkStart w:id="192" w:name="_Toc8298"/>
      <w:r/>
      <w:bookmarkStart w:id="193" w:name="_Toc487900368"/>
      <w:r/>
      <w:bookmarkStart w:id="194" w:name="_Toc7102"/>
      <w:r/>
      <w:bookmarkStart w:id="195" w:name="_Toc279701258"/>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29333"/>
      <w:r/>
      <w:bookmarkStart w:id="197" w:name="_Toc15387"/>
      <w:r/>
      <w:bookmarkStart w:id="198" w:name="_Toc6134"/>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1125"/>
      <w:r/>
      <w:bookmarkStart w:id="200" w:name="_Toc6596"/>
      <w:r/>
      <w:bookmarkStart w:id="201" w:name="_Toc14563"/>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487900371"/>
      <w:r/>
      <w:bookmarkStart w:id="203" w:name="_Toc279701261"/>
      <w:r/>
      <w:bookmarkStart w:id="204" w:name="_Toc259093690"/>
      <w:r/>
      <w:bookmarkStart w:id="205" w:name="_Toc25182"/>
      <w:r/>
      <w:bookmarkStart w:id="206" w:name="_Toc11284"/>
      <w:r/>
      <w:bookmarkStart w:id="207" w:name="_Toc19604"/>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259093691"/>
      <w:r/>
      <w:bookmarkStart w:id="211" w:name="_Toc487900372"/>
      <w:r/>
      <w:bookmarkStart w:id="212" w:name="_Toc279701262"/>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18540"/>
      <w:r/>
      <w:bookmarkStart w:id="216" w:name="_Toc4355"/>
      <w:r/>
      <w:bookmarkStart w:id="217" w:name="_Toc30599"/>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18567"/>
      <w:r/>
      <w:bookmarkStart w:id="219" w:name="_Toc487900373"/>
      <w:r/>
      <w:bookmarkStart w:id="220" w:name="_Toc12773"/>
      <w:r/>
      <w:bookmarkStart w:id="221" w:name="_Toc259093692"/>
      <w:r/>
      <w:bookmarkStart w:id="222" w:name="_Toc10330"/>
      <w:r/>
      <w:bookmarkStart w:id="223" w:name="_Toc279701263"/>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19890"/>
      <w:r/>
      <w:bookmarkStart w:id="225" w:name="_Toc6885"/>
      <w:r/>
      <w:bookmarkStart w:id="226" w:name="_Toc14001"/>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0"/>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cs="宋体"/>
                <w:i w:val="0"/>
                <w:iCs w:val="0"/>
                <w:color w:val="auto"/>
                <w:sz w:val="24"/>
                <w:highlight w:val="yellow"/>
                <w:lang w:val="en-US" w:eastAsia="zh-CN"/>
              </w:rPr>
              <w:t xml:space="preserve">合同签订后支付合同价款30%的预付款；全部货物及设备安装完成、调试完毕并经验收合格后，支付合同价款的60%；验收合格60日内支付尾款10%。</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22"/>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3412112.00 元</w:t>
      </w:r>
      <w:r>
        <w:rPr>
          <w:rFonts w:hint="eastAsia" w:ascii="宋体" w:hAnsi="宋体" w:eastAsia="宋体" w:cs="宋体"/>
          <w:color w:val="auto"/>
          <w:sz w:val="24"/>
          <w:highlight w:val="none"/>
          <w:u w:val="single"/>
        </w:rPr>
        <w:t xml:space="preserve">。 </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cs="宋体"/>
          <w:color w:val="auto"/>
          <w:sz w:val="24"/>
          <w:highlight w:val="none"/>
        </w:rPr>
      </w:pPr>
      <w:r>
        <w:rPr>
          <w:rFonts w:hint="eastAsia" w:ascii="宋体" w:hAnsi="宋体" w:eastAsia="宋体" w:cs="宋体"/>
          <w:b/>
          <w:bCs/>
          <w:color w:val="auto"/>
          <w:spacing w:val="-4"/>
          <w:sz w:val="24"/>
          <w:highlight w:val="none"/>
        </w:rPr>
        <w:t xml:space="preserve">1.货物类标的</w:t>
      </w:r>
      <w:r>
        <w:rPr>
          <w:rFonts w:hint="eastAsia" w:ascii="宋体" w:hAnsi="宋体" w:cs="宋体"/>
          <w:color w:val="auto"/>
          <w:sz w:val="24"/>
          <w:highlight w:val="none"/>
        </w:rPr>
        <w:t xml:space="preserve"> </w:t>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1461"/>
        <w:gridCol w:w="3177"/>
        <w:gridCol w:w="990"/>
        <w:gridCol w:w="1255"/>
        <w:gridCol w:w="159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货物类标的名称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是否允许进口</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班级活动室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自由组合区角柜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实物投影展示台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w:t>
            </w:r>
            <w:r>
              <w:rPr>
                <w:rFonts w:hint="eastAsia" w:ascii="宋体" w:hAnsi="宋体" w:cs="宋体"/>
                <w:i w:val="0"/>
                <w:iCs w:val="0"/>
                <w:color w:val="000000"/>
                <w:sz w:val="20"/>
                <w:szCs w:val="20"/>
                <w:u w:val="none"/>
                <w:lang w:val="en-US" w:eastAsia="zh-CN" w:bidi="ar"/>
              </w:rPr>
              <w:t xml:space="preserve">展示</w:t>
            </w:r>
            <w:r>
              <w:rPr>
                <w:rFonts w:hint="eastAsia" w:ascii="宋体" w:hAnsi="宋体" w:eastAsia="宋体" w:cs="宋体"/>
                <w:i w:val="0"/>
                <w:iCs w:val="0"/>
                <w:color w:val="000000"/>
                <w:sz w:val="20"/>
                <w:szCs w:val="20"/>
                <w:u w:val="none"/>
                <w:lang w:val="en-US" w:eastAsia="zh-CN" w:bidi="ar"/>
              </w:rPr>
              <w:t xml:space="preserve">台系统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教工之家</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生活坊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科探室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VR课件系统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0-3托幼教室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玩具收纳室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bl>
    <w:p>
      <w:pPr>
        <w:pStyle w:val="851"/>
        <w:rPr>
          <w:rFonts w:hint="eastAsia"/>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自由组合区角柜、VR系统、户外大型运动组合器械</w:t>
      </w:r>
      <w:r>
        <w:rPr>
          <w:rFonts w:hint="eastAsia" w:ascii="宋体" w:hAnsi="宋体" w:cs="宋体"/>
          <w:color w:val="auto"/>
          <w:sz w:val="24"/>
          <w:highlight w:val="none"/>
        </w:rPr>
        <w:t xml:space="preserve">。</w:t>
      </w:r>
      <w:r/>
    </w:p>
    <w:p>
      <w:pPr>
        <w:rPr>
          <w:rFonts w:hint="eastAsia"/>
        </w:rPr>
      </w:pPr>
      <w:r>
        <w:rPr>
          <w:rFonts w:hint="eastAsia"/>
        </w:rPr>
      </w:r>
      <w:r/>
    </w:p>
    <w:p>
      <w:pPr>
        <w:pStyle w:val="851"/>
        <w:rPr>
          <w:rFonts w:hint="eastAsia"/>
        </w:rPr>
      </w:pPr>
      <w:r>
        <w:rPr>
          <w:rFonts w:hint="eastAsia"/>
        </w:rPr>
      </w:r>
      <w:r/>
    </w:p>
    <w:p>
      <w:pPr>
        <w:pStyle w:val="1029"/>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50"/>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办公桌：1200*600*760mm,饰面：采用三聚氰胺浸渍胶膜纸，依据GB 18584-2024《室内装饰装修材料木家具中有害物质限量》。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color w:val="auto"/>
                <w:sz w:val="20"/>
                <w:szCs w:val="20"/>
                <w:highlight w:val="none"/>
                <w:u w:val="none"/>
                <w:lang w:bidi="ar"/>
              </w:rPr>
              <w:t xml:space="preserve"> 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，符合</w:t>
            </w:r>
            <w:r>
              <w:rPr>
                <w:rFonts w:hint="eastAsia" w:ascii="宋体" w:hAnsi="宋体" w:eastAsia="宋体" w:cs="宋体"/>
                <w:i w:val="0"/>
                <w:iCs w:val="0"/>
                <w:color w:val="auto"/>
                <w:sz w:val="20"/>
                <w:szCs w:val="20"/>
                <w:highlight w:val="none"/>
                <w:lang w:val="en-US" w:eastAsia="zh-CN" w:bidi="ar"/>
              </w:rPr>
              <w:t xml:space="preserve">GB/T39600-2021</w:t>
            </w:r>
            <w:r>
              <w:rPr>
                <w:rFonts w:hint="eastAsia" w:ascii="宋体" w:hAnsi="宋体" w:cs="宋体"/>
                <w:i w:val="0"/>
                <w:iCs w:val="0"/>
                <w:color w:val="auto"/>
                <w:sz w:val="20"/>
                <w:szCs w:val="20"/>
                <w:highlight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yellow"/>
                <w:u w:val="none"/>
                <w:lang w:val="en-US" w:eastAsia="zh-CN" w:bidi="ar"/>
              </w:rPr>
              <w:t xml:space="preserve">2</w:t>
            </w:r>
            <w:r>
              <w:rPr>
                <w:rFonts w:hint="eastAsia" w:ascii="宋体" w:hAnsi="宋体" w:eastAsia="宋体" w:cs="宋体"/>
                <w:i w:val="0"/>
                <w:iCs w:val="0"/>
                <w:color w:val="auto"/>
                <w:sz w:val="20"/>
                <w:szCs w:val="20"/>
                <w:highlight w:val="yellow"/>
                <w:u w:val="none"/>
                <w:lang w:val="en-US" w:eastAsia="zh-CN" w:bidi="ar"/>
              </w:rPr>
              <w:t xml:space="preserve">、</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、柜体内部格局分为三层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板材裁切侧边、端面、拼接缝隙全域采用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5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default"/>
                <w:highlight w:val="none"/>
                <w:lang w:val="en-US" w:eastAsia="zh-CN"/>
              </w:rPr>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pStyle w:val="851"/>
              <w:rPr>
                <w:rFonts w:hint="eastAsia"/>
                <w:highlight w:val="none"/>
                <w:lang w:val="en-US" w:eastAsia="zh-CN"/>
              </w:rPr>
            </w:pPr>
            <w:r>
              <w:rPr>
                <w:rFonts w:hint="eastAsia"/>
                <w:highlight w:val="none"/>
                <w:lang w:val="en-US" w:eastAsia="zh-CN"/>
              </w:rPr>
            </w:r>
            <w:r/>
          </w:p>
        </w:tc>
      </w:tr>
      <w:tr>
        <w:trPr>
          <w:jc w:val="center"/>
          <w:trHeight w:val="149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、书柜采用错层设计，方便图书的分类摆放及取阅，共设4层，各层间竖隔板为流线弧形设计；</w:t>
            </w:r>
            <w:r/>
          </w:p>
          <w:p>
            <w:pPr>
              <w:numPr>
                <w:ilvl w:val="0"/>
                <w:numId w:val="3"/>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rPr>
                <w:rFonts w:hint="eastAsia" w:ascii="宋体" w:hAnsi="宋体" w:eastAsia="宋体" w:cs="宋体"/>
                <w:i w:val="0"/>
                <w:iCs w:val="0"/>
                <w:color w:val="auto"/>
                <w:sz w:val="20"/>
                <w:szCs w:val="20"/>
                <w:highlight w:val="none"/>
                <w:u w:val="none"/>
                <w:lang w:val="en-US" w:eastAsia="zh-CN" w:bidi="ar"/>
              </w:rPr>
              <w:t xml:space="preserve">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11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、采用踢脚板设计，既增加了稳定性，又可以防止杂物进入柜底</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highlight w:val="none"/>
                <w:lang w:val="en-US" w:eastAsia="zh-CN"/>
              </w:rPr>
            </w:pPr>
            <w:r>
              <w:rPr>
                <w:rFonts w:hint="eastAsia"/>
                <w:highlight w:val="none"/>
                <w:lang w:val="en-US" w:eastAsia="zh-CN"/>
              </w:rPr>
              <w:t xml:space="preserve">7、滚轮主要尺寸[轮径≥20.0mm，轮宽-双联轮脚轮≥5.0mm，外角倒圆半径≥1.5mm]、外观、装配、抗冲击性能、动载荷、滚动阻力、旋转阻力、静载荷等符合QB/T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59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314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865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186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81"/>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8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rPr>
                <w:rFonts w:hint="eastAsia" w:ascii="宋体" w:hAnsi="宋体" w:cs="宋体"/>
                <w:i w:val="0"/>
                <w:iCs w:val="0"/>
                <w:color w:val="auto"/>
                <w:sz w:val="20"/>
                <w:szCs w:val="20"/>
                <w:highlight w:val="none"/>
                <w:u w:val="none"/>
                <w:lang w:val="en-US" w:eastAsia="zh-CN" w:bidi="ar"/>
              </w:rPr>
              <w:t xml:space="preserve">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.具备图像增强功能，可自动裁剪背景并增强文字显示，</w:t>
            </w:r>
            <w:r>
              <w:rPr>
                <w:rFonts w:hint="eastAsia" w:ascii="宋体" w:hAnsi="宋体" w:cs="宋体"/>
                <w:i w:val="0"/>
                <w:iCs w:val="0"/>
                <w:color w:val="auto"/>
                <w:sz w:val="20"/>
                <w:szCs w:val="20"/>
                <w:highlight w:val="none"/>
                <w:u w:val="none"/>
                <w:lang w:val="en-US" w:eastAsia="zh-CN" w:bidi="ar"/>
              </w:rPr>
              <w:t xml:space="preserve">在不改变图像原始语义信息的前提下，提升视觉观感、突出有效目标区域、弱化干扰信息，</w:t>
            </w:r>
            <w:r>
              <w:rPr>
                <w:rFonts w:hint="eastAsia" w:ascii="宋体" w:hAnsi="宋体" w:eastAsia="宋体" w:cs="宋体"/>
                <w:i w:val="0"/>
                <w:iCs w:val="0"/>
                <w:color w:val="auto"/>
                <w:sz w:val="20"/>
                <w:szCs w:val="20"/>
                <w:highlight w:val="none"/>
                <w:u w:val="none"/>
                <w:lang w:val="en-US" w:eastAsia="zh-CN" w:bidi="ar"/>
              </w:rPr>
              <w:t xml:space="preserve">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.支持故障自动检测，在软件无法出现展台拍摄画面时，自动出现检测链接，检测“无画面”的原因，并给出引导性解决方案可判断硬件连接、显卡驱动、摄像头占用、软件版本等问题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长65cm，宽45cm，高10cm（花松木）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平台：冷轧钢板浸塑；井字型承重加固设计，承载力不低于450公斤。冲孔机一次成型，平台孔径大小一致、无锐利毛边、无变型，浸塑表面有软接触功能对使用人员形成保护层。工艺过程加入抗紫外线、抗风化稳定剂，保证5年以上不褪色、不锈蚀、不剥离。浸塑平台盐雾试验时间≥2100h，外观无明显变化，保护等级达到10级，符合GB/T 10125-2021标准要求。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五</w:t>
            </w:r>
            <w:r>
              <w:rPr>
                <w:rFonts w:hint="eastAsia" w:ascii="宋体" w:hAnsi="宋体" w:eastAsia="宋体" w:cs="宋体"/>
                <w:i w:val="0"/>
                <w:iCs w:val="0"/>
                <w:color w:val="auto"/>
                <w:sz w:val="20"/>
                <w:szCs w:val="20"/>
                <w:highlight w:val="none"/>
                <w:u w:val="none"/>
                <w:lang w:val="en-US" w:eastAsia="zh-CN" w:bidi="ar"/>
              </w:rPr>
              <w:t xml:space="preserve">、支杆类:采用的钢管Φ60、Φ48、Φ32、Φ25。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六</w:t>
            </w:r>
            <w:r>
              <w:rPr>
                <w:rFonts w:hint="eastAsia" w:ascii="宋体" w:hAnsi="宋体" w:eastAsia="宋体" w:cs="宋体"/>
                <w:i w:val="0"/>
                <w:iCs w:val="0"/>
                <w:color w:val="auto"/>
                <w:sz w:val="20"/>
                <w:szCs w:val="20"/>
                <w:highlight w:val="none"/>
                <w:u w:val="none"/>
                <w:lang w:val="en-US" w:eastAsia="zh-CN" w:bidi="ar"/>
              </w:rPr>
              <w:t xml:space="preserve">、附件类：盖帽采用铝合金压铸成型；螺丝采用不锈钢材质（符合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七</w:t>
            </w:r>
            <w:r>
              <w:rPr>
                <w:rFonts w:hint="eastAsia" w:ascii="宋体" w:hAnsi="宋体" w:eastAsia="宋体" w:cs="宋体"/>
                <w:i w:val="0"/>
                <w:iCs w:val="0"/>
                <w:color w:val="auto"/>
                <w:sz w:val="20"/>
                <w:szCs w:val="20"/>
                <w:highlight w:val="none"/>
                <w:u w:val="none"/>
                <w:lang w:val="en-US" w:eastAsia="zh-CN" w:bidi="ar"/>
              </w:rPr>
              <w:t xml:space="preserve">、绳网类:采用￠14mm航海绳加钢丝、￠6mm航海绳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成分：共聚型阻燃聚酯纤维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遮光率：≥80%（午睡室/教室建议≥90%）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无镂空、无易脱落小配件（防儿童误食/缠绕）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燃烧性能：执行 GB/T 17591-2025《阻燃织物》室内装饰用织物 B1 级（难燃）；水洗不少于25次，干洗不少于10次，仍符合上述燃烧性能等级要求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4.垂直燃烧测试：GB/T 5455-2014：损毁长度≤150mm，续燃时间≤5s，阴燃时间≤5s，无熔融滴落；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.包含配套罗马杆</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5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不锈钢保温，三格，30°-110°智能控温，整机尺寸1220*700*800mm，餐盒尺寸550*330*150mm，额定功率2000W/220V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30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22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并支持恢复或删除近7日查杀的病毒文件。</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.音频处理器具有跨平台软件，可运行于windows操作系统或</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国产操作系统</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6.依托智能算法实现噪声抑制，针对不同应用场景设置不少于四档语音降噪档位，可有效降低并消除语言扩声系统内的非人声类噪声信号，充分保障语音传输的清晰度与可懂度（降噪能力不低于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w:t>
            </w:r>
            <w:r>
              <w:rPr>
                <w:rFonts w:hint="eastAsia" w:ascii="宋体" w:hAnsi="宋体" w:cs="宋体"/>
                <w:i w:val="0"/>
                <w:iCs w:val="0"/>
                <w:color w:val="auto"/>
                <w:sz w:val="20"/>
                <w:szCs w:val="20"/>
                <w:highlight w:val="none"/>
                <w:u w:val="none"/>
                <w:lang w:val="en-US" w:eastAsia="zh-CN" w:bidi="ar"/>
              </w:rPr>
              <w:t xml:space="preserve">数据</w:t>
            </w:r>
            <w:r>
              <w:rPr>
                <w:rFonts w:hint="eastAsia" w:ascii="宋体" w:hAnsi="宋体" w:eastAsia="宋体" w:cs="宋体"/>
                <w:i w:val="0"/>
                <w:iCs w:val="0"/>
                <w:color w:val="auto"/>
                <w:sz w:val="20"/>
                <w:szCs w:val="20"/>
                <w:highlight w:val="none"/>
                <w:u w:val="none"/>
                <w:lang w:val="en-US" w:eastAsia="zh-CN" w:bidi="ar"/>
              </w:rPr>
              <w:t xml:space="preserve">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1.基于数字U段的传输技术，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2.具有≥1台接收主机、≥4台桌面式鹅颈咪杆发射机；频率范围等同或优于470MHz-510MHz、540MHz-590MHz、640MHz-690MHz、807MHz-830MHz四个频段使用。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.接收机具有≥4个2.2英寸的TFT-LCD显示屏；发射机具有≥0.96英寸LCD显示屏，能够显示频率信息、音频加密状态、功率挡位、静音状态、电量格数信息。</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.桌面式发射机配置≥1颗锂电池，使用时长≥15小时；设备电池孔位≥4个，支持拓展电池数量，通过拓展连续使用时长≥60小时。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前面板配备不少于 4 块 LCD 显示屏、不少于 4 个编码调节旋钮</w:t>
            </w:r>
            <w:r>
              <w:rPr>
                <w:rFonts w:hint="eastAsia" w:ascii="宋体" w:hAnsi="宋体" w:eastAsia="宋体" w:cs="宋体"/>
                <w:i w:val="0"/>
                <w:iCs w:val="0"/>
                <w:color w:val="auto"/>
                <w:sz w:val="20"/>
                <w:szCs w:val="20"/>
                <w:highlight w:val="none"/>
                <w:u w:val="none"/>
                <w:lang w:val="en-US" w:eastAsia="zh-CN" w:bidi="ar"/>
              </w:rPr>
              <w:t xml:space="preserve">、不少于 4 个实体频率扫描按键、不少于 4 个实体红外对频按键、不少于 1 个电源开关按键，以及不少于 1 个集成红外发射管与对频状态指示功能的二合一指示灯；后面板配备不少于 1 个 LINE-OUT 输出接口、不少于 4 个 XLR-OUT 输出接口、不少于 4 个 BNC 接口、不少于 1 个 DC 供电接口。桌面式发射机配备不少于 1 个 TYPE-C 充电接口、不少于 1 个 3.5mm 耳麦输入接口、不少于 1 块 LCD 显示屏、不少于 1 个电源开关按键、不少于 1 个触摸式麦克风开关按键。</w:t>
            </w:r>
            <w:r/>
          </w:p>
        </w:tc>
        <w:tc>
          <w:tcPr>
            <w:tcW w:w="21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投标时</w:t>
            </w:r>
            <w:r>
              <w:rPr>
                <w:rFonts w:hint="eastAsia" w:ascii="宋体" w:hAnsi="宋体" w:eastAsia="宋体" w:cs="宋体"/>
                <w:i w:val="0"/>
                <w:iCs w:val="0"/>
                <w:color w:val="auto"/>
                <w:sz w:val="20"/>
                <w:szCs w:val="20"/>
                <w:highlight w:val="none"/>
                <w:u w:val="none"/>
                <w:lang w:val="en-US" w:eastAsia="zh-CN" w:bidi="ar"/>
              </w:rPr>
              <w:t xml:space="preserve">提供</w:t>
            </w:r>
            <w:r>
              <w:rPr>
                <w:rFonts w:hint="eastAsia" w:ascii="宋体" w:hAnsi="宋体" w:cs="宋体"/>
                <w:i w:val="0"/>
                <w:iCs w:val="0"/>
                <w:color w:val="auto"/>
                <w:sz w:val="20"/>
                <w:szCs w:val="20"/>
                <w:highlight w:val="none"/>
                <w:u w:val="none"/>
                <w:lang w:val="en-US" w:eastAsia="zh-CN" w:bidi="ar"/>
              </w:rPr>
              <w:t xml:space="preserve">实物</w:t>
            </w:r>
            <w:r>
              <w:rPr>
                <w:rFonts w:hint="eastAsia" w:ascii="宋体" w:hAnsi="宋体" w:eastAsia="宋体" w:cs="宋体"/>
                <w:i w:val="0"/>
                <w:iCs w:val="0"/>
                <w:color w:val="auto"/>
                <w:sz w:val="20"/>
                <w:szCs w:val="20"/>
                <w:highlight w:val="none"/>
                <w:u w:val="none"/>
                <w:lang w:val="en-US" w:eastAsia="zh-CN" w:bidi="ar"/>
              </w:rPr>
              <w:t xml:space="preserve">设备图佐证</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.支持声学校正按钮，按下可以预测声反馈回路。提供≥高/中/低三档输入电平调节。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.具有≥2个独立通道，每通道均支持等同或宽于0-99级数字音量调节及静音开关功能。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.基于啸叫检测门限更新法，具有移频+陷波反馈抑制功能，可以使用≥48个可编程陷波点。</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处理器主频≥1.3GHz；搭载≥2 路独立反馈抑制通道，单通道均支持 AFC 自适应反馈抑制，传声增益提升≥6dB，可独立处理不同声源（主讲 / 观众席拾音），规避多麦场景交叉啸叫。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海绵：采用高弹海绵，用抽纱或丝绒覆面，表面有防腐化和防变型保护膜，回弹性高，耐用度高，防碎，防氧化，密度≥46kg/m3，回弹率≥45%，75%压缩永久变形≤5%，湿热老化后拉伸强度≥100KPa，干热老化后拉伸强度≥100KPa，符合GB/T 10802-2023《通用软质聚醚型氨酯泡沫塑料》。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日查杀的病毒文件。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#2</w:t>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投标时提供功能截图</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采用数字 U 段传输技术，基于 pi/4-DQPSK 调制方式，搭载国产主控芯片，无线传输距离不低于 80 米；接收机配备不少于 2 路平衡输出接口、不少于 1 路非平衡混音输出接口，支持混响、均衡、智能静音、音频加密、发射功率调节功能。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系统配置不少于 1 台接收主机、不少于 2 只手持发射机；支持的工作频率范围覆盖 470MHz-510MHz、540MHz-590MHz、640MHz-690MHz、807MHz-830MHz 四个频段，频率覆盖范围等同或优于上述区间。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.支持智能自动静音功能：麦克风发生跌落、抛掷动作时，可实现毫秒级自动静音，避免冲击杂音；设备可实时监测姿态状态，静置不少于 5 秒自动静音，静置不少于 8 分钟自动关机。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依托智能算法实现噪声抑制，针对不同应用场景设置不少于</w:t>
            </w: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规格：50g、36色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2</w:t>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pStyle w:val="851"/>
              <w:rPr>
                <w:rFonts w:hint="eastAsia"/>
                <w:highlight w:val="none"/>
              </w:rPr>
            </w:pPr>
            <w:r>
              <w:rPr>
                <w:rFonts w:hint="eastAsia"/>
                <w:highlight w:val="none"/>
                <w:lang w:val="en-US" w:eastAsia="zh-CN"/>
              </w:rPr>
              <w:t xml:space="preserve">2、彩泥的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可迁移元素(mg/kg)限量，锑(Sb)≤10，钡(Ba)≤350，铬(Cr)≤25，汞(Hg)≤10，砷(As)≤10,镉(Cd)≤15,铅(Pb)≤25,硒(Se)≤50，判定合格，符</w:t>
            </w:r>
            <w:r>
              <w:rPr>
                <w:rFonts w:hint="eastAsia" w:ascii="宋体" w:hAnsi="宋体" w:eastAsia="宋体" w:cs="宋体"/>
                <w:i w:val="0"/>
                <w:iCs w:val="0"/>
                <w:color w:val="auto"/>
                <w:sz w:val="20"/>
                <w:szCs w:val="20"/>
                <w:highlight w:val="none"/>
                <w:lang w:val="en-US" w:eastAsia="zh-CN" w:bidi="ar"/>
              </w:rPr>
              <w:t xml:space="preserve">合</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eastAsia="宋体" w:cs="宋体"/>
                <w:i w:val="0"/>
                <w:iCs w:val="0"/>
                <w:color w:val="auto"/>
                <w:sz w:val="20"/>
                <w:szCs w:val="20"/>
                <w:highlight w:val="none"/>
                <w:lang w:val="en-US" w:eastAsia="zh-CN" w:bidi="ar"/>
              </w:rPr>
              <w:t xml:space="preserve">国家标准</w:t>
            </w:r>
            <w:r>
              <w:rPr>
                <w:rFonts w:hint="eastAsia" w:ascii="宋体" w:hAnsi="宋体" w:cs="宋体"/>
                <w:i w:val="0"/>
                <w:iCs w:val="0"/>
                <w:color w:val="auto"/>
                <w:sz w:val="20"/>
                <w:szCs w:val="20"/>
                <w:highlight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产品需</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cs="宋体"/>
                <w:i w:val="0"/>
                <w:iCs w:val="0"/>
                <w:color w:val="auto"/>
                <w:sz w:val="20"/>
                <w:szCs w:val="20"/>
                <w:highlight w:val="none"/>
                <w:lang w:val="en-US" w:eastAsia="zh-CN" w:bidi="ar"/>
              </w:rPr>
              <w:t xml:space="preserve">标准规范进行检测，检测项目包括：</w:t>
            </w:r>
            <w:r>
              <w:rPr>
                <w:rFonts w:hint="eastAsia"/>
                <w:highlight w:val="none"/>
                <w:lang w:val="en-US" w:eastAsia="zh-CN"/>
              </w:rPr>
              <w:t xml:space="preserve">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w:t>
            </w:r>
            <w:r/>
          </w:p>
          <w:p>
            <w:pPr>
              <w:numPr>
                <w:ilvl w:val="0"/>
                <w:numId w:val="0"/>
              </w:numPr>
              <w:jc w:val="left"/>
              <w:keepLines w:val="0"/>
              <w:keepNext w:val="0"/>
              <w:widowControl/>
              <w:rPr>
                <w:rFonts w:hint="eastAsia" w:ascii="宋体" w:hAnsi="宋体" w:eastAsia="宋体" w:cs="宋体"/>
                <w:b w:val="0"/>
                <w:bCs w:val="0"/>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投标时须提供</w:t>
            </w:r>
            <w:r>
              <w:rPr>
                <w:rFonts w:hint="eastAsia" w:ascii="宋体" w:hAnsi="宋体" w:cs="宋体"/>
                <w:i w:val="0"/>
                <w:iCs w:val="0"/>
                <w:color w:val="auto"/>
                <w:sz w:val="20"/>
                <w:szCs w:val="20"/>
                <w:highlight w:val="none"/>
                <w:lang w:val="en-US" w:eastAsia="zh-CN" w:bidi="ar"/>
              </w:rPr>
              <w:t xml:space="preserve">国家认证认可的</w:t>
            </w:r>
            <w:r>
              <w:rPr>
                <w:rFonts w:hint="eastAsia" w:ascii="宋体" w:hAnsi="宋体" w:eastAsia="宋体" w:cs="宋体"/>
                <w:i w:val="0"/>
                <w:iCs w:val="0"/>
                <w:color w:val="auto"/>
                <w:sz w:val="20"/>
                <w:szCs w:val="20"/>
                <w:highlight w:val="none"/>
                <w:lang w:val="en-US" w:eastAsia="zh-CN" w:bidi="ar"/>
              </w:rPr>
              <w:t xml:space="preserve">第三方检测机构</w:t>
            </w:r>
            <w:r>
              <w:rPr>
                <w:rFonts w:hint="eastAsia" w:ascii="宋体" w:hAnsi="宋体" w:cs="宋体"/>
                <w:i w:val="0"/>
                <w:iCs w:val="0"/>
                <w:color w:val="auto"/>
                <w:sz w:val="20"/>
                <w:szCs w:val="20"/>
                <w:highlight w:val="none"/>
                <w:lang w:val="en-US" w:eastAsia="zh-CN" w:bidi="ar"/>
              </w:rPr>
              <w:t xml:space="preserve">（CMA或CNAS）出具的检测报告扫描件。</w:t>
            </w: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w:t>
            </w:r>
            <w:r>
              <w:rPr>
                <w:rFonts w:hint="eastAsia" w:ascii="宋体" w:hAnsi="宋体" w:cs="宋体"/>
                <w:i w:val="0"/>
                <w:iCs w:val="0"/>
                <w:color w:val="auto"/>
                <w:sz w:val="20"/>
                <w:szCs w:val="20"/>
                <w:highlight w:val="none"/>
                <w:lang w:val="en-US" w:eastAsia="zh-CN" w:bidi="ar"/>
              </w:rPr>
              <w:t xml:space="preserve">报监管部门）。</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.不锈钢固定轴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.翻牌材质：基材采用亚克力（PMMA）板材，板材透光性能、清晰度需适配园区室内外标识可视需求；亚克力板材透光率、雾度两项光学性能检测方法严格执行 GB/T 2410-2008《透明塑料透光率和雾度的测定》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#3</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（1）分辨率：≥3664*1920</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75W；                                                                                                                                            内存：8G ；固态硬盘：固态128G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VR</w:t>
            </w:r>
            <w:r>
              <w:rPr>
                <w:rFonts w:hint="eastAsia" w:ascii="宋体" w:hAnsi="宋体" w:cs="宋体"/>
                <w:i w:val="0"/>
                <w:iCs w:val="0"/>
                <w:color w:val="auto"/>
                <w:sz w:val="20"/>
                <w:szCs w:val="20"/>
                <w:highlight w:val="none"/>
                <w:u w:val="none"/>
                <w:lang w:val="en-US" w:eastAsia="zh-CN" w:bidi="ar"/>
              </w:rPr>
              <w:t xml:space="preserve">课件系统</w:t>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提供的</w:t>
            </w:r>
            <w:r>
              <w:rPr>
                <w:rFonts w:hint="eastAsia" w:ascii="宋体" w:hAnsi="宋体" w:cs="宋体"/>
                <w:i w:val="0"/>
                <w:iCs w:val="0"/>
                <w:color w:val="auto"/>
                <w:sz w:val="20"/>
                <w:szCs w:val="20"/>
                <w:highlight w:val="none"/>
                <w:u w:val="none"/>
                <w:lang w:val="en-US" w:eastAsia="zh-CN" w:bidi="ar"/>
              </w:rPr>
              <w:t xml:space="preserve">课件</w:t>
            </w:r>
            <w:r>
              <w:rPr>
                <w:rFonts w:hint="eastAsia" w:ascii="宋体" w:hAnsi="宋体" w:eastAsia="宋体" w:cs="宋体"/>
                <w:i w:val="0"/>
                <w:iCs w:val="0"/>
                <w:color w:val="auto"/>
                <w:sz w:val="20"/>
                <w:szCs w:val="20"/>
                <w:highlight w:val="none"/>
                <w:u w:val="none"/>
                <w:lang w:val="en-US" w:eastAsia="zh-CN" w:bidi="ar"/>
              </w:rPr>
              <w:t xml:space="preserve">所创造或模拟的事物与环境真实而生动，并且提供交互手段，使得体验者可以自由活动和探索虚拟世界，可以获得对客观事物的各种感性或理性认识</w:t>
            </w:r>
            <w:r>
              <w:rPr>
                <w:rFonts w:hint="eastAsia" w:ascii="宋体" w:hAnsi="宋体" w:cs="宋体"/>
                <w:i w:val="0"/>
                <w:iCs w:val="0"/>
                <w:color w:val="auto"/>
                <w:sz w:val="20"/>
                <w:szCs w:val="20"/>
                <w:highlight w:val="none"/>
                <w:u w:val="none"/>
                <w:lang w:val="en-US" w:eastAsia="zh-CN" w:bidi="ar"/>
              </w:rPr>
              <w:t xml:space="preserve">，并将知识资产进行标准化建模、整编、入库，支撑知识沉淀、快速检索、智能问答、业务辅助决策与能力复用,</w:t>
            </w:r>
            <w:r>
              <w:rPr>
                <w:rFonts w:hint="eastAsia" w:ascii="宋体" w:hAnsi="宋体" w:eastAsia="宋体" w:cs="宋体"/>
                <w:i w:val="0"/>
                <w:iCs w:val="0"/>
                <w:color w:val="auto"/>
                <w:sz w:val="20"/>
                <w:szCs w:val="20"/>
                <w:highlight w:val="none"/>
                <w:u w:val="none"/>
                <w:lang w:val="en-US" w:eastAsia="zh-CN" w:bidi="ar"/>
              </w:rPr>
              <w:t xml:space="preserve">至少提供35个可交互VR安全教育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100个VR科普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至少提供30教学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病毒防疫、消防安全、防溺水、防暴恐、交通安全、安全用电、公共卫生、自然灾害、防拐骗、家庭安全、校园安全等主题；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植物、动物、人、科学、宇宙、水和空气等多个主题；北极熊、卢沟桥、心脏与血液循环、日食的形成、雷电类型以及形成、火山内部构造、呼吸系统、花的结构和授粉、昆虫分类、认识龙卷风、学习电路原理、探索图形、制作果树等。</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与教学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t xml:space="preserve">：课程、课件的设计紧密结合教师上课使用场景，力求灵活多样、与多种教学场景配合（如：探究、小组讨论、分组实验等等），又不制约教师的教学设计思路，不限制教师教学过程的个性发挥，不拘泥教学使用场景与使用方式。                                                                                                          </w:t>
            </w:r>
            <w:r>
              <w:rPr>
                <w:rFonts w:hint="eastAsia" w:ascii="宋体" w:hAnsi="宋体" w:cs="宋体"/>
                <w:i w:val="0"/>
                <w:iCs w:val="0"/>
                <w:color w:val="auto"/>
                <w:sz w:val="20"/>
                <w:szCs w:val="20"/>
                <w:highlight w:val="none"/>
                <w:u w:val="none"/>
                <w:lang w:val="en-US" w:eastAsia="zh-CN" w:bidi="ar"/>
              </w:rPr>
              <w:t xml:space="preserve">4.包括</w:t>
            </w:r>
            <w:r>
              <w:rPr>
                <w:rFonts w:hint="eastAsia" w:ascii="宋体" w:hAnsi="宋体" w:eastAsia="宋体" w:cs="宋体"/>
                <w:i w:val="0"/>
                <w:iCs w:val="0"/>
                <w:color w:val="auto"/>
                <w:sz w:val="20"/>
                <w:szCs w:val="20"/>
                <w:highlight w:val="none"/>
                <w:u w:val="none"/>
                <w:lang w:val="en-US" w:eastAsia="zh-CN" w:bidi="ar"/>
              </w:rPr>
              <w:t xml:space="preserve">五台山、体验小行星撞击地球、动力伞滑翔遨游、好莱坞的日落、里约风光、浴火银河、巴塞罗那、壮美维多利亚瀑布、非洲大地 、萤火虫洞、大堡礁水下奇观、太空漫步、撒哈拉以南的非洲等；</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同时配备2D视频内容，支持无VR环境下的2D视频播放。基于次世代 3D 渲染技术、高端贴图渲染技术、Unity 引擎动画等技术；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清晰度不低于4K分辨率；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yellow"/>
                <w:u w:val="none"/>
              </w:rPr>
            </w:pPr>
            <w:r>
              <w:rPr>
                <w:rFonts w:hint="eastAsia" w:ascii="宋体" w:hAnsi="宋体" w:eastAsia="宋体" w:cs="宋体"/>
                <w:i w:val="0"/>
                <w:iCs w:val="0"/>
                <w:color w:val="auto"/>
                <w:sz w:val="20"/>
                <w:szCs w:val="20"/>
                <w:highlight w:val="yellow"/>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#4</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39600-2021标准要求，甲醛释放量≤0.0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w:t>
            </w:r>
            <w:r>
              <w:rPr>
                <w:rFonts w:hint="eastAsia" w:ascii="宋体" w:hAnsi="宋体" w:cs="宋体"/>
                <w:i w:val="0"/>
                <w:iCs w:val="0"/>
                <w:color w:val="auto"/>
                <w:sz w:val="20"/>
                <w:szCs w:val="20"/>
                <w:highlight w:val="none"/>
                <w:u w:val="none"/>
                <w:lang w:val="en-US" w:eastAsia="zh-CN" w:bidi="ar"/>
              </w:rPr>
              <w:t xml:space="preserve">国家相关</w:t>
            </w:r>
            <w:r>
              <w:rPr>
                <w:rFonts w:hint="eastAsia" w:ascii="宋体" w:hAnsi="宋体" w:eastAsia="宋体" w:cs="宋体"/>
                <w:i w:val="0"/>
                <w:iCs w:val="0"/>
                <w:color w:val="auto"/>
                <w:sz w:val="20"/>
                <w:szCs w:val="20"/>
                <w:highlight w:val="none"/>
                <w:u w:val="none"/>
                <w:lang w:val="en-US" w:eastAsia="zh-CN" w:bidi="ar"/>
              </w:rPr>
              <w:t xml:space="preserve">儿童家具通用技术条件的要求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pStyle w:val="851"/>
              <w:rPr>
                <w:rFonts w:hint="default"/>
                <w:highlight w:val="none"/>
                <w:lang w:val="en-US"/>
              </w:rPr>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红陶瓷泥：1、材质：石英、云母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3、五金件选用环保五金，稳固不松动，镉、铅、汞、六价铬含量符合GB/T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p>
          <w:p>
            <w:pPr>
              <w:numPr>
                <w:ilvl w:val="0"/>
                <w:numId w:val="3"/>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甲醛含量：达到国家E0级环保标准甲醛含量≤9mg/100g</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lang w:val="en-US" w:eastAsia="zh-CN" w:bidi="ar"/>
              </w:rPr>
              <w:t xml:space="preserve">幼儿沙发填充高回弹海绵，韧性、缓冲回弹性能良好；海绵填充物危险杂质、含杂率、有害物质污染物、燃烧性能、异味、微生物卫生指标均执行 GB/T 30400-2013</w:t>
            </w:r>
            <w:r>
              <w:rPr>
                <w:rFonts w:hint="eastAsia" w:ascii="宋体" w:hAnsi="宋体" w:cs="宋体"/>
                <w:i w:val="0"/>
                <w:iCs w:val="0"/>
                <w:color w:val="auto"/>
                <w:sz w:val="20"/>
                <w:szCs w:val="20"/>
                <w:highlight w:val="none"/>
                <w:lang w:val="en-US" w:eastAsia="zh-CN" w:bidi="ar"/>
              </w:rPr>
              <w:t xml:space="preserve">标准。</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3、五金件选用环保五金，安全无毒符合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的要求，钡、铅、镉、锑、硒、铬、汞、砷等含量控制指标完全符合要求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51"/>
        <w:rPr>
          <w:rFonts w:hint="eastAsia"/>
        </w:rPr>
      </w:pPr>
      <w:r>
        <w:rPr>
          <w:rFonts w:hint="eastAsia"/>
        </w:rPr>
      </w:r>
      <w:r/>
    </w:p>
    <w:p>
      <w:pPr>
        <w:pStyle w:val="1029"/>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1029"/>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均执行国家现行有关标准、相关行业规范：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w:t>
      </w:r>
      <w:r>
        <w:rPr>
          <w:rStyle w:val="1030"/>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w:t>
      </w:r>
      <w:r>
        <w:rPr>
          <w:rStyle w:val="1030"/>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w:t>
      </w:r>
      <w:r>
        <w:rPr>
          <w:rStyle w:val="1030"/>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1029"/>
        <w:ind w:firstLine="480"/>
        <w:jc w:val="both"/>
        <w:keepLines w:val="0"/>
        <w:keepNext w:val="0"/>
        <w:pageBreakBefore w:val="0"/>
        <w:spacing w:line="360" w:lineRule="atLeast"/>
        <w:rPr>
          <w:rStyle w:val="1030"/>
          <w:rFonts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w:t>
      </w:r>
      <w:r>
        <w:rPr>
          <w:rStyle w:val="1030"/>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1030"/>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2、在货物到达使用单位后，供货方应2个工作日内派工程师和施工人员到达现场，在采购人技术人员在场的情况下开箱清点货物，组织安装、调试，并承担因此发生的一切费用。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5、质保期满后，每年定期上门免费维护至少1次。</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（1）交付时间：合同签订后45个日历天完工。</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76955302"/>
      <w:r/>
      <w:bookmarkStart w:id="230" w:name="_Toc98669372"/>
      <w:r/>
      <w:bookmarkStart w:id="231" w:name="_Toc98669730"/>
      <w:r/>
      <w:bookmarkStart w:id="232" w:name="_Toc100386076"/>
      <w:r/>
      <w:bookmarkStart w:id="233" w:name="_Toc20821546"/>
      <w:r>
        <w:rPr>
          <w:rFonts w:hint="eastAsia" w:ascii="宋体" w:hAnsi="宋体" w:eastAsia="宋体" w:cs="宋体"/>
          <w:color w:val="auto"/>
          <w:sz w:val="36"/>
          <w:szCs w:val="36"/>
          <w:highlight w:val="none"/>
        </w:rPr>
        <w:t xml:space="preserve">评标办法和标准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1022"/>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lang w:val="en-US" w:eastAsia="zh-CN"/>
              </w:rPr>
              <w:t xml:space="preserve">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w:t>
            </w:r>
            <w:r>
              <w:rPr>
                <w:rFonts w:hint="eastAsia" w:ascii="宋体" w:hAnsi="宋体" w:cs="Times New Roman"/>
                <w:bCs/>
                <w:color w:val="auto"/>
                <w:sz w:val="24"/>
                <w:szCs w:val="24"/>
                <w:highlight w:val="none"/>
                <w:lang w:val="en-US" w:eastAsia="zh-CN" w:bidi="ar-SA"/>
              </w:rPr>
              <w:t xml:space="preserve">进口</w:t>
            </w:r>
            <w:r>
              <w:rPr>
                <w:rFonts w:hint="eastAsia" w:ascii="宋体" w:hAnsi="宋体" w:eastAsia="宋体" w:cs="Times New Roman"/>
                <w:bCs/>
                <w:color w:val="auto"/>
                <w:sz w:val="24"/>
                <w:szCs w:val="24"/>
                <w:highlight w:val="none"/>
                <w:lang w:val="en-US" w:eastAsia="zh-CN" w:bidi="ar-SA"/>
              </w:rPr>
              <w:t xml:space="preserve">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50"/>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40</w:t>
            </w:r>
            <w:r>
              <w:rPr>
                <w:rFonts w:ascii="宋体" w:hAnsi="宋体" w:cs="宋体"/>
                <w:color w:val="auto"/>
                <w:spacing w:val="-2"/>
                <w:szCs w:val="21"/>
                <w:highlight w:val="none"/>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10</w:t>
            </w:r>
            <w:r>
              <w:rPr>
                <w:rFonts w:ascii="宋体" w:hAnsi="宋体" w:cs="宋体"/>
                <w:color w:val="auto"/>
                <w:spacing w:val="-2"/>
                <w:szCs w:val="21"/>
                <w:highlight w:val="none"/>
              </w:rPr>
              <w:t xml:space="preserve">.</w:t>
            </w:r>
            <w:r>
              <w:rPr>
                <w:rFonts w:ascii="宋体" w:hAnsi="宋体" w:cs="宋体"/>
                <w:color w:val="auto"/>
                <w:spacing w:val="-1"/>
                <w:szCs w:val="21"/>
                <w:highlight w:val="none"/>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50"/>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4"/>
        <w:gridCol w:w="1130"/>
        <w:gridCol w:w="6713"/>
        <w:gridCol w:w="86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1.技术参数评价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评标委员会根据招标文件中的评审要点，对投标文件的技术参数等的响应情况进行评分，依据《技术响应及偏离表》等进行评价。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代表实质性指标，不满足该指标项将导致投标无效；</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2.“#”代表重要指标，每负偏离一项扣2分，正偏离不加分。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2.技术方案</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投标人提供本项目具体实施方案，具备现场采购实施方案得0.5分，具备质量控制措施得0.5分，具备加工方案得0.5分，具备包装配送方案得0.5分。不提供不得分。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根据投标人提供的售后服务方案综合评审，具备货物的技术服务得0.5分,售后服务的内容及措施得0.5分,具备维修服务的响应时间、响应方式得0.5分,具备解决问题迅速、设备保障措施得0.5分。不提供不得分。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3.原材料评价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检测证明</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自由组合区角柜、幼儿美术综合柜</w:t>
            </w:r>
            <w:r>
              <w:rPr>
                <w:rStyle w:val="1044"/>
                <w:lang w:val="en-US" w:eastAsia="zh-CN" w:bidi="ar"/>
              </w:rPr>
              <w:t xml:space="preserve">中主框架采用的橡胶木按照GB/T39600-2021标准进行检测，检测项目包括：甲醛释放量≤0.015mg/m³，符合Enf级，判定合格满足以上要求。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中滚轮按照QB/T 4765-2014标准进行检测，检测项目包括：主要尺寸[轮径≥20.0mm，轮宽-双联轮脚轮≥5.0mm，外角倒圆半径≥1.5mm]、外观、装配、抗冲击性能、动载荷、滚动阻力、旋转阻力、静载荷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中的PVC封边条须依据 QB/T4463-2025标准进行检测，检测项目包括：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长桌（小班、中班、大班）、方桌（小班、中班、大班）</w:t>
            </w:r>
            <w:r>
              <w:rPr>
                <w:rStyle w:val="1044"/>
                <w:lang w:val="en-US" w:eastAsia="zh-CN" w:bidi="ar"/>
              </w:rPr>
              <w:t xml:space="preserve">所采用的木蜡油</w:t>
            </w:r>
            <w:r>
              <w:rPr>
                <w:rStyle w:val="1044"/>
                <w:lang w:val="en-US" w:eastAsia="zh-CN" w:bidi="ar"/>
              </w:rPr>
              <w:t xml:space="preserve">须依据 GB/T27811-2011标准进行检测，检测项目包括：在容器中状态，细度≤40μm；干燥时间[表干≤8h、实干≤24h]；贮存稳定性[结皮性-无结皮、沉降性-无异常]；涂膜外观正常；光泽(60°)；硬度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Style w:val="1044"/>
                <w:lang w:val="en-US" w:eastAsia="zh-CN" w:bidi="ar"/>
              </w:rPr>
              <w:t xml:space="preserve">桌子塑料连接件适配幼儿园教室人员密集，园区日常洗手、洒水清洁易造成塑料件潮湿积污，</w:t>
            </w:r>
            <w:r>
              <w:rPr>
                <w:rStyle w:val="1045"/>
                <w:lang w:val="en-US" w:eastAsia="zh-CN" w:bidi="ar"/>
              </w:rPr>
              <w:t xml:space="preserve">长桌（小班、中班、大班）、方桌（小班、中班、大班）</w:t>
            </w:r>
            <w:r>
              <w:rPr>
                <w:rStyle w:val="1044"/>
                <w:lang w:val="en-US" w:eastAsia="zh-CN" w:bidi="ar"/>
              </w:rPr>
              <w:t xml:space="preserve">所采用的塑料连接件须依据GB/T 24128-2018标准规范要求开展塑料件连接件防霉检测试验，检测项目应均包含：黑曲霉、球毛壳霉、宛氏拟青霉、绳状青霉、长枝木霉长霉等级为0级。</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幼儿活泼好动，桌椅长期受反复摇晃、推拉冲击，桌体塑料连接件若发生老化、滑丝、松动、断裂，极易引发桌椅倾倒、幼儿磕碰受伤等安全事故，塑料连接件必须具备长期稳定的紧固性能与耐光照老化能力。</w:t>
            </w:r>
            <w:r>
              <w:rPr>
                <w:rStyle w:val="1045"/>
                <w:lang w:val="en-US" w:eastAsia="zh-CN" w:bidi="ar"/>
              </w:rPr>
              <w:t xml:space="preserve">长桌（小班、中班、大班）、方桌（小班、中班、大班）</w:t>
            </w:r>
            <w:r>
              <w:rPr>
                <w:rStyle w:val="1044"/>
                <w:lang w:val="en-US" w:eastAsia="zh-CN" w:bidi="ar"/>
              </w:rPr>
              <w:t xml:space="preserve">所采用的塑料连接件须依据 GB/T16422.2-2022 标准开展氙弧灯人工加速老化试验，《塑料实验室光源暴露试验方法 第 2 部分：氙弧灯》 完成氙灯人工加速老化测试，老化试验后连接件不得出现开裂、脆化、变形、滑丝松动、强度衰减等问题，结构紧固性能保持完好。</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户外大型运动组合器械</w:t>
            </w:r>
            <w:r>
              <w:rPr>
                <w:rStyle w:val="1044"/>
                <w:lang w:val="en-US" w:eastAsia="zh-CN" w:bidi="ar"/>
              </w:rPr>
              <w:t xml:space="preserve">的浸塑平台须依据GB/T 10125-2021标准规范要求进行盐雾检测试验，检测项目应均包含盐雾试验时间≥2100h，外观无明显变化，保护等级至少达到10级。</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公共区的布艺窗帘</w:t>
            </w:r>
            <w:r>
              <w:rPr>
                <w:rStyle w:val="1044"/>
                <w:lang w:val="en-US" w:eastAsia="zh-CN" w:bidi="ar"/>
              </w:rPr>
              <w:t xml:space="preserve">面料须依据GB/T 17591-2025标准规范要求进行燃烧检测试验，检测项目应均包含燃烧性能达到B1级，经过水洗不少于25次，干洗不少于10次，仍符合上述燃烧性能等级要求。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大报告厅座椅</w:t>
            </w:r>
            <w:r>
              <w:rPr>
                <w:rStyle w:val="1044"/>
                <w:lang w:val="en-US" w:eastAsia="zh-CN" w:bidi="ar"/>
              </w:rPr>
              <w:t xml:space="preserve">采用的海绵须依据GB/T 10802-2023标准进行检测，检测项目包括：表观密度：≥46kg/m³，密度偏差符合标准规定；</w:t>
            </w:r>
            <w:r>
              <w:rPr>
                <w:rStyle w:val="1044"/>
                <w:lang w:val="en-US" w:eastAsia="zh-CN" w:bidi="ar"/>
              </w:rPr>
              <w:br/>
            </w:r>
            <w:r>
              <w:rPr>
                <w:rStyle w:val="1044"/>
                <w:lang w:val="en-US" w:eastAsia="zh-CN" w:bidi="ar"/>
              </w:rPr>
              <w:t xml:space="preserve">回弹率：≥45%；</w:t>
            </w:r>
            <w:r>
              <w:rPr>
                <w:rStyle w:val="1044"/>
                <w:lang w:val="en-US" w:eastAsia="zh-CN" w:bidi="ar"/>
              </w:rPr>
              <w:br/>
            </w:r>
            <w:r>
              <w:rPr>
                <w:rStyle w:val="1044"/>
                <w:lang w:val="en-US" w:eastAsia="zh-CN" w:bidi="ar"/>
              </w:rPr>
              <w:t xml:space="preserve">75% 压缩永久变形：≤5%；</w:t>
            </w:r>
            <w:r>
              <w:rPr>
                <w:rStyle w:val="1044"/>
                <w:lang w:val="en-US" w:eastAsia="zh-CN" w:bidi="ar"/>
              </w:rPr>
              <w:br/>
            </w:r>
            <w:r>
              <w:rPr>
                <w:rStyle w:val="1044"/>
                <w:lang w:val="en-US" w:eastAsia="zh-CN" w:bidi="ar"/>
              </w:rPr>
              <w:t xml:space="preserve">湿热老化后拉伸强度：≥100kPa；</w:t>
            </w:r>
            <w:r>
              <w:rPr>
                <w:rStyle w:val="1044"/>
                <w:lang w:val="en-US" w:eastAsia="zh-CN" w:bidi="ar"/>
              </w:rPr>
              <w:br/>
            </w:r>
            <w:r>
              <w:rPr>
                <w:rStyle w:val="1044"/>
                <w:lang w:val="en-US" w:eastAsia="zh-CN" w:bidi="ar"/>
              </w:rPr>
              <w:t xml:space="preserve">干热老化后拉伸强度：≥100kPa。</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交通安全标志翻版墙</w:t>
            </w:r>
            <w:r>
              <w:rPr>
                <w:rStyle w:val="1044"/>
                <w:lang w:val="en-US" w:eastAsia="zh-CN" w:bidi="ar"/>
              </w:rPr>
              <w:t xml:space="preserve">中的翻牌材质采用亚克力（PMMA）板材，板材须依据 GB/T 2410-2008标准规范要求开展检测试验，检测项目为：亚克力板材透光率、雾度两项光学指标检测数据。</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yellow"/>
                <w:u w:val="none"/>
              </w:rPr>
              <w:suppressLineNumbers w:val="0"/>
            </w:pPr>
            <w:r>
              <w:rPr>
                <w:rStyle w:val="1045"/>
                <w:highlight w:val="none"/>
                <w:lang w:val="en-US" w:eastAsia="zh-CN" w:bidi="ar"/>
              </w:rPr>
              <w:t xml:space="preserve">幼儿沙发</w:t>
            </w:r>
            <w:r>
              <w:rPr>
                <w:rStyle w:val="1044"/>
                <w:highlight w:val="none"/>
                <w:lang w:val="en-US" w:eastAsia="zh-CN" w:bidi="ar"/>
              </w:rPr>
              <w:t xml:space="preserve">采用的海绵填充物须依据GB/T 30400-2013标准规范要求开展检测试验，检测项目为：1、危险杂质：不得含有金属屑、玻璃、硬质尖锐颗粒等任何危险杂质；2、含杂质率：填充物含杂质率≤1.0%；3、污染物：各类有毒有害物质限量符合标准限值要求；4、燃烧性能：试样燃烧面积≤7500mm²；5、气味：产品无刺激性异味；6、微生物指标：细菌菌落总数≤5000CFU/g，大肠杆菌不得检出。</w:t>
            </w:r>
            <w:r/>
          </w:p>
        </w:tc>
        <w:tc>
          <w:tcPr>
            <w:shd w:val="clear" w:color="auto" w:fill="auto"/>
            <w:tcBorders>
              <w:top w:val="single" w:color="000000" w:sz="4" w:space="0"/>
              <w:left w:val="single" w:color="000000" w:sz="4" w:space="0"/>
              <w:bottom w:val="single" w:color="auto"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yellow"/>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备注：1、投标时须提供国家认证认可的第三方检测机构（</w:t>
            </w:r>
            <w:r>
              <w:rPr>
                <w:rFonts w:hint="eastAsia" w:ascii="宋体" w:hAnsi="宋体" w:cs="宋体"/>
                <w:i w:val="0"/>
                <w:iCs w:val="0"/>
                <w:color w:val="000000"/>
                <w:sz w:val="22"/>
                <w:szCs w:val="22"/>
                <w:u w:val="none"/>
                <w:lang w:val="en-US" w:eastAsia="zh-CN" w:bidi="ar"/>
              </w:rPr>
              <w:t xml:space="preserve">CMA或CNAS</w:t>
            </w:r>
            <w:r>
              <w:rPr>
                <w:rFonts w:hint="eastAsia" w:ascii="宋体" w:hAnsi="宋体" w:eastAsia="宋体" w:cs="宋体"/>
                <w:i w:val="0"/>
                <w:iCs w:val="0"/>
                <w:color w:val="000000"/>
                <w:sz w:val="22"/>
                <w:szCs w:val="22"/>
                <w:u w:val="none"/>
                <w:lang w:val="en-US" w:eastAsia="zh-CN" w:bidi="ar"/>
              </w:rPr>
              <w:t xml:space="preserve">）出具的对应的检测报告扫描件。（中标供应商签订合同前提交其投标文件中上报的检测报告的原件让采购人或者代理机构核查，核查不合格的上报监管部门。）</w:t>
            </w:r>
            <w:r/>
          </w:p>
        </w:tc>
        <w:tc>
          <w:tcPr>
            <w:shd w:val="clear" w:color="auto" w:fill="auto"/>
            <w:tcBorders>
              <w:top w:val="single" w:color="auto" w:sz="4" w:space="0"/>
              <w:left w:val="single" w:color="000000" w:sz="4" w:space="0"/>
              <w:bottom w:val="single" w:color="auto" w:sz="4" w:space="0"/>
              <w:right w:val="single" w:color="000000" w:sz="4" w:space="0"/>
            </w:tcBorders>
            <w:tcW w:w="45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2、上述内容均需在检测报告标记出对应位置，标记不清或模糊不清的不予认可。</w:t>
            </w:r>
            <w:r>
              <w:rPr>
                <w:rFonts w:hint="eastAsia" w:ascii="宋体" w:hAnsi="宋体" w:cs="宋体"/>
                <w:i w:val="0"/>
                <w:iCs w:val="0"/>
                <w:color w:val="000000"/>
                <w:sz w:val="22"/>
                <w:szCs w:val="22"/>
                <w:u w:val="none"/>
                <w:lang w:val="en-US" w:eastAsia="zh-CN" w:bidi="ar"/>
              </w:rPr>
              <w:t xml:space="preserve"> </w:t>
            </w:r>
            <w:r/>
          </w:p>
        </w:tc>
        <w:tc>
          <w:tcPr>
            <w:shd w:val="clear" w:color="auto" w:fill="auto"/>
            <w:tcBorders>
              <w:top w:val="single" w:color="auto" w:sz="4" w:space="0"/>
              <w:left w:val="single" w:color="000000" w:sz="4" w:space="0"/>
              <w:bottom w:val="single" w:color="000000" w:sz="4" w:space="0"/>
              <w:right w:val="single" w:color="000000" w:sz="4" w:space="0"/>
            </w:tcBorders>
            <w:tcW w:w="45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4.样品评价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5.产品评价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highlight w:val="yellow"/>
                <w:u w:val="none"/>
                <w:lang w:val="en-US" w:eastAsia="zh-CN" w:bidi="ar"/>
              </w:rPr>
              <w:t xml:space="preserve">10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投标人根据采购需求提供以下投标产品详尽的设计方案，设计方案包括但不限于产品三视图、部件结构图、用料说明、技术工艺要求(如中标，该图纸作为验收依据)。</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设计方案包括三视图、部件结构图、用料说明、技术工艺要求的，得2分；每缺一项的，扣0.5分。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实物投影展示台系统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供应商所投实物投影展示台系统具有图像增强功能，投标时提供图像增强系统软件著作权证书的得2分。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VR课系统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供应商所投VR课件系统自带知识库，为教学提供辅助，投标时提供知识库系统软件著作权证书的得2分。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供应商所投会议投屏系统具有终端安全检测与响应功能，投标时提供终端安全检测与响应软件著作权证书的得2分。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right w:val="single" w:color="000000" w:sz="4" w:space="0"/>
            </w:tcBorders>
            <w:tcW w:w="451" w:type="pct"/>
            <w:vAlign w:val="center"/>
            <w:vMerge w:val="restart"/>
            <w:textDirection w:val="lrTb"/>
            <w:noWrap w:val="false"/>
          </w:tcPr>
          <w:p>
            <w:pPr>
              <w:jc w:val="center"/>
              <w:rPr>
                <w:rFonts w:hint="default" w:ascii="宋体" w:hAnsi="宋体" w:eastAsia="宋体" w:cs="宋体"/>
                <w:i w:val="0"/>
                <w:iCs w:val="0"/>
                <w:color w:val="000000"/>
                <w:sz w:val="22"/>
                <w:szCs w:val="22"/>
                <w:highlight w:val="yellow"/>
                <w:u w:val="none"/>
                <w:lang w:val="en-US" w:eastAsia="zh-CN"/>
              </w:rPr>
            </w:pPr>
            <w:r>
              <w:rPr>
                <w:rFonts w:hint="eastAsia" w:ascii="宋体" w:hAnsi="宋体" w:cs="宋体"/>
                <w:i w:val="0"/>
                <w:iCs w:val="0"/>
                <w:color w:val="000000"/>
                <w:sz w:val="22"/>
                <w:szCs w:val="22"/>
                <w:highlight w:val="yellow"/>
                <w:u w:val="none"/>
                <w:lang w:val="en-US" w:eastAsia="zh-CN"/>
              </w:rPr>
              <w:t xml:space="preserve">5.5</w:t>
            </w:r>
            <w:r/>
          </w:p>
        </w:tc>
        <w:tc>
          <w:tcPr>
            <w:shd w:val="clear" w:color="auto" w:fill="auto"/>
            <w:tcBorders>
              <w:top w:val="single" w:color="000000" w:sz="4" w:space="0"/>
              <w:left w:val="single" w:color="000000" w:sz="4" w:space="0"/>
              <w:right w:val="single" w:color="000000" w:sz="4" w:space="0"/>
            </w:tcBorders>
            <w:tcW w:w="590" w:type="pct"/>
            <w:vAlign w:val="center"/>
            <w:vMerge w:val="restart"/>
            <w:textDirection w:val="lrTb"/>
            <w:noWrap w:val="false"/>
          </w:tcPr>
          <w:p>
            <w:pPr>
              <w:jc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sz w:val="22"/>
                <w:szCs w:val="22"/>
                <w:highlight w:val="yellow"/>
                <w:u w:val="none"/>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供应商所投听力言语训练设备的系统具备声音评价功能（详见功能描述），投标时提供声环境监测与评估软件著作权证书的得2分。</w:t>
            </w:r>
            <w:r/>
          </w:p>
        </w:tc>
        <w:tc>
          <w:tcPr>
            <w:shd w:val="clear" w:color="auto" w:fill="auto"/>
            <w:tcBorders>
              <w:top w:val="single" w:color="000000" w:sz="4" w:space="0"/>
              <w:left w:val="single" w:color="000000" w:sz="4" w:space="0"/>
              <w:right w:val="single" w:color="000000" w:sz="4" w:space="0"/>
            </w:tcBorders>
            <w:tcW w:w="452" w:type="pct"/>
            <w:vAlign w:val="center"/>
            <w:vMerge w:val="restart"/>
            <w:textDirection w:val="lrTb"/>
            <w:noWrap w:val="false"/>
          </w:tcPr>
          <w:p>
            <w:pPr>
              <w:jc w:val="center"/>
              <w:rPr>
                <w:rFonts w:hint="eastAsia" w:ascii="宋体" w:hAnsi="宋体" w:eastAsia="宋体" w:cs="宋体"/>
                <w:i w:val="0"/>
                <w:iCs w:val="0"/>
                <w:color w:val="000000"/>
                <w:sz w:val="22"/>
                <w:szCs w:val="22"/>
                <w:highlight w:val="yellow"/>
                <w:u w:val="none"/>
                <w:lang w:val="en-US" w:eastAsia="zh-CN"/>
              </w:rPr>
            </w:pPr>
            <w:r>
              <w:rPr>
                <w:rFonts w:hint="eastAsia" w:ascii="宋体" w:hAnsi="宋体" w:cs="宋体"/>
                <w:i w:val="0"/>
                <w:iCs w:val="0"/>
                <w:color w:val="000000"/>
                <w:sz w:val="22"/>
                <w:szCs w:val="22"/>
                <w:highlight w:val="yellow"/>
                <w:u w:val="none"/>
                <w:lang w:val="en-US" w:eastAsia="zh-CN"/>
              </w:rPr>
              <w:t xml:space="preserve">2</w:t>
            </w:r>
            <w:r/>
          </w:p>
        </w:tc>
      </w:tr>
      <w:tr>
        <w:trPr>
          <w:trHeight w:val="400"/>
        </w:trPr>
        <w:tc>
          <w:tcPr>
            <w:shd w:val="clear" w:color="auto" w:fill="auto"/>
            <w:tcBorders>
              <w:left w:val="single" w:color="000000" w:sz="4" w:space="0"/>
              <w:bottom w:val="single" w:color="000000" w:sz="4" w:space="0"/>
              <w:right w:val="single" w:color="000000" w:sz="4" w:space="0"/>
            </w:tcBorders>
            <w:tcW w:w="451" w:type="pct"/>
            <w:vAlign w:val="center"/>
            <w:vMerge w:val="continue"/>
            <w:textDirection w:val="lrTb"/>
            <w:noWrap w:val="false"/>
          </w:tcPr>
          <w:p>
            <w:pPr>
              <w:jc w:val="both"/>
              <w:keepLines w:val="0"/>
              <w:keepNext w:val="0"/>
              <w:widowControl/>
              <w:suppressLineNumbers w:val="0"/>
            </w:pPr>
            <w:r/>
            <w:r/>
          </w:p>
        </w:tc>
        <w:tc>
          <w:tcPr>
            <w:shd w:val="clear" w:color="auto" w:fill="auto"/>
            <w:tcBorders>
              <w:left w:val="single" w:color="000000" w:sz="4" w:space="0"/>
              <w:bottom w:val="single" w:color="000000" w:sz="4" w:space="0"/>
              <w:right w:val="single" w:color="000000" w:sz="4" w:space="0"/>
            </w:tcBorders>
            <w:tcW w:w="590" w:type="pct"/>
            <w:vAlign w:val="center"/>
            <w:vMerge w:val="continue"/>
            <w:textDirection w:val="lrTb"/>
            <w:noWrap w:val="false"/>
          </w:tcPr>
          <w:p>
            <w:pPr>
              <w:jc w:val="both"/>
              <w:keepLines w:val="0"/>
              <w:keepNext w:val="0"/>
              <w:widowControl/>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left w:val="single" w:color="000000" w:sz="4" w:space="0"/>
              <w:bottom w:val="single" w:color="000000" w:sz="4" w:space="0"/>
              <w:right w:val="single" w:color="000000" w:sz="4" w:space="0"/>
            </w:tcBorders>
            <w:tcW w:w="452" w:type="pct"/>
            <w:vAlign w:val="center"/>
            <w:vMerge w:val="continue"/>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highlight w:val="yellow"/>
                <w:u w:val="none"/>
                <w:lang w:val="en-US" w:eastAsia="zh-CN" w:bidi="ar"/>
              </w:rPr>
              <w:t xml:space="preserve">平台集成全数字会议系统软件模块、反馈抑制器软件模块、数字音频处理器软件模块、数字专业功放软件模块、音箱处理器软件模块，各模块打开呈现在状态栏窗口，可快速管理和调用，满足以上其中一个模块功能得0.2分，满分1分；</w:t>
            </w:r>
            <w:bookmarkStart w:id="244" w:name="_GoBack"/>
            <w:r/>
            <w:bookmarkEnd w:id="244"/>
            <w:r>
              <w:rPr>
                <w:rFonts w:hint="eastAsia" w:ascii="宋体" w:hAnsi="宋体" w:eastAsia="宋体" w:cs="宋体"/>
                <w:i w:val="0"/>
                <w:iCs w:val="0"/>
                <w:color w:val="000000"/>
                <w:sz w:val="22"/>
                <w:szCs w:val="22"/>
                <w:highlight w:val="yellow"/>
                <w:u w:val="none"/>
                <w:lang w:val="en-US" w:eastAsia="zh-CN" w:bidi="ar"/>
              </w:rPr>
              <w:t xml:space="preserve">具备自动检测音频处理器、反馈抑制器数字功放、音箱处理器设备硬件版本、软件版本功能、检测到有新版本时提供更新提示，可对硬件进行升级；满足其中一个功能得0.2分，满分1分；以上总分2分。功能演示须提供真实实拍视频，不接受 AI 生成视频，视频中需要展现所投标品牌 LOGO 并完整涵盖上述对应功能。</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5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1"/>
        <w:gridCol w:w="1132"/>
        <w:gridCol w:w="6700"/>
        <w:gridCol w:w="87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供应商具有自2020年1月1日以来具有类似项目的成功案例(日期以合同签订为准)，每提供一个得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分，满分</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.人员证书</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现场负责人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现场负责人具备职业技能等级认证中级及以上证书（木工类），工程师及以上职称证书（智能化或电子信息相关专业），有一个得1.5分，满分3分。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实施人员</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项目实施人员具备职业技能等级认证证书的（木工类），有一个得1分，满分3分。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1.所投产品中有属于财政部、发展改革委公布的“节能产品政府采购品目清单”范围内国家确定的认证机构出具的、处于有效期之内的该节能产品认证证书扫描件的得0.5分。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2.所投产品中有属于财政部、生态环境部公布的“环境标志产品政府采购品目清单”范围内国家确定的认证机构出具的、处于有效期内的该环保产品认证证书扫描件的得0.5分。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所供货物免费质保期为3年，每增加1年得0.5分，最高得分不超过1分。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注：提供承诺书并加盖公章，未提供不得分。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50"/>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1022"/>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r/>
      <w:bookmarkEnd w:id="234"/>
      <w:r/>
      <w:bookmarkStart w:id="235" w:name="_Toc98669361"/>
      <w:r/>
      <w:bookmarkEnd w:id="235"/>
      <w:r/>
      <w:bookmarkStart w:id="236" w:name="_Toc100386064"/>
      <w:r/>
      <w:bookmarkEnd w:id="236"/>
      <w:r/>
      <w:bookmarkStart w:id="237" w:name="_Toc98669719"/>
      <w:r/>
      <w:bookmarkEnd w:id="237"/>
      <w:r/>
      <w:bookmarkStart w:id="238" w:name="_Toc92168030"/>
      <w:r/>
      <w:bookmarkEnd w:id="238"/>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1031"/>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1032"/>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1032"/>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1021"/>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center"/>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1021"/>
        <w:numPr>
          <w:ilvl w:val="0"/>
          <w:numId w:val="4"/>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1033"/>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1033"/>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1021"/>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1022"/>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1" w:name="_Hlk133157441"/>
      <w:r>
        <w:rPr>
          <w:rFonts w:hint="eastAsia" w:ascii="宋体" w:hAnsi="宋体" w:eastAsia="宋体" w:cs="宋体"/>
          <w:color w:val="auto"/>
          <w:spacing w:val="6"/>
          <w:sz w:val="24"/>
          <w:szCs w:val="24"/>
          <w:highlight w:val="none"/>
          <w:u w:val="single"/>
        </w:rPr>
        <w:t xml:space="preserve">（中型企业、小型企业、微型企业）</w:t>
      </w:r>
      <w:bookmarkEnd w:id="241"/>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2"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2"/>
      <w:r/>
      <w:r/>
    </w:p>
    <w:p>
      <w:pPr>
        <w:pStyle w:val="1023"/>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3"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34"/>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1034"/>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1034"/>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1034"/>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1022"/>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1022"/>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1"/>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1021"/>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1021"/>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1021"/>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10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2"/>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1021"/>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1021"/>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5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103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35"/>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1035"/>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1035"/>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1021"/>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50"/>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1036"/>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1036"/>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1023"/>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50"/>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38"/>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1038"/>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1038"/>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1021"/>
        <w:jc w:val="both"/>
        <w:rPr>
          <w:rFonts w:hint="eastAsia"/>
          <w:color w:val="auto"/>
          <w:highlight w:val="none"/>
        </w:rPr>
      </w:pPr>
      <w:r>
        <w:rPr>
          <w:rFonts w:hint="eastAsia"/>
          <w:color w:val="auto"/>
          <w:highlight w:val="none"/>
        </w:rPr>
      </w:r>
      <w:r/>
    </w:p>
    <w:p>
      <w:pPr>
        <w:pStyle w:val="1038"/>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1023"/>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23"/>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1023"/>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42"/>
      </w:rPr>
      <w:instrText xml:space="preserve"> PAGE </w:instrText>
    </w:r>
    <w:r>
      <w:fldChar w:fldCharType="separate"/>
    </w:r>
    <w:r>
      <w:rPr>
        <w:rStyle w:val="10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873"/>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74"/>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75"/>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76"/>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77"/>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78"/>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0"/>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1"/>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正文文本111"/>
    <w:basedOn w:val="839"/>
    <w:next w:val="839"/>
    <w:uiPriority w:val="0"/>
    <w:qFormat/>
    <w:pPr>
      <w:spacing w:after="120"/>
    </w:p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4">
    <w:name w:val="toc 5"/>
    <w:basedOn w:val="839"/>
    <w:next w:val="839"/>
    <w:uiPriority w:val="39"/>
    <w:unhideWhenUsed/>
    <w:qFormat/>
    <w:pPr>
      <w:ind w:left="1134" w:right="0" w:firstLine="0"/>
      <w:spacing w:after="57"/>
    </w:pPr>
  </w:style>
  <w:style w:type="paragraph" w:styleId="855">
    <w:name w:val="toc 3"/>
    <w:basedOn w:val="839"/>
    <w:next w:val="839"/>
    <w:uiPriority w:val="39"/>
    <w:unhideWhenUsed/>
    <w:qFormat/>
    <w:pPr>
      <w:ind w:left="567" w:right="0" w:firstLine="0"/>
      <w:spacing w:after="57"/>
    </w:pPr>
  </w:style>
  <w:style w:type="paragraph" w:styleId="856">
    <w:name w:val="toc 8"/>
    <w:basedOn w:val="839"/>
    <w:next w:val="839"/>
    <w:uiPriority w:val="39"/>
    <w:unhideWhenUsed/>
    <w:qFormat/>
    <w:pPr>
      <w:ind w:left="1984" w:right="0" w:firstLine="0"/>
      <w:spacing w:after="57"/>
    </w:pPr>
  </w:style>
  <w:style w:type="paragraph" w:styleId="857">
    <w:name w:val="endnote text"/>
    <w:basedOn w:val="839"/>
    <w:link w:val="1019"/>
    <w:uiPriority w:val="99"/>
    <w:semiHidden/>
    <w:unhideWhenUsed/>
    <w:qFormat/>
    <w:pPr>
      <w:spacing w:after="0" w:line="240" w:lineRule="auto"/>
    </w:pPr>
    <w:rPr>
      <w:sz w:val="20"/>
    </w:rPr>
  </w:style>
  <w:style w:type="paragraph" w:styleId="858">
    <w:name w:val="Footer"/>
    <w:basedOn w:val="839"/>
    <w:uiPriority w:val="0"/>
    <w:qFormat/>
    <w:pPr>
      <w:jc w:val="left"/>
      <w:tabs>
        <w:tab w:val="center" w:pos="4153" w:leader="none"/>
        <w:tab w:val="right" w:pos="8306" w:leader="none"/>
      </w:tabs>
    </w:pPr>
    <w:rPr>
      <w:sz w:val="18"/>
    </w:rPr>
  </w:style>
  <w:style w:type="paragraph" w:styleId="859">
    <w:name w:val="Header"/>
    <w:basedOn w:val="8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39"/>
    <w:next w:val="839"/>
    <w:uiPriority w:val="39"/>
    <w:unhideWhenUsed/>
    <w:qFormat/>
    <w:pPr>
      <w:ind w:left="0" w:right="0" w:firstLine="0"/>
      <w:spacing w:after="57"/>
    </w:pPr>
  </w:style>
  <w:style w:type="paragraph" w:styleId="861">
    <w:name w:val="toc 4"/>
    <w:basedOn w:val="839"/>
    <w:next w:val="839"/>
    <w:uiPriority w:val="39"/>
    <w:unhideWhenUsed/>
    <w:qFormat/>
    <w:pPr>
      <w:ind w:left="850" w:right="0" w:firstLine="0"/>
      <w:spacing w:after="57"/>
    </w:pPr>
  </w:style>
  <w:style w:type="paragraph" w:styleId="862">
    <w:name w:val="Subtitle"/>
    <w:basedOn w:val="839"/>
    <w:next w:val="839"/>
    <w:link w:val="885"/>
    <w:uiPriority w:val="11"/>
    <w:qFormat/>
    <w:pPr>
      <w:spacing w:before="200" w:after="200"/>
    </w:pPr>
    <w:rPr>
      <w:sz w:val="24"/>
      <w:szCs w:val="24"/>
    </w:rPr>
  </w:style>
  <w:style w:type="paragraph" w:styleId="863">
    <w:name w:val="footnote text"/>
    <w:basedOn w:val="839"/>
    <w:link w:val="1018"/>
    <w:uiPriority w:val="99"/>
    <w:semiHidden/>
    <w:unhideWhenUsed/>
    <w:qFormat/>
    <w:pPr>
      <w:spacing w:after="40" w:line="240" w:lineRule="auto"/>
    </w:pPr>
    <w:rPr>
      <w:sz w:val="18"/>
    </w:rPr>
  </w:style>
  <w:style w:type="paragraph" w:styleId="864">
    <w:name w:val="toc 6"/>
    <w:basedOn w:val="839"/>
    <w:next w:val="839"/>
    <w:uiPriority w:val="39"/>
    <w:unhideWhenUsed/>
    <w:qFormat/>
    <w:pPr>
      <w:ind w:left="1417" w:right="0" w:firstLine="0"/>
      <w:spacing w:after="57"/>
    </w:pPr>
  </w:style>
  <w:style w:type="paragraph" w:styleId="865">
    <w:name w:val="table of figures"/>
    <w:basedOn w:val="839"/>
    <w:next w:val="839"/>
    <w:uiPriority w:val="99"/>
    <w:unhideWhenUsed/>
    <w:qFormat/>
    <w:pPr>
      <w:spacing w:after="0" w:afterAutospacing="0"/>
    </w:pPr>
  </w:style>
  <w:style w:type="paragraph" w:styleId="866">
    <w:name w:val="toc 2"/>
    <w:basedOn w:val="839"/>
    <w:next w:val="839"/>
    <w:uiPriority w:val="39"/>
    <w:unhideWhenUsed/>
    <w:qFormat/>
    <w:pPr>
      <w:ind w:left="283" w:right="0" w:firstLine="0"/>
      <w:spacing w:after="57"/>
    </w:pPr>
  </w:style>
  <w:style w:type="paragraph" w:styleId="867">
    <w:name w:val="toc 9"/>
    <w:basedOn w:val="839"/>
    <w:next w:val="839"/>
    <w:uiPriority w:val="39"/>
    <w:unhideWhenUsed/>
    <w:qFormat/>
    <w:pPr>
      <w:ind w:left="2268" w:right="0" w:firstLine="0"/>
      <w:spacing w:after="57"/>
    </w:pPr>
  </w:style>
  <w:style w:type="paragraph" w:styleId="868">
    <w:name w:val="Title"/>
    <w:basedOn w:val="839"/>
    <w:next w:val="839"/>
    <w:link w:val="884"/>
    <w:uiPriority w:val="10"/>
    <w:qFormat/>
    <w:pPr>
      <w:contextualSpacing/>
      <w:spacing w:before="300" w:after="200"/>
    </w:pPr>
    <w:rPr>
      <w:sz w:val="48"/>
      <w:szCs w:val="48"/>
    </w:rPr>
  </w:style>
  <w:style w:type="table" w:styleId="869">
    <w:name w:val="Table Grid"/>
    <w:basedOn w:val="8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basedOn w:val="849"/>
    <w:uiPriority w:val="99"/>
    <w:semiHidden/>
    <w:unhideWhenUsed/>
    <w:qFormat/>
    <w:rPr>
      <w:vertAlign w:val="superscript"/>
    </w:rPr>
  </w:style>
  <w:style w:type="character" w:styleId="871">
    <w:name w:val="Hyperlink"/>
    <w:uiPriority w:val="99"/>
    <w:unhideWhenUsed/>
    <w:qFormat/>
    <w:rPr>
      <w:color w:val="0026e5" w:themeColor="hyperlink"/>
      <w:u w:val="single"/>
      <w14:textFill>
        <w14:solidFill>
          <w14:schemeClr w14:val="hlink"/>
        </w14:solidFill>
      </w14:textFill>
    </w:rPr>
  </w:style>
  <w:style w:type="character" w:styleId="872">
    <w:name w:val="footnote reference"/>
    <w:basedOn w:val="849"/>
    <w:uiPriority w:val="99"/>
    <w:unhideWhenUsed/>
    <w:qFormat/>
    <w:rPr>
      <w:vertAlign w:val="superscript"/>
    </w:rPr>
  </w:style>
  <w:style w:type="character" w:styleId="873" w:customStyle="1">
    <w:name w:val="Heading 1 Char"/>
    <w:basedOn w:val="849"/>
    <w:link w:val="840"/>
    <w:uiPriority w:val="9"/>
    <w:qFormat/>
    <w:rPr>
      <w:rFonts w:ascii="Arial" w:hAnsi="Arial" w:eastAsia="Arial" w:cs="Arial"/>
      <w:sz w:val="40"/>
      <w:szCs w:val="40"/>
    </w:rPr>
  </w:style>
  <w:style w:type="character" w:styleId="874" w:customStyle="1">
    <w:name w:val="Heading 2 Char"/>
    <w:basedOn w:val="849"/>
    <w:link w:val="841"/>
    <w:uiPriority w:val="9"/>
    <w:qFormat/>
    <w:rPr>
      <w:rFonts w:ascii="Arial" w:hAnsi="Arial" w:eastAsia="Arial" w:cs="Arial"/>
      <w:sz w:val="34"/>
    </w:rPr>
  </w:style>
  <w:style w:type="character" w:styleId="875" w:customStyle="1">
    <w:name w:val="Heading 3 Char"/>
    <w:basedOn w:val="849"/>
    <w:link w:val="842"/>
    <w:uiPriority w:val="9"/>
    <w:qFormat/>
    <w:rPr>
      <w:rFonts w:ascii="Arial" w:hAnsi="Arial" w:eastAsia="Arial" w:cs="Arial"/>
      <w:sz w:val="30"/>
      <w:szCs w:val="30"/>
    </w:rPr>
  </w:style>
  <w:style w:type="character" w:styleId="876" w:customStyle="1">
    <w:name w:val="Heading 4 Char"/>
    <w:basedOn w:val="849"/>
    <w:link w:val="843"/>
    <w:uiPriority w:val="9"/>
    <w:qFormat/>
    <w:rPr>
      <w:rFonts w:ascii="Arial" w:hAnsi="Arial" w:eastAsia="Arial" w:cs="Arial"/>
      <w:b/>
      <w:bCs/>
      <w:sz w:val="26"/>
      <w:szCs w:val="26"/>
    </w:rPr>
  </w:style>
  <w:style w:type="character" w:styleId="877" w:customStyle="1">
    <w:name w:val="Heading 5 Char"/>
    <w:basedOn w:val="849"/>
    <w:link w:val="844"/>
    <w:uiPriority w:val="9"/>
    <w:qFormat/>
    <w:rPr>
      <w:rFonts w:ascii="Arial" w:hAnsi="Arial" w:eastAsia="Arial" w:cs="Arial"/>
      <w:b/>
      <w:bCs/>
      <w:sz w:val="24"/>
      <w:szCs w:val="24"/>
    </w:rPr>
  </w:style>
  <w:style w:type="character" w:styleId="878" w:customStyle="1">
    <w:name w:val="Heading 6 Char"/>
    <w:basedOn w:val="849"/>
    <w:link w:val="845"/>
    <w:uiPriority w:val="9"/>
    <w:qFormat/>
    <w:rPr>
      <w:rFonts w:ascii="Arial" w:hAnsi="Arial" w:eastAsia="Arial" w:cs="Arial"/>
      <w:b/>
      <w:bCs/>
      <w:sz w:val="22"/>
      <w:szCs w:val="22"/>
    </w:rPr>
  </w:style>
  <w:style w:type="character" w:styleId="879" w:customStyle="1">
    <w:name w:val="Heading 7 Char"/>
    <w:basedOn w:val="849"/>
    <w:link w:val="846"/>
    <w:uiPriority w:val="9"/>
    <w:qFormat/>
    <w:rPr>
      <w:rFonts w:ascii="Arial" w:hAnsi="Arial" w:eastAsia="Arial" w:cs="Arial"/>
      <w:b/>
      <w:bCs/>
      <w:i/>
      <w:iCs/>
      <w:sz w:val="22"/>
      <w:szCs w:val="22"/>
    </w:rPr>
  </w:style>
  <w:style w:type="character" w:styleId="880" w:customStyle="1">
    <w:name w:val="Heading 8 Char"/>
    <w:basedOn w:val="849"/>
    <w:link w:val="847"/>
    <w:uiPriority w:val="9"/>
    <w:qFormat/>
    <w:rPr>
      <w:rFonts w:ascii="Arial" w:hAnsi="Arial" w:eastAsia="Arial" w:cs="Arial"/>
      <w:i/>
      <w:iCs/>
      <w:sz w:val="22"/>
      <w:szCs w:val="22"/>
    </w:rPr>
  </w:style>
  <w:style w:type="character" w:styleId="881" w:customStyle="1">
    <w:name w:val="Heading 9 Char"/>
    <w:basedOn w:val="849"/>
    <w:link w:val="848"/>
    <w:uiPriority w:val="9"/>
    <w:qFormat/>
    <w:rPr>
      <w:rFonts w:ascii="Arial" w:hAnsi="Arial" w:eastAsia="Arial" w:cs="Arial"/>
      <w:i/>
      <w:iCs/>
      <w:sz w:val="21"/>
      <w:szCs w:val="21"/>
    </w:rPr>
  </w:style>
  <w:style w:type="paragraph" w:styleId="882">
    <w:name w:val="List Paragraph"/>
    <w:basedOn w:val="839"/>
    <w:uiPriority w:val="34"/>
    <w:qFormat/>
    <w:pPr>
      <w:contextualSpacing/>
      <w:ind w:left="720"/>
    </w:pPr>
  </w:style>
  <w:style w:type="paragraph" w:styleId="883">
    <w:name w:val="No Spacing"/>
    <w:uiPriority w:val="1"/>
    <w:qFormat/>
    <w:pPr>
      <w:spacing w:before="0" w:after="0" w:line="240" w:lineRule="auto"/>
    </w:pPr>
    <w:rPr>
      <w:rFonts w:hint="default" w:asciiTheme="minorHAnsi" w:hAnsiTheme="minorHAnsi" w:eastAsiaTheme="minorEastAsia" w:cstheme="minorBidi"/>
    </w:rPr>
  </w:style>
  <w:style w:type="character" w:styleId="884" w:customStyle="1">
    <w:name w:val="Title Char"/>
    <w:basedOn w:val="849"/>
    <w:link w:val="868"/>
    <w:uiPriority w:val="10"/>
    <w:qFormat/>
    <w:rPr>
      <w:sz w:val="48"/>
      <w:szCs w:val="48"/>
    </w:rPr>
  </w:style>
  <w:style w:type="character" w:styleId="885" w:customStyle="1">
    <w:name w:val="Subtitle Char"/>
    <w:basedOn w:val="849"/>
    <w:link w:val="862"/>
    <w:uiPriority w:val="11"/>
    <w:qFormat/>
    <w:rPr>
      <w:sz w:val="24"/>
      <w:szCs w:val="24"/>
    </w:rPr>
  </w:style>
  <w:style w:type="paragraph" w:styleId="886">
    <w:name w:val="Quote"/>
    <w:basedOn w:val="839"/>
    <w:next w:val="839"/>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9"/>
    <w:next w:val="839"/>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basedOn w:val="849"/>
    <w:uiPriority w:val="99"/>
    <w:qFormat/>
  </w:style>
  <w:style w:type="character" w:styleId="891" w:customStyle="1">
    <w:name w:val="Footer Char"/>
    <w:basedOn w:val="849"/>
    <w:uiPriority w:val="99"/>
    <w:qFormat/>
  </w:style>
  <w:style w:type="character" w:styleId="892" w:customStyle="1">
    <w:name w:val="Caption Char"/>
    <w:uiPriority w:val="99"/>
    <w:qFormat/>
  </w:style>
  <w:style w:type="table" w:styleId="89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2" w:customStyle="1">
    <w:name w:val="Grid Table 4 - Accent 2"/>
    <w:basedOn w:val="8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3" w:customStyle="1">
    <w:name w:val="Grid Table 4 - Accent 3"/>
    <w:basedOn w:val="8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4" w:customStyle="1">
    <w:name w:val="Grid Table 4 - Accent 4"/>
    <w:basedOn w:val="8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5" w:customStyle="1">
    <w:name w:val="Grid Table 4 - Accent 5"/>
    <w:basedOn w:val="8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6" w:customStyle="1">
    <w:name w:val="Grid Table 4 - Accent 6"/>
    <w:basedOn w:val="8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6 Colorful - Accent 6"/>
    <w:basedOn w:val="8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7" w:customStyle="1">
    <w:name w:val="List Table 2 - Accent 2"/>
    <w:basedOn w:val="8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8" w:customStyle="1">
    <w:name w:val="List Table 2 - Accent 3"/>
    <w:basedOn w:val="8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9" w:customStyle="1">
    <w:name w:val="List Table 2 - Accent 4"/>
    <w:basedOn w:val="8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0" w:customStyle="1">
    <w:name w:val="List Table 2 - Accent 5"/>
    <w:basedOn w:val="8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1" w:customStyle="1">
    <w:name w:val="List Table 2 - Accent 6"/>
    <w:basedOn w:val="8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4" w:customStyle="1">
    <w:name w:val="List Table 3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4 - Accent 2"/>
    <w:basedOn w:val="8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2" w:customStyle="1">
    <w:name w:val="List Table 4 - Accent 3"/>
    <w:basedOn w:val="8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3" w:customStyle="1">
    <w:name w:val="List Table 4 - Accent 4"/>
    <w:basedOn w:val="8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4" w:customStyle="1">
    <w:name w:val="List Table 4 - Accent 5"/>
    <w:basedOn w:val="8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5" w:customStyle="1">
    <w:name w:val="List Table 4 - Accent 6"/>
    <w:basedOn w:val="8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5" w:customStyle="1">
    <w:name w:val="List Table 6 Colorful - Accent 2"/>
    <w:basedOn w:val="8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6" w:customStyle="1">
    <w:name w:val="List Table 6 Colorful - Accent 3"/>
    <w:basedOn w:val="8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7" w:customStyle="1">
    <w:name w:val="List Table 6 Colorful - Accent 4"/>
    <w:basedOn w:val="8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8" w:customStyle="1">
    <w:name w:val="List Table 6 Colorful - Accent 5"/>
    <w:basedOn w:val="8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9" w:customStyle="1">
    <w:name w:val="List Table 6 Colorful - Accent 6"/>
    <w:basedOn w:val="8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Bordered &amp; Lined - Accent 2"/>
    <w:basedOn w:val="8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Bordered &amp; Lined - Accent 3"/>
    <w:basedOn w:val="8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Bordered &amp; Lined - Accent 4"/>
    <w:basedOn w:val="8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Bordered &amp; Lined - Accent 5"/>
    <w:basedOn w:val="8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Bordered &amp; Lined - Accent 6"/>
    <w:basedOn w:val="8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3" w:customStyle="1">
    <w:name w:val="Bordered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4" w:customStyle="1">
    <w:name w:val="Bordered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5" w:customStyle="1">
    <w:name w:val="Bordered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6" w:customStyle="1">
    <w:name w:val="Bordered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7" w:customStyle="1">
    <w:name w:val="Bordered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8" w:customStyle="1">
    <w:name w:val="Footnote Text Char"/>
    <w:link w:val="863"/>
    <w:uiPriority w:val="99"/>
    <w:qFormat/>
    <w:rPr>
      <w:sz w:val="18"/>
    </w:rPr>
  </w:style>
  <w:style w:type="character" w:styleId="1019" w:customStyle="1">
    <w:name w:val="Endnote Text Char"/>
    <w:link w:val="857"/>
    <w:uiPriority w:val="99"/>
    <w:qFormat/>
    <w:rPr>
      <w:sz w:val="20"/>
    </w:rPr>
  </w:style>
  <w:style w:type="paragraph" w:styleId="1020" w:customStyle="1">
    <w:name w:val="TOC Heading"/>
    <w:uiPriority w:val="39"/>
    <w:unhideWhenUsed/>
    <w:qFormat/>
    <w:rPr>
      <w:rFonts w:hint="default" w:asciiTheme="minorHAnsi" w:hAnsiTheme="minorHAnsi" w:eastAsiaTheme="minorEastAsia" w:cstheme="minorBidi"/>
    </w:rPr>
  </w:style>
  <w:style w:type="paragraph" w:styleId="1021" w:customStyle="1">
    <w:name w:val="标题 21"/>
    <w:basedOn w:val="839"/>
    <w:next w:val="839"/>
    <w:uiPriority w:val="0"/>
    <w:qFormat/>
    <w:pPr>
      <w:jc w:val="center"/>
      <w:keepLines/>
      <w:keepNext/>
      <w:spacing w:before="260" w:after="260" w:line="416" w:lineRule="auto"/>
      <w:outlineLvl w:val="1"/>
    </w:pPr>
    <w:rPr>
      <w:rFonts w:ascii="幼圆" w:hAnsi="Arial" w:eastAsia="楷体_GB2312"/>
      <w:b/>
      <w:sz w:val="44"/>
      <w:szCs w:val="20"/>
    </w:rPr>
  </w:style>
  <w:style w:type="paragraph" w:styleId="1022" w:customStyle="1">
    <w:name w:val="标题 311"/>
    <w:basedOn w:val="839"/>
    <w:next w:val="1023"/>
    <w:uiPriority w:val="0"/>
    <w:qFormat/>
    <w:pPr>
      <w:keepLines/>
      <w:keepNext/>
      <w:spacing w:before="260" w:after="260" w:line="416" w:lineRule="auto"/>
      <w:outlineLvl w:val="2"/>
    </w:pPr>
    <w:rPr>
      <w:b/>
      <w:sz w:val="32"/>
      <w:szCs w:val="20"/>
      <w:lang w:val="en-US" w:eastAsia="en-US"/>
    </w:rPr>
  </w:style>
  <w:style w:type="paragraph" w:styleId="1023" w:customStyle="1">
    <w:name w:val="正文缩进11"/>
    <w:basedOn w:val="839"/>
    <w:uiPriority w:val="0"/>
    <w:unhideWhenUsed/>
    <w:qFormat/>
    <w:pPr>
      <w:ind w:firstLine="420"/>
    </w:pPr>
    <w:rPr>
      <w:sz w:val="20"/>
      <w:lang w:val="en-US" w:eastAsia="en-US"/>
    </w:rPr>
  </w:style>
  <w:style w:type="paragraph" w:styleId="1024" w:customStyle="1">
    <w:name w:val="列出段落3"/>
    <w:basedOn w:val="839"/>
    <w:uiPriority w:val="99"/>
    <w:qFormat/>
    <w:pPr>
      <w:ind w:firstLine="420"/>
    </w:pPr>
    <w:rPr>
      <w:rFonts w:ascii="Calibri" w:hAnsi="Calibri"/>
      <w:szCs w:val="22"/>
    </w:rPr>
  </w:style>
  <w:style w:type="character" w:styleId="1025" w:customStyle="1">
    <w:name w:val="超链接11"/>
    <w:basedOn w:val="1026"/>
    <w:link w:val="839"/>
    <w:uiPriority w:val="99"/>
    <w:unhideWhenUsed/>
    <w:qFormat/>
    <w:rPr>
      <w:rFonts w:hint="default" w:ascii="Times New Roman" w:hAnsi="Times New Roman" w:eastAsia="宋体" w:cs="Times New Roman"/>
      <w:sz w:val="21"/>
      <w:szCs w:val="24"/>
      <w:lang w:val="en-US" w:eastAsia="zh-CN" w:bidi="ar-SA"/>
    </w:rPr>
  </w:style>
  <w:style w:type="character" w:styleId="1026" w:customStyle="1">
    <w:name w:val="默认段落字体12"/>
    <w:link w:val="839"/>
    <w:uiPriority w:val="1"/>
    <w:unhideWhenUsed/>
    <w:qFormat/>
  </w:style>
  <w:style w:type="paragraph" w:styleId="1027" w:customStyle="1">
    <w:name w:val="正文缩进12"/>
    <w:basedOn w:val="839"/>
    <w:uiPriority w:val="0"/>
    <w:unhideWhenUsed/>
    <w:qFormat/>
    <w:pPr>
      <w:ind w:firstLine="420"/>
    </w:pPr>
  </w:style>
  <w:style w:type="paragraph" w:styleId="1028" w:customStyle="1">
    <w:name w:val="列出段落12"/>
    <w:basedOn w:val="839"/>
    <w:uiPriority w:val="0"/>
    <w:qFormat/>
    <w:pPr>
      <w:ind w:firstLine="420"/>
    </w:pPr>
  </w:style>
  <w:style w:type="paragraph" w:styleId="1029" w:customStyle="1">
    <w:name w:val="Normal_0"/>
    <w:uiPriority w:val="0"/>
    <w:qFormat/>
    <w:rPr>
      <w:rFonts w:hint="default" w:ascii="Times New Roman" w:hAnsi="Times New Roman" w:eastAsia="Times New Roman" w:cs="Times New Roman"/>
      <w:sz w:val="24"/>
      <w:szCs w:val="24"/>
      <w:lang w:bidi="ar-SA"/>
    </w:rPr>
  </w:style>
  <w:style w:type="character" w:styleId="1030" w:customStyle="1">
    <w:name w:val="titlebody"/>
    <w:link w:val="839"/>
    <w:uiPriority w:val="0"/>
    <w:qFormat/>
    <w:rPr>
      <w:rFonts w:ascii="宋体" w:hAnsi="宋体" w:eastAsia="宋体" w:cs="宋体"/>
      <w:b/>
      <w:bCs/>
      <w:color w:val="000000"/>
      <w:sz w:val="24"/>
      <w:szCs w:val="24"/>
    </w:rPr>
  </w:style>
  <w:style w:type="paragraph" w:styleId="1031" w:customStyle="1">
    <w:name w:val="正文文本缩进 311"/>
    <w:basedOn w:val="839"/>
    <w:uiPriority w:val="0"/>
    <w:qFormat/>
    <w:pPr>
      <w:ind w:left="520" w:firstLine="425"/>
      <w:jc w:val="center"/>
    </w:pPr>
    <w:rPr>
      <w:rFonts w:ascii="方正行楷简体" w:hAnsi="Arial" w:eastAsia="方正行楷简体" w:cs="Arial"/>
      <w:sz w:val="36"/>
      <w:szCs w:val="22"/>
    </w:rPr>
  </w:style>
  <w:style w:type="paragraph" w:styleId="1032" w:customStyle="1">
    <w:name w:val="正文文本缩进11"/>
    <w:basedOn w:val="839"/>
    <w:uiPriority w:val="0"/>
    <w:qFormat/>
    <w:pPr>
      <w:ind w:firstLine="645"/>
    </w:pPr>
    <w:rPr>
      <w:rFonts w:ascii="楷体_GB2312" w:hAnsi="等线" w:eastAsia="楷体_GB2312" w:cs="Arial"/>
      <w:sz w:val="32"/>
      <w:szCs w:val="22"/>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2"/>
    </w:rPr>
  </w:style>
  <w:style w:type="paragraph" w:styleId="1034" w:customStyle="1">
    <w:name w:val="普通(网站)12"/>
    <w:basedOn w:val="839"/>
    <w:uiPriority w:val="0"/>
    <w:qFormat/>
    <w:pPr>
      <w:jc w:val="left"/>
      <w:spacing w:before="100" w:beforeAutospacing="1" w:after="100" w:afterAutospacing="1"/>
      <w:widowControl/>
    </w:pPr>
    <w:rPr>
      <w:rFonts w:ascii="宋体" w:hAnsi="宋体" w:eastAsia="宋体" w:cs="宋体"/>
      <w:color w:val="000000"/>
      <w:sz w:val="24"/>
    </w:rPr>
  </w:style>
  <w:style w:type="paragraph" w:styleId="1035" w:customStyle="1">
    <w:name w:val="正文文本11"/>
    <w:basedOn w:val="839"/>
    <w:uiPriority w:val="0"/>
    <w:qFormat/>
    <w:rPr>
      <w:rFonts w:ascii="楷体_GB2312" w:hAnsi="Arial" w:eastAsia="楷体_GB2312" w:cs="Arial"/>
      <w:sz w:val="28"/>
      <w:szCs w:val="22"/>
    </w:rPr>
  </w:style>
  <w:style w:type="paragraph" w:styleId="1036" w:customStyle="1">
    <w:name w:val="正文文本缩进12"/>
    <w:basedOn w:val="839"/>
    <w:uiPriority w:val="0"/>
    <w:qFormat/>
    <w:pPr>
      <w:ind w:firstLine="645"/>
    </w:pPr>
    <w:rPr>
      <w:rFonts w:ascii="楷体_GB2312" w:hAnsi="Arial" w:eastAsia="楷体_GB2312" w:cs="Times New Roman"/>
      <w:sz w:val="32"/>
      <w:szCs w:val="22"/>
    </w:rPr>
  </w:style>
  <w:style w:type="paragraph" w:styleId="103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首行缩进"/>
    <w:basedOn w:val="839"/>
    <w:uiPriority w:val="0"/>
    <w:qFormat/>
    <w:pPr>
      <w:ind w:firstLine="480"/>
    </w:pPr>
    <w:rPr>
      <w:lang w:val="zh-CN"/>
    </w:rPr>
  </w:style>
  <w:style w:type="paragraph" w:styleId="1039" w:customStyle="1">
    <w:name w:val="页眉11"/>
    <w:basedOn w:val="839"/>
    <w:uiPriority w:val="99"/>
    <w:unhideWhenUsed/>
    <w:qFormat/>
    <w:pPr>
      <w:spacing w:after="0" w:line="240" w:lineRule="auto"/>
      <w:tabs>
        <w:tab w:val="center" w:pos="7143" w:leader="none"/>
        <w:tab w:val="right" w:pos="14287" w:leader="none"/>
      </w:tabs>
    </w:pPr>
  </w:style>
  <w:style w:type="paragraph" w:styleId="1040" w:customStyle="1">
    <w:name w:val="页脚11"/>
    <w:basedOn w:val="839"/>
    <w:uiPriority w:val="99"/>
    <w:unhideWhenUsed/>
    <w:qFormat/>
    <w:pPr>
      <w:spacing w:after="0" w:line="240" w:lineRule="auto"/>
      <w:tabs>
        <w:tab w:val="center" w:pos="7143" w:leader="none"/>
        <w:tab w:val="right" w:pos="14287" w:leader="none"/>
      </w:tabs>
    </w:pPr>
  </w:style>
  <w:style w:type="paragraph" w:styleId="1041" w:customStyle="1">
    <w:name w:val="Footer1"/>
    <w:basedOn w:val="839"/>
    <w:uiPriority w:val="99"/>
    <w:unhideWhenUsed/>
    <w:qFormat/>
    <w:pPr>
      <w:jc w:val="left"/>
      <w:tabs>
        <w:tab w:val="center" w:pos="4153" w:leader="none"/>
        <w:tab w:val="right" w:pos="8306" w:leader="none"/>
      </w:tabs>
    </w:pPr>
    <w:rPr>
      <w:sz w:val="18"/>
      <w:szCs w:val="18"/>
    </w:rPr>
  </w:style>
  <w:style w:type="character" w:styleId="1042" w:customStyle="1">
    <w:name w:val="页码11"/>
    <w:basedOn w:val="1043"/>
    <w:link w:val="839"/>
    <w:uiPriority w:val="0"/>
    <w:qFormat/>
  </w:style>
  <w:style w:type="character" w:styleId="1043" w:customStyle="1">
    <w:name w:val="默认段落字体11"/>
    <w:link w:val="839"/>
    <w:uiPriority w:val="1"/>
    <w:unhideWhenUsed/>
    <w:qFormat/>
  </w:style>
  <w:style w:type="character" w:styleId="1044" w:customStyle="1">
    <w:name w:val="font11"/>
    <w:basedOn w:val="849"/>
    <w:uiPriority w:val="0"/>
    <w:qFormat/>
    <w:rPr>
      <w:rFonts w:hint="eastAsia" w:ascii="宋体" w:hAnsi="宋体" w:eastAsia="宋体" w:cs="宋体"/>
      <w:color w:val="000000"/>
      <w:sz w:val="22"/>
      <w:szCs w:val="22"/>
      <w:u w:val="none"/>
    </w:rPr>
  </w:style>
  <w:style w:type="character" w:styleId="1045" w:customStyle="1">
    <w:name w:val="font31"/>
    <w:basedOn w:val="849"/>
    <w:uiPriority w:val="0"/>
    <w:qFormat/>
    <w:rPr>
      <w:rFonts w:hint="eastAsia" w:ascii="宋体" w:hAnsi="宋体" w:eastAsia="宋体" w:cs="宋体"/>
      <w:b/>
      <w:bCs/>
      <w:color w:val="000000"/>
      <w:sz w:val="22"/>
      <w:szCs w:val="22"/>
      <w:u w:val="none"/>
    </w:rPr>
  </w:style>
  <w:style w:type="numbering" w:styleId="708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4</cp:revision>
  <dcterms:created xsi:type="dcterms:W3CDTF">2026-05-30T05:47:00Z</dcterms:created>
  <dcterms:modified xsi:type="dcterms:W3CDTF">2026-08-10T08:44:11Z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A81FE85D4B164F8193B3F0F9DDCE7166_13</vt:lpwstr>
  </property>
  <property fmtid="{D5CDD505-2E9C-101B-9397-08002B2CF9AE}" pid="4" name="KSOTemplateDocerSaveRecord">
    <vt:lpwstr>eyJoZGlkIjoiMzFhMWY5MTlkYTE4ZDk2ZjRlMWRmZGIxZjJkOTMxZmUiLCJ1c2VySWQiOiIxNTgxODUzMTkyIn0=</vt:lpwstr>
  </property>
</Properties>
</file>