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05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0"/>
          <w:u w:val="single"/>
        </w:rPr>
        <w:t xml:space="preserve">泗阳县新质力智创孵化大厦运营管理机构招标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项目编号：JSZC-321323-JYGS-G2026-0015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专门</w:t>
      </w:r>
      <w:r>
        <w:rPr>
          <w:rFonts w:ascii="SimSun" w:hAnsi="SimSun" w:eastAsia="SimSun" w:cs="SimSun"/>
          <w:b/>
          <w:color w:val="000000"/>
          <w:sz w:val="30"/>
        </w:rPr>
        <w:t xml:space="preserve">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江苏泗阳经济开发区管理委员会</w:t>
      </w:r>
      <w:r/>
    </w:p>
    <w:p>
      <w:pPr>
        <w:ind w:left="0" w:right="0" w:firstLine="160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321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2026年7月31日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投标邀请……………………………………2</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投标人须知…………………………………5</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合同文本……………………………………23</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采购需求……………………………………30</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评标方法与评标标准………………………37</w:t>
      </w:r>
      <w:r/>
    </w:p>
    <w:p>
      <w:pPr>
        <w:numPr>
          <w:ilvl w:val="0"/>
          <w:numId w:val="3"/>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投标文件格式………………………………44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[江苏泗阳经济开发区管理委员会]</w:t>
      </w:r>
      <w:r>
        <w:rPr>
          <w:rFonts w:ascii="SimSun" w:hAnsi="SimSun" w:eastAsia="SimSun" w:cs="SimSun"/>
          <w:color w:val="000000"/>
          <w:sz w:val="24"/>
        </w:rPr>
        <w:t xml:space="preserve">的委托，</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就</w:t>
      </w:r>
      <w:r>
        <w:rPr>
          <w:rFonts w:ascii="SimSun" w:hAnsi="SimSun" w:eastAsia="SimSun" w:cs="SimSun"/>
          <w:color w:val="000000"/>
          <w:sz w:val="24"/>
          <w:u w:val="single"/>
        </w:rPr>
        <w:t xml:space="preserve">[泗阳县新质力智创孵化大厦运营管理机构招标]([</w:t>
      </w:r>
      <w:r>
        <w:rPr>
          <w:rFonts w:ascii="SimSun" w:hAnsi="SimSun" w:eastAsia="SimSun" w:cs="SimSun"/>
          <w:color w:val="000000"/>
          <w:sz w:val="21"/>
        </w:rPr>
        <w:t xml:space="preserve"> </w:t>
      </w:r>
      <w:r>
        <w:rPr>
          <w:rFonts w:ascii="SimSun" w:hAnsi="SimSun" w:eastAsia="SimSun" w:cs="SimSun"/>
          <w:color w:val="000000"/>
          <w:sz w:val="24"/>
          <w:u w:val="single"/>
        </w:rPr>
        <w:t xml:space="preserve">JSZC-321323-JYGS-G2026-0015])</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(泗阳县新质力智创孵化大厦运营管理机构招标)</w:t>
      </w:r>
      <w:r>
        <w:rPr>
          <w:rFonts w:ascii="SimSun" w:hAnsi="SimSun" w:eastAsia="SimSun" w:cs="SimSun"/>
          <w:color w:val="000000"/>
          <w:sz w:val="24"/>
        </w:rPr>
        <w:t xml:space="preserve"> 招标项目的潜在投标人应在</w:t>
      </w:r>
      <w:r>
        <w:rPr>
          <w:rFonts w:ascii="SimSun" w:hAnsi="SimSun" w:eastAsia="SimSun" w:cs="SimSun"/>
          <w:color w:val="000000"/>
          <w:sz w:val="24"/>
          <w:u w:val="single"/>
        </w:rPr>
        <w:t xml:space="preserve">“苏采云”系统 (网址: http://jszfcg.jsczt.cn/) </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2026年8月24日9点00分（</w:t>
      </w:r>
      <w:r>
        <w:rPr>
          <w:rFonts w:ascii="SimSun" w:hAnsi="SimSun" w:eastAsia="SimSun" w:cs="SimSun"/>
          <w:color w:val="000000"/>
          <w:sz w:val="24"/>
        </w:rPr>
        <w:t xml:space="preserve">北京时间）前递交投标文件。</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1.项目编号：JSZC-321323-JYGS-G2026-0015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2.项目名称：泗阳县新质力智创孵化大厦运营管理机构招标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3.预算金额：600万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4.本项目设定最高限价，最高限价为200万元/年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泗阳县新质力智创孵化大厦运营管理机构招标，拟通过服务单位招引低空经济、生物医药、电子信息、人工智能、高端制造等科技人才项目；对大厦入驻项目管理和培育；配合进行OPC社区创建；着力将大厦创建成集企业孵化、技术创新、成果转化等于一体的标准级/卓越级孵化器（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1.具备《中华人民共和国政府采购法》第二十二条第一款规定的6项条件（按要求提供投标声明及承诺函）。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2.信用信息。信用信息查询渠道：“信用中国”网（www.creditchina.gov.cn）。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3.落实政府采购政策需满足的资格要求：本项目专门面向中小企业采购（提供中小企业声明函或残疾人福利性单位声明函或监狱企业证明文件）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1.时间：2026年8月3日9:00至2026年8月7日18：00。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3.本项目共分一个包。投标人参与多个包投标的，应按包分别获取招标文件。投标人未按要求获取招标文件导致无法投标的，后果自负（其投标文件不予接受）。</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2026年8月24日9点00分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招标公告及招标文件公告期限为自本公告发布之日起5个工作日。招标公告发布媒体：宿迁市政府采购网、江苏省财政部门指定的媒体。</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1.财政部门监督电话：0527-85229058。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2.“CA”数字证书办理：“苏采云”系统目前仅支持“苏采云”系统下的意源CA。省内各地区办理的“苏采云”系统下的意源CA全省通用。宿迁地区CA数字证书办理联系方式：18351098172。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3.宿迁地区“苏采云”技术支持客服电话：0527-84225125、0519-86722806。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4.如果投标人通过苏采云系统参与政府采购项目，相关操作手册详见链接：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称：江苏泗阳经济开发区管理委员会</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址：泗阳县北京东路66号</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姜理想</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联系方式：0527--81988878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称：建银工程咨询有限责任公司</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址：宿迁市宿城区黄河路28号（建设银行院内东附属楼3楼）</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联系人：沈鹏程</w:t>
      </w:r>
      <w:r/>
    </w:p>
    <w:p>
      <w:pPr>
        <w:ind w:left="0" w:right="0" w:firstLine="1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联系方式：19895801091</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1、有关本次招标的事项若存在变动或修改，敬请及时关注“宿迁市政府采购网”等平台更正公告。</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本次招标不收取投标保证金。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4"/>
        </w:rPr>
        <w:t xml:space="preserve"> </w:t>
      </w:r>
      <w:r/>
    </w:p>
    <w:p>
      <w:pPr>
        <w:pStyle w:val="664"/>
        <w:ind w:left="0" w:right="0" w:firstLine="2429"/>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4"/>
        </w:rPr>
        <w:t xml:space="preserve"> </w:t>
      </w:r>
      <w:r/>
    </w:p>
    <w:p>
      <w:pPr>
        <w:pStyle w:val="664"/>
        <w:ind w:left="0" w:right="0" w:firstLine="2429"/>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供应商须知前附表：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315"/>
        <w:gridCol w:w="5786"/>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本招标文件中“当地公共资源交易中心”是指：泗阳县公共资源交易中心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本项目类别按以下第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1.货物采购；2.服务采购；3.工程采购。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提交加密电子投标文件1份。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综合评分法；具体详见招标文件第五章评标方法与评标标准。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评标委员会按照招标文件规定评标办法和标准推荐3名中标候选人。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允许分包，/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MS Gothic" w:hAnsi="MS Gothic" w:eastAsia="MS Gothic" w:cs="MS Gothic"/>
                <w:color w:val="000000"/>
                <w:sz w:val="24"/>
              </w:rPr>
              <w:t xml:space="preserve">☑</w:t>
            </w:r>
            <w:r>
              <w:rPr>
                <w:rFonts w:ascii="SimSun" w:hAnsi="SimSun" w:eastAsia="SimSun" w:cs="SimSun"/>
                <w:color w:val="000000"/>
                <w:sz w:val="24"/>
              </w:rPr>
              <w:t xml:space="preserve"> 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参照计价格【2002】1980号文标准*50%计取；支付方式可以通过转账或数字人民币等方式。</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6"/>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4.2.2采购人支付，具体方式及标准为：</w:t>
      </w:r>
      <w:r>
        <w:rPr>
          <w:rFonts w:ascii="SimSun" w:hAnsi="SimSun" w:eastAsia="SimSun" w:cs="SimSun"/>
          <w:color w:val="000000"/>
          <w:sz w:val="24"/>
          <w:u w:val="single"/>
        </w:rPr>
        <w:t xml:space="preserve">参照计价格【2002】1980号文标准*50%计取；支付方式可以通过转账或数字人民币等方式。</w:t>
      </w:r>
      <w:r/>
    </w:p>
    <w:p>
      <w:pPr>
        <w:pStyle w:val="668"/>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b/>
          <w:color w:val="000000"/>
          <w:sz w:val="28"/>
        </w:rPr>
        <w:t xml:space="preserve">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66"/>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8"/>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68"/>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在投标截止时间前，采购代理机构可以对招标文件进行修改。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8.4招标文件的修改将在原公告媒体上发布更正公告，补充文件将作为招标文件的组成部分，并对投标人具有约束力。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66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68"/>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投标人编写的投标文件应包括资格证明文件、符合性证明文件、投标分项报价表、响应及偏离表、其他证明文件、投标函、开标一览表等部分。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如标书制作工具中格式和内容与“宿迁市政府采购网”发布的招标文件不一致，请以“宿迁市政府采购网”发布的招标文件为准。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10.6中标后按相关要求提供与电子投标文件一致的纸质打印投标文件3份。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11、证明投标人及投标标的符合招标文件规定的文件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投标报价内容包括：运营宣传费、管理费、招商活动费、人工费、服务费、税金以及交付使用过程中涉及到的其他一切费用等完成本项目所涉及到的一切相关费用。</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14、投标声明及承诺函和开标一览表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投标人应按照招标文件中提供的格式完整、正确填写投标声明及承诺函、开标一览表。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16.2中标人的投标文件作为项目服务合同的附件，其有效期至中标人全部合同义务履行完毕为止。 </w:t>
      </w:r>
      <w:r/>
    </w:p>
    <w:p>
      <w:pPr>
        <w:pStyle w:val="66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68"/>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17.2投标人通过“苏采云”系统不见面开标大厅在线参与开标活动。（具体操作详见《“苏采云”系统投标人操作手册》，网址链接</w:t>
      </w:r>
      <w:r>
        <w:rPr>
          <w:rFonts w:ascii="SimSun" w:hAnsi="SimSun" w:eastAsia="SimSun" w:cs="SimSun"/>
          <w:color w:val="000000"/>
          <w:sz w:val="22"/>
        </w:rPr>
        <w:t xml:space="preserve">http://www.ccgp-jiangsu.gov.cn//webfile/jiangsu/202311/1699268553318052447.pdf）</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采购代理机构可以按照规定，通过修改招标文件酌情延长投标截止时间，在此情况下，投标人的所有权利和义务以及投标人受制的截止时间均应以延长后新的截止时间为准。</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6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22、评委会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采购代理机构和评委会不向未中标的投标人解释未中标原因，也不公布评标过程中的相关细节。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25.6投标人在开、评标全过程中应应随时保持系统在线，及时在“苏采云”系统查阅、答复相关信息。</w:t>
      </w:r>
      <w:r/>
    </w:p>
    <w:p>
      <w:pPr>
        <w:pStyle w:val="668"/>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4.评审委员会认定的投标人报价过低、有可能影响产品质量或者不能诚信履约的其他情形。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26.2.1符合专业条件的投标人或者对招标文件作实质响应的投标人不足三家的。26.2.2出现影响采购公正的违法、违规行为的。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26.2.4评委会认定招标文件存在歧义、重大缺陷导致评审工作无法进行。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pStyle w:val="66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采购代理机构将在“宿迁市政府采购网”发布中标公告，公告期限为1个工作日。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27.4.4与采购人或者其他投标人恶意串通的。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27.4.5采取不正当手段诋毁、排挤其他投标人的。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提出质疑的投标人应当是参与所质疑项目采购活动的投标人。潜在投标人依法获取其可质疑的采购文件的，可以对采购文件提出质疑。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投标人应以书面形式向采购人或者其委托的采购代理机构提出质疑。质疑超出采购机构代理范围的，投标人应当向采购人提出。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 采购人或代理机构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泗阳县北京东路66号</w:t>
      </w:r>
      <w:r>
        <w:rPr>
          <w:rFonts w:ascii="SimSun" w:hAnsi="SimSun" w:eastAsia="SimSun" w:cs="SimSun"/>
          <w:color w:val="000000"/>
          <w:sz w:val="24"/>
          <w:u w:val="single"/>
        </w:rPr>
        <w:t xml:space="preserve">或 宿迁市宿城区黄河路28号（建设银行院内东附属楼3楼）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rPr>
          <w:rFonts w:ascii="SimSun" w:hAnsi="SimSun" w:eastAsia="SimSun" w:cs="SimSun"/>
          <w:color w:val="000000"/>
          <w:sz w:val="24"/>
          <w:u w:val="single"/>
        </w:rPr>
        <w:t xml:space="preserve">0527--81988878或 19895801091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未参加投标活动的投标人或在投标活动中自身权益未受到损害的投标人所提出的质疑。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28.5.5投标人组成联合体参加投标，联合体中任何一方或多方未按要求签字、盖章、加盖公章的质疑。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28.7质疑供应商对采购人、采购代理机构的答复不满意，或者采购人、采购代理机构未在规定时间内作出答复的，可以在答复期满后15个工作日内向同级财政部门提起投诉。</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29、中标通知书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6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 签订合同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30.4本项目的非主体、非关键性工作是否允许分包按以下第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方式确定履约保证收取方式。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(2)履约保证金应在采购合同签订前提交，履约保证金的金额：</w:t>
      </w:r>
      <w:r>
        <w:rPr>
          <w:rFonts w:ascii="SimSun" w:hAnsi="SimSun" w:eastAsia="SimSun" w:cs="SimSun"/>
          <w:color w:val="000000"/>
          <w:sz w:val="24"/>
          <w:u w:val="single"/>
        </w:rPr>
        <w:t xml:space="preserve">按采购合同总价的 5 %计取（如使用江苏政府采购电子履约保函（保险）代替缴纳履约保证金的，按采购合同总价的3%计取）</w:t>
      </w:r>
      <w:r>
        <w:rPr>
          <w:rFonts w:ascii="SimSun" w:hAnsi="SimSun" w:eastAsia="SimSun" w:cs="SimSun"/>
          <w:color w:val="000000"/>
          <w:sz w:val="24"/>
        </w:rPr>
        <w:t xml:space="preserve">。除银行电汇、网上银行、数字人民币外，投标人还可选用银行保函、担保公司的保证担保或保险公司的保证保险、等多种形式向采购人缴纳；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31、服务（包含与服务相关的货物）的追加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8"/>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32、政府采购履约资金扶持政策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68"/>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33、验收及付款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668"/>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34、付款</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按照以下确定的付款方式，采购人及时办理付款手续。对于满足合同约定支付条件的，自收到发票后10个工作日内将资金支付到合同约定的供应商账户或供应商数字人民币账户。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甲方每年提供不少于（）万元用于乙方在泗阳成立的运营公司招商、运营、办公(其中40%基础运营费用作为预付款，60%考核费用)。即：项目基础运营费</w:t>
      </w:r>
      <w:r>
        <w:rPr>
          <w:rFonts w:ascii="SimSun" w:hAnsi="SimSun" w:eastAsia="SimSun" w:cs="SimSun"/>
          <w:color w:val="000000"/>
          <w:sz w:val="24"/>
          <w:u w:val="single"/>
        </w:rPr>
        <w:t xml:space="preserve">   </w:t>
      </w:r>
      <w:r>
        <w:rPr>
          <w:rFonts w:ascii="SimSun" w:hAnsi="SimSun" w:eastAsia="SimSun" w:cs="SimSun"/>
          <w:color w:val="000000"/>
          <w:sz w:val="24"/>
        </w:rPr>
        <w:t xml:space="preserve">万元在本合同签订且收到发票后10个工作日内支付。考核运营费___万元在年度考核结束且收到发票后10个工作日按考核办法考核得分的百分比支付：考核最终得分≥95分，按考核周期应付考核款金额100%支付，无扣减；90分≤考核最终得分＜95分，按考核周期应付考核款金额90%支付；85分≤考核最终得分＜90分，按考核周期应付考核款金额80%支付；80分≤考核最终得分＜85分，按考核周期应付考核款金额70%支付；考核最终得分＜80分，按考核周期考核款金额50%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第二年、第三年基础运营费在年度运营周期结束且收到发票后10个工作日内支付，第二年度第三年度考核运营费在年度考核结束且收到发票后10个工作日按考核办法考核得分的百分比支付。</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泗阳县新质力智创孵化大厦运营管理机构招标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服务协议书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15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5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sz w:val="20"/>
        </w:rPr>
      </w:r>
      <w:r/>
    </w:p>
    <w:p>
      <w:pPr>
        <w:ind w:left="0" w:right="0" w:firstLine="15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甲方：</w:t>
      </w:r>
      <w:r>
        <w:rPr>
          <w:rFonts w:ascii="SimSun" w:hAnsi="SimSun" w:eastAsia="SimSun" w:cs="SimSun"/>
          <w:b/>
          <w:color w:val="000000"/>
          <w:sz w:val="32"/>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乙方：</w:t>
      </w:r>
      <w:r>
        <w:rPr>
          <w:rFonts w:ascii="SimSun" w:hAnsi="SimSun" w:eastAsia="SimSun" w:cs="SimSun"/>
          <w:b/>
          <w:color w:val="000000"/>
          <w:sz w:val="32"/>
          <w:u w:val="single"/>
        </w:rPr>
        <w:t xml:space="preserve">                      </w:t>
      </w:r>
      <w:r/>
    </w:p>
    <w:p>
      <w:pPr>
        <w:ind w:left="0" w:right="0" w:firstLine="156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签订时间：  年   月    日</w:t>
      </w:r>
      <w:r>
        <w:br w:type="page" w:clear="all"/>
      </w:r>
      <w:r>
        <w:rPr>
          <w:sz w:val="20"/>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运营服务合作协议</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b/>
          <w:color w:val="000000"/>
          <w:sz w:val="24"/>
          <w:u w:val="single"/>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b/>
          <w:color w:val="000000"/>
          <w:sz w:val="24"/>
          <w:u w:val="single"/>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甲、乙双方根据《中华人民共和国民法典》、《中华人民共和国政府采购法》等法律、法规之规定，在平等自愿协商的基础上，就甲方的</w:t>
      </w:r>
      <w:r>
        <w:rPr>
          <w:rFonts w:ascii="SimSun" w:hAnsi="SimSun" w:eastAsia="SimSun" w:cs="SimSun"/>
          <w:color w:val="000000"/>
          <w:sz w:val="24"/>
          <w:u w:val="single"/>
        </w:rPr>
        <w:t xml:space="preserve">             </w:t>
      </w:r>
      <w:r>
        <w:rPr>
          <w:rFonts w:ascii="SimSun" w:hAnsi="SimSun" w:eastAsia="SimSun" w:cs="SimSun"/>
          <w:color w:val="000000"/>
          <w:sz w:val="24"/>
        </w:rPr>
        <w:t xml:space="preserve">项目委托乙方运营服务通过服务单位招引低空经济、生物医药、电子信息、人工智能、高端制造等科技人才项目；对大厦入驻项目管理和培育；配合进行OPC社区创建；着力将大厦创建成集企业孵化、技术创新、成果转化等于一体的标准级/卓越级孵化器等有关事项达成如下协议，以资双方共同遵守。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第一条合作期限</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双方约定的首期合作期限为</w:t>
      </w:r>
      <w:r>
        <w:rPr>
          <w:rFonts w:ascii="SimSun" w:hAnsi="SimSun" w:eastAsia="SimSun" w:cs="SimSun"/>
          <w:color w:val="000000"/>
          <w:sz w:val="24"/>
          <w:u w:val="single"/>
        </w:rPr>
        <w:t xml:space="preserve">    </w:t>
      </w:r>
      <w:r>
        <w:rPr>
          <w:rFonts w:ascii="SimSun" w:hAnsi="SimSun" w:eastAsia="SimSun" w:cs="SimSun"/>
          <w:color w:val="000000"/>
          <w:sz w:val="24"/>
        </w:rPr>
        <w:t xml:space="preserve">年，自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第二条合同价款及支付方式</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1、合同价款：合同额为人民币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2、进度款：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甲方每年提供不少于（）万元用于乙方在泗阳成立的运营公司招商、运营、办公(其中40%基础运营费用作为预付款，60%考核费用)。即：项目基础运营费</w:t>
      </w:r>
      <w:r>
        <w:rPr>
          <w:rFonts w:ascii="SimSun" w:hAnsi="SimSun" w:eastAsia="SimSun" w:cs="SimSun"/>
          <w:color w:val="000000"/>
          <w:sz w:val="24"/>
          <w:u w:val="single"/>
        </w:rPr>
        <w:t xml:space="preserve">   </w:t>
      </w:r>
      <w:r>
        <w:rPr>
          <w:rFonts w:ascii="SimSun" w:hAnsi="SimSun" w:eastAsia="SimSun" w:cs="SimSun"/>
          <w:color w:val="000000"/>
          <w:sz w:val="24"/>
        </w:rPr>
        <w:t xml:space="preserve">万元在本合同签订且收到发票后10个工作日内支付。考核运营费___万元在年度考核结束且收到发票后10个工作日按考核办法考核得分的百分比支付：考核最终得分≥95分，按考核周期应付考核款金额100%支付，无扣减；90分≤考核最终得分＜95分，按考核周期应付考核款金额90%支付；85分≤考核最终得分＜90分，按考核周期应付考核款金额80%支付；80分≤考核最终得分＜85分，按考核周期应付考核款金额70%支付；考核最终得分＜80分，按考核周期考核款金额50%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第二年、第三年基础运营费在上年度运营周期结束且收到发票后10个工作日内支付，第二年度第三年度考核运营费在年度考核结束且收到发票后10个工作日按考核办法考核得分的百分比支付。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第三条甲方的权利及义务</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1、甲方将新质力智创孵化大厦运营权交给乙方在泗阳成立的运营公司做运营项目招商、营运及办公等使用。运营合同终止时，甲方有权收回运营管理权。</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2、甲方为乙方在泗阳成立的运营公司提供帮助和支持。对乙方招商引入基地的项目，在不违反法律、法规的情况下视情况尽可能提供招商优惠政策。优惠内容及期限由双方友好协商确定。</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3、甲方有权了解乙方运营管理情况及对各类活动进行监督。</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4、在运营管理期间，因乙方的经营管理所产生的任何债务均由乙方承担，甲方不向因乙方的经营管理行为所产生的任何第三方债务，承担法律责任。</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5、审定乙方拟定的管理制度和运营管理年度计划，并提出合理化建议，督促乙方健全相关管理制度、工作规范。</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6甲方的标的物内包括但不限于相关基建、电梯空调消防、绿化带设备的大型保修的相关费用由甲方承担。</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7、甲方尽量协助乙方和乙方在泗阳成立的运营公司招募人才、科技项目及创业团体，并在合法范围内争取为乙方申报政策提供帮助。</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8、甲方免费为乙方和乙方在泗阳成立的运营公司提供众创科技园用于项目孵化产业运营或工业项目落地保障（具体办法另行协商）。</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第四条乙方的权利和义务</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乙方负责筹建落地运营公司，由乙方运营公司负责本项目的运营管理，运营公司名为：</w:t>
      </w:r>
      <w:r>
        <w:rPr>
          <w:rFonts w:ascii="SimSun" w:hAnsi="SimSun" w:eastAsia="SimSun" w:cs="SimSun"/>
          <w:color w:val="000000"/>
          <w:sz w:val="24"/>
          <w:u w:val="single"/>
        </w:rPr>
        <w:t xml:space="preserve">               </w:t>
      </w:r>
      <w:r>
        <w:rPr>
          <w:rFonts w:ascii="SimSun" w:hAnsi="SimSun" w:eastAsia="SimSun" w:cs="SimSun"/>
          <w:color w:val="000000"/>
          <w:sz w:val="24"/>
        </w:rPr>
        <w:t xml:space="preserve">有限公司，各方同意自本协议签订之日起关于本协议中有关乙方的权利义务及随附权利义务全部转让给乙方在当地筹建的运营公司；</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运营中，通过服务单位招引低空经济、生物医药、电子信息、人工智能、高端制造等科技人才项目；对大厦入驻项目管理和培育；配合进行OPC社区创建；着力将大厦创建成集企业孵化、技术创新、成果转化等于一体的标准级/卓越级孵化器。工作进度应满足时间过半、任务过半。序时进度考核纳入年度考核，未达到时间过半，任务过半的在年度考核中酌情予以扣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1.通过乙方招引，每年孵化企业分别不少于60家，63家，66家，其中全年新增注册企业占比不少于30%，其中科技型中小企业、创新型中小企业占比不低于30%；</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2.投入的专职孵化人员占机构总人数的2/3以上，每10家在孵企业至少配备1名创业导师；</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3.孵化器运营组织机构保持健全，管理团队由具有行业影响力的产学研复合型人才或在龙头企业具有资深从业经验的领军人才牵头组建，人员配备合理。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4.除房租及物业费外的综合服务收入与投资收入占孵化器总收入的比例不低于30%，该项收入须单独核算。</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5.设立的孵化基金总额不低于350万元，且在正式运营后一月内设立。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6.通过单独或合作设立的孵化基金进行股权投资且确权实缴的在孵企业数量占比不低于10%，或在孵新增企业获得投融资的在孵企业数量占比不低于20%。</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7.在孵企业当年度获得投融资总额：运营第一年度不低于100万元、运营第二年度不低于120万元、运营第三年度不低于150万元。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8.签约投融资等金融服务机构数量：运营第一年度不少于2家，2027-运营第三年度不少于3家；并按需提供投融资对接会，投融资一对一服务或创业大赛辅导等。</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9.建立的跨区域创新创业合作平台数量：运营第一年度不少于1个，运营第三年度不少于2个；须与高校院所签订合作协议，并定期来泗开展对接活动。</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10.在孵企业年度总收入：运营第一年度不低于1亿元，运营第二年度不低于1.2亿元，运营第三年度不低于1.5亿元。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11.每年不低于30%的新增在孵企业实现营业收入同比增长或研发经费投入同比增长超过20%。</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12.新增在孵企业拥有有效知识产权累积总量：运营第一年度不少于100件或新增不少于30件；运营第二年度不少于120件，或新增不少于40件；运营第三年度不少于150件，或新增不少于50件。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13.每年新招引科技项目数量不少于12家，招引企业须符合高新技术产业目录，每月须提供有价值招商线索并开展外出招商。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14.在孵企业中科技型中小企业数量年稳定保持不少于20家。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15.在孵企业中年度新认定的高新技术企业数量：运营第一年度不少于2家，运营第二年度不少于4家，运营第三年度不少于4家。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16.每年度毕业企业数量不低于上年度末在孵企业总数的10%。</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17.推进数智新城（OPC社区）建设，重点培育和引进OPC创业个体与场景运用，达到市县考核创建标准。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18.当年度新引进全职硕士学历及以上人才不少于2名，且须在本地缴纳社保或个人所得税。</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19.每年组织开展创新创业沙龙、产学研对接、对外宣传等专项活动不少于6场（具体场次及主题以采购人要求为准），须围绕AI、人工智能场景、电商等主题，并适时制作宣传片、短视频等宣传材料。</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20.每年实现孵化项目入驻产业园并产业化生产经营的数量不少于4个，其中须包含AI相关项目。</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21.乙方负责所有入驻园区企业相关事宜，包含乙方人员人身财产安全、薪资矛盾等问题。</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22.乙方在合同期内负责开展标准级和卓越级孵化器的申报，以及各类荣誉申报，2年内完成标准级孵化器申报。申报合理时间内甲方所提供的硬件（义务）（场地面积、合同期限等）需要达到申报条件；</w:t>
      </w:r>
      <w:r/>
    </w:p>
    <w:p>
      <w:pPr>
        <w:ind w:left="0" w:right="0" w:firstLine="64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解约条件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1、运营期内，甲方每年考核乙方，并参照考核指标进行考核。如甲方对乙方的考核结果低于70分为不合格，甲方有权视情况解除合同。</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2、若甲方在合同期内未主动提出解约且遵照本协议所有规定情况下，乙方不得无故终止新质力孵化大厦的工作，需继续运营，否则乙方将无条件退还甲方支付的当年度所有费用。</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1、甲方未按照本协议的约定向乙方支付运营费，乙方有权解除本协议。</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2、指标考核由乙方提交具体报告台账，甲方进行审核、若乙方出现台账造假行为，甲方有权解除协议、提出索赔、并要求乙方退出运营。</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3、除本协议另有约定及双方协商一致外，任何一方擅自解除或终止本协议的，须向守约方支付违约金和赔偿损失，两项累计最高金额为年度合同金额的3%。</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4、本协议在履行过程中，如有任何一方违反本协议的约定，均需向守约方支付违约金和赔偿经济损失，两项累计最高金额为年度合同金额的3%。</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第七条争议解决</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因本协议的解释及执行而产生之争议，双方应通过友好协商解决。如协商不成则任何一方均同意将争议提交给项目所在地的人民法院管辖。</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各方确认以下联系方式为在履行本协议期间内的唯一联系方式及相关法律文书的送达地址：</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1、甲方联系地址：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3、乙方联系地址：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上述地址双方确认为履行本协议相关法律文书的送达地址，有关本协议履行及相关事宜的通知，一方以上述载明的联系地址以特快专递或挂号信的形式邮寄的，自发出之日起第 7 日视为送达之日（拒收视为送达）；另一方在收到相关通知、函件等资料后在5天内未提异议的视为认可上述通知、函件等的内容。各方应确保上述联系方式真实、准确、完整，一方联系方式发生变更的，应当及时书面通知另一方；否则因此产生的一切不利后果由未通知一方自行承担。</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第八条其他事项</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议各方应积极主动配合工作，互通信息，相互支持，促进合作顺利进行；在协议执行过程中遇到本协议未涉及的事项，双方应另行签订书面补充协议，补充协议是本协议的附件与本协议具有同等的法律效力。</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2、本协议不因人事变动和法人代表变更而变更，本协议一式肆份，双方各执正本贰份。</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3、本协议自各方盖章后生效。</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                    法定（授权）代表人：</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  月       日                       2026年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其他未列明产业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泗阳经济开发区科技综合体由宿迁东方投资有限公司投资建设，坐落于江苏泗阳经济开发区北京东路29号，总建筑面积约38000㎡，其中地上面积约32000㎡，共8层，一期投入运营面积约15000㎡，总体规划布局分展示区、孵化区、运营区、综合配套区等功能区。项目围绕打造“科技+人才+产业+生活”的新模式，重点招引电子信息、工业设计、高端制造、智能家居、科技金融服务、信息咨询、检测检验等项目入驻，着力打造集技术创新、成果转化、企业孵化、创新创业、产业辐射等于一体的综合型国家级孵化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本次采购内容为</w:t>
      </w:r>
      <w:r>
        <w:rPr>
          <w:rFonts w:ascii="SimSun" w:hAnsi="SimSun" w:eastAsia="SimSun" w:cs="SimSun"/>
          <w:b/>
          <w:color w:val="000000"/>
          <w:sz w:val="24"/>
          <w:u w:val="single"/>
        </w:rPr>
        <w:t xml:space="preserve">泗阳县新质力智创孵化大厦运营管理机构招标</w:t>
      </w:r>
      <w:r>
        <w:rPr>
          <w:rFonts w:ascii="SimSun" w:hAnsi="SimSun" w:eastAsia="SimSun" w:cs="SimSun"/>
          <w:b/>
          <w:color w:val="000000"/>
          <w:sz w:val="24"/>
        </w:rPr>
        <w:t xml:space="preserve">，项目预算600万元，最高限价200万元/年（</w:t>
      </w:r>
      <w:r>
        <w:rPr>
          <w:rFonts w:ascii="SimSun" w:hAnsi="SimSun" w:eastAsia="SimSun" w:cs="SimSun"/>
          <w:b/>
          <w:color w:val="ff0000"/>
          <w:sz w:val="24"/>
        </w:rPr>
        <w:t xml:space="preserve">请各投标人按单价进行报价</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二、合同履行期限、地点及要求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服务内容包含但不限于运营宣传、大厦管理、项目招引、入驻企业服务等运营大厦过程中涉及到的一切事项，重点考核要求详见下表：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451"/>
        <w:gridCol w:w="1048"/>
        <w:gridCol w:w="212"/>
        <w:gridCol w:w="524"/>
        <w:gridCol w:w="524"/>
        <w:gridCol w:w="524"/>
        <w:gridCol w:w="5475"/>
      </w:tblGrid>
      <w:tr>
        <w:trPr>
          <w:trHeight w:val="900"/>
        </w:trPr>
        <w:tc>
          <w:tcPr>
            <w:gridSpan w:val="8"/>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大厦拟设定主要运营指标</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一级指标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二级指标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三级指标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权重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运营第一年度目标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运营第二年度目标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运营第三年度目标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br/>
              <w:t xml:space="preserve">经营发展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1.1在孵企业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孵化器在孵企业数量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&gt;60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&gt;63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&gt;66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其中当年度新增注册企业数占比不低于30%，科技型中小企业、创新型中小企业占比不低于30%。（入园协议、企业营业执照、用工合同、科创企业备案证明、实地核查记录）</w:t>
            </w:r>
            <w:r/>
          </w:p>
        </w:tc>
      </w:tr>
      <w:tr>
        <w:trPr>
          <w:trHeight w:val="1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专业孵化服务人员数和与在孵企业比例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专职孵化服务人员占机构总人数2/3以上，每10家在孵企业至少配备1名创业导师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专业孵化服务人员需在当地缴纳保险（专业孵化人员人员花名册、社保证明、劳动合同；导师孵化资质证明、合作协议，导师服务台账资料）</w:t>
            </w:r>
            <w:r/>
          </w:p>
        </w:tc>
      </w:tr>
      <w:tr>
        <w:trPr>
          <w:trHeight w:val="1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孵化器运营组织架构是否健全，人员配备是否合理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管理团队由具有行业影响力的科技部/工信部火炬中心颁发的导师资质或在龙头企业具有资深从业经验的领军人才牵头组建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负责人学历证明、聘用协议、导师资质证明，科技部/工信部火炬高技术产业开发中心公示的创业导师名单；</w:t>
            </w:r>
            <w:r/>
          </w:p>
        </w:tc>
      </w:tr>
      <w:tr>
        <w:trPr>
          <w:trHeight w:val="12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1.3经营收入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孵化器综合服务收入和投资收入占孵化器总收入的比例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除房租及物业之外的收入占总收入的比例不低于30%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单独核算孵化服务收入，上年度除房租及物业之外的收入占总收入的比例不低于30%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br/>
              <w:t xml:space="preserve">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2.1孵化基金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孵化器孵化基金总额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w:t>
            </w:r>
            <w:r/>
          </w:p>
        </w:tc>
      </w:tr>
      <w:tr>
        <w:trPr>
          <w:trHeight w:val="19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获得投融资的在孵企业数量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通过单独或出资合作设立的孵化资金、股权投资基金等完成股权投资且确权实缴的在孵企业占比不低于10%；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银行流水证明，投融资合作协议；</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在孵企业当年获得投融资总额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银行流水证明，投融资合作协议；</w:t>
            </w: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2.2公共服务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孵化器签约投融资等金融服务机构数量；基本保障服务投入等。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基本保障服务投入包括但不限于为入驻企业投融资对接会，投融资一对一服务或创业大赛辅导等。基本保障服务投入包括但不限于为入驻企业提供微波炉、冰箱、部分监控等服务</w:t>
            </w:r>
            <w:r/>
          </w:p>
        </w:tc>
      </w:tr>
      <w:tr>
        <w:trPr>
          <w:trHeight w:val="9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2.3创新资源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孵化器开展跨区域创新创业合作与交流，并建立合作平台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与高校园所签订合同，共建创新平台，并定期来泗开展对接交流活动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br/>
              <w:t xml:space="preserve">孵化绩效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3.1企业发展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在孵企业总收入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开票统计范围为孵化器内企业；</w:t>
            </w:r>
            <w:r/>
          </w:p>
        </w:tc>
      </w:tr>
      <w:tr>
        <w:trPr>
          <w:trHeight w:val="11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3.2企业创新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在孵企业研发投入占在孵企业总收入的比例及增长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年度不少于30%的在孵企业营业收入或研发经费投入同比增长超过20%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年度开票流水证明或者研发经费票据归集；</w:t>
            </w:r>
            <w:r/>
          </w:p>
        </w:tc>
      </w:tr>
      <w:tr>
        <w:trPr>
          <w:trHeight w:val="15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在孵企业拥有有效知识产权数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100/30件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120/40件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150/50件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知识产权包含专利、商标、著作等：运营第一年度不少于100件或新增不少于30件；运营第二年度不少于120件，或新增不少于40件；运营第三年度不少于150件，或新增不少于50件。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3.3企业孵化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新招引科技项目数量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招引企业需符合高新技术产业目录（高新技术或科技型中小企业等）；每月提供有价值线索外出≧10天招商。</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在孵企业中科技型中小企业数量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通过工信部优质中小企业平台认定；</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在孵企业中年度新获批高新技术企业数量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通过高新技术企业评定；</w:t>
            </w:r>
            <w:r/>
          </w:p>
        </w:tc>
      </w:tr>
      <w:tr>
        <w:trPr>
          <w:trHeight w:val="6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毕业企业数量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上年度至少10%的在孵企业成为毕业企业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通过《在孵企业毕业申请表》评审认定；</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br/>
              <w:t xml:space="preserve">特色工作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4.1数智新城建设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opc社区建设等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重点围绕培育和引进OPC创业个体、场景运用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参照市县考核创建标准</w:t>
            </w:r>
            <w:r/>
          </w:p>
        </w:tc>
      </w:tr>
      <w:tr>
        <w:trPr>
          <w:trHeight w:val="8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4.2高层次人才引进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当年度新引进全职硕士学历及以上人才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人才须在泗缴纳社保或个税；</w:t>
            </w:r>
            <w:r/>
          </w:p>
        </w:tc>
      </w:tr>
      <w:tr>
        <w:trPr>
          <w:trHeight w:val="1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4.3创新创业沙龙、对外宣传等活动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开展创新创业沙龙、创业辅导、产学研合作、成果转化对接、对外宣传等专项活动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6+N场次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围绕AI主题、人工智能场景、电商主题等；外宣工作应根据运营情况适时制作宣传片、短视频等，现场活动照片、活动签到表、活动方案；</w:t>
            </w:r>
            <w:r/>
          </w:p>
        </w:tc>
      </w:tr>
      <w:tr>
        <w:trPr>
          <w:trHeight w:val="12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4.4孵化项目产业化运作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在孵企业（包括但不限于）入驻产业园，实现产业化生产经营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1、企业经营面积不低于1000平方； 2、团队核心人员均缴纳社保；3、入驻后连续3-6个月有经营性的税务发票记录，全年开票金额不低于100万元；4、行业限定：人工智能、低空经济、生物医药、电子信息、高端制造等；</w:t>
            </w:r>
            <w:r/>
          </w:p>
        </w:tc>
      </w:tr>
    </w:tbl>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3"/>
        </w:numPr>
        <w:jc w:val="both"/>
        <w:spacing w:before="120" w:after="12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每年考核按完成比例*权重=得分。</w:t>
      </w:r>
      <w:r/>
    </w:p>
    <w:p>
      <w:pPr>
        <w:numPr>
          <w:ilvl w:val="0"/>
          <w:numId w:val="3"/>
        </w:numPr>
        <w:jc w:val="both"/>
        <w:spacing w:before="120" w:after="12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中标人在考核期内任意一年低于70分（不含）的，采购人有权解除合同。</w:t>
      </w:r>
      <w:r/>
    </w:p>
    <w:p>
      <w:pPr>
        <w:numPr>
          <w:ilvl w:val="0"/>
          <w:numId w:val="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考核时间为中标人签订合同起至次年合同签订日前一日。</w:t>
      </w:r>
      <w:r/>
    </w:p>
    <w:p>
      <w:pPr>
        <w:numPr>
          <w:ilvl w:val="0"/>
          <w:numId w:val="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工作进度应满足时间过半、任务过半。序时进度考核纳入年度考核，未达到时间过半，任务过半的在年度考核中酌情予以扣分。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SimSun" w:hAnsi="SimSun" w:eastAsia="SimSun" w:cs="SimSun"/>
          <w:color w:val="000000"/>
          <w:sz w:val="22"/>
        </w:rPr>
        <w:t xml:space="preserve">投标人承诺中标后成立创投基金（或专项资金）或有合作基金且总额≥350万元的（提供承诺函，格式自拟）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SimSun" w:hAnsi="SimSun" w:eastAsia="SimSun" w:cs="SimSun"/>
          <w:color w:val="000000"/>
          <w:sz w:val="22"/>
        </w:rPr>
        <w:t xml:space="preserve">投标人应承诺中标后经过运营，三年内能达到省级以上科技企业孵化器荣誉标准或国家级科技企业孵化器荣誉标准（提供承诺函，格式自拟）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评标方法与评标标准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三、评分办法—综合评分法</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997"/>
        <w:gridCol w:w="893"/>
        <w:gridCol w:w="4444"/>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1、价格分应当采用低价优先法计算，即满足招标文件要求且投标价格最低的投标报价为评标基准价，其价格分为满分。其他投标人的价格部分统一按照下列公式计算：投标报价得分=(评标基准价／投标报价)×20。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2、项目评审过程中，不得去掉最后报价中的最高报价和最低报价。</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企业经营业绩、、荣誉、认证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1、投标人自2022年1月1日（以合同签订时间为准）以来，具有人工智能或大数据或跨境电商或智能制造或机械装备等科技类产业园区孵化器（或产业载体）运营服务项目类似业绩的，有一个得2分，最高得10分。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注：提供项目合同（需体现服务内容、服务周期、甲乙双方名称等内容）</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企业荣誉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1.投标人或其控股关联公司具有省级以上科技企业孵化器荣誉的，每提供一个得2分，最高得6分。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2.具有国家级科技企业孵化器荣誉业绩的，每提供一个得2.5分，最高得5分。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注：提供中华人民共和国科学技术部/工信部火炬高技术产业开发中心或省厅网站公示链接及截图，否则不予计分。</w:t>
            </w:r>
            <w:r>
              <w:rPr>
                <w:rFonts w:ascii="SimSun" w:hAnsi="SimSun" w:eastAsia="SimSun" w:cs="SimSun"/>
                <w:color w:val="000000"/>
                <w:sz w:val="21"/>
              </w:rPr>
              <w:t xml:space="preserve">同一奖项以最高分计取。</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相关认证证书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投标人提供有效期内的下列认证证书（类型为服务导向型适配）。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1、具有ISO9001质量管理体系认证的得2分；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2、具有ISO14001环境管理体系认证证书的得2分；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3、具有ISO45001职业健康安全管理体系证书的得2分；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注：提供相关证明材料扫描件，如未提供或提供不清晰均不得分。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1、项目负责人具有本科以上学历的得2分。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2、项目负责人具有人工智能或大数据或跨境电商或智能制造或机械装备等科技类产业园区孵化器（或产业载体）运营服务项目类似业绩的，每有一个得2分，最高得8分。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提供相关证书、简历、合同业绩扫描件。业绩合同中不能反映项目负责人身份职务的，还需提供投标人盖章的证明文件。（2）项目负责人需为投标人或其控股关联公司的正式员工，提供投标文件递交截止时间前六个月中任意一个月的社保证明材料（任意五险之一的社保缴纳证明材料均认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项目组成员（不含项目负责人）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1.项目组成员中每有1人具备3年以上人工智能或大数据或跨境电商或智能制造或机械装备等科技类产业园区孵化器（或产业载体）运营服务项目经验的得1分，最高得5分；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2.项目组成员中有人具备产业载体项目申报</w:t>
            </w:r>
            <w:r>
              <w:rPr>
                <w:rFonts w:ascii="SimSun" w:hAnsi="SimSun" w:eastAsia="SimSun" w:cs="SimSun"/>
                <w:color w:val="000000"/>
                <w:sz w:val="21"/>
              </w:rPr>
              <w:t xml:space="preserve">或省级以上孵化器</w:t>
            </w:r>
            <w:r>
              <w:rPr>
                <w:rFonts w:ascii="SimSun" w:hAnsi="SimSun" w:eastAsia="SimSun" w:cs="SimSun"/>
                <w:color w:val="000000"/>
                <w:sz w:val="22"/>
              </w:rPr>
              <w:t xml:space="preserve">实操经验的得2分，最高得2分；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3.项目组成员中有人具备大型活动策划执行经验，得2分，最高得2分。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4、投标人或其控股关联公司正式员工具有科技部/工信部火炬高技术产业开发中心认证创业导师资质，每提供一个得2分，最高得4分。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注：（1）团队成员需为投标人或其控股关联公司的正式员工，提供投标文件递交截止时间前六个月中任意一个月的社保证明材料（任意五险之一的社保缴纳证明材料均认可）。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作经验的证明材料（由原任职单位或现任职单位出具，注明任职时段、岗位名称、核心工作内容方案等，需体现“人工智能、大数据、跨境电商、智能制造、机械装备等科技类产业园区孵化器”的相关表述，加盖出具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（3）省级项目申报实操类证明材料：主导或参与的项目申报方案（含申报单位、申报政策名称、该成员签字/署名、申报单位盖章证明）和补贴到账凭证（需与申报方案对应）。</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投标人通过对本项目概况、服务要求分析，而有针对性的编制该项目的理解情况，从事项分析情况、完整性、理解程度等方面进行评审。</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1.分析事项全面、完整、对项目服务要求有独特的理解且符合项目本身实际情况的得4分；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2.分析事项较全面、较完整、对项目服务要求有较独特的理解且较符合项目本身实际情况的得2分；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经营发展方案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投标人在对本项目理解分析后针对服务要求、经营发展内容进行针对性的编制经营发展方案，从方案的完整性、实施计划分解、拟采用的具体措施和方法、服务承诺等方面进行评审。</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1.方案完整、有详细的计划、方法和措施有明确的实施内容且能得到保障，符合项目本身实际情况的得4分；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2.方案较完整、有较详细的计划、方法和措施有较明确的实施内容且较能得到保障，较符合项目本身实际情况的得2分；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投标人在对本项目理解分析后针对服务要求、服务能力的内容进行针对性的编制服务能力方案，从方案的完整性、实施计划分解、拟采用的具体措施和方法、服务承诺等方面进行评审。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1.方案完整、有详细的计划、方法和措施有明确的实施内容且能得到保障，符合项目本身实际情况的得4分；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2.方案较完整、有较详细的计划、方法和措施有较明确的实施内容且较能得到保障，较符合项目本身实际情况的得2分；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孵化绩效方案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投标人在对本项目理解分析后针对服务要求、孵化绩效的内容进行针对性的编制孵化绩效方案，从方案的完整性、实施计划分解、拟采用的具体措施和方法、服务承诺等方面进行评审。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1.方案完整、有详细的计划、方法和措施有明确的实施内容且能得到保障，符合项目本身实际情况的得4分；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2.方案较完整、有较详细的计划、方法和措施有较明确的实施内容且较能得到保障，较符合项目本身实际情况的得2分；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特色工作方案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投标人在对本项目理解分析后针对服务要求、特色工作的内容进行针对性的编制特色工作方案，从方案的完整性、实施计划分解、拟采用的具体措施和方法、服务承诺等方面进行评审。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1.方案完整、有详细的计划、方法和措施有明确的实施内容且能得到保障，符合项目本身实际情况的得4分；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2.方案较完整、有较详细的计划、方法和措施有较明确的实施内容且较能得到保障，较符合项目本身实际情况的得2分；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招商服务方案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根据投标人提供的招商方案进行打分，方案内容包括：招商助攻方向、招商目标分解、招商渠道建设、项目储备情况。从方案的完整性、实施计划分解、合理性、可落地执行性等方面进行评审。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1.方案完整、有详细的计划、方法和措施有明确的实施内容且能得到保障，符合项目本身实际情况的得4分；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2.方案较完整、有较详细的计划、方法和措施有较明确的实施内容且较能得到保障，较符合项目本身实际情况的得2分；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3.分析事项笼统或仅做简单描述，承诺通过后期优化能够达到项目要求的得1分；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投标人通过对本项目概况、服务要求分析后对入园企业管理办法、产业园管理制度、财务管理制度等进行评审。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1.入园企业管理办法、产业园管理制度、财务管理制度等描述详细、规范、切实可行的得3分；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2.入园企业管理办法、产业园管理制度、财务管理制度等描述较详细、较规范、较切实可行的得2分；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3.各类制度、办法笼统或仅做简单描述，承诺通过后期优化能够达到项目要求的得1分。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后期服务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项目完成后，根据投标人后期对项目继续跟踪及配套服务进行评审。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1.项目完成后，能持续长时间为采购人提供相关咨询服务及新政策、新规划等对原有方案内容的调整建议等，描述清晰、完全针对项目设置且可行的得3分；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2.项目完成后，能持续较长时间为采购人提供相关咨询服务及新政策、新规划等对原有方案内容的调整建议等，描述较清晰、较针对项目设置且较可行的得2分；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3.内容笼统，没有针对本项目细化制定不过承诺通过后期优化能够实现的得1分；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4.没有内容不得分。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本项目落实的政府采购政策对应以下序号为</w:t>
      </w:r>
      <w:r>
        <w:rPr>
          <w:rFonts w:ascii="SimSun" w:hAnsi="SimSun" w:eastAsia="SimSun" w:cs="SimSun"/>
          <w:b/>
          <w:color w:val="000000"/>
          <w:sz w:val="24"/>
          <w:u w:val="single"/>
        </w:rPr>
        <w:t xml:space="preserve">1、2</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1  </w:t>
      </w:r>
      <w:r>
        <w:rPr>
          <w:rFonts w:ascii="SimSun" w:hAnsi="SimSun" w:eastAsia="SimSun" w:cs="SimSun"/>
          <w:color w:val="000000"/>
          <w:sz w:val="24"/>
        </w:rPr>
        <w:t xml:space="preserve">种政策确定本项目落实的中小企业政策：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（2）投标人提供的服务符合下列情形的，对小微企业报价给予</w:t>
      </w:r>
      <w:r>
        <w:rPr>
          <w:rFonts w:ascii="SimSun" w:hAnsi="SimSun" w:eastAsia="SimSun" w:cs="SimSun"/>
          <w:color w:val="000000"/>
          <w:sz w:val="24"/>
          <w:u w:val="single"/>
        </w:rPr>
        <w:t xml:space="preserve"> / %</w:t>
      </w:r>
      <w:r>
        <w:rPr>
          <w:rFonts w:ascii="SimSun" w:hAnsi="SimSun" w:eastAsia="SimSun" w:cs="SimSun"/>
          <w:color w:val="000000"/>
          <w:sz w:val="24"/>
        </w:rPr>
        <w:t xml:space="preserve">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5、绿色数据中心政府采购需求标准（试行）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spacing w:before="120" w:after="120" w:line="85" w:lineRule="atLeast"/>
        <w:tabs>
          <w:tab w:val="left" w:pos="8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2943"/>
        <w:gridCol w:w="1205"/>
        <w:gridCol w:w="37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5" w:type="dxa"/>
            <w:vAlign w:val="top"/>
            <w:textDirection w:val="lrTb"/>
            <w:noWrap w:val="false"/>
          </w:tcPr>
          <w:p>
            <w:pPr>
              <w:ind w:left="0" w:right="0" w:firstLine="143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授权单位名称：</w:t>
      </w:r>
      <w:r>
        <w:rPr>
          <w:rFonts w:ascii="SimSun" w:hAnsi="SimSun" w:eastAsia="SimSun" w:cs="SimSun"/>
          <w:color w:val="000000"/>
          <w:sz w:val="24"/>
          <w:u w:val="single"/>
        </w:rPr>
        <w:t xml:space="preserve">（加盖CA电子公章）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rPr>
                <w:rFonts w:ascii="SimSun" w:hAnsi="SimSun" w:eastAsia="SimSun" w:cs="SimSun"/>
                <w:b/>
                <w:color w:val="ff0000"/>
                <w:sz w:val="24"/>
              </w:rPr>
              <w:t xml:space="preserve">（指每年的费用）</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元/年 （人民币：   元/年）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注：因系统内部单价单位无法调整，投标人所报单价的单位视同为“元/年”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请各投标人按每年单价进行报价，最高限价为200万元/年。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154"/>
        <w:gridCol w:w="1167"/>
        <w:gridCol w:w="837"/>
        <w:gridCol w:w="1091"/>
        <w:gridCol w:w="1466"/>
        <w:gridCol w:w="162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备注：1.“投标总报价</w:t>
      </w:r>
      <w:r>
        <w:rPr>
          <w:rFonts w:ascii="SimSun" w:hAnsi="SimSun" w:eastAsia="SimSun" w:cs="SimSun"/>
          <w:b/>
          <w:color w:val="ff0000"/>
          <w:sz w:val="24"/>
        </w:rPr>
        <w:t xml:space="preserve">（指每年的费用）</w:t>
      </w:r>
      <w:r>
        <w:rPr>
          <w:rFonts w:ascii="SimSun" w:hAnsi="SimSun" w:eastAsia="SimSun" w:cs="SimSun"/>
          <w:b/>
          <w:color w:val="000000"/>
          <w:sz w:val="24"/>
        </w:rPr>
        <w:t xml:space="preserve">”</w:t>
      </w:r>
      <w:r>
        <w:rPr>
          <w:rFonts w:ascii="SimSun" w:hAnsi="SimSun" w:eastAsia="SimSun" w:cs="SimSun"/>
          <w:color w:val="000000"/>
          <w:sz w:val="24"/>
        </w:rPr>
        <w:t xml:space="preserve">应包括采购人需求的服务（包含与服务相关的货物）价格、质量保证费用、培训费用等，项目在指定地点、环境交付、安装、调试、验收所需费用和所有相关税金费用及为完成整个项目每年所产生的其它所有费用，招标文件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“投标分项报价表”中“投标总报价”数额应当与“开标一览表”中“投标总报价”数额一致。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pStyle w:val="664"/>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八、技术要求响应及偏离表（分包号：**）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加斜体下划线内容或</w:t>
            </w:r>
            <w:r>
              <w:rPr>
                <w:rFonts w:ascii="SimSun" w:hAnsi="SimSun" w:eastAsia="SimSun" w:cs="SimSun"/>
                <w:color w:val="000000"/>
                <w:sz w:val="24"/>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1.投标人必须对技术要求和商务要求中的实质性要求（加斜体下划线内容或打“★”内容）做出明确响应，否则作无效响应处理。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2.如果采购文件要求提供证明材料，投标人必须将证明材料列于该表之下。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3.投标人未对实质性要求作出明确响应的，或未按采购文件要求提供证明材料的，该分包作无效响应处理。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注：如供应商中标，项目组成员必须按本表承诺人员操作，不得随意更换。按投标文件要求附相关人员证书。</w:t>
      </w:r>
      <w:r/>
    </w:p>
    <w:p>
      <w:pPr>
        <w:ind w:left="0" w:right="0" w:firstLine="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color w:val="000000"/>
          <w:sz w:val="20"/>
        </w:rPr>
        <w:t xml:space="preserve"> </w:t>
      </w:r>
      <w:r>
        <w:rPr>
          <w:rFonts w:ascii="Microsoft YaHei" w:hAnsi="Microsoft YaHei" w:eastAsia="Microsoft YaHei" w:cs="Microsoft YaHei"/>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十、企业业绩</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请在此文档中增加投标所需其他相关内容（包括资格要求、评分办法、采购需求中涉及的证件证明及其它投标人认为有必要提供的资料）。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r/>
      <w:r/>
    </w:p>
    <w:sectPr>
      <w:headerReference w:type="default" r:id="rId9"/>
      <w:footerReference w:type="default" r:id="rId10"/>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MS Gothic">
    <w:panose1 w:val="020B060907020508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lvl>
    <w:lvl w:ilvl="1">
      <w:start w:val="1"/>
      <w:numFmt w:val="bullet"/>
      <w:isLgl w:val="false"/>
      <w:suff w:val="tab"/>
      <w:lvlText w:val="&quot;\0022o\0022&quot;"/>
      <w:lvlJc w:val="left"/>
      <w:pPr>
        <w:ind w:left="1440" w:hanging="360"/>
      </w:pPr>
      <w:rPr>
        <w:rFonts w:hint="default" w:ascii="Courier New" w:hAnsi="Courier New" w:eastAsia="Courier New" w:cs="Courier New"/>
      </w:rPr>
    </w:lvl>
    <w:lvl w:ilvl="2">
      <w:start w:val="1"/>
      <w:numFmt w:val="bullet"/>
      <w:isLgl w:val="false"/>
      <w:suff w:val="tab"/>
      <w:lvlText w:val="&quot;\0022§\0022&quot;"/>
      <w:lvlJc w:val="left"/>
      <w:pPr>
        <w:ind w:left="2160" w:hanging="360"/>
      </w:pPr>
      <w:rPr>
        <w:rFonts w:hint="default" w:ascii="Wingdings" w:hAnsi="Wingdings" w:eastAsia="Wingdings" w:cs="Wingdings"/>
      </w:rPr>
    </w:lvl>
    <w:lvl w:ilvl="3">
      <w:start w:val="1"/>
      <w:numFmt w:val="bullet"/>
      <w:isLgl w:val="false"/>
      <w:suff w:val="tab"/>
      <w:lvlText w:val="&quot;\0022·\0022&quot;"/>
      <w:lvlJc w:val="left"/>
      <w:pPr>
        <w:ind w:left="2880" w:hanging="360"/>
      </w:pPr>
      <w:rPr>
        <w:rFonts w:hint="default" w:ascii="Symbol" w:hAnsi="Symbol" w:eastAsia="Symbol" w:cs="Symbol"/>
      </w:rPr>
    </w:lvl>
    <w:lvl w:ilvl="4">
      <w:start w:val="1"/>
      <w:numFmt w:val="bullet"/>
      <w:isLgl w:val="false"/>
      <w:suff w:val="tab"/>
      <w:lvlText w:val="&quot;\0022o\0022&quot;"/>
      <w:lvlJc w:val="left"/>
      <w:pPr>
        <w:ind w:left="3600" w:hanging="360"/>
      </w:pPr>
      <w:rPr>
        <w:rFonts w:hint="default" w:ascii="Courier New" w:hAnsi="Courier New" w:eastAsia="Courier New" w:cs="Courier New"/>
      </w:rPr>
    </w:lvl>
    <w:lvl w:ilvl="5">
      <w:start w:val="1"/>
      <w:numFmt w:val="bullet"/>
      <w:isLgl w:val="false"/>
      <w:suff w:val="tab"/>
      <w:lvlText w:val="&quot;\0022§\0022&quot;"/>
      <w:lvlJc w:val="left"/>
      <w:pPr>
        <w:ind w:left="4320" w:hanging="360"/>
      </w:pPr>
      <w:rPr>
        <w:rFonts w:hint="default" w:ascii="Wingdings" w:hAnsi="Wingdings" w:eastAsia="Wingdings" w:cs="Wingdings"/>
      </w:rPr>
    </w:lvl>
    <w:lvl w:ilvl="6">
      <w:start w:val="1"/>
      <w:numFmt w:val="bullet"/>
      <w:isLgl w:val="false"/>
      <w:suff w:val="tab"/>
      <w:lvlText w:val="&quot;\0022·\0022&quot;"/>
      <w:lvlJc w:val="left"/>
      <w:pPr>
        <w:ind w:left="5040" w:hanging="360"/>
      </w:pPr>
      <w:rPr>
        <w:rFonts w:hint="default" w:ascii="Symbol" w:hAnsi="Symbol" w:eastAsia="Symbol" w:cs="Symbol"/>
      </w:rPr>
    </w:lvl>
    <w:lvl w:ilvl="7">
      <w:start w:val="1"/>
      <w:numFmt w:val="bullet"/>
      <w:isLgl w:val="false"/>
      <w:suff w:val="tab"/>
      <w:lvlText w:val="&quot;\0022o\0022&quot;"/>
      <w:lvlJc w:val="left"/>
      <w:pPr>
        <w:ind w:left="5760" w:hanging="360"/>
      </w:pPr>
      <w:rPr>
        <w:rFonts w:hint="default" w:ascii="Courier New" w:hAnsi="Courier New" w:eastAsia="Courier New" w:cs="Courier New"/>
      </w:rPr>
    </w:lvl>
    <w:lvl w:ilvl="8">
      <w:start w:val="1"/>
      <w:numFmt w:val="bullet"/>
      <w:isLgl w:val="false"/>
      <w:suff w:val="tab"/>
      <w:lvlText w:val="&quot;\0022§\0022&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0022o\0022&quot;"/>
      <w:lvlJc w:val="left"/>
      <w:pPr>
        <w:ind w:left="1440" w:hanging="360"/>
      </w:pPr>
      <w:rPr>
        <w:rFonts w:hint="default" w:ascii="Courier New" w:hAnsi="Courier New" w:eastAsia="Courier New" w:cs="Courier New"/>
      </w:rPr>
    </w:lvl>
    <w:lvl w:ilvl="2">
      <w:start w:val="1"/>
      <w:numFmt w:val="bullet"/>
      <w:isLgl w:val="false"/>
      <w:suff w:val="tab"/>
      <w:lvlText w:val="&quot;\0022§\0022&quot;"/>
      <w:lvlJc w:val="left"/>
      <w:pPr>
        <w:ind w:left="2160" w:hanging="360"/>
      </w:pPr>
      <w:rPr>
        <w:rFonts w:hint="default" w:ascii="Wingdings" w:hAnsi="Wingdings" w:eastAsia="Wingdings" w:cs="Wingdings"/>
      </w:rPr>
    </w:lvl>
    <w:lvl w:ilvl="3">
      <w:start w:val="1"/>
      <w:numFmt w:val="bullet"/>
      <w:isLgl w:val="false"/>
      <w:suff w:val="tab"/>
      <w:lvlText w:val="&quot;\0022·\0022&quot;"/>
      <w:lvlJc w:val="left"/>
      <w:pPr>
        <w:ind w:left="2880" w:hanging="360"/>
      </w:pPr>
      <w:rPr>
        <w:rFonts w:hint="default" w:ascii="Symbol" w:hAnsi="Symbol" w:eastAsia="Symbol" w:cs="Symbol"/>
      </w:rPr>
    </w:lvl>
    <w:lvl w:ilvl="4">
      <w:start w:val="1"/>
      <w:numFmt w:val="bullet"/>
      <w:isLgl w:val="false"/>
      <w:suff w:val="tab"/>
      <w:lvlText w:val="&quot;\0022o\0022&quot;"/>
      <w:lvlJc w:val="left"/>
      <w:pPr>
        <w:ind w:left="3600" w:hanging="360"/>
      </w:pPr>
      <w:rPr>
        <w:rFonts w:hint="default" w:ascii="Courier New" w:hAnsi="Courier New" w:eastAsia="Courier New" w:cs="Courier New"/>
      </w:rPr>
    </w:lvl>
    <w:lvl w:ilvl="5">
      <w:start w:val="1"/>
      <w:numFmt w:val="bullet"/>
      <w:isLgl w:val="false"/>
      <w:suff w:val="tab"/>
      <w:lvlText w:val="&quot;\0022§\0022&quot;"/>
      <w:lvlJc w:val="left"/>
      <w:pPr>
        <w:ind w:left="4320" w:hanging="360"/>
      </w:pPr>
      <w:rPr>
        <w:rFonts w:hint="default" w:ascii="Wingdings" w:hAnsi="Wingdings" w:eastAsia="Wingdings" w:cs="Wingdings"/>
      </w:rPr>
    </w:lvl>
    <w:lvl w:ilvl="6">
      <w:start w:val="1"/>
      <w:numFmt w:val="bullet"/>
      <w:isLgl w:val="false"/>
      <w:suff w:val="tab"/>
      <w:lvlText w:val="&quot;\0022·\0022&quot;"/>
      <w:lvlJc w:val="left"/>
      <w:pPr>
        <w:ind w:left="5040" w:hanging="360"/>
      </w:pPr>
      <w:rPr>
        <w:rFonts w:hint="default" w:ascii="Symbol" w:hAnsi="Symbol" w:eastAsia="Symbol" w:cs="Symbol"/>
      </w:rPr>
    </w:lvl>
    <w:lvl w:ilvl="7">
      <w:start w:val="1"/>
      <w:numFmt w:val="bullet"/>
      <w:isLgl w:val="false"/>
      <w:suff w:val="tab"/>
      <w:lvlText w:val="&quot;\0022o\0022&quot;"/>
      <w:lvlJc w:val="left"/>
      <w:pPr>
        <w:ind w:left="5760" w:hanging="360"/>
      </w:pPr>
      <w:rPr>
        <w:rFonts w:hint="default" w:ascii="Courier New" w:hAnsi="Courier New" w:eastAsia="Courier New" w:cs="Courier New"/>
      </w:rPr>
    </w:lvl>
    <w:lvl w:ilvl="8">
      <w:start w:val="1"/>
      <w:numFmt w:val="bullet"/>
      <w:isLgl w:val="false"/>
      <w:suff w:val="tab"/>
      <w:lvlText w:val="&quot;\0022§\0022&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lvl>
    <w:lvl w:ilvl="1">
      <w:start w:val="1"/>
      <w:numFmt w:val="bullet"/>
      <w:isLgl w:val="false"/>
      <w:suff w:val="tab"/>
      <w:lvlText w:val="&quot;\0022o\0022&quot;"/>
      <w:lvlJc w:val="left"/>
      <w:pPr>
        <w:ind w:left="1440" w:hanging="360"/>
      </w:pPr>
      <w:rPr>
        <w:rFonts w:hint="default" w:ascii="Courier New" w:hAnsi="Courier New" w:eastAsia="Courier New" w:cs="Courier New"/>
      </w:rPr>
    </w:lvl>
    <w:lvl w:ilvl="2">
      <w:start w:val="1"/>
      <w:numFmt w:val="bullet"/>
      <w:isLgl w:val="false"/>
      <w:suff w:val="tab"/>
      <w:lvlText w:val="&quot;\0022§\0022&quot;"/>
      <w:lvlJc w:val="left"/>
      <w:pPr>
        <w:ind w:left="2160" w:hanging="360"/>
      </w:pPr>
      <w:rPr>
        <w:rFonts w:hint="default" w:ascii="Wingdings" w:hAnsi="Wingdings" w:eastAsia="Wingdings" w:cs="Wingdings"/>
      </w:rPr>
    </w:lvl>
    <w:lvl w:ilvl="3">
      <w:start w:val="1"/>
      <w:numFmt w:val="bullet"/>
      <w:isLgl w:val="false"/>
      <w:suff w:val="tab"/>
      <w:lvlText w:val="&quot;\0022·\0022&quot;"/>
      <w:lvlJc w:val="left"/>
      <w:pPr>
        <w:ind w:left="2880" w:hanging="360"/>
      </w:pPr>
      <w:rPr>
        <w:rFonts w:hint="default" w:ascii="Symbol" w:hAnsi="Symbol" w:eastAsia="Symbol" w:cs="Symbol"/>
      </w:rPr>
    </w:lvl>
    <w:lvl w:ilvl="4">
      <w:start w:val="1"/>
      <w:numFmt w:val="bullet"/>
      <w:isLgl w:val="false"/>
      <w:suff w:val="tab"/>
      <w:lvlText w:val="&quot;\0022o\0022&quot;"/>
      <w:lvlJc w:val="left"/>
      <w:pPr>
        <w:ind w:left="3600" w:hanging="360"/>
      </w:pPr>
      <w:rPr>
        <w:rFonts w:hint="default" w:ascii="Courier New" w:hAnsi="Courier New" w:eastAsia="Courier New" w:cs="Courier New"/>
      </w:rPr>
    </w:lvl>
    <w:lvl w:ilvl="5">
      <w:start w:val="1"/>
      <w:numFmt w:val="bullet"/>
      <w:isLgl w:val="false"/>
      <w:suff w:val="tab"/>
      <w:lvlText w:val="&quot;\0022§\0022&quot;"/>
      <w:lvlJc w:val="left"/>
      <w:pPr>
        <w:ind w:left="4320" w:hanging="360"/>
      </w:pPr>
      <w:rPr>
        <w:rFonts w:hint="default" w:ascii="Wingdings" w:hAnsi="Wingdings" w:eastAsia="Wingdings" w:cs="Wingdings"/>
      </w:rPr>
    </w:lvl>
    <w:lvl w:ilvl="6">
      <w:start w:val="1"/>
      <w:numFmt w:val="bullet"/>
      <w:isLgl w:val="false"/>
      <w:suff w:val="tab"/>
      <w:lvlText w:val="&quot;\0022·\0022&quot;"/>
      <w:lvlJc w:val="left"/>
      <w:pPr>
        <w:ind w:left="5040" w:hanging="360"/>
      </w:pPr>
      <w:rPr>
        <w:rFonts w:hint="default" w:ascii="Symbol" w:hAnsi="Symbol" w:eastAsia="Symbol" w:cs="Symbol"/>
      </w:rPr>
    </w:lvl>
    <w:lvl w:ilvl="7">
      <w:start w:val="1"/>
      <w:numFmt w:val="bullet"/>
      <w:isLgl w:val="false"/>
      <w:suff w:val="tab"/>
      <w:lvlText w:val="&quot;\0022o\0022&quot;"/>
      <w:lvlJc w:val="left"/>
      <w:pPr>
        <w:ind w:left="5760" w:hanging="360"/>
      </w:pPr>
      <w:rPr>
        <w:rFonts w:hint="default" w:ascii="Courier New" w:hAnsi="Courier New" w:eastAsia="Courier New" w:cs="Courier New"/>
      </w:rPr>
    </w:lvl>
    <w:lvl w:ilvl="8">
      <w:start w:val="1"/>
      <w:numFmt w:val="bullet"/>
      <w:isLgl w:val="false"/>
      <w:suff w:val="tab"/>
      <w:lvlText w:val="&quot;\0022§\0022&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0022o\0022&quot;"/>
      <w:lvlJc w:val="left"/>
      <w:pPr>
        <w:ind w:left="1440" w:hanging="360"/>
      </w:pPr>
      <w:rPr>
        <w:rFonts w:hint="default" w:ascii="Courier New" w:hAnsi="Courier New" w:eastAsia="Courier New" w:cs="Courier New"/>
      </w:rPr>
    </w:lvl>
    <w:lvl w:ilvl="2">
      <w:start w:val="1"/>
      <w:numFmt w:val="bullet"/>
      <w:isLgl w:val="false"/>
      <w:suff w:val="tab"/>
      <w:lvlText w:val="&quot;\0022§\0022&quot;"/>
      <w:lvlJc w:val="left"/>
      <w:pPr>
        <w:ind w:left="2160" w:hanging="360"/>
      </w:pPr>
      <w:rPr>
        <w:rFonts w:hint="default" w:ascii="Wingdings" w:hAnsi="Wingdings" w:eastAsia="Wingdings" w:cs="Wingdings"/>
      </w:rPr>
    </w:lvl>
    <w:lvl w:ilvl="3">
      <w:start w:val="1"/>
      <w:numFmt w:val="bullet"/>
      <w:isLgl w:val="false"/>
      <w:suff w:val="tab"/>
      <w:lvlText w:val="&quot;\0022·\0022&quot;"/>
      <w:lvlJc w:val="left"/>
      <w:pPr>
        <w:ind w:left="2880" w:hanging="360"/>
      </w:pPr>
      <w:rPr>
        <w:rFonts w:hint="default" w:ascii="Symbol" w:hAnsi="Symbol" w:eastAsia="Symbol" w:cs="Symbol"/>
      </w:rPr>
    </w:lvl>
    <w:lvl w:ilvl="4">
      <w:start w:val="1"/>
      <w:numFmt w:val="bullet"/>
      <w:isLgl w:val="false"/>
      <w:suff w:val="tab"/>
      <w:lvlText w:val="&quot;\0022o\0022&quot;"/>
      <w:lvlJc w:val="left"/>
      <w:pPr>
        <w:ind w:left="3600" w:hanging="360"/>
      </w:pPr>
      <w:rPr>
        <w:rFonts w:hint="default" w:ascii="Courier New" w:hAnsi="Courier New" w:eastAsia="Courier New" w:cs="Courier New"/>
      </w:rPr>
    </w:lvl>
    <w:lvl w:ilvl="5">
      <w:start w:val="1"/>
      <w:numFmt w:val="bullet"/>
      <w:isLgl w:val="false"/>
      <w:suff w:val="tab"/>
      <w:lvlText w:val="&quot;\0022§\0022&quot;"/>
      <w:lvlJc w:val="left"/>
      <w:pPr>
        <w:ind w:left="4320" w:hanging="360"/>
      </w:pPr>
      <w:rPr>
        <w:rFonts w:hint="default" w:ascii="Wingdings" w:hAnsi="Wingdings" w:eastAsia="Wingdings" w:cs="Wingdings"/>
      </w:rPr>
    </w:lvl>
    <w:lvl w:ilvl="6">
      <w:start w:val="1"/>
      <w:numFmt w:val="bullet"/>
      <w:isLgl w:val="false"/>
      <w:suff w:val="tab"/>
      <w:lvlText w:val="&quot;\0022·\0022&quot;"/>
      <w:lvlJc w:val="left"/>
      <w:pPr>
        <w:ind w:left="5040" w:hanging="360"/>
      </w:pPr>
      <w:rPr>
        <w:rFonts w:hint="default" w:ascii="Symbol" w:hAnsi="Symbol" w:eastAsia="Symbol" w:cs="Symbol"/>
      </w:rPr>
    </w:lvl>
    <w:lvl w:ilvl="7">
      <w:start w:val="1"/>
      <w:numFmt w:val="bullet"/>
      <w:isLgl w:val="false"/>
      <w:suff w:val="tab"/>
      <w:lvlText w:val="&quot;\0022o\0022&quot;"/>
      <w:lvlJc w:val="left"/>
      <w:pPr>
        <w:ind w:left="5760" w:hanging="360"/>
      </w:pPr>
      <w:rPr>
        <w:rFonts w:hint="default" w:ascii="Courier New" w:hAnsi="Courier New" w:eastAsia="Courier New" w:cs="Courier New"/>
      </w:rPr>
    </w:lvl>
    <w:lvl w:ilvl="8">
      <w:start w:val="1"/>
      <w:numFmt w:val="bullet"/>
      <w:isLgl w:val="false"/>
      <w:suff w:val="tab"/>
      <w:lvlText w:val="&quot;\0022§\0022&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3</cp:revision>
  <dcterms:created xsi:type="dcterms:W3CDTF">2026-07-31T01:00:55Z</dcterms:created>
  <dcterms:modified xsi:type="dcterms:W3CDTF">2026-07-31T07:22:32Z</dcterms:modified>
</cp:coreProperties>
</file>