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2F31E1">
      <w:pPr>
        <w:pageBreakBefore w:val="0"/>
        <w:widowControl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b/>
          <w:color w:val="000000" w:themeColor="text1"/>
          <w:kern w:val="0"/>
          <w:sz w:val="30"/>
          <w:szCs w:val="21"/>
          <w:lang w:eastAsia="zh-CN"/>
          <w14:textFill>
            <w14:solidFill>
              <w14:schemeClr w14:val="tx1"/>
            </w14:solidFill>
          </w14:textFill>
        </w:rPr>
      </w:pPr>
      <w:bookmarkStart w:id="9" w:name="_GoBack"/>
      <w:bookmarkStart w:id="0" w:name="_Toc155086567"/>
      <w:r>
        <w:rPr>
          <w:rFonts w:hint="eastAsia" w:ascii="宋体" w:hAnsi="宋体" w:eastAsia="宋体" w:cs="宋体"/>
          <w:b/>
          <w:color w:val="000000" w:themeColor="text1"/>
          <w:kern w:val="0"/>
          <w:sz w:val="30"/>
          <w:szCs w:val="21"/>
          <w14:textFill>
            <w14:solidFill>
              <w14:schemeClr w14:val="tx1"/>
            </w14:solidFill>
          </w14:textFill>
        </w:rPr>
        <w:t>宿迁学院智能建造专业建设项目</w:t>
      </w:r>
      <w:bookmarkEnd w:id="9"/>
      <w:r>
        <w:rPr>
          <w:rFonts w:hint="eastAsia" w:ascii="宋体" w:hAnsi="宋体" w:eastAsia="宋体" w:cs="宋体"/>
          <w:b/>
          <w:color w:val="000000" w:themeColor="text1"/>
          <w:kern w:val="0"/>
          <w:sz w:val="30"/>
          <w:szCs w:val="21"/>
          <w:lang w:eastAsia="zh-CN"/>
          <w14:textFill>
            <w14:solidFill>
              <w14:schemeClr w14:val="tx1"/>
            </w14:solidFill>
          </w14:textFill>
        </w:rPr>
        <w:t>（</w:t>
      </w:r>
      <w:r>
        <w:rPr>
          <w:rFonts w:hint="eastAsia" w:ascii="宋体" w:hAnsi="宋体" w:eastAsia="宋体" w:cs="宋体"/>
          <w:b/>
          <w:color w:val="000000" w:themeColor="text1"/>
          <w:kern w:val="0"/>
          <w:sz w:val="30"/>
          <w:szCs w:val="21"/>
          <w:lang w:val="en-US" w:eastAsia="zh-CN"/>
          <w14:textFill>
            <w14:solidFill>
              <w14:schemeClr w14:val="tx1"/>
            </w14:solidFill>
          </w14:textFill>
        </w:rPr>
        <w:t>采购包5</w:t>
      </w:r>
      <w:r>
        <w:rPr>
          <w:rFonts w:hint="eastAsia" w:ascii="宋体" w:hAnsi="宋体" w:eastAsia="宋体" w:cs="宋体"/>
          <w:b/>
          <w:color w:val="000000" w:themeColor="text1"/>
          <w:kern w:val="0"/>
          <w:sz w:val="30"/>
          <w:szCs w:val="21"/>
          <w:lang w:eastAsia="zh-CN"/>
          <w14:textFill>
            <w14:solidFill>
              <w14:schemeClr w14:val="tx1"/>
            </w14:solidFill>
          </w14:textFill>
        </w:rPr>
        <w:t>）</w:t>
      </w:r>
    </w:p>
    <w:p w14:paraId="7D082CB2">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b/>
          <w:bCs/>
          <w:color w:val="000000" w:themeColor="text1"/>
          <w:kern w:val="0"/>
          <w:sz w:val="30"/>
          <w:szCs w:val="20"/>
          <w14:textFill>
            <w14:solidFill>
              <w14:schemeClr w14:val="tx1"/>
            </w14:solidFill>
          </w14:textFill>
        </w:rPr>
      </w:pPr>
      <w:r>
        <w:rPr>
          <w:rFonts w:hint="eastAsia" w:ascii="宋体" w:hAnsi="宋体" w:eastAsia="宋体" w:cs="宋体"/>
          <w:b/>
          <w:color w:val="000000" w:themeColor="text1"/>
          <w:kern w:val="0"/>
          <w:sz w:val="30"/>
          <w:szCs w:val="21"/>
          <w14:textFill>
            <w14:solidFill>
              <w14:schemeClr w14:val="tx1"/>
            </w14:solidFill>
          </w14:textFill>
        </w:rPr>
        <w:t>政府采购合同</w:t>
      </w:r>
      <w:bookmarkEnd w:id="0"/>
    </w:p>
    <w:p w14:paraId="3DA7B4B5">
      <w:pPr>
        <w:pageBreakBefore w:val="0"/>
        <w:widowControl w:val="0"/>
        <w:kinsoku/>
        <w:wordWrap/>
        <w:overflowPunct/>
        <w:topLinePunct w:val="0"/>
        <w:autoSpaceDE/>
        <w:autoSpaceDN/>
        <w:bidi w:val="0"/>
        <w:spacing w:line="360" w:lineRule="auto"/>
        <w:ind w:firstLine="0" w:firstLineChars="0"/>
        <w:textAlignment w:val="auto"/>
        <w:rPr>
          <w:rFonts w:hint="eastAsia" w:ascii="宋体" w:hAnsi="宋体" w:eastAsia="宋体" w:cs="宋体"/>
          <w:color w:val="000000" w:themeColor="text1"/>
          <w:kern w:val="0"/>
          <w:sz w:val="24"/>
          <w:lang w:eastAsia="zh-CN"/>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项目名称：</w:t>
      </w:r>
      <w:r>
        <w:rPr>
          <w:rFonts w:hint="eastAsia" w:ascii="宋体" w:hAnsi="宋体" w:eastAsia="宋体" w:cs="宋体"/>
          <w:color w:val="000000" w:themeColor="text1"/>
          <w:kern w:val="0"/>
          <w:sz w:val="24"/>
          <w:lang w:eastAsia="zh-CN"/>
          <w14:textFill>
            <w14:solidFill>
              <w14:schemeClr w14:val="tx1"/>
            </w14:solidFill>
          </w14:textFill>
        </w:rPr>
        <w:t>宿迁学院智能建造专业建设项目</w:t>
      </w:r>
    </w:p>
    <w:p w14:paraId="65CC49F6">
      <w:pPr>
        <w:pageBreakBefore w:val="0"/>
        <w:widowControl w:val="0"/>
        <w:kinsoku/>
        <w:wordWrap/>
        <w:overflowPunct/>
        <w:topLinePunct w:val="0"/>
        <w:autoSpaceDE/>
        <w:autoSpaceDN/>
        <w:bidi w:val="0"/>
        <w:spacing w:line="360" w:lineRule="auto"/>
        <w:ind w:firstLine="0" w:firstLineChars="0"/>
        <w:textAlignment w:val="auto"/>
        <w:rPr>
          <w:rFonts w:hint="eastAsia" w:ascii="宋体" w:hAnsi="宋体" w:eastAsia="宋体" w:cs="宋体"/>
          <w:color w:val="000000" w:themeColor="text1"/>
          <w:kern w:val="0"/>
          <w:sz w:val="24"/>
          <w:lang w:eastAsia="zh-CN"/>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项目编号：</w:t>
      </w:r>
      <w:r>
        <w:rPr>
          <w:rFonts w:hint="eastAsia" w:ascii="宋体" w:hAnsi="宋体" w:eastAsia="宋体" w:cs="宋体"/>
          <w:color w:val="000000" w:themeColor="text1"/>
          <w:kern w:val="0"/>
          <w:sz w:val="24"/>
          <w:lang w:eastAsia="zh-CN"/>
          <w14:textFill>
            <w14:solidFill>
              <w14:schemeClr w14:val="tx1"/>
            </w14:solidFill>
          </w14:textFill>
        </w:rPr>
        <w:t>JSZC-321300-JING-G2026-0023</w:t>
      </w:r>
    </w:p>
    <w:p w14:paraId="693E43C6">
      <w:pPr>
        <w:pageBreakBefore w:val="0"/>
        <w:widowControl w:val="0"/>
        <w:kinsoku/>
        <w:wordWrap/>
        <w:overflowPunct/>
        <w:topLinePunct w:val="0"/>
        <w:autoSpaceDE/>
        <w:autoSpaceDN/>
        <w:bidi w:val="0"/>
        <w:spacing w:line="360" w:lineRule="auto"/>
        <w:ind w:firstLine="0" w:firstLineChars="0"/>
        <w:textAlignment w:val="auto"/>
        <w:rPr>
          <w:rFonts w:hint="default" w:ascii="宋体" w:hAnsi="宋体" w:eastAsia="宋体" w:cs="宋体"/>
          <w:color w:val="000000" w:themeColor="text1"/>
          <w:kern w:val="0"/>
          <w:sz w:val="24"/>
          <w:lang w:val="en-US" w:eastAsia="zh-CN"/>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采购包号：</w:t>
      </w:r>
      <w:r>
        <w:rPr>
          <w:rFonts w:hint="eastAsia" w:ascii="宋体" w:hAnsi="宋体" w:eastAsia="宋体" w:cs="宋体"/>
          <w:color w:val="000000" w:themeColor="text1"/>
          <w:kern w:val="0"/>
          <w:sz w:val="24"/>
          <w:u w:val="single"/>
          <w:lang w:val="en-US" w:eastAsia="zh-CN"/>
          <w14:textFill>
            <w14:solidFill>
              <w14:schemeClr w14:val="tx1"/>
            </w14:solidFill>
          </w14:textFill>
        </w:rPr>
        <w:t>采购包5</w:t>
      </w:r>
    </w:p>
    <w:p w14:paraId="14BAE1DE">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甲方：（买方）</w:t>
      </w:r>
      <w:r>
        <w:rPr>
          <w:rFonts w:hint="eastAsia" w:ascii="宋体" w:hAnsi="宋体" w:eastAsia="宋体" w:cs="宋体"/>
          <w:color w:val="000000" w:themeColor="text1"/>
          <w:kern w:val="0"/>
          <w:sz w:val="24"/>
          <w:u w:val="single"/>
          <w14:textFill>
            <w14:solidFill>
              <w14:schemeClr w14:val="tx1"/>
            </w14:solidFill>
          </w14:textFill>
        </w:rPr>
        <w:t>宿迁学院</w:t>
      </w:r>
    </w:p>
    <w:p w14:paraId="6077BA71">
      <w:pPr>
        <w:pageBreakBefore w:val="0"/>
        <w:widowControl w:val="0"/>
        <w:kinsoku/>
        <w:wordWrap/>
        <w:overflowPunct/>
        <w:topLinePunct w:val="0"/>
        <w:autoSpaceDE/>
        <w:autoSpaceDN/>
        <w:bidi w:val="0"/>
        <w:spacing w:line="360" w:lineRule="auto"/>
        <w:ind w:firstLine="0" w:firstLineChars="0"/>
        <w:textAlignment w:val="auto"/>
        <w:rPr>
          <w:rFonts w:hint="eastAsia" w:ascii="宋体" w:hAnsi="宋体" w:eastAsia="宋体" w:cs="宋体"/>
          <w:color w:val="000000" w:themeColor="text1"/>
          <w:kern w:val="0"/>
          <w:sz w:val="24"/>
          <w:u w:val="single"/>
          <w:lang w:eastAsia="zh-CN"/>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乙方：（卖方）</w:t>
      </w:r>
      <w:r>
        <w:rPr>
          <w:rFonts w:hint="eastAsia" w:ascii="宋体" w:hAnsi="宋体" w:eastAsia="宋体" w:cs="宋体"/>
          <w:color w:val="000000" w:themeColor="text1"/>
          <w:kern w:val="0"/>
          <w:sz w:val="24"/>
          <w:u w:val="single"/>
          <w:lang w:eastAsia="zh-CN"/>
          <w14:textFill>
            <w14:solidFill>
              <w14:schemeClr w14:val="tx1"/>
            </w14:solidFill>
          </w14:textFill>
        </w:rPr>
        <w:t>江苏汇博机器人技术股份有限公司</w:t>
      </w:r>
    </w:p>
    <w:p w14:paraId="6C38751D">
      <w:pPr>
        <w:pageBreakBefore w:val="0"/>
        <w:widowControl w:val="0"/>
        <w:kinsoku/>
        <w:wordWrap/>
        <w:overflowPunct/>
        <w:topLinePunct w:val="0"/>
        <w:autoSpaceDE/>
        <w:autoSpaceDN/>
        <w:bidi w:val="0"/>
        <w:spacing w:line="360" w:lineRule="auto"/>
        <w:ind w:firstLine="480" w:firstLineChars="200"/>
        <w:textAlignment w:val="auto"/>
        <w:rPr>
          <w:rFonts w:ascii="宋体" w:hAnsi="宋体" w:eastAsia="宋体" w:cs="宋体"/>
          <w:color w:val="000000" w:themeColor="text1"/>
          <w:kern w:val="0"/>
          <w:sz w:val="24"/>
          <w:szCs w:val="21"/>
          <w14:textFill>
            <w14:solidFill>
              <w14:schemeClr w14:val="tx1"/>
            </w14:solidFill>
          </w14:textFill>
        </w:rPr>
      </w:pPr>
      <w:r>
        <w:rPr>
          <w:rFonts w:hint="eastAsia" w:ascii="宋体" w:hAnsi="宋体" w:eastAsia="宋体" w:cs="宋体"/>
          <w:color w:val="000000" w:themeColor="text1"/>
          <w:kern w:val="0"/>
          <w:sz w:val="24"/>
          <w:szCs w:val="21"/>
          <w14:textFill>
            <w14:solidFill>
              <w14:schemeClr w14:val="tx1"/>
            </w14:solidFill>
          </w14:textFill>
        </w:rPr>
        <w:t>依照《中华人民共和国政府采购法》《中华人民共和国民法典》及其他有关法律、行政法规，遵循平等、自愿、公平和诚实信用的原则，双方就</w:t>
      </w:r>
      <w:r>
        <w:rPr>
          <w:rFonts w:hint="eastAsia" w:ascii="宋体" w:hAnsi="宋体" w:eastAsia="宋体" w:cs="宋体"/>
          <w:bCs/>
          <w:color w:val="000000" w:themeColor="text1"/>
          <w:kern w:val="0"/>
          <w:sz w:val="24"/>
          <w:szCs w:val="21"/>
          <w14:textFill>
            <w14:solidFill>
              <w14:schemeClr w14:val="tx1"/>
            </w14:solidFill>
          </w14:textFill>
        </w:rPr>
        <w:t>相关</w:t>
      </w:r>
      <w:r>
        <w:rPr>
          <w:rFonts w:hint="eastAsia" w:ascii="宋体" w:hAnsi="宋体" w:eastAsia="宋体" w:cs="宋体"/>
          <w:color w:val="000000" w:themeColor="text1"/>
          <w:kern w:val="0"/>
          <w:sz w:val="24"/>
          <w:szCs w:val="21"/>
          <w14:textFill>
            <w14:solidFill>
              <w14:schemeClr w14:val="tx1"/>
            </w14:solidFill>
          </w14:textFill>
        </w:rPr>
        <w:t>事项协商一致，达成如下合同条款：</w:t>
      </w:r>
    </w:p>
    <w:p w14:paraId="4CF1C13C">
      <w:pPr>
        <w:pageBreakBefore w:val="0"/>
        <w:widowControl w:val="0"/>
        <w:numPr>
          <w:ilvl w:val="0"/>
          <w:numId w:val="1"/>
        </w:numPr>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sz w:val="24"/>
          <w:szCs w:val="22"/>
          <w14:textFill>
            <w14:solidFill>
              <w14:schemeClr w14:val="tx1"/>
            </w14:solidFill>
          </w14:textFill>
        </w:rPr>
      </w:pPr>
      <w:r>
        <w:rPr>
          <w:rFonts w:hint="eastAsia" w:ascii="宋体" w:hAnsi="宋体" w:eastAsia="宋体" w:cs="宋体"/>
          <w:b/>
          <w:color w:val="000000" w:themeColor="text1"/>
          <w:sz w:val="24"/>
          <w:szCs w:val="21"/>
          <w14:textFill>
            <w14:solidFill>
              <w14:schemeClr w14:val="tx1"/>
            </w14:solidFill>
          </w14:textFill>
        </w:rPr>
        <w:t>乙方向甲方提供总价值为</w:t>
      </w:r>
      <w:r>
        <w:rPr>
          <w:rFonts w:hint="eastAsia" w:ascii="宋体" w:hAnsi="宋体" w:eastAsia="宋体" w:cs="宋体"/>
          <w:b/>
          <w:color w:val="000000" w:themeColor="text1"/>
          <w:sz w:val="24"/>
          <w:szCs w:val="21"/>
          <w:u w:val="single"/>
          <w:lang w:val="en-US" w:eastAsia="zh-CN"/>
          <w14:textFill>
            <w14:solidFill>
              <w14:schemeClr w14:val="tx1"/>
            </w14:solidFill>
          </w14:textFill>
        </w:rPr>
        <w:t>壹拾捌万元整</w:t>
      </w:r>
      <w:r>
        <w:rPr>
          <w:rFonts w:hint="eastAsia" w:ascii="宋体" w:hAnsi="宋体" w:eastAsia="宋体" w:cs="宋体"/>
          <w:b/>
          <w:color w:val="000000" w:themeColor="text1"/>
          <w:sz w:val="24"/>
          <w:szCs w:val="21"/>
          <w:u w:val="single"/>
          <w14:textFill>
            <w14:solidFill>
              <w14:schemeClr w14:val="tx1"/>
            </w14:solidFill>
          </w14:textFill>
        </w:rPr>
        <w:t>（</w:t>
      </w:r>
      <w:r>
        <w:rPr>
          <w:rFonts w:hint="eastAsia" w:ascii="宋体" w:hAnsi="宋体" w:eastAsia="宋体" w:cs="宋体"/>
          <w:b/>
          <w:color w:val="000000" w:themeColor="text1"/>
          <w:sz w:val="24"/>
          <w:szCs w:val="21"/>
          <w:u w:val="single"/>
          <w:lang w:val="en-US" w:eastAsia="zh-CN"/>
          <w14:textFill>
            <w14:solidFill>
              <w14:schemeClr w14:val="tx1"/>
            </w14:solidFill>
          </w14:textFill>
        </w:rPr>
        <w:t>¥：180000</w:t>
      </w:r>
      <w:r>
        <w:rPr>
          <w:rFonts w:hint="eastAsia" w:ascii="宋体" w:hAnsi="宋体" w:eastAsia="宋体" w:cs="宋体"/>
          <w:b/>
          <w:color w:val="000000" w:themeColor="text1"/>
          <w:sz w:val="24"/>
          <w:szCs w:val="21"/>
          <w14:textFill>
            <w14:solidFill>
              <w14:schemeClr w14:val="tx1"/>
            </w14:solidFill>
          </w14:textFill>
        </w:rPr>
        <w:t>元）的标的货物</w:t>
      </w:r>
    </w:p>
    <w:p w14:paraId="718F039E">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b/>
          <w:color w:val="000000" w:themeColor="text1"/>
          <w:sz w:val="28"/>
          <w:szCs w:val="28"/>
          <w14:textFill>
            <w14:solidFill>
              <w14:schemeClr w14:val="tx1"/>
            </w14:solidFill>
          </w14:textFill>
        </w:rPr>
      </w:pPr>
      <w:r>
        <w:rPr>
          <w:rFonts w:hint="eastAsia" w:ascii="宋体" w:hAnsi="宋体" w:eastAsia="宋体" w:cs="宋体"/>
          <w:b/>
          <w:color w:val="000000" w:themeColor="text1"/>
          <w:sz w:val="28"/>
          <w:szCs w:val="28"/>
          <w14:textFill>
            <w14:solidFill>
              <w14:schemeClr w14:val="tx1"/>
            </w14:solidFill>
          </w14:textFill>
        </w:rPr>
        <w:t>标的清单</w:t>
      </w:r>
    </w:p>
    <w:tbl>
      <w:tblPr>
        <w:tblStyle w:val="2"/>
        <w:tblW w:w="102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
        <w:gridCol w:w="1818"/>
        <w:gridCol w:w="1118"/>
        <w:gridCol w:w="1451"/>
        <w:gridCol w:w="1188"/>
        <w:gridCol w:w="925"/>
        <w:gridCol w:w="1550"/>
        <w:gridCol w:w="1302"/>
      </w:tblGrid>
      <w:tr w14:paraId="3F806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3" w:hRule="atLeast"/>
          <w:jc w:val="center"/>
        </w:trPr>
        <w:tc>
          <w:tcPr>
            <w:tcW w:w="875" w:type="dxa"/>
            <w:vAlign w:val="center"/>
          </w:tcPr>
          <w:p w14:paraId="4C081714">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序号</w:t>
            </w:r>
          </w:p>
        </w:tc>
        <w:tc>
          <w:tcPr>
            <w:tcW w:w="1818" w:type="dxa"/>
            <w:vAlign w:val="center"/>
          </w:tcPr>
          <w:p w14:paraId="6D6A2C9C">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w:t>
            </w:r>
          </w:p>
        </w:tc>
        <w:tc>
          <w:tcPr>
            <w:tcW w:w="1118" w:type="dxa"/>
            <w:vAlign w:val="center"/>
          </w:tcPr>
          <w:p w14:paraId="1D3E4E6A">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w:t>
            </w:r>
          </w:p>
        </w:tc>
        <w:tc>
          <w:tcPr>
            <w:tcW w:w="1451" w:type="dxa"/>
            <w:vAlign w:val="center"/>
          </w:tcPr>
          <w:p w14:paraId="7A530827">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w:t>
            </w:r>
          </w:p>
        </w:tc>
        <w:tc>
          <w:tcPr>
            <w:tcW w:w="1188" w:type="dxa"/>
            <w:vAlign w:val="center"/>
          </w:tcPr>
          <w:p w14:paraId="5E6CC397">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4</w:t>
            </w:r>
          </w:p>
        </w:tc>
        <w:tc>
          <w:tcPr>
            <w:tcW w:w="925" w:type="dxa"/>
            <w:vAlign w:val="center"/>
          </w:tcPr>
          <w:p w14:paraId="0D9868C7">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w:t>
            </w:r>
          </w:p>
        </w:tc>
        <w:tc>
          <w:tcPr>
            <w:tcW w:w="1550" w:type="dxa"/>
            <w:vAlign w:val="center"/>
          </w:tcPr>
          <w:p w14:paraId="2AF84381">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6</w:t>
            </w:r>
          </w:p>
        </w:tc>
        <w:tc>
          <w:tcPr>
            <w:tcW w:w="1302" w:type="dxa"/>
            <w:vAlign w:val="center"/>
          </w:tcPr>
          <w:p w14:paraId="114281F6">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7</w:t>
            </w:r>
          </w:p>
        </w:tc>
      </w:tr>
      <w:tr w14:paraId="57D38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875" w:type="dxa"/>
            <w:vAlign w:val="center"/>
          </w:tcPr>
          <w:p w14:paraId="3B50BCAB">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w:t>
            </w:r>
          </w:p>
        </w:tc>
        <w:tc>
          <w:tcPr>
            <w:tcW w:w="1818" w:type="dxa"/>
            <w:vAlign w:val="center"/>
          </w:tcPr>
          <w:p w14:paraId="2362CDFB">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产品</w:t>
            </w:r>
          </w:p>
          <w:p w14:paraId="2084D234">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名称</w:t>
            </w:r>
          </w:p>
        </w:tc>
        <w:tc>
          <w:tcPr>
            <w:tcW w:w="1118" w:type="dxa"/>
            <w:vAlign w:val="center"/>
          </w:tcPr>
          <w:p w14:paraId="2280DB53">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品牌</w:t>
            </w:r>
          </w:p>
        </w:tc>
        <w:tc>
          <w:tcPr>
            <w:tcW w:w="1451" w:type="dxa"/>
            <w:vAlign w:val="center"/>
          </w:tcPr>
          <w:p w14:paraId="446ACF1A">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规格</w:t>
            </w:r>
          </w:p>
          <w:p w14:paraId="5097EB04">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型号</w:t>
            </w:r>
          </w:p>
        </w:tc>
        <w:tc>
          <w:tcPr>
            <w:tcW w:w="1188" w:type="dxa"/>
            <w:vAlign w:val="center"/>
          </w:tcPr>
          <w:p w14:paraId="6F1FD8BC">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产地</w:t>
            </w:r>
          </w:p>
        </w:tc>
        <w:tc>
          <w:tcPr>
            <w:tcW w:w="925" w:type="dxa"/>
            <w:vAlign w:val="center"/>
          </w:tcPr>
          <w:p w14:paraId="33CA8DCC">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数量</w:t>
            </w:r>
          </w:p>
        </w:tc>
        <w:tc>
          <w:tcPr>
            <w:tcW w:w="1550" w:type="dxa"/>
            <w:vAlign w:val="center"/>
          </w:tcPr>
          <w:p w14:paraId="7CAE9B5B">
            <w:pPr>
              <w:pageBreakBefore w:val="0"/>
              <w:widowControl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分项单价</w:t>
            </w:r>
            <w:r>
              <w:rPr>
                <w:rFonts w:hint="eastAsia" w:ascii="宋体" w:hAnsi="宋体" w:eastAsia="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lang w:val="en-US" w:eastAsia="zh-CN"/>
                <w14:textFill>
                  <w14:solidFill>
                    <w14:schemeClr w14:val="tx1"/>
                  </w14:solidFill>
                </w14:textFill>
              </w:rPr>
              <w:t>元</w:t>
            </w:r>
            <w:r>
              <w:rPr>
                <w:rFonts w:hint="eastAsia" w:ascii="宋体" w:hAnsi="宋体" w:eastAsia="宋体" w:cs="宋体"/>
                <w:color w:val="000000" w:themeColor="text1"/>
                <w:sz w:val="24"/>
                <w:lang w:eastAsia="zh-CN"/>
                <w14:textFill>
                  <w14:solidFill>
                    <w14:schemeClr w14:val="tx1"/>
                  </w14:solidFill>
                </w14:textFill>
              </w:rPr>
              <w:t>）</w:t>
            </w:r>
          </w:p>
        </w:tc>
        <w:tc>
          <w:tcPr>
            <w:tcW w:w="1302" w:type="dxa"/>
            <w:vAlign w:val="center"/>
          </w:tcPr>
          <w:p w14:paraId="518AE081">
            <w:pPr>
              <w:pageBreakBefore w:val="0"/>
              <w:widowControl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分项总价</w:t>
            </w:r>
            <w:r>
              <w:rPr>
                <w:rFonts w:hint="eastAsia" w:ascii="宋体" w:hAnsi="宋体" w:eastAsia="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lang w:val="en-US" w:eastAsia="zh-CN"/>
                <w14:textFill>
                  <w14:solidFill>
                    <w14:schemeClr w14:val="tx1"/>
                  </w14:solidFill>
                </w14:textFill>
              </w:rPr>
              <w:t>元</w:t>
            </w:r>
            <w:r>
              <w:rPr>
                <w:rFonts w:hint="eastAsia" w:ascii="宋体" w:hAnsi="宋体" w:eastAsia="宋体" w:cs="宋体"/>
                <w:color w:val="000000" w:themeColor="text1"/>
                <w:sz w:val="24"/>
                <w:lang w:eastAsia="zh-CN"/>
                <w14:textFill>
                  <w14:solidFill>
                    <w14:schemeClr w14:val="tx1"/>
                  </w14:solidFill>
                </w14:textFill>
              </w:rPr>
              <w:t>）</w:t>
            </w:r>
          </w:p>
        </w:tc>
      </w:tr>
      <w:tr w14:paraId="6C8C7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3" w:hRule="atLeast"/>
          <w:jc w:val="center"/>
        </w:trPr>
        <w:tc>
          <w:tcPr>
            <w:tcW w:w="875" w:type="dxa"/>
            <w:vAlign w:val="center"/>
          </w:tcPr>
          <w:p w14:paraId="689AF222">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w:t>
            </w:r>
          </w:p>
        </w:tc>
        <w:tc>
          <w:tcPr>
            <w:tcW w:w="1818" w:type="dxa"/>
            <w:vAlign w:val="center"/>
          </w:tcPr>
          <w:p w14:paraId="1B47E2A3">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六轴协作机器人</w:t>
            </w:r>
          </w:p>
        </w:tc>
        <w:tc>
          <w:tcPr>
            <w:tcW w:w="1118" w:type="dxa"/>
            <w:vAlign w:val="center"/>
          </w:tcPr>
          <w:p w14:paraId="2FCE4A5A">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法奥</w:t>
            </w:r>
          </w:p>
        </w:tc>
        <w:tc>
          <w:tcPr>
            <w:tcW w:w="1451" w:type="dxa"/>
            <w:vAlign w:val="center"/>
          </w:tcPr>
          <w:p w14:paraId="18072EF2">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FR10</w:t>
            </w:r>
          </w:p>
        </w:tc>
        <w:tc>
          <w:tcPr>
            <w:tcW w:w="1188" w:type="dxa"/>
            <w:vAlign w:val="center"/>
          </w:tcPr>
          <w:p w14:paraId="66A0C1FE">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苏州</w:t>
            </w:r>
          </w:p>
        </w:tc>
        <w:tc>
          <w:tcPr>
            <w:tcW w:w="925" w:type="dxa"/>
            <w:vAlign w:val="center"/>
          </w:tcPr>
          <w:p w14:paraId="403F2370">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2台</w:t>
            </w:r>
          </w:p>
        </w:tc>
        <w:tc>
          <w:tcPr>
            <w:tcW w:w="1550" w:type="dxa"/>
            <w:vAlign w:val="center"/>
          </w:tcPr>
          <w:p w14:paraId="513F4452">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65000</w:t>
            </w:r>
          </w:p>
        </w:tc>
        <w:tc>
          <w:tcPr>
            <w:tcW w:w="1302" w:type="dxa"/>
            <w:vAlign w:val="center"/>
          </w:tcPr>
          <w:p w14:paraId="032CE651">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130000</w:t>
            </w:r>
          </w:p>
        </w:tc>
      </w:tr>
      <w:tr w14:paraId="4EB35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2" w:hRule="atLeast"/>
          <w:jc w:val="center"/>
        </w:trPr>
        <w:tc>
          <w:tcPr>
            <w:tcW w:w="875" w:type="dxa"/>
            <w:vAlign w:val="center"/>
          </w:tcPr>
          <w:p w14:paraId="6343C9DB">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w:t>
            </w:r>
          </w:p>
        </w:tc>
        <w:tc>
          <w:tcPr>
            <w:tcW w:w="1818" w:type="dxa"/>
            <w:vAlign w:val="center"/>
          </w:tcPr>
          <w:p w14:paraId="3AA3B87E">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2D视觉系统</w:t>
            </w:r>
          </w:p>
        </w:tc>
        <w:tc>
          <w:tcPr>
            <w:tcW w:w="1118" w:type="dxa"/>
            <w:vAlign w:val="center"/>
          </w:tcPr>
          <w:p w14:paraId="35E97CC3">
            <w:pPr>
              <w:pageBreakBefore w:val="0"/>
              <w:widowControl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海康威视</w:t>
            </w:r>
          </w:p>
        </w:tc>
        <w:tc>
          <w:tcPr>
            <w:tcW w:w="1451" w:type="dxa"/>
            <w:vAlign w:val="center"/>
          </w:tcPr>
          <w:p w14:paraId="59640726">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MV-CS050-10GC</w:t>
            </w:r>
          </w:p>
        </w:tc>
        <w:tc>
          <w:tcPr>
            <w:tcW w:w="1188" w:type="dxa"/>
            <w:vAlign w:val="center"/>
          </w:tcPr>
          <w:p w14:paraId="6D73337D">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杭州</w:t>
            </w:r>
          </w:p>
        </w:tc>
        <w:tc>
          <w:tcPr>
            <w:tcW w:w="925" w:type="dxa"/>
            <w:vAlign w:val="center"/>
          </w:tcPr>
          <w:p w14:paraId="778B37D2">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2套</w:t>
            </w:r>
          </w:p>
        </w:tc>
        <w:tc>
          <w:tcPr>
            <w:tcW w:w="1550" w:type="dxa"/>
            <w:vAlign w:val="center"/>
          </w:tcPr>
          <w:p w14:paraId="32E96568">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6000</w:t>
            </w:r>
          </w:p>
        </w:tc>
        <w:tc>
          <w:tcPr>
            <w:tcW w:w="1302" w:type="dxa"/>
            <w:vAlign w:val="center"/>
          </w:tcPr>
          <w:p w14:paraId="3EE412D5">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12000</w:t>
            </w:r>
          </w:p>
        </w:tc>
      </w:tr>
      <w:tr w14:paraId="0DAB9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4" w:hRule="atLeast"/>
          <w:jc w:val="center"/>
        </w:trPr>
        <w:tc>
          <w:tcPr>
            <w:tcW w:w="875" w:type="dxa"/>
            <w:vAlign w:val="center"/>
          </w:tcPr>
          <w:p w14:paraId="520C70D5">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4</w:t>
            </w:r>
          </w:p>
        </w:tc>
        <w:tc>
          <w:tcPr>
            <w:tcW w:w="1818" w:type="dxa"/>
            <w:vAlign w:val="center"/>
          </w:tcPr>
          <w:p w14:paraId="42517166">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末端执行器</w:t>
            </w:r>
          </w:p>
        </w:tc>
        <w:tc>
          <w:tcPr>
            <w:tcW w:w="1118" w:type="dxa"/>
            <w:vAlign w:val="center"/>
          </w:tcPr>
          <w:p w14:paraId="49781D9C">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汇博机器人</w:t>
            </w:r>
          </w:p>
        </w:tc>
        <w:tc>
          <w:tcPr>
            <w:tcW w:w="1451" w:type="dxa"/>
            <w:vAlign w:val="center"/>
          </w:tcPr>
          <w:p w14:paraId="2014D56C">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汇博自制</w:t>
            </w:r>
          </w:p>
        </w:tc>
        <w:tc>
          <w:tcPr>
            <w:tcW w:w="1188" w:type="dxa"/>
            <w:vAlign w:val="center"/>
          </w:tcPr>
          <w:p w14:paraId="5A4C4B5A">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苏州</w:t>
            </w:r>
          </w:p>
        </w:tc>
        <w:tc>
          <w:tcPr>
            <w:tcW w:w="925" w:type="dxa"/>
            <w:vAlign w:val="center"/>
          </w:tcPr>
          <w:p w14:paraId="3BF3A199">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2套</w:t>
            </w:r>
          </w:p>
        </w:tc>
        <w:tc>
          <w:tcPr>
            <w:tcW w:w="1550" w:type="dxa"/>
            <w:vAlign w:val="center"/>
          </w:tcPr>
          <w:p w14:paraId="0C8B45A0">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19000</w:t>
            </w:r>
          </w:p>
        </w:tc>
        <w:tc>
          <w:tcPr>
            <w:tcW w:w="1302" w:type="dxa"/>
            <w:vAlign w:val="center"/>
          </w:tcPr>
          <w:p w14:paraId="55FAB2D6">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38000</w:t>
            </w:r>
          </w:p>
        </w:tc>
      </w:tr>
      <w:tr w14:paraId="40C53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atLeast"/>
          <w:jc w:val="center"/>
        </w:trPr>
        <w:tc>
          <w:tcPr>
            <w:tcW w:w="8925" w:type="dxa"/>
            <w:gridSpan w:val="7"/>
            <w:vAlign w:val="center"/>
          </w:tcPr>
          <w:p w14:paraId="4C260ECC">
            <w:pPr>
              <w:pageBreakBefore w:val="0"/>
              <w:widowControl w:val="0"/>
              <w:kinsoku/>
              <w:wordWrap/>
              <w:overflowPunct/>
              <w:topLinePunct w:val="0"/>
              <w:autoSpaceDE/>
              <w:autoSpaceDN/>
              <w:bidi w:val="0"/>
              <w:spacing w:line="360" w:lineRule="auto"/>
              <w:ind w:firstLine="0" w:firstLineChars="0"/>
              <w:jc w:val="left"/>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投标总报价（人民币：</w:t>
            </w:r>
            <w:r>
              <w:rPr>
                <w:rFonts w:hint="eastAsia" w:ascii="宋体" w:hAnsi="宋体" w:eastAsia="宋体" w:cs="宋体"/>
                <w:color w:val="000000" w:themeColor="text1"/>
                <w:sz w:val="24"/>
                <w:lang w:val="en-US" w:eastAsia="zh-CN"/>
                <w14:textFill>
                  <w14:solidFill>
                    <w14:schemeClr w14:val="tx1"/>
                  </w14:solidFill>
                </w14:textFill>
              </w:rPr>
              <w:t>180000</w:t>
            </w:r>
            <w:r>
              <w:rPr>
                <w:rFonts w:hint="eastAsia" w:ascii="宋体" w:hAnsi="宋体" w:eastAsia="宋体" w:cs="宋体"/>
                <w:color w:val="000000" w:themeColor="text1"/>
                <w:sz w:val="24"/>
                <w14:textFill>
                  <w14:solidFill>
                    <w14:schemeClr w14:val="tx1"/>
                  </w14:solidFill>
                </w14:textFill>
              </w:rPr>
              <w:t>元）</w:t>
            </w:r>
          </w:p>
        </w:tc>
        <w:tc>
          <w:tcPr>
            <w:tcW w:w="1302" w:type="dxa"/>
            <w:vAlign w:val="center"/>
          </w:tcPr>
          <w:p w14:paraId="6B1286AB">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p>
        </w:tc>
      </w:tr>
    </w:tbl>
    <w:p w14:paraId="654EB223">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szCs w:val="22"/>
          <w14:textFill>
            <w14:solidFill>
              <w14:schemeClr w14:val="tx1"/>
            </w14:solidFill>
          </w14:textFill>
        </w:rPr>
      </w:pPr>
      <w:r>
        <w:rPr>
          <w:rFonts w:hint="eastAsia" w:ascii="宋体" w:hAnsi="宋体" w:eastAsia="宋体" w:cs="宋体"/>
          <w:b/>
          <w:color w:val="000000" w:themeColor="text1"/>
          <w:sz w:val="24"/>
          <w:szCs w:val="21"/>
          <w14:textFill>
            <w14:solidFill>
              <w14:schemeClr w14:val="tx1"/>
            </w14:solidFill>
          </w14:textFill>
        </w:rPr>
        <w:t>二、交货时间、地点</w:t>
      </w:r>
    </w:p>
    <w:p w14:paraId="1714C31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sz w:val="24"/>
          <w:szCs w:val="21"/>
          <w14:textFill>
            <w14:solidFill>
              <w14:schemeClr w14:val="tx1"/>
            </w14:solidFill>
          </w14:textFill>
        </w:rPr>
        <w:t>（一）合同履行期限：</w:t>
      </w:r>
      <w:r>
        <w:rPr>
          <w:rFonts w:hint="eastAsia" w:ascii="宋体" w:hAnsi="宋体" w:eastAsia="宋体" w:cs="宋体"/>
          <w:color w:val="000000" w:themeColor="text1"/>
          <w:sz w:val="24"/>
          <w:u w:val="single"/>
          <w:lang w:eastAsia="zh-CN"/>
          <w14:textFill>
            <w14:solidFill>
              <w14:schemeClr w14:val="tx1"/>
            </w14:solidFill>
          </w14:textFill>
        </w:rPr>
        <w:t>采购包5</w:t>
      </w:r>
      <w:r>
        <w:rPr>
          <w:rFonts w:hint="eastAsia" w:ascii="宋体" w:hAnsi="宋体" w:eastAsia="宋体" w:cs="宋体"/>
          <w:color w:val="000000" w:themeColor="text1"/>
          <w:sz w:val="24"/>
          <w:u w:val="single"/>
          <w14:textFill>
            <w14:solidFill>
              <w14:schemeClr w14:val="tx1"/>
            </w14:solidFill>
          </w14:textFill>
        </w:rPr>
        <w:t>：</w:t>
      </w:r>
      <w:r>
        <w:rPr>
          <w:rFonts w:hint="eastAsia" w:ascii="宋体" w:hAnsi="宋体" w:eastAsia="宋体" w:cs="宋体"/>
          <w:color w:val="000000" w:themeColor="text1"/>
          <w:sz w:val="24"/>
          <w:u w:val="single"/>
          <w:lang w:val="en-US" w:eastAsia="zh-CN"/>
          <w14:textFill>
            <w14:solidFill>
              <w14:schemeClr w14:val="tx1"/>
            </w14:solidFill>
          </w14:textFill>
        </w:rPr>
        <w:t>30</w:t>
      </w:r>
      <w:r>
        <w:rPr>
          <w:rFonts w:hint="eastAsia" w:ascii="宋体" w:hAnsi="宋体" w:eastAsia="宋体" w:cs="宋体"/>
          <w:color w:val="000000" w:themeColor="text1"/>
          <w:sz w:val="24"/>
          <w:u w:val="single"/>
          <w14:textFill>
            <w14:solidFill>
              <w14:schemeClr w14:val="tx1"/>
            </w14:solidFill>
          </w14:textFill>
        </w:rPr>
        <w:t>日历天。</w:t>
      </w:r>
    </w:p>
    <w:p w14:paraId="128CB25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sz w:val="24"/>
          <w:szCs w:val="21"/>
          <w14:textFill>
            <w14:solidFill>
              <w14:schemeClr w14:val="tx1"/>
            </w14:solidFill>
          </w14:textFill>
        </w:rPr>
        <w:t>（二）交货地点：</w:t>
      </w:r>
      <w:r>
        <w:rPr>
          <w:rFonts w:hint="eastAsia" w:ascii="宋体" w:hAnsi="宋体" w:eastAsia="宋体" w:cs="宋体"/>
          <w:color w:val="000000" w:themeColor="text1"/>
          <w:sz w:val="24"/>
          <w:szCs w:val="21"/>
          <w:u w:val="single"/>
          <w14:textFill>
            <w14:solidFill>
              <w14:schemeClr w14:val="tx1"/>
            </w14:solidFill>
          </w14:textFill>
        </w:rPr>
        <w:t>甲方指定地点</w:t>
      </w:r>
      <w:r>
        <w:rPr>
          <w:rFonts w:hint="eastAsia" w:ascii="宋体" w:hAnsi="宋体" w:eastAsia="宋体" w:cs="宋体"/>
          <w:color w:val="000000" w:themeColor="text1"/>
          <w:sz w:val="24"/>
          <w:szCs w:val="21"/>
          <w14:textFill>
            <w14:solidFill>
              <w14:schemeClr w14:val="tx1"/>
            </w14:solidFill>
          </w14:textFill>
        </w:rPr>
        <w:t>。</w:t>
      </w:r>
    </w:p>
    <w:p w14:paraId="3AA3099A">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szCs w:val="22"/>
          <w14:textFill>
            <w14:solidFill>
              <w14:schemeClr w14:val="tx1"/>
            </w14:solidFill>
          </w14:textFill>
        </w:rPr>
      </w:pPr>
      <w:r>
        <w:rPr>
          <w:rFonts w:hint="eastAsia" w:ascii="宋体" w:hAnsi="宋体" w:eastAsia="宋体" w:cs="宋体"/>
          <w:b/>
          <w:color w:val="000000" w:themeColor="text1"/>
          <w:sz w:val="24"/>
          <w:szCs w:val="21"/>
          <w14:textFill>
            <w14:solidFill>
              <w14:schemeClr w14:val="tx1"/>
            </w14:solidFill>
          </w14:textFill>
        </w:rPr>
        <w:t>三、质量技术标准</w:t>
      </w:r>
    </w:p>
    <w:p w14:paraId="1BB429CC">
      <w:pPr>
        <w:pageBreakBefore w:val="0"/>
        <w:widowControl w:val="0"/>
        <w:kinsoku/>
        <w:wordWrap/>
        <w:overflowPunct/>
        <w:topLinePunct w:val="0"/>
        <w:autoSpaceDE/>
        <w:autoSpaceDN/>
        <w:bidi w:val="0"/>
        <w:spacing w:line="360" w:lineRule="auto"/>
        <w:ind w:firstLine="480" w:firstLineChars="200"/>
        <w:textAlignment w:val="auto"/>
        <w:rPr>
          <w:rFonts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sz w:val="24"/>
          <w:szCs w:val="21"/>
          <w14:textFill>
            <w14:solidFill>
              <w14:schemeClr w14:val="tx1"/>
            </w14:solidFill>
          </w14:textFill>
        </w:rPr>
        <w:t>乙方提供的产品性能及质量有国家标准的应符合国家标准。无国家标准的应符合行业标准或企业标准，并满足招标文件要求，实现投标文件承诺条款。</w:t>
      </w:r>
    </w:p>
    <w:p w14:paraId="69B42A35">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四、产品的包装、运输方式及费用</w:t>
      </w:r>
    </w:p>
    <w:p w14:paraId="3FC42ED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1.由乙方视情况自定运输方式，费用自负。</w:t>
      </w:r>
    </w:p>
    <w:p w14:paraId="6444A93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为助力打好污染防治攻坚战，推广使用绿色包装，本项目中涉及的商品包装和快递包装执行《关于印发〈商品包装政府采购需求标准（试行）〉、〈快递包装政府采购需求标准（试行）〉的通知》（财办库〔2020〕123号）、《江苏省财政厅关于加强政府绿色采购有关事项的通知》（苏财购〔2023〕65号）的要求，投标人应当提供符合需求标准的产品及相关快递服务的包装。</w:t>
      </w:r>
    </w:p>
    <w:p w14:paraId="391BAF8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3.使用说明书、质量检验证明书、随配附件和工具以及清单一并附于货物内。</w:t>
      </w:r>
    </w:p>
    <w:p w14:paraId="762938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4.乙方在产品发运手续办理完毕后24小时内或货到招标人48小时前通知甲方，以准备接货。</w:t>
      </w:r>
    </w:p>
    <w:p w14:paraId="26623B5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5.产品在交付甲方前发生的风险均由投标人负责。</w:t>
      </w:r>
    </w:p>
    <w:p w14:paraId="218B503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6.产品在规定的交付期限内由乙方送达甲方指定的地点视为交付，乙方同时需通知甲方产品已送达。</w:t>
      </w:r>
    </w:p>
    <w:p w14:paraId="789074F6">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五、验收</w:t>
      </w:r>
    </w:p>
    <w:p w14:paraId="58E409A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1.在货物进场</w:t>
      </w:r>
      <w:r>
        <w:rPr>
          <w:rFonts w:hint="eastAsia" w:ascii="宋体" w:hAnsi="宋体" w:eastAsia="宋体" w:cs="宋体"/>
          <w:bCs/>
          <w:color w:val="000000" w:themeColor="text1"/>
          <w:sz w:val="24"/>
          <w:szCs w:val="20"/>
          <w14:textFill>
            <w14:solidFill>
              <w14:schemeClr w14:val="tx1"/>
            </w14:solidFill>
          </w14:textFill>
        </w:rPr>
        <w:t>安装调试完毕、检定/校准完成</w:t>
      </w:r>
      <w:r>
        <w:rPr>
          <w:rFonts w:hint="eastAsia" w:ascii="宋体" w:hAnsi="宋体" w:eastAsia="宋体" w:cs="宋体"/>
          <w:color w:val="000000" w:themeColor="text1"/>
          <w:sz w:val="24"/>
          <w14:textFill>
            <w14:solidFill>
              <w14:schemeClr w14:val="tx1"/>
            </w14:solidFill>
          </w14:textFill>
        </w:rPr>
        <w:t>，甲方根据技术要求组织验收，验收内容包括：型号、规格、数量、外观质量，以及货物包装是否完好，质量是否合格，所提供货物的清单是否齐全。货物最终验收后，乙方应对由于设计、工艺或材料的缺陷而发生的任何不足负责，并承担由此引起的一切后果。</w:t>
      </w:r>
    </w:p>
    <w:p w14:paraId="3F5381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2.采购单位组建验收小组，验收时间由甲方确定，并出具验收报告。</w:t>
      </w:r>
    </w:p>
    <w:p w14:paraId="01A81E93">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szCs w:val="22"/>
          <w14:textFill>
            <w14:solidFill>
              <w14:schemeClr w14:val="tx1"/>
            </w14:solidFill>
          </w14:textFill>
        </w:rPr>
      </w:pPr>
      <w:r>
        <w:rPr>
          <w:rFonts w:hint="eastAsia" w:ascii="宋体" w:hAnsi="宋体" w:eastAsia="宋体" w:cs="宋体"/>
          <w:b/>
          <w:color w:val="000000" w:themeColor="text1"/>
          <w:sz w:val="24"/>
          <w:szCs w:val="21"/>
          <w14:textFill>
            <w14:solidFill>
              <w14:schemeClr w14:val="tx1"/>
            </w14:solidFill>
          </w14:textFill>
        </w:rPr>
        <w:t>六、付款方式</w:t>
      </w:r>
    </w:p>
    <w:p w14:paraId="29A9933E">
      <w:pPr>
        <w:keepNext w:val="0"/>
        <w:keepLines w:val="0"/>
        <w:pageBreakBefore w:val="0"/>
        <w:widowControl w:val="0"/>
        <w:tabs>
          <w:tab w:val="left" w:pos="2020"/>
        </w:tabs>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sz w:val="24"/>
          <w:szCs w:val="22"/>
          <w14:textFill>
            <w14:solidFill>
              <w14:schemeClr w14:val="tx1"/>
            </w14:solidFill>
          </w14:textFill>
        </w:rPr>
        <w:t>按照付款方式，采购人及时办理付款手续。对于满足合同约定支付条件的，自收到发票后10个工作日内将资金支付到合同约定的投标人账户或投标人数字人民币账户。</w:t>
      </w:r>
    </w:p>
    <w:p w14:paraId="698280F2">
      <w:pPr>
        <w:keepNext w:val="0"/>
        <w:keepLines w:val="0"/>
        <w:pageBreakBefore w:val="0"/>
        <w:widowControl w:val="0"/>
        <w:tabs>
          <w:tab w:val="left" w:pos="2020"/>
        </w:tabs>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sz w:val="24"/>
          <w:szCs w:val="22"/>
          <w14:textFill>
            <w14:solidFill>
              <w14:schemeClr w14:val="tx1"/>
            </w14:solidFill>
          </w14:textFill>
        </w:rPr>
        <w:t>预付款：合同金额的30%，合同签订后按规定支付；</w:t>
      </w:r>
    </w:p>
    <w:p w14:paraId="4E99BDEF">
      <w:pPr>
        <w:keepNext w:val="0"/>
        <w:keepLines w:val="0"/>
        <w:pageBreakBefore w:val="0"/>
        <w:widowControl w:val="0"/>
        <w:tabs>
          <w:tab w:val="left" w:pos="2020"/>
        </w:tabs>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sz w:val="24"/>
          <w:szCs w:val="22"/>
          <w14:textFill>
            <w14:solidFill>
              <w14:schemeClr w14:val="tx1"/>
            </w14:solidFill>
          </w14:textFill>
        </w:rPr>
        <w:t>进度款：货物安装调试完成并经验收合格后付至合同价款的100%。</w:t>
      </w:r>
    </w:p>
    <w:p w14:paraId="7B185F4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注：在签订合同时，中标人明确表示无需预付款或者主动要求降低预付款比例的，采购人可不适用前述规定。</w:t>
      </w:r>
    </w:p>
    <w:p w14:paraId="710BFE62">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szCs w:val="20"/>
          <w14:textFill>
            <w14:solidFill>
              <w14:schemeClr w14:val="tx1"/>
            </w14:solidFill>
          </w14:textFill>
        </w:rPr>
      </w:pPr>
      <w:r>
        <w:rPr>
          <w:rFonts w:hint="eastAsia" w:ascii="宋体" w:hAnsi="宋体" w:eastAsia="宋体" w:cs="宋体"/>
          <w:b/>
          <w:color w:val="000000" w:themeColor="text1"/>
          <w:sz w:val="24"/>
          <w:szCs w:val="20"/>
          <w14:textFill>
            <w14:solidFill>
              <w14:schemeClr w14:val="tx1"/>
            </w14:solidFill>
          </w14:textFill>
        </w:rPr>
        <w:t>七、售后服务要求</w:t>
      </w:r>
    </w:p>
    <w:p w14:paraId="742ADC7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1.质保期：</w:t>
      </w:r>
    </w:p>
    <w:p w14:paraId="747011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kern w:val="0"/>
          <w:sz w:val="24"/>
          <w:szCs w:val="22"/>
          <w:lang w:eastAsia="zh-CN"/>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采购包5：中型协同施工机械臂与智能建筑机器人开发套件，供货商可提供配套物料，质保期3年</w:t>
      </w:r>
      <w:r>
        <w:rPr>
          <w:rFonts w:hint="eastAsia" w:ascii="宋体" w:hAnsi="宋体" w:eastAsia="宋体" w:cs="宋体"/>
          <w:color w:val="000000" w:themeColor="text1"/>
          <w:kern w:val="0"/>
          <w:sz w:val="24"/>
          <w:szCs w:val="22"/>
          <w:lang w:eastAsia="zh-CN"/>
          <w14:textFill>
            <w14:solidFill>
              <w14:schemeClr w14:val="tx1"/>
            </w14:solidFill>
          </w14:textFill>
        </w:rPr>
        <w:t>。</w:t>
      </w:r>
    </w:p>
    <w:p w14:paraId="1F6006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2.中标人对所售出的产品实行三包：即产品在正常使用情况下发生质量问题时，供方应按使用方的要求，负责对产品实行包修、包换、包退（费用包含在本次报价中）。</w:t>
      </w:r>
    </w:p>
    <w:p w14:paraId="41DC80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3.中标人对由于产品设计、工艺、材料、配套件的缺陷而造成的任何产品质量问题或故障负责。在质量保证期内，中标人负责修理和替换不合格的部件并承担费用，包括部件调换的运输费用。在质量保证期内，更换后的部件或零件质量保证期为更换之日起顺延12个月。</w:t>
      </w:r>
    </w:p>
    <w:p w14:paraId="433E1BA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b/>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4.中标人需提供售后技术支持服务，运行中出现故障时，由采购人通知中标人。疑难问题（不危及运行）在24小时内答复用户。重大问题（危及运行）在2小时内到现场处理。特大问题（系统不能正常运行）在2小时内恢复运行，并在24小时内派技术人员到现场解决。现场予以排除故障、修复或更换零部件，或启用替代品。如需更换设备或送修，在2个工作日内解决。采购人不承担所产生的任何费用。</w:t>
      </w:r>
    </w:p>
    <w:p w14:paraId="40B8176F">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szCs w:val="20"/>
          <w14:textFill>
            <w14:solidFill>
              <w14:schemeClr w14:val="tx1"/>
            </w14:solidFill>
          </w14:textFill>
        </w:rPr>
      </w:pPr>
      <w:r>
        <w:rPr>
          <w:rFonts w:hint="eastAsia" w:ascii="宋体" w:hAnsi="宋体" w:eastAsia="宋体" w:cs="宋体"/>
          <w:b/>
          <w:color w:val="000000" w:themeColor="text1"/>
          <w:sz w:val="24"/>
          <w:szCs w:val="20"/>
          <w14:textFill>
            <w14:solidFill>
              <w14:schemeClr w14:val="tx1"/>
            </w14:solidFill>
          </w14:textFill>
        </w:rPr>
        <w:t>八、其他要求</w:t>
      </w:r>
    </w:p>
    <w:p w14:paraId="7167CC8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sz w:val="24"/>
          <w:szCs w:val="21"/>
          <w14:textFill>
            <w14:solidFill>
              <w14:schemeClr w14:val="tx1"/>
            </w14:solidFill>
          </w14:textFill>
        </w:rPr>
        <w:t>1.设备安装完成并交付使用前非采购单位原因造成的设备损坏、遗失由中标单位承担责任。</w:t>
      </w:r>
    </w:p>
    <w:p w14:paraId="361E0A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sz w:val="24"/>
          <w:szCs w:val="21"/>
          <w14:textFill>
            <w14:solidFill>
              <w14:schemeClr w14:val="tx1"/>
            </w14:solidFill>
          </w14:textFill>
        </w:rPr>
        <w:t>2.中标单位所提供的产品须为原厂全新正品，品牌、型号、参数、功能须全部满足采购单位要求，否则视为无效标。</w:t>
      </w:r>
    </w:p>
    <w:p w14:paraId="397DC2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sz w:val="24"/>
          <w:szCs w:val="21"/>
          <w14:textFill>
            <w14:solidFill>
              <w14:schemeClr w14:val="tx1"/>
            </w14:solidFill>
          </w14:textFill>
        </w:rPr>
        <w:t>3.投标人报价时应充分考虑所有可能影响到报价的因素，一旦评标结束最终中标，总价将包定，不予调整。如发生漏、缺、少项，都将被认为是成交投标人的报价让利行为，损失自负。</w:t>
      </w:r>
    </w:p>
    <w:p w14:paraId="2896C2A1">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szCs w:val="20"/>
          <w14:textFill>
            <w14:solidFill>
              <w14:schemeClr w14:val="tx1"/>
            </w14:solidFill>
          </w14:textFill>
        </w:rPr>
      </w:pPr>
      <w:r>
        <w:rPr>
          <w:rFonts w:hint="eastAsia" w:ascii="宋体" w:hAnsi="宋体" w:eastAsia="宋体" w:cs="宋体"/>
          <w:b/>
          <w:color w:val="000000" w:themeColor="text1"/>
          <w:sz w:val="24"/>
          <w:szCs w:val="20"/>
          <w14:textFill>
            <w14:solidFill>
              <w14:schemeClr w14:val="tx1"/>
            </w14:solidFill>
          </w14:textFill>
        </w:rPr>
        <w:t>九、违约条款</w:t>
      </w:r>
    </w:p>
    <w:p w14:paraId="3AB5679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1.甲方无正当理由拒收货物的，甲方应当按照中国人民银行授权全国银行间同业拆借中心发布的贷款市场报价利率承担违约金。</w:t>
      </w:r>
    </w:p>
    <w:p w14:paraId="5C53E22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 乙方逾期交付货物的，乙方应按逾期交货总额每日</w:t>
      </w:r>
      <w:r>
        <w:rPr>
          <w:rFonts w:hint="eastAsia" w:ascii="宋体" w:hAnsi="宋体" w:eastAsia="宋体" w:cs="宋体"/>
          <w:color w:val="000000" w:themeColor="text1"/>
          <w:sz w:val="24"/>
          <w:u w:val="single"/>
          <w14:textFill>
            <w14:solidFill>
              <w14:schemeClr w14:val="tx1"/>
            </w14:solidFill>
          </w14:textFill>
        </w:rPr>
        <w:t>6‰</w:t>
      </w:r>
      <w:r>
        <w:rPr>
          <w:rFonts w:hint="eastAsia" w:ascii="宋体" w:hAnsi="宋体" w:eastAsia="宋体" w:cs="宋体"/>
          <w:color w:val="000000" w:themeColor="text1"/>
          <w:sz w:val="24"/>
          <w14:textFill>
            <w14:solidFill>
              <w14:schemeClr w14:val="tx1"/>
            </w14:solidFill>
          </w14:textFill>
        </w:rPr>
        <w:t>向甲方支付违约金，由甲方从待付货款中扣除。乙方未按照工期要求进行安装调试导致合同超期的，每超过1天乙方按合同总额每日</w:t>
      </w:r>
      <w:r>
        <w:rPr>
          <w:rFonts w:hint="eastAsia" w:ascii="宋体" w:hAnsi="宋体" w:eastAsia="宋体" w:cs="宋体"/>
          <w:color w:val="000000" w:themeColor="text1"/>
          <w:sz w:val="24"/>
          <w:u w:val="single"/>
          <w14:textFill>
            <w14:solidFill>
              <w14:schemeClr w14:val="tx1"/>
            </w14:solidFill>
          </w14:textFill>
        </w:rPr>
        <w:t>6‰</w:t>
      </w:r>
      <w:r>
        <w:rPr>
          <w:rFonts w:hint="eastAsia" w:ascii="宋体" w:hAnsi="宋体" w:eastAsia="宋体" w:cs="宋体"/>
          <w:color w:val="000000" w:themeColor="text1"/>
          <w:sz w:val="24"/>
          <w14:textFill>
            <w14:solidFill>
              <w14:schemeClr w14:val="tx1"/>
            </w14:solidFill>
          </w14:textFill>
        </w:rPr>
        <w:t>向甲方支付违约金。逾期超过约定日期10个工作日不能交货（或未能按工期完工）的，甲方可解除本合同。乙方因逾期交货或因其他违约行为导致甲方解除合同的，乙方应向甲方支付合同总值</w:t>
      </w:r>
      <w:r>
        <w:rPr>
          <w:rFonts w:hint="eastAsia" w:ascii="宋体" w:hAnsi="宋体" w:eastAsia="宋体" w:cs="宋体"/>
          <w:color w:val="000000" w:themeColor="text1"/>
          <w:sz w:val="24"/>
          <w:u w:val="single"/>
          <w14:textFill>
            <w14:solidFill>
              <w14:schemeClr w14:val="tx1"/>
            </w14:solidFill>
          </w14:textFill>
        </w:rPr>
        <w:t xml:space="preserve"> 10% </w:t>
      </w:r>
      <w:r>
        <w:rPr>
          <w:rFonts w:hint="eastAsia" w:ascii="宋体" w:hAnsi="宋体" w:eastAsia="宋体" w:cs="宋体"/>
          <w:color w:val="000000" w:themeColor="text1"/>
          <w:sz w:val="24"/>
          <w14:textFill>
            <w14:solidFill>
              <w14:schemeClr w14:val="tx1"/>
            </w14:solidFill>
          </w14:textFill>
        </w:rPr>
        <w:t>的违约金，如造成甲方损失超过违约金的，超出部分由乙方继续承担赔偿责任。</w:t>
      </w:r>
    </w:p>
    <w:p w14:paraId="1918956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乙方所交的货物品种、型号、规格、技术参数、质量不符合合同规定及招标文件规定标准的，甲方有权拒收该货物，乙方愿意更换货物但逾期交货的，按乙方逾期交货处理。乙方拒绝更换货物的，甲方可单方面解除合同。若甲方选择解除合同，乙方无条件将收取的全部货款全部退还甲方，且乙方应在甲方限制时间内将货物全部清场，逾期视为乙方自愿放弃，甲方有权对货物进行任意处置。乙方还应另行按合同总价10%标准向甲方支付违约金。</w:t>
      </w:r>
    </w:p>
    <w:p w14:paraId="5F28DEC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4.因一方违约，另一方为实现权益产生律师费、诉讼费、保全费、保全保险费、差旅费等由违约方承担。</w:t>
      </w:r>
    </w:p>
    <w:p w14:paraId="3DF70E8C">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十、知识产权</w:t>
      </w:r>
    </w:p>
    <w:p w14:paraId="49F5E8AD">
      <w:pPr>
        <w:pageBreakBefore w:val="0"/>
        <w:widowControl w:val="0"/>
        <w:kinsoku/>
        <w:wordWrap/>
        <w:overflowPunct/>
        <w:topLinePunct w:val="0"/>
        <w:autoSpaceDE/>
        <w:autoSpaceDN/>
        <w:bidi w:val="0"/>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乙方应保证甲方免除并承担由于甲方在其本国使用该项目时而引起第三方提出的侵犯专利权、知识产权或设计权的起诉、行动、行政程序索赔、请求等以及甲方为此而产生的损失和损害、费用和支出（包括律师费）。</w:t>
      </w:r>
    </w:p>
    <w:p w14:paraId="79EC0A30">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十一、合同生效及审核</w:t>
      </w:r>
    </w:p>
    <w:p w14:paraId="6F4FCF5E">
      <w:pPr>
        <w:pageBreakBefore w:val="0"/>
        <w:widowControl w:val="0"/>
        <w:kinsoku/>
        <w:wordWrap/>
        <w:overflowPunct/>
        <w:topLinePunct w:val="0"/>
        <w:autoSpaceDE/>
        <w:autoSpaceDN/>
        <w:bidi w:val="0"/>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本合同经甲方、乙方签字盖章后生效，合同签订的内容不能超出招标文件和投标文件的实质性内容。</w:t>
      </w:r>
    </w:p>
    <w:p w14:paraId="63D333C5">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十二、合同的组成部分</w:t>
      </w:r>
    </w:p>
    <w:p w14:paraId="3875F8B0">
      <w:pPr>
        <w:pageBreakBefore w:val="0"/>
        <w:widowControl w:val="0"/>
        <w:kinsoku/>
        <w:wordWrap/>
        <w:overflowPunct/>
        <w:topLinePunct w:val="0"/>
        <w:autoSpaceDE/>
        <w:autoSpaceDN/>
        <w:bidi w:val="0"/>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本合同条款、中标通知书、招标文件、投标文件及投标人在开标时的书面承诺等构成合同的组成部分。</w:t>
      </w:r>
    </w:p>
    <w:p w14:paraId="20D255E6">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十三、本合同壹式肆份，以中文书写，甲方、乙方各执贰份。</w:t>
      </w:r>
    </w:p>
    <w:p w14:paraId="403629DA">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十四、本合同一切未尽事宜，按民法典有关规定执行，无相关规定的，由甲乙双方协商解决。</w:t>
      </w:r>
    </w:p>
    <w:p w14:paraId="78F06D1A">
      <w:pPr>
        <w:keepNext/>
        <w:keepLines/>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b/>
          <w:bCs/>
          <w:color w:val="000000" w:themeColor="text1"/>
          <w:sz w:val="24"/>
          <w14:textFill>
            <w14:solidFill>
              <w14:schemeClr w14:val="tx1"/>
            </w14:solidFill>
          </w14:textFill>
        </w:rPr>
      </w:pPr>
      <w:bookmarkStart w:id="1" w:name="_Toc17969"/>
      <w:bookmarkStart w:id="2" w:name="_Toc394939153"/>
      <w:bookmarkStart w:id="3" w:name="_Toc394939096"/>
      <w:bookmarkStart w:id="4" w:name="_Toc24658094"/>
      <w:bookmarkStart w:id="5" w:name="_Toc473126882"/>
      <w:bookmarkStart w:id="6" w:name="_Toc24653762"/>
      <w:bookmarkStart w:id="7" w:name="_Toc514426472"/>
      <w:bookmarkStart w:id="8" w:name="_Toc19622844"/>
      <w:r>
        <w:rPr>
          <w:rFonts w:hint="eastAsia" w:ascii="宋体" w:hAnsi="宋体" w:eastAsia="宋体" w:cs="宋体"/>
          <w:b/>
          <w:bCs/>
          <w:color w:val="000000" w:themeColor="text1"/>
          <w:sz w:val="24"/>
          <w14:textFill>
            <w14:solidFill>
              <w14:schemeClr w14:val="tx1"/>
            </w14:solidFill>
          </w14:textFill>
        </w:rPr>
        <w:t>通用条款</w:t>
      </w:r>
      <w:bookmarkEnd w:id="1"/>
      <w:bookmarkEnd w:id="2"/>
      <w:bookmarkEnd w:id="3"/>
      <w:bookmarkEnd w:id="4"/>
      <w:bookmarkEnd w:id="5"/>
      <w:bookmarkEnd w:id="6"/>
      <w:bookmarkEnd w:id="7"/>
      <w:bookmarkEnd w:id="8"/>
    </w:p>
    <w:p w14:paraId="3A9687A4">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十五、词语涵义</w:t>
      </w:r>
    </w:p>
    <w:p w14:paraId="3BDE688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（一）合同：甲乙双方签署的、合同格式中载明的甲方与乙方所达成的协议，包括所有的附件、附录和构成合同的所有文件。</w:t>
      </w:r>
    </w:p>
    <w:p w14:paraId="5E5D0D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（二）合同价：根据合同规定，乙方在正确地完全履行合同义务后甲方应支付给卖方的价格。</w:t>
      </w:r>
    </w:p>
    <w:p w14:paraId="32ED67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（三）服务：根据合同规定乙方承担与项目有关的辅助服务，如运输、保险以及其它的伴随服务，比如提供技术援助、培训和其他类似的应承担的义务。</w:t>
      </w:r>
    </w:p>
    <w:p w14:paraId="5897C2B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（五）甲方：采购单位，即</w:t>
      </w:r>
      <w:r>
        <w:rPr>
          <w:rFonts w:hint="eastAsia" w:ascii="宋体" w:hAnsi="宋体" w:eastAsia="宋体" w:cs="宋体"/>
          <w:color w:val="000000" w:themeColor="text1"/>
          <w:sz w:val="24"/>
          <w:u w:val="single"/>
          <w14:textFill>
            <w14:solidFill>
              <w14:schemeClr w14:val="tx1"/>
            </w14:solidFill>
          </w14:textFill>
        </w:rPr>
        <w:t>宿迁学院</w:t>
      </w:r>
      <w:r>
        <w:rPr>
          <w:rFonts w:hint="eastAsia" w:ascii="宋体" w:hAnsi="宋体" w:eastAsia="宋体" w:cs="宋体"/>
          <w:color w:val="000000" w:themeColor="text1"/>
          <w:sz w:val="24"/>
          <w14:textFill>
            <w14:solidFill>
              <w14:schemeClr w14:val="tx1"/>
            </w14:solidFill>
          </w14:textFill>
        </w:rPr>
        <w:t>。</w:t>
      </w:r>
    </w:p>
    <w:p w14:paraId="511550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（六）乙方：提供服务的公司或实体，即</w:t>
      </w:r>
      <w:r>
        <w:rPr>
          <w:rFonts w:hint="eastAsia" w:ascii="宋体" w:hAnsi="宋体" w:eastAsia="宋体" w:cs="宋体"/>
          <w:color w:val="000000" w:themeColor="text1"/>
          <w:kern w:val="0"/>
          <w:sz w:val="24"/>
          <w:u w:val="single"/>
          <w:lang w:eastAsia="zh-CN"/>
          <w14:textFill>
            <w14:solidFill>
              <w14:schemeClr w14:val="tx1"/>
            </w14:solidFill>
          </w14:textFill>
        </w:rPr>
        <w:t>江苏汇博机器人技术股份有限公司</w:t>
      </w:r>
      <w:r>
        <w:rPr>
          <w:rFonts w:hint="eastAsia" w:ascii="宋体" w:hAnsi="宋体" w:eastAsia="宋体" w:cs="宋体"/>
          <w:color w:val="000000" w:themeColor="text1"/>
          <w:sz w:val="24"/>
          <w14:textFill>
            <w14:solidFill>
              <w14:schemeClr w14:val="tx1"/>
            </w14:solidFill>
          </w14:textFill>
        </w:rPr>
        <w:t>。</w:t>
      </w:r>
    </w:p>
    <w:p w14:paraId="39CA9B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（七）不可抗力：指不能预见、不能避免和不能克服的客观情况，如战争、动乱、空中飞行物体坠落或其它非甲乙方责任造成的爆炸、火灾，以及协议条款约定等级以上的风、雨、雪、地震等。</w:t>
      </w:r>
    </w:p>
    <w:p w14:paraId="2CCB99F4">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十六、技术规格</w:t>
      </w:r>
    </w:p>
    <w:p w14:paraId="19DDDF7D">
      <w:pPr>
        <w:pageBreakBefore w:val="0"/>
        <w:widowControl w:val="0"/>
        <w:kinsoku/>
        <w:wordWrap/>
        <w:overflowPunct/>
        <w:topLinePunct w:val="0"/>
        <w:autoSpaceDE/>
        <w:autoSpaceDN/>
        <w:bidi w:val="0"/>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乙方所提供货物的技术规格应与招标文件规定的技术规格以及所附的技术规格响应表相一致。</w:t>
      </w:r>
    </w:p>
    <w:p w14:paraId="6FD37A93">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十七、专利权</w:t>
      </w:r>
    </w:p>
    <w:p w14:paraId="1F125423">
      <w:pPr>
        <w:pageBreakBefore w:val="0"/>
        <w:widowControl w:val="0"/>
        <w:kinsoku/>
        <w:wordWrap/>
        <w:overflowPunct/>
        <w:topLinePunct w:val="0"/>
        <w:autoSpaceDE/>
        <w:autoSpaceDN/>
        <w:bidi w:val="0"/>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乙方应保证甲方在使用该货物或其任何一部分时不受第三方提出侵犯其专利权、商标权和工业设计权的起诉。一旦出现专利侵权，乙方应负全部责任。</w:t>
      </w:r>
    </w:p>
    <w:p w14:paraId="1D328A93">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十八、付款</w:t>
      </w:r>
    </w:p>
    <w:p w14:paraId="36FAE44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（一）本合同以人民币付款。</w:t>
      </w:r>
    </w:p>
    <w:p w14:paraId="5215089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（二）乙方应按照与甲方签订的合同规定服务。</w:t>
      </w:r>
    </w:p>
    <w:p w14:paraId="0BF809B7">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十九、误期赔偿</w:t>
      </w:r>
    </w:p>
    <w:p w14:paraId="45995812">
      <w:pPr>
        <w:pageBreakBefore w:val="0"/>
        <w:widowControl w:val="0"/>
        <w:kinsoku/>
        <w:wordWrap/>
        <w:overflowPunct/>
        <w:topLinePunct w:val="0"/>
        <w:autoSpaceDE/>
        <w:autoSpaceDN/>
        <w:bidi w:val="0"/>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除合同规定外，如果乙方没有按照合同规定的时间提供货物，甲方将从货款中扣除误期赔偿费而不影响合同项目的其他补救方法，赔偿费按每周未提供服务费用的0.5%计收，直至提供服务为止，一周按7天计算，不足7天按一周计算。但误期赔偿费的最高限为误期服务合同价的5%。一旦达到误期赔偿的最高限额，甲方可考虑终止合同。</w:t>
      </w:r>
    </w:p>
    <w:p w14:paraId="26D472EC">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二十、不可抗力</w:t>
      </w:r>
    </w:p>
    <w:p w14:paraId="3F498D0B">
      <w:pPr>
        <w:pageBreakBefore w:val="0"/>
        <w:widowControl w:val="0"/>
        <w:kinsoku/>
        <w:wordWrap/>
        <w:overflowPunct/>
        <w:topLinePunct w:val="0"/>
        <w:autoSpaceDE/>
        <w:autoSpaceDN/>
        <w:bidi w:val="0"/>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在不可抗力事件发生后，乙方应尽快以书面形式将不可抗力的情况和原因通知甲方，同时应尽实际可能继续履行合同义务，以及寻求采取合理的方案履行不受不可抗力影响的其他事项。如果不可抗力事件影响时间持续120天以上时，双方应通过友好协商在合理的时间内达成进一步履行合同的协议。</w:t>
      </w:r>
    </w:p>
    <w:p w14:paraId="03B4B983">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二十一、税费</w:t>
      </w:r>
    </w:p>
    <w:p w14:paraId="473D9A40">
      <w:pPr>
        <w:pageBreakBefore w:val="0"/>
        <w:widowControl w:val="0"/>
        <w:kinsoku/>
        <w:wordWrap/>
        <w:overflowPunct/>
        <w:topLinePunct w:val="0"/>
        <w:autoSpaceDE/>
        <w:autoSpaceDN/>
        <w:bidi w:val="0"/>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中国政府根据现行税法规定对甲方征收的与本合同有关的一切税费由甲方负担；规定对乙方征收的与本合同有关的一切税费由乙方负担。</w:t>
      </w:r>
    </w:p>
    <w:p w14:paraId="215363EA">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二十二、合同争议</w:t>
      </w:r>
    </w:p>
    <w:p w14:paraId="172CD99C">
      <w:pPr>
        <w:pageBreakBefore w:val="0"/>
        <w:widowControl w:val="0"/>
        <w:kinsoku/>
        <w:wordWrap/>
        <w:overflowPunct/>
        <w:topLinePunct w:val="0"/>
        <w:autoSpaceDE/>
        <w:autoSpaceDN/>
        <w:bidi w:val="0"/>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甲乙双方应通过友好协商，解决在执行本合同中所发生的或与本合同有关的一切争议。如果协商仍得不到解决，任何一方均可按“《中华人民共和国政府采购法》”“《中华人民共和国民法典》”等规定提交调解和仲裁。</w:t>
      </w:r>
    </w:p>
    <w:p w14:paraId="2EA4E1BB">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二十三、适用法律</w:t>
      </w:r>
    </w:p>
    <w:p w14:paraId="06749549">
      <w:pPr>
        <w:pageBreakBefore w:val="0"/>
        <w:widowControl w:val="0"/>
        <w:kinsoku/>
        <w:wordWrap/>
        <w:overflowPunct/>
        <w:topLinePunct w:val="0"/>
        <w:autoSpaceDE/>
        <w:autoSpaceDN/>
        <w:bidi w:val="0"/>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本合同应按照中华人民共和国的现行法律进行解释。</w:t>
      </w:r>
    </w:p>
    <w:tbl>
      <w:tblPr>
        <w:tblStyle w:val="4"/>
        <w:tblpPr w:leftFromText="180" w:rightFromText="180" w:vertAnchor="text" w:horzAnchor="page" w:tblpXSpec="center" w:tblpY="27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54"/>
        <w:gridCol w:w="4745"/>
      </w:tblGrid>
      <w:tr w14:paraId="4651A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3954" w:type="dxa"/>
            <w:vAlign w:val="center"/>
          </w:tcPr>
          <w:p w14:paraId="418FB689">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甲方：（盖章）</w:t>
            </w:r>
          </w:p>
        </w:tc>
        <w:tc>
          <w:tcPr>
            <w:tcW w:w="4745" w:type="dxa"/>
            <w:vAlign w:val="center"/>
          </w:tcPr>
          <w:p w14:paraId="415A7545">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乙方：（盖章）</w:t>
            </w:r>
          </w:p>
        </w:tc>
      </w:tr>
      <w:tr w14:paraId="335A2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3954" w:type="dxa"/>
            <w:vAlign w:val="center"/>
          </w:tcPr>
          <w:p w14:paraId="4587D572">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地址：</w:t>
            </w:r>
          </w:p>
        </w:tc>
        <w:tc>
          <w:tcPr>
            <w:tcW w:w="4745" w:type="dxa"/>
            <w:vAlign w:val="center"/>
          </w:tcPr>
          <w:p w14:paraId="07145DAB">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地址：</w:t>
            </w:r>
          </w:p>
        </w:tc>
      </w:tr>
      <w:tr w14:paraId="774A9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3954" w:type="dxa"/>
            <w:vAlign w:val="center"/>
          </w:tcPr>
          <w:p w14:paraId="24C29757">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法定（授权）代表人（签字或盖章）：</w:t>
            </w:r>
          </w:p>
        </w:tc>
        <w:tc>
          <w:tcPr>
            <w:tcW w:w="4745" w:type="dxa"/>
            <w:vAlign w:val="center"/>
          </w:tcPr>
          <w:p w14:paraId="5834A92A">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法定（授权）代表人（签字或盖章）：</w:t>
            </w:r>
          </w:p>
        </w:tc>
      </w:tr>
      <w:tr w14:paraId="38D79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3954" w:type="dxa"/>
            <w:vAlign w:val="center"/>
          </w:tcPr>
          <w:p w14:paraId="02C8C570">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联系电话：</w:t>
            </w:r>
          </w:p>
        </w:tc>
        <w:tc>
          <w:tcPr>
            <w:tcW w:w="4745" w:type="dxa"/>
            <w:vAlign w:val="center"/>
          </w:tcPr>
          <w:p w14:paraId="6B4B0A50">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联系电话：</w:t>
            </w:r>
          </w:p>
        </w:tc>
      </w:tr>
      <w:tr w14:paraId="45FD6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3954" w:type="dxa"/>
            <w:vAlign w:val="center"/>
          </w:tcPr>
          <w:p w14:paraId="425C4415">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年  月  日</w:t>
            </w:r>
          </w:p>
        </w:tc>
        <w:tc>
          <w:tcPr>
            <w:tcW w:w="4745" w:type="dxa"/>
            <w:vAlign w:val="center"/>
          </w:tcPr>
          <w:p w14:paraId="68ACBDE1">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年  月  日</w:t>
            </w:r>
          </w:p>
        </w:tc>
      </w:tr>
    </w:tbl>
    <w:p w14:paraId="5508BEB5">
      <w:pPr>
        <w:pageBreakBefore w:val="0"/>
        <w:widowControl w:val="0"/>
        <w:kinsoku/>
        <w:wordWrap/>
        <w:overflowPunct/>
        <w:topLinePunct w:val="0"/>
        <w:autoSpaceDE/>
        <w:autoSpaceDN/>
        <w:bidi w:val="0"/>
        <w:spacing w:line="360" w:lineRule="auto"/>
        <w:ind w:firstLine="0" w:firstLineChars="0"/>
        <w:textAlignment w:val="auto"/>
      </w:pPr>
    </w:p>
    <w:p w14:paraId="604ABF83"/>
    <w:sectPr>
      <w:pgSz w:w="11906" w:h="16838"/>
      <w:pgMar w:top="1134" w:right="1587" w:bottom="1440"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62158E"/>
    <w:rsid w:val="15F67FA8"/>
    <w:rsid w:val="2862158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网格型_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2026-08-07T08:46:00Z</dcterms:created>
  <dc:creator>Administrator</dc:creator>
  <cp:lastModifiedBy>Administrator</cp:lastModifiedBy>
  <dcterms:modified xsi:type="dcterms:W3CDTF">2026-08-07T08:53:17Z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F46A8D1E3F834877ABD4075C3E765C42_11</vt:lpwstr>
  </property>
  <property fmtid="{D5CDD505-2E9C-101B-9397-08002B2CF9AE}" pid="4" name="KSOTemplateDocerSaveRecord">
    <vt:lpwstr>eyJoZGlkIjoiMmQxNzExZGJkYzhjMTQwM2IzY2NhZWNkMmI4YzBiYTEiLCJ1c2VySWQiOiI0MTE0NTUwMjMifQ==</vt:lpwstr>
  </property>
</Properties>
</file>