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20"/>
          <w:szCs w:val="22"/>
          <w:highlight w:val="none"/>
        </w:rPr>
      </w:pPr>
      <w:r>
        <w:rPr>
          <w:rFonts w:ascii="宋体" w:hAnsi="宋体"/>
          <w:color w:val="000000"/>
          <w:sz w:val="20"/>
          <w:szCs w:val="22"/>
          <w:highlight w:val="none"/>
        </w:rPr>
      </w:r>
      <w:r/>
    </w:p>
    <w:p>
      <w:pPr>
        <w:rPr>
          <w:rFonts w:ascii="宋体" w:hAnsi="宋体"/>
          <w:color w:val="000000"/>
          <w:highlight w:val="none"/>
        </w:rPr>
      </w:pPr>
      <w:r>
        <w:rPr>
          <w:rFonts w:ascii="宋体" w:hAnsi="宋体"/>
          <w:color w:val="000000"/>
          <w:highlight w:val="none"/>
        </w:rPr>
      </w:r>
      <w:r/>
    </w:p>
    <w:p>
      <w:pPr>
        <w:pStyle w:val="1674"/>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rPr>
          <w:rFonts w:ascii="宋体" w:hAnsi="宋体"/>
          <w:b/>
          <w:color w:val="000000"/>
          <w:sz w:val="56"/>
          <w:szCs w:val="56"/>
          <w:highlight w:val="none"/>
        </w:rPr>
      </w:pPr>
      <w:r/>
      <w:bookmarkStart w:id="0" w:name="_Toc537065439"/>
      <w:r>
        <w:rPr>
          <w:rFonts w:hint="eastAsia" w:ascii="宋体" w:hAnsi="宋体"/>
          <w:b/>
          <w:color w:val="000000"/>
          <w:sz w:val="56"/>
          <w:szCs w:val="56"/>
          <w:highlight w:val="none"/>
        </w:rPr>
        <w:t xml:space="preserve">竞 争 性 磋 商 文 件</w:t>
      </w:r>
      <w:bookmarkEnd w:id="0"/>
      <w:r/>
      <w:r/>
    </w:p>
    <w:p>
      <w:pPr>
        <w:rPr>
          <w:rFonts w:ascii="宋体" w:hAnsi="宋体"/>
          <w:color w:val="000000"/>
          <w:highlight w:val="none"/>
        </w:rPr>
      </w:pPr>
      <w:r>
        <w:rPr>
          <w:rFonts w:ascii="宋体" w:hAnsi="宋体"/>
          <w:color w:val="000000"/>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674"/>
        <w:rPr>
          <w:rFonts w:ascii="宋体" w:hAnsi="宋体" w:eastAsia="宋体"/>
          <w:color w:val="000000"/>
          <w:highlight w:val="none"/>
        </w:rPr>
      </w:pPr>
      <w:r>
        <w:rPr>
          <w:rFonts w:ascii="宋体" w:hAnsi="宋体" w:eastAsia="宋体"/>
          <w:color w:val="000000"/>
          <w:highlight w:val="none"/>
        </w:rPr>
      </w:r>
      <w:r/>
    </w:p>
    <w:p>
      <w:pPr>
        <w:pStyle w:val="1674"/>
        <w:rPr>
          <w:rFonts w:ascii="宋体" w:hAnsi="宋体" w:eastAsia="宋体"/>
          <w:color w:val="000000"/>
          <w:highlight w:val="none"/>
        </w:rPr>
      </w:pPr>
      <w:r>
        <w:rPr>
          <w:rFonts w:ascii="宋体" w:hAnsi="宋体" w:eastAsia="宋体"/>
          <w:color w:val="000000"/>
          <w:highlight w:val="none"/>
        </w:rPr>
      </w:r>
      <w:r/>
    </w:p>
    <w:p>
      <w:pPr>
        <w:jc w:val="center"/>
        <w:spacing w:line="480" w:lineRule="auto"/>
        <w:rPr>
          <w:rFonts w:ascii="宋体" w:hAnsi="宋体"/>
          <w:b/>
          <w:color w:val="000000"/>
          <w:sz w:val="32"/>
          <w:szCs w:val="22"/>
          <w:highlight w:val="none"/>
        </w:rPr>
      </w:pPr>
      <w:r/>
      <w:bookmarkStart w:id="1" w:name="_Toc585064932"/>
      <w:r/>
      <w:r/>
    </w:p>
    <w:p>
      <w:pPr>
        <w:jc w:val="center"/>
        <w:spacing w:line="480" w:lineRule="auto"/>
        <w:rPr>
          <w:rFonts w:hint="default" w:ascii="宋体" w:hAnsi="宋体" w:eastAsia="宋体"/>
          <w:b/>
          <w:color w:val="000000"/>
          <w:sz w:val="32"/>
          <w:szCs w:val="22"/>
          <w:highlight w:val="none"/>
          <w:lang w:val="en-US" w:eastAsia="zh-CN"/>
        </w:rPr>
      </w:pPr>
      <w:r>
        <w:rPr>
          <w:rFonts w:hint="eastAsia" w:ascii="宋体" w:hAnsi="宋体"/>
          <w:b/>
          <w:color w:val="000000"/>
          <w:sz w:val="32"/>
          <w:szCs w:val="22"/>
          <w:highlight w:val="none"/>
        </w:rPr>
        <w:t xml:space="preserve">项目编号：</w:t>
      </w:r>
      <w:bookmarkEnd w:id="1"/>
      <w:r>
        <w:rPr>
          <w:rFonts w:hint="eastAsia" w:ascii="宋体" w:hAnsi="宋体"/>
          <w:b/>
          <w:color w:val="000000"/>
          <w:sz w:val="32"/>
          <w:szCs w:val="22"/>
          <w:highlight w:val="none"/>
        </w:rPr>
        <w:t xml:space="preserve">JSZC-321100-JSWX-C2026-0027</w:t>
      </w:r>
      <w:r/>
    </w:p>
    <w:p>
      <w:pPr>
        <w:jc w:val="center"/>
        <w:spacing w:line="360" w:lineRule="auto"/>
        <w:rPr>
          <w:rFonts w:ascii="宋体" w:hAnsi="宋体"/>
          <w:b/>
          <w:bCs/>
          <w:color w:val="000000"/>
          <w:sz w:val="32"/>
          <w:szCs w:val="32"/>
          <w:highlight w:val="none"/>
        </w:rPr>
      </w:pPr>
      <w:r/>
      <w:bookmarkStart w:id="2" w:name="_Toc2006176158"/>
      <w:r>
        <w:rPr>
          <w:rFonts w:hint="eastAsia" w:ascii="宋体" w:hAnsi="宋体"/>
          <w:b/>
          <w:color w:val="000000"/>
          <w:sz w:val="32"/>
          <w:szCs w:val="22"/>
          <w:highlight w:val="none"/>
        </w:rPr>
        <w:t xml:space="preserve">项目名称：</w:t>
      </w:r>
      <w:bookmarkEnd w:id="2"/>
      <w:r>
        <w:rPr>
          <w:rFonts w:hint="eastAsia" w:ascii="宋体" w:hAnsi="宋体"/>
          <w:b/>
          <w:color w:val="000000"/>
          <w:sz w:val="32"/>
          <w:szCs w:val="22"/>
          <w:highlight w:val="none"/>
        </w:rPr>
        <w:t xml:space="preserve">镇江市国土空间总体规划(2021-2035年)五年评估及分区规划评估项目</w:t>
      </w:r>
      <w:r/>
    </w:p>
    <w:p>
      <w:pPr>
        <w:spacing w:line="480" w:lineRule="auto"/>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674"/>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674"/>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674"/>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674"/>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spacing w:before="240"/>
        <w:rPr>
          <w:rFonts w:ascii="宋体" w:hAnsi="宋体"/>
          <w:b/>
          <w:color w:val="000000"/>
          <w:sz w:val="32"/>
          <w:szCs w:val="32"/>
          <w:highlight w:val="none"/>
        </w:rPr>
      </w:pPr>
      <w:r/>
      <w:bookmarkStart w:id="3" w:name="_Toc161945959"/>
      <w:r>
        <w:rPr>
          <w:rFonts w:hint="eastAsia" w:ascii="宋体" w:hAnsi="宋体"/>
          <w:b/>
          <w:color w:val="000000"/>
          <w:sz w:val="32"/>
          <w:szCs w:val="32"/>
          <w:highlight w:val="none"/>
        </w:rPr>
        <w:t xml:space="preserve">江苏巍信项目管理有限公司</w:t>
      </w:r>
      <w:bookmarkEnd w:id="3"/>
      <w:r/>
      <w:r/>
    </w:p>
    <w:p>
      <w:pPr>
        <w:jc w:val="center"/>
        <w:spacing w:before="240" w:after="240"/>
        <w:rPr>
          <w:rFonts w:ascii="宋体" w:hAnsi="宋体"/>
          <w:b/>
          <w:color w:val="000000"/>
          <w:sz w:val="32"/>
          <w:szCs w:val="32"/>
          <w:highlight w:val="none"/>
        </w:rPr>
      </w:pPr>
      <w:r>
        <w:rPr>
          <w:rFonts w:hint="eastAsia" w:ascii="宋体" w:hAnsi="宋体"/>
          <w:b/>
          <w:color w:val="000000"/>
          <w:sz w:val="32"/>
          <w:szCs w:val="32"/>
          <w:highlight w:val="none"/>
        </w:rPr>
        <w:t xml:space="preserve">二○二六年</w:t>
      </w:r>
      <w:r>
        <w:rPr>
          <w:rFonts w:hint="eastAsia" w:ascii="宋体" w:hAnsi="宋体"/>
          <w:b/>
          <w:color w:val="000000"/>
          <w:sz w:val="32"/>
          <w:szCs w:val="32"/>
          <w:highlight w:val="none"/>
          <w:lang w:val="en-US" w:eastAsia="zh-CN"/>
        </w:rPr>
        <w:t xml:space="preserve">八</w:t>
      </w:r>
      <w:r>
        <w:rPr>
          <w:rFonts w:hint="eastAsia" w:ascii="宋体" w:hAnsi="宋体"/>
          <w:b/>
          <w:color w:val="000000"/>
          <w:sz w:val="32"/>
          <w:szCs w:val="32"/>
          <w:highlight w:val="none"/>
        </w:rPr>
        <w:t xml:space="preserve">月</w:t>
      </w:r>
      <w:r/>
    </w:p>
    <w:p>
      <w:pPr>
        <w:jc w:val="center"/>
        <w:spacing w:before="240" w:after="240"/>
        <w:rPr>
          <w:rFonts w:ascii="宋体" w:hAnsi="宋体"/>
          <w:b/>
          <w:color w:val="000000"/>
          <w:sz w:val="28"/>
          <w:szCs w:val="28"/>
          <w:highlight w:val="none"/>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800" w:bottom="1440" w:left="1800" w:header="851" w:footer="992" w:gutter="0"/>
          <w:pgNumType w:start="1"/>
          <w:cols w:num="1" w:sep="0" w:space="1701" w:equalWidth="1"/>
          <w:docGrid w:linePitch="360"/>
        </w:sectPr>
      </w:pPr>
      <w:r>
        <w:rPr>
          <w:rFonts w:ascii="宋体" w:hAnsi="宋体"/>
          <w:b/>
          <w:color w:val="000000"/>
          <w:sz w:val="28"/>
          <w:szCs w:val="28"/>
          <w:highlight w:val="none"/>
        </w:rPr>
      </w:r>
      <w:r/>
    </w:p>
    <w:p>
      <w:pPr>
        <w:pStyle w:val="1674"/>
        <w:rPr>
          <w:rFonts w:ascii="宋体" w:hAnsi="宋体" w:eastAsia="宋体"/>
          <w:color w:val="000000"/>
          <w:sz w:val="24"/>
          <w:szCs w:val="18"/>
          <w:highlight w:val="none"/>
        </w:rPr>
      </w:pPr>
      <w:r>
        <w:rPr>
          <w:rFonts w:ascii="宋体" w:hAnsi="宋体" w:eastAsia="宋体"/>
          <w:color w:val="000000"/>
          <w:sz w:val="24"/>
          <w:szCs w:val="18"/>
          <w:highlight w:val="none"/>
        </w:rPr>
      </w:r>
      <w:r/>
    </w:p>
    <w:p>
      <w:pPr>
        <w:jc w:val="center"/>
        <w:spacing w:before="240" w:after="240"/>
        <w:rPr>
          <w:rFonts w:ascii="宋体" w:hAnsi="宋体"/>
          <w:b/>
          <w:color w:val="000000"/>
          <w:sz w:val="40"/>
          <w:szCs w:val="22"/>
          <w:highlight w:val="none"/>
        </w:rPr>
      </w:pPr>
      <w:r>
        <w:rPr>
          <w:rFonts w:hint="eastAsia" w:ascii="宋体" w:hAnsi="宋体"/>
          <w:b/>
          <w:color w:val="000000"/>
          <w:sz w:val="32"/>
          <w:szCs w:val="32"/>
          <w:highlight w:val="none"/>
        </w:rPr>
        <w:t xml:space="preserve">磋商文件目录</w:t>
      </w:r>
      <w:r/>
    </w:p>
    <w:p>
      <w:pPr>
        <w:pStyle w:val="1455"/>
        <w:spacing w:line="360" w:lineRule="auto"/>
        <w:tabs>
          <w:tab w:val="right" w:pos="9747" w:leader="dot"/>
        </w:tabs>
        <w:rPr>
          <w:sz w:val="24"/>
          <w:highlight w:val="none"/>
        </w:rPr>
      </w:pPr>
      <w:r/>
      <w:bookmarkStart w:id="4" w:name="_Toc105940806"/>
      <w:r/>
      <w:bookmarkStart w:id="5" w:name="_Toc20732967"/>
      <w:r/>
      <w:bookmarkStart w:id="6" w:name="_Toc100386033"/>
      <w:r/>
      <w:bookmarkStart w:id="7" w:name="_Toc92167999"/>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TOC \o "1-1" \h \u </w:instrText>
      </w:r>
      <w:r>
        <w:rPr>
          <w:rFonts w:hint="eastAsia" w:ascii="宋体" w:hAnsi="宋体" w:cs="宋体"/>
          <w:b/>
          <w:bCs/>
          <w:color w:val="000000"/>
          <w:sz w:val="24"/>
          <w:highlight w:val="none"/>
        </w:rPr>
        <w:fldChar w:fldCharType="separate"/>
      </w:r>
      <w:r>
        <w:rPr>
          <w:highlight w:val="none"/>
        </w:rPr>
        <w:fldChar w:fldCharType="begin"/>
      </w:r>
      <w:r>
        <w:rPr>
          <w:highlight w:val="none"/>
        </w:rPr>
        <w:instrText xml:space="preserve"> HYPERLINK \l "_Toc4005" </w:instrText>
      </w:r>
      <w:r>
        <w:rPr>
          <w:highlight w:val="none"/>
        </w:rPr>
        <w:fldChar w:fldCharType="separate"/>
      </w:r>
      <w:r>
        <w:rPr>
          <w:rFonts w:hint="eastAsia" w:ascii="宋体" w:hAnsi="宋体" w:cs="宋体"/>
          <w:sz w:val="24"/>
          <w:highlight w:val="none"/>
        </w:rPr>
        <w:t xml:space="preserve">第一部分  磋商邀请</w:t>
      </w:r>
      <w:r>
        <w:rPr>
          <w:sz w:val="24"/>
          <w:highlight w:val="none"/>
        </w:rPr>
        <w:tab/>
      </w:r>
      <w:r>
        <w:rPr>
          <w:sz w:val="24"/>
          <w:highlight w:val="none"/>
        </w:rPr>
        <w:fldChar w:fldCharType="begin"/>
      </w:r>
      <w:r>
        <w:rPr>
          <w:sz w:val="24"/>
          <w:highlight w:val="none"/>
        </w:rPr>
        <w:instrText xml:space="preserve"> PAGEREF _Toc4005 \h </w:instrText>
      </w:r>
      <w:r>
        <w:rPr>
          <w:sz w:val="24"/>
          <w:highlight w:val="none"/>
        </w:rPr>
        <w:fldChar w:fldCharType="separate"/>
      </w:r>
      <w:r>
        <w:rPr>
          <w:sz w:val="24"/>
          <w:highlight w:val="none"/>
        </w:rPr>
        <w:t xml:space="preserve">3</w:t>
      </w:r>
      <w:r>
        <w:rPr>
          <w:sz w:val="24"/>
          <w:highlight w:val="none"/>
        </w:rPr>
        <w:fldChar w:fldCharType="end"/>
      </w:r>
      <w:r>
        <w:rPr>
          <w:sz w:val="24"/>
          <w:highlight w:val="none"/>
        </w:rPr>
        <w:fldChar w:fldCharType="end"/>
      </w:r>
      <w:r/>
    </w:p>
    <w:p>
      <w:pPr>
        <w:pStyle w:val="1455"/>
        <w:spacing w:line="360" w:lineRule="auto"/>
        <w:tabs>
          <w:tab w:val="right" w:pos="9747" w:leader="dot"/>
        </w:tabs>
        <w:rPr>
          <w:sz w:val="24"/>
          <w:highlight w:val="none"/>
        </w:rPr>
      </w:pPr>
      <w:r>
        <w:rPr>
          <w:highlight w:val="none"/>
        </w:rPr>
        <w:fldChar w:fldCharType="begin"/>
      </w:r>
      <w:r>
        <w:rPr>
          <w:highlight w:val="none"/>
        </w:rPr>
        <w:instrText xml:space="preserve"> HYPERLINK \l "_Toc13833" </w:instrText>
      </w:r>
      <w:r>
        <w:rPr>
          <w:highlight w:val="none"/>
        </w:rPr>
        <w:fldChar w:fldCharType="separate"/>
      </w:r>
      <w:r>
        <w:rPr>
          <w:rFonts w:hint="eastAsia" w:ascii="宋体" w:hAnsi="宋体" w:cs="宋体"/>
          <w:sz w:val="24"/>
          <w:highlight w:val="none"/>
        </w:rPr>
        <w:t xml:space="preserve">第二部分  供应商须知</w:t>
      </w:r>
      <w:r>
        <w:rPr>
          <w:sz w:val="24"/>
          <w:highlight w:val="none"/>
        </w:rPr>
        <w:tab/>
      </w:r>
      <w:r>
        <w:rPr>
          <w:sz w:val="24"/>
          <w:highlight w:val="none"/>
        </w:rPr>
        <w:fldChar w:fldCharType="begin"/>
      </w:r>
      <w:r>
        <w:rPr>
          <w:sz w:val="24"/>
          <w:highlight w:val="none"/>
        </w:rPr>
        <w:instrText xml:space="preserve"> PAGEREF _Toc13833 \h </w:instrText>
      </w:r>
      <w:r>
        <w:rPr>
          <w:sz w:val="24"/>
          <w:highlight w:val="none"/>
        </w:rPr>
        <w:fldChar w:fldCharType="separate"/>
      </w:r>
      <w:r>
        <w:rPr>
          <w:sz w:val="24"/>
          <w:highlight w:val="none"/>
        </w:rPr>
        <w:t xml:space="preserve">7</w:t>
      </w:r>
      <w:r>
        <w:rPr>
          <w:sz w:val="24"/>
          <w:highlight w:val="none"/>
        </w:rPr>
        <w:fldChar w:fldCharType="end"/>
      </w:r>
      <w:r>
        <w:rPr>
          <w:sz w:val="24"/>
          <w:highlight w:val="none"/>
        </w:rPr>
        <w:fldChar w:fldCharType="end"/>
      </w:r>
      <w:r/>
    </w:p>
    <w:p>
      <w:pPr>
        <w:pStyle w:val="1455"/>
        <w:spacing w:line="360" w:lineRule="auto"/>
        <w:tabs>
          <w:tab w:val="right" w:pos="9747" w:leader="dot"/>
        </w:tabs>
        <w:rPr>
          <w:sz w:val="24"/>
          <w:highlight w:val="none"/>
        </w:rPr>
      </w:pPr>
      <w:r>
        <w:rPr>
          <w:highlight w:val="none"/>
        </w:rPr>
        <w:fldChar w:fldCharType="begin"/>
      </w:r>
      <w:r>
        <w:rPr>
          <w:highlight w:val="none"/>
        </w:rPr>
        <w:instrText xml:space="preserve"> HYPERLINK \l "_Toc11670" </w:instrText>
      </w:r>
      <w:r>
        <w:rPr>
          <w:highlight w:val="none"/>
        </w:rPr>
        <w:fldChar w:fldCharType="separate"/>
      </w:r>
      <w:r>
        <w:rPr>
          <w:rFonts w:hint="eastAsia" w:ascii="宋体" w:hAnsi="宋体" w:cs="宋体"/>
          <w:sz w:val="24"/>
          <w:highlight w:val="none"/>
        </w:rPr>
        <w:t xml:space="preserve">第三部分  合同格式</w:t>
      </w:r>
      <w:r>
        <w:rPr>
          <w:sz w:val="24"/>
          <w:highlight w:val="none"/>
        </w:rPr>
        <w:tab/>
      </w:r>
      <w:r>
        <w:rPr>
          <w:sz w:val="24"/>
          <w:highlight w:val="none"/>
        </w:rPr>
        <w:fldChar w:fldCharType="begin"/>
      </w:r>
      <w:r>
        <w:rPr>
          <w:sz w:val="24"/>
          <w:highlight w:val="none"/>
        </w:rPr>
        <w:instrText xml:space="preserve"> PAGEREF _Toc11670 \h </w:instrText>
      </w:r>
      <w:r>
        <w:rPr>
          <w:sz w:val="24"/>
          <w:highlight w:val="none"/>
        </w:rPr>
        <w:fldChar w:fldCharType="separate"/>
      </w:r>
      <w:r>
        <w:rPr>
          <w:sz w:val="24"/>
          <w:highlight w:val="none"/>
        </w:rPr>
        <w:t xml:space="preserve">28</w:t>
      </w:r>
      <w:r>
        <w:rPr>
          <w:sz w:val="24"/>
          <w:highlight w:val="none"/>
        </w:rPr>
        <w:fldChar w:fldCharType="end"/>
      </w:r>
      <w:r>
        <w:rPr>
          <w:sz w:val="24"/>
          <w:highlight w:val="none"/>
        </w:rPr>
        <w:fldChar w:fldCharType="end"/>
      </w:r>
      <w:r/>
    </w:p>
    <w:p>
      <w:pPr>
        <w:pStyle w:val="1455"/>
        <w:spacing w:line="360" w:lineRule="auto"/>
        <w:tabs>
          <w:tab w:val="right" w:pos="9747" w:leader="dot"/>
        </w:tabs>
        <w:rPr>
          <w:sz w:val="24"/>
          <w:highlight w:val="none"/>
        </w:rPr>
      </w:pPr>
      <w:r>
        <w:rPr>
          <w:highlight w:val="none"/>
        </w:rPr>
        <w:fldChar w:fldCharType="begin"/>
      </w:r>
      <w:r>
        <w:rPr>
          <w:highlight w:val="none"/>
        </w:rPr>
        <w:instrText xml:space="preserve"> HYPERLINK \l "_Toc12977" </w:instrText>
      </w:r>
      <w:r>
        <w:rPr>
          <w:highlight w:val="none"/>
        </w:rPr>
        <w:fldChar w:fldCharType="separate"/>
      </w:r>
      <w:r>
        <w:rPr>
          <w:rFonts w:hint="eastAsia" w:ascii="宋体" w:hAnsi="宋体" w:cs="宋体"/>
          <w:sz w:val="24"/>
          <w:highlight w:val="none"/>
        </w:rPr>
        <w:t xml:space="preserve">第四部分  项目采购需求</w:t>
      </w:r>
      <w:r>
        <w:rPr>
          <w:sz w:val="24"/>
          <w:highlight w:val="none"/>
        </w:rPr>
        <w:tab/>
      </w:r>
      <w:r>
        <w:rPr>
          <w:sz w:val="24"/>
          <w:highlight w:val="none"/>
        </w:rPr>
        <w:fldChar w:fldCharType="begin"/>
      </w:r>
      <w:r>
        <w:rPr>
          <w:sz w:val="24"/>
          <w:highlight w:val="none"/>
        </w:rPr>
        <w:instrText xml:space="preserve"> PAGEREF _Toc12977 \h </w:instrText>
      </w:r>
      <w:r>
        <w:rPr>
          <w:sz w:val="24"/>
          <w:highlight w:val="none"/>
        </w:rPr>
        <w:fldChar w:fldCharType="separate"/>
      </w:r>
      <w:r>
        <w:rPr>
          <w:sz w:val="24"/>
          <w:highlight w:val="none"/>
        </w:rPr>
        <w:t xml:space="preserve">35</w:t>
      </w:r>
      <w:r>
        <w:rPr>
          <w:sz w:val="24"/>
          <w:highlight w:val="none"/>
        </w:rPr>
        <w:fldChar w:fldCharType="end"/>
      </w:r>
      <w:r>
        <w:rPr>
          <w:sz w:val="24"/>
          <w:highlight w:val="none"/>
        </w:rPr>
        <w:fldChar w:fldCharType="end"/>
      </w:r>
      <w:r/>
    </w:p>
    <w:p>
      <w:pPr>
        <w:pStyle w:val="1455"/>
        <w:spacing w:line="360" w:lineRule="auto"/>
        <w:tabs>
          <w:tab w:val="right" w:pos="9747" w:leader="dot"/>
        </w:tabs>
        <w:rPr>
          <w:sz w:val="24"/>
          <w:highlight w:val="none"/>
        </w:rPr>
      </w:pPr>
      <w:r>
        <w:rPr>
          <w:highlight w:val="none"/>
        </w:rPr>
        <w:fldChar w:fldCharType="begin"/>
      </w:r>
      <w:r>
        <w:rPr>
          <w:highlight w:val="none"/>
        </w:rPr>
        <w:instrText xml:space="preserve"> HYPERLINK \l "_Toc7242" </w:instrText>
      </w:r>
      <w:r>
        <w:rPr>
          <w:highlight w:val="none"/>
        </w:rPr>
        <w:fldChar w:fldCharType="separate"/>
      </w:r>
      <w:r>
        <w:rPr>
          <w:rFonts w:hint="eastAsia" w:ascii="宋体" w:hAnsi="宋体" w:cs="宋体"/>
          <w:sz w:val="24"/>
          <w:highlight w:val="none"/>
        </w:rPr>
        <w:t xml:space="preserve">第五部分  磋商及评审</w:t>
      </w:r>
      <w:r>
        <w:rPr>
          <w:sz w:val="24"/>
          <w:highlight w:val="none"/>
        </w:rPr>
        <w:tab/>
      </w:r>
      <w:r>
        <w:rPr>
          <w:sz w:val="24"/>
          <w:highlight w:val="none"/>
        </w:rPr>
        <w:fldChar w:fldCharType="begin"/>
      </w:r>
      <w:r>
        <w:rPr>
          <w:sz w:val="24"/>
          <w:highlight w:val="none"/>
        </w:rPr>
        <w:instrText xml:space="preserve"> PAGEREF _Toc7242 \h </w:instrText>
      </w:r>
      <w:r>
        <w:rPr>
          <w:sz w:val="24"/>
          <w:highlight w:val="none"/>
        </w:rPr>
        <w:fldChar w:fldCharType="separate"/>
      </w:r>
      <w:r>
        <w:rPr>
          <w:sz w:val="24"/>
          <w:highlight w:val="none"/>
        </w:rPr>
        <w:t xml:space="preserve">38</w:t>
      </w:r>
      <w:r>
        <w:rPr>
          <w:sz w:val="24"/>
          <w:highlight w:val="none"/>
        </w:rPr>
        <w:fldChar w:fldCharType="end"/>
      </w:r>
      <w:r>
        <w:rPr>
          <w:sz w:val="24"/>
          <w:highlight w:val="none"/>
        </w:rPr>
        <w:fldChar w:fldCharType="end"/>
      </w:r>
      <w:r/>
    </w:p>
    <w:p>
      <w:pPr>
        <w:pStyle w:val="1455"/>
        <w:spacing w:line="360" w:lineRule="auto"/>
        <w:tabs>
          <w:tab w:val="right" w:pos="9747" w:leader="dot"/>
        </w:tabs>
        <w:rPr>
          <w:sz w:val="24"/>
          <w:highlight w:val="none"/>
        </w:rPr>
      </w:pPr>
      <w:r>
        <w:rPr>
          <w:highlight w:val="none"/>
        </w:rPr>
        <w:fldChar w:fldCharType="begin"/>
      </w:r>
      <w:r>
        <w:rPr>
          <w:highlight w:val="none"/>
        </w:rPr>
        <w:instrText xml:space="preserve"> HYPERLINK \l "_Toc43" </w:instrText>
      </w:r>
      <w:r>
        <w:rPr>
          <w:highlight w:val="none"/>
        </w:rPr>
        <w:fldChar w:fldCharType="separate"/>
      </w:r>
      <w:r>
        <w:rPr>
          <w:rFonts w:hint="eastAsia" w:ascii="宋体" w:hAnsi="宋体" w:cs="宋体"/>
          <w:sz w:val="24"/>
          <w:highlight w:val="none"/>
        </w:rPr>
        <w:t xml:space="preserve">第六部分  磋商响应文件（格式）</w:t>
      </w:r>
      <w:r>
        <w:rPr>
          <w:sz w:val="24"/>
          <w:highlight w:val="none"/>
        </w:rPr>
        <w:tab/>
      </w:r>
      <w:r>
        <w:rPr>
          <w:sz w:val="24"/>
          <w:highlight w:val="none"/>
        </w:rPr>
        <w:fldChar w:fldCharType="begin"/>
      </w:r>
      <w:r>
        <w:rPr>
          <w:sz w:val="24"/>
          <w:highlight w:val="none"/>
        </w:rPr>
        <w:instrText xml:space="preserve"> PAGEREF _Toc43 \h </w:instrText>
      </w:r>
      <w:r>
        <w:rPr>
          <w:sz w:val="24"/>
          <w:highlight w:val="none"/>
        </w:rPr>
        <w:fldChar w:fldCharType="separate"/>
      </w:r>
      <w:r>
        <w:rPr>
          <w:sz w:val="24"/>
          <w:highlight w:val="none"/>
        </w:rPr>
        <w:t xml:space="preserve">44</w:t>
      </w:r>
      <w:r>
        <w:rPr>
          <w:sz w:val="24"/>
          <w:highlight w:val="none"/>
        </w:rPr>
        <w:fldChar w:fldCharType="end"/>
      </w:r>
      <w:r>
        <w:rPr>
          <w:sz w:val="24"/>
          <w:highlight w:val="none"/>
        </w:rPr>
        <w:fldChar w:fldCharType="end"/>
      </w:r>
      <w:r/>
    </w:p>
    <w:p>
      <w:pPr>
        <w:spacing w:line="360" w:lineRule="auto"/>
        <w:rPr>
          <w:rFonts w:ascii="宋体" w:hAnsi="宋体"/>
          <w:bCs/>
          <w:color w:val="000000"/>
          <w:sz w:val="22"/>
          <w:szCs w:val="20"/>
          <w:highlight w:val="none"/>
        </w:rPr>
      </w:pPr>
      <w:r>
        <w:rPr>
          <w:rFonts w:hint="eastAsia" w:ascii="宋体" w:hAnsi="宋体" w:cs="宋体"/>
          <w:bCs/>
          <w:color w:val="000000"/>
          <w:sz w:val="24"/>
          <w:highlight w:val="none"/>
        </w:rPr>
        <w:fldChar w:fldCharType="end"/>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bookmarkEnd w:id="4"/>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jc w:val="center"/>
        <w:spacing w:line="360" w:lineRule="auto"/>
        <w:rPr>
          <w:rStyle w:val="1669"/>
          <w:rFonts w:ascii="宋体" w:hAnsi="宋体" w:cs="宋体"/>
          <w:color w:val="000000"/>
          <w:sz w:val="28"/>
          <w:szCs w:val="28"/>
          <w:highlight w:val="none"/>
        </w:rPr>
        <w:sectPr>
          <w:headerReference w:type="default" r:id="rId11"/>
          <w:footerReference w:type="default" r:id="rId20"/>
          <w:footnotePr/>
          <w:endnotePr/>
          <w:type w:val="nextPage"/>
          <w:pgSz w:w="11907" w:h="16839" w:orient="portrait"/>
          <w:pgMar w:top="1440" w:right="1080" w:bottom="1440" w:left="1080" w:header="1111" w:footer="1229" w:gutter="0"/>
          <w:cols w:num="1" w:sep="0" w:space="1701" w:equalWidth="1"/>
          <w:docGrid w:linePitch="360"/>
        </w:sectPr>
      </w:pPr>
      <w:r>
        <w:rPr>
          <w:rFonts w:ascii="宋体" w:hAnsi="宋体" w:cs="宋体"/>
          <w:color w:val="000000"/>
          <w:sz w:val="28"/>
          <w:szCs w:val="28"/>
          <w:highlight w:val="none"/>
        </w:rPr>
      </w:r>
      <w:r/>
    </w:p>
    <w:p>
      <w:pPr>
        <w:jc w:val="center"/>
        <w:spacing w:line="360" w:lineRule="auto"/>
        <w:rPr>
          <w:rStyle w:val="1669"/>
          <w:rFonts w:ascii="宋体" w:hAnsi="宋体" w:cs="宋体"/>
          <w:color w:val="000000"/>
          <w:sz w:val="28"/>
          <w:szCs w:val="28"/>
          <w:highlight w:val="none"/>
        </w:rPr>
        <w:outlineLvl w:val="0"/>
      </w:pPr>
      <w:r/>
      <w:bookmarkStart w:id="8" w:name="_Toc29296085"/>
      <w:r/>
      <w:bookmarkStart w:id="9" w:name="_Toc4005"/>
      <w:r>
        <w:rPr>
          <w:rStyle w:val="1669"/>
          <w:rFonts w:hint="eastAsia" w:ascii="宋体" w:hAnsi="宋体" w:cs="宋体"/>
          <w:color w:val="000000"/>
          <w:sz w:val="28"/>
          <w:szCs w:val="28"/>
          <w:highlight w:val="none"/>
        </w:rPr>
        <w:t xml:space="preserve">第一部分  磋商邀请</w:t>
      </w:r>
      <w:bookmarkEnd w:id="5"/>
      <w:r/>
      <w:bookmarkEnd w:id="6"/>
      <w:r/>
      <w:bookmarkEnd w:id="7"/>
      <w:r/>
      <w:bookmarkEnd w:id="8"/>
      <w:r/>
      <w:bookmarkEnd w:id="9"/>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10" w:name="_Toc100386044"/>
      <w:r/>
      <w:bookmarkStart w:id="11" w:name="_Toc92168010"/>
      <w:r/>
      <w:bookmarkStart w:id="12" w:name="_Toc20732978"/>
      <w:r/>
      <w:bookmarkStart w:id="13" w:name="_Toc98669341"/>
      <w:r/>
      <w:bookmarkStart w:id="14" w:name="_Toc98669699"/>
      <w:r>
        <w:rPr>
          <w:rFonts w:hint="eastAsia" w:ascii="宋体" w:hAnsi="宋体" w:cs="宋体"/>
          <w:color w:val="000000"/>
          <w:sz w:val="24"/>
          <w:highlight w:val="none"/>
        </w:rPr>
        <w:t xml:space="preserve">项目概况</w:t>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镇江市国土空间总体规划(2021-2035年)五年评估及分区规划评估项目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“苏采云”电子交易平台http://jszfcg.jsczt.cn/</w:t>
      </w:r>
      <w:r>
        <w:rPr>
          <w:rFonts w:hint="eastAsia" w:ascii="宋体" w:hAnsi="宋体" w:cs="宋体"/>
          <w:color w:val="000000"/>
          <w:sz w:val="24"/>
          <w:highlight w:val="none"/>
        </w:rPr>
        <w:t xml:space="preserve">获取磋商文件，并于</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09</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点30分</w:t>
      </w:r>
      <w:r>
        <w:rPr>
          <w:rFonts w:hint="eastAsia" w:ascii="宋体" w:hAnsi="宋体"/>
          <w:bCs/>
          <w:color w:val="000000"/>
          <w:sz w:val="24"/>
          <w:highlight w:val="none"/>
        </w:rPr>
        <w:t xml:space="preserve">（北京时间）前按要求提交响应</w:t>
      </w:r>
      <w:r>
        <w:rPr>
          <w:rFonts w:ascii="宋体" w:hAnsi="宋体"/>
          <w:bCs/>
          <w:color w:val="000000"/>
          <w:sz w:val="24"/>
          <w:highlight w:val="none"/>
        </w:rPr>
        <w:t xml:space="preserve">文件</w:t>
      </w:r>
      <w:r>
        <w:rPr>
          <w:rFonts w:hint="eastAsia" w:ascii="宋体" w:hAnsi="宋体" w:cs="宋体"/>
          <w:color w:val="000000"/>
          <w:sz w:val="24"/>
          <w:highlight w:val="none"/>
        </w:rPr>
        <w:t xml:space="preserve">。</w:t>
      </w:r>
      <w:r/>
    </w:p>
    <w:p>
      <w:pPr>
        <w:jc w:val="left"/>
        <w:spacing w:before="240"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项目编号：JSZC-321100-JSWX-C2026-0027</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镇江市国土空间总体规划(2021-2035年)五年评估及分区规划评估项目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val="en-US" w:eastAsia="zh-CN"/>
        </w:rPr>
        <w:t xml:space="preserve">280</w:t>
      </w:r>
      <w:r>
        <w:rPr>
          <w:rFonts w:hint="eastAsia" w:ascii="宋体" w:hAnsi="宋体" w:cs="宋体"/>
          <w:color w:val="000000"/>
          <w:sz w:val="24"/>
          <w:highlight w:val="none"/>
        </w:rPr>
        <w:t xml:space="preserve">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280</w:t>
      </w:r>
      <w:r>
        <w:rPr>
          <w:rFonts w:hint="eastAsia" w:ascii="宋体" w:hAnsi="宋体" w:cs="宋体"/>
          <w:color w:val="000000"/>
          <w:sz w:val="24"/>
          <w:highlight w:val="none"/>
        </w:rPr>
        <w:t xml:space="preserve">万元，投标报价超过最高限价的视为无效报价。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采购需求：详细内容及要求见磋商文件第四部分采购需求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合同履行期限：详细内容及要求见磋商文件第四部分采购需求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本项目是否接受联合体：本项目接受联合体参与磋商，</w:t>
      </w:r>
      <w:r>
        <w:rPr>
          <w:rFonts w:hint="eastAsia" w:ascii="宋体" w:hAnsi="宋体" w:cs="宋体"/>
          <w:b/>
          <w:bCs/>
          <w:color w:val="000000"/>
          <w:sz w:val="24"/>
          <w:highlight w:val="none"/>
        </w:rPr>
        <w:t xml:space="preserve">联合体有关要求如下：</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组成联合体磋商的</w:t>
      </w:r>
      <w:r>
        <w:rPr>
          <w:rFonts w:hint="eastAsia" w:ascii="宋体" w:hAnsi="宋体" w:cs="宋体"/>
          <w:color w:val="auto"/>
          <w:sz w:val="24"/>
          <w:highlight w:val="none"/>
        </w:rPr>
        <w:t xml:space="preserve">，联合体</w:t>
      </w:r>
      <w:r>
        <w:rPr>
          <w:rFonts w:hint="eastAsia" w:ascii="宋体" w:hAnsi="宋体" w:cs="宋体"/>
          <w:color w:val="auto"/>
          <w:sz w:val="24"/>
          <w:highlight w:val="none"/>
          <w:lang w:val="en-US" w:eastAsia="zh-CN"/>
        </w:rPr>
        <w:t xml:space="preserve">成员总数量</w:t>
      </w:r>
      <w:r>
        <w:rPr>
          <w:rFonts w:hint="eastAsia" w:ascii="宋体" w:hAnsi="宋体" w:cs="宋体"/>
          <w:color w:val="auto"/>
          <w:sz w:val="24"/>
          <w:highlight w:val="none"/>
        </w:rPr>
        <w:t xml:space="preserve">不得超过2家。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由具备城乡规划编制甲级资质的供应商作为联合体牵头单位，双方必须签订联合体协议(协议中应规定所有联合体成员在合同中共同的和各自的责任，牵头人应被授权代表所有联合体成员接受指令，并且由牵头人负责整个合同的全面实施，联合体协议详见投标文件格式)。</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（2）组成联合体投标的，由联合体牵头单位负责网上报名、递交投标响应文件等流程。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（3）联合体各方签订联合体协议后，不得再以自己名义单独报名参与本项目，也不得组成新的联合体参加报名。</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二、申请人的资格要求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1.1具有独立承担民事责任的能力（提供法人或者其他组织的营业执照等证明文件扫描件；供应商为自然人的，提供其身份证扫描件）；</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1.3具有履行合同所必需的设备和专业技术能力[提供供应商相关信息一览表或资格承诺函（格式见第六部分）]；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1.4有依法缴纳税收和社会保障资金的良好记录[提供参加本次政府采购活动前半年内至少一个月依法缴纳税收和社会保险的凭据或资格承诺函（格式见第六部分）]；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1.5参加政府采购活动前三年内，在经营活动中没有重大违法记录[见磋商承诺函或提供资格承诺函（格式见第六部分）]；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1.6法律、行政法规规定的其他条件：无。</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2.1本项目支持和适用节能环保产品（财库【2019】9号）、（财库【2019】19号）、（财库【2019】18号）；支持中小微企业（财库【2022】19号）、（苏财购【2022】45号）、（工信部联企业【2011】</w:t>
      </w:r>
      <w:r>
        <w:rPr>
          <w:rFonts w:hint="eastAsia" w:ascii="宋体" w:hAnsi="宋体" w:cs="宋体"/>
          <w:sz w:val="24"/>
          <w:highlight w:val="none"/>
        </w:rPr>
        <w:t xml:space="preserve">300）等政策。本项目属于服务类项目，采购标的对应的行业为其他未列明行业。</w:t>
      </w:r>
      <w:r>
        <w:rPr>
          <w:rFonts w:hint="eastAsia" w:ascii="宋体" w:hAnsi="宋体" w:cs="宋体"/>
          <w:sz w:val="24"/>
          <w:szCs w:val="28"/>
          <w:highlight w:val="none"/>
        </w:rPr>
        <w:t xml:space="preserve">本项目专门面向中小企业采购，中小企业划型标准请对照《关于印发中小企业划型标准规定的通知》（工信部联企业〔2011〕300号）</w:t>
      </w:r>
      <w:r>
        <w:rPr>
          <w:rFonts w:hint="eastAsia" w:ascii="宋体" w:hAnsi="宋体" w:cs="宋体"/>
          <w:sz w:val="24"/>
          <w:highlight w:val="none"/>
        </w:rPr>
        <w:t xml:space="preserve">。</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475"/>
        <w:spacing w:line="360" w:lineRule="auto"/>
        <w:rPr>
          <w:rFonts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2.4既有本国产品又有非本国产品参与竞争的，依法对本国产品给予价格评审优惠，对本国产品的报价给予20%的价格扣除，用扣除后的价格参与评审。当采</w:t>
      </w:r>
      <w:r>
        <w:rPr>
          <w:rFonts w:hint="eastAsia" w:ascii="宋体" w:hAnsi="宋体" w:eastAsia="宋体" w:cs="宋体"/>
          <w:color w:val="auto"/>
          <w:sz w:val="24"/>
          <w:szCs w:val="24"/>
          <w:highlight w:val="none"/>
        </w:rPr>
        <w:t xml:space="preserve">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60" w:lineRule="auto"/>
        <w:rPr>
          <w:color w:val="auto"/>
          <w:sz w:val="24"/>
          <w:highlight w:val="none"/>
        </w:rPr>
      </w:pPr>
      <w:r>
        <w:rPr>
          <w:rFonts w:hint="eastAsia" w:ascii="宋体" w:hAnsi="宋体" w:cs="宋体"/>
          <w:color w:val="auto"/>
          <w:sz w:val="24"/>
          <w:highlight w:val="none"/>
        </w:rPr>
        <w:t xml:space="preserve">3、本项目的特定资格要求：</w:t>
      </w:r>
      <w:r>
        <w:rPr>
          <w:rFonts w:hint="eastAsia" w:ascii="宋体" w:hAnsi="宋体"/>
          <w:sz w:val="24"/>
          <w:highlight w:val="none"/>
        </w:rPr>
        <w:t xml:space="preserve">供应商需具备城乡规划编制甲级资质</w:t>
      </w:r>
      <w:r>
        <w:rPr>
          <w:rFonts w:hint="eastAsia" w:ascii="宋体" w:hAnsi="宋体" w:cs="宋体"/>
          <w:color w:val="auto"/>
          <w:sz w:val="24"/>
          <w:highlight w:val="none"/>
        </w:rPr>
        <w:t xml:space="preserve">。</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三、获取磋商文件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获取时间：自磋商文件公告发布之日起5个工作日。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获取地点：江苏政府采购网-苏采云交易平台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获取方式：操作指南“苏采云”系统用户注册--获取“CA数字证书”--CA绑定与登录--网上报名--下载磋商文件(后缀名为“.kedt”)</w:t>
      </w:r>
      <w:r/>
    </w:p>
    <w:p>
      <w:pPr>
        <w:pStyle w:val="1695"/>
        <w:ind w:firstLine="480"/>
        <w:jc w:val="both"/>
        <w:spacing w:before="0" w:beforeAutospacing="0" w:after="0" w:afterAutospacing="0" w:line="360" w:lineRule="auto"/>
        <w:shd w:val="clear" w:color="auto" w:fill="ffffff"/>
        <w:rPr>
          <w:rFonts w:cs="宋体"/>
          <w:highlight w:val="none"/>
        </w:rPr>
      </w:pPr>
      <w:r>
        <w:rPr>
          <w:rFonts w:hint="eastAsia" w:cs="宋体"/>
          <w:highlight w:val="none"/>
        </w:rPr>
        <w:t xml:space="preserve">磋商文件售价：免费</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四、提交磋商响应文件截止时间、开标时间和地点</w:t>
      </w:r>
      <w:r/>
    </w:p>
    <w:p>
      <w:pPr>
        <w:ind w:firstLine="480"/>
        <w:spacing w:line="360" w:lineRule="auto"/>
        <w:rPr>
          <w:rFonts w:ascii="宋体" w:hAnsi="宋体" w:cs="宋体"/>
          <w:color w:val="000000"/>
          <w:sz w:val="24"/>
          <w:highlight w:val="none"/>
        </w:rPr>
      </w:pPr>
      <w:r/>
      <w:bookmarkStart w:id="15" w:name="EB76ff7bd3b9764d5d98ae568815db1ef0"/>
      <w:r>
        <w:rPr>
          <w:rFonts w:hint="eastAsia" w:ascii="宋体" w:hAnsi="宋体" w:cs="宋体"/>
          <w:bCs/>
          <w:color w:val="000000"/>
          <w:sz w:val="24"/>
          <w:highlight w:val="none"/>
        </w:rPr>
        <w:t xml:space="preserve">提交截止时间及开标时间：2026-</w:t>
      </w:r>
      <w:r>
        <w:rPr>
          <w:rFonts w:hint="eastAsia" w:ascii="宋体" w:hAnsi="宋体" w:cs="宋体"/>
          <w:bCs/>
          <w:color w:val="000000"/>
          <w:sz w:val="24"/>
          <w:highlight w:val="none"/>
          <w:lang w:val="en-US" w:eastAsia="zh-CN"/>
        </w:rPr>
        <w:t xml:space="preserve">09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07</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14</w:t>
      </w:r>
      <w:r>
        <w:rPr>
          <w:rFonts w:hint="eastAsia" w:ascii="宋体" w:hAnsi="宋体" w:cs="宋体"/>
          <w:bCs/>
          <w:color w:val="000000"/>
          <w:sz w:val="24"/>
          <w:highlight w:val="none"/>
        </w:rPr>
        <w:t xml:space="preserve">:30</w:t>
      </w:r>
      <w:bookmarkEnd w:id="15"/>
      <w:r>
        <w:rPr>
          <w:rFonts w:hint="eastAsia" w:ascii="宋体" w:hAnsi="宋体"/>
          <w:color w:val="000000"/>
          <w:sz w:val="24"/>
          <w:highlight w:val="none"/>
        </w:rPr>
        <w:t xml:space="preserve">（北京时间）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开标地点：网上开标大厅</w:t>
      </w:r>
      <w:r/>
    </w:p>
    <w:p>
      <w:pPr>
        <w:ind w:firstLine="480"/>
        <w:jc w:val="left"/>
        <w:spacing w:line="360" w:lineRule="auto"/>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注意事项：</w:t>
      </w:r>
      <w:r/>
    </w:p>
    <w:p>
      <w:pPr>
        <w:ind w:firstLine="480"/>
        <w:jc w:val="left"/>
        <w:spacing w:line="360" w:lineRule="auto"/>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bCs/>
          <w:color w:val="000000"/>
          <w:sz w:val="24"/>
          <w:highlight w:val="none"/>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五、公告期限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六、其他补充事宜</w:t>
      </w:r>
      <w:r/>
    </w:p>
    <w:p>
      <w:pPr>
        <w:pStyle w:val="1723"/>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723"/>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s="宋体"/>
          <w:color w:val="000000"/>
          <w:sz w:val="24"/>
          <w:szCs w:val="24"/>
          <w:highlight w:val="none"/>
        </w:rPr>
        <w:t xml:space="preserve">2、供应商投标需提前办理数字认证证书，镇江</w:t>
      </w:r>
      <w:r>
        <w:rPr>
          <w:rFonts w:hint="eastAsia" w:ascii="宋体" w:hAnsi="宋体"/>
          <w:color w:val="000000"/>
          <w:sz w:val="24"/>
          <w:szCs w:val="24"/>
          <w:highlight w:val="none"/>
        </w:rPr>
        <w:t xml:space="preserve">CA数字证书的办理：</w:t>
      </w:r>
      <w:r>
        <w:rPr>
          <w:rFonts w:hint="eastAsia" w:ascii="宋体" w:hAnsi="宋体" w:cs="宋体"/>
          <w:color w:val="000000"/>
          <w:sz w:val="24"/>
          <w:szCs w:val="24"/>
          <w:highlight w:val="none"/>
        </w:rPr>
        <w:t xml:space="preserve">镇江地区意源（方正）CA办理方式：镇江市润州区冠城路8号工人大厦7楼公共资源交易中心大厅CA窗口。</w:t>
      </w:r>
      <w:r>
        <w:rPr>
          <w:rFonts w:hint="eastAsia" w:ascii="宋体" w:hAnsi="宋体"/>
          <w:color w:val="000000"/>
          <w:sz w:val="24"/>
          <w:szCs w:val="24"/>
          <w:highlight w:val="none"/>
        </w:rPr>
        <w:t xml:space="preserve">工作日办公时间：9:00-12:00、13:30-17:30。联系电话：0511-88968012。</w:t>
      </w:r>
      <w:r/>
    </w:p>
    <w:p>
      <w:pPr>
        <w:pStyle w:val="1723"/>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七、凡对本次采购提出询问，请按以下方式联系。</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1、采购人信息</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名    称：镇江市自然资源和规划局</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地    址：江苏省镇江市润州区南徐大道699号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联 系 人：李先生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联系方式：0511-89771098</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    称：江苏巍信项目管理有限公司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val="en-US" w:eastAsia="zh-CN"/>
        </w:rPr>
        <w:t xml:space="preserve">江苏省</w:t>
      </w:r>
      <w:r>
        <w:rPr>
          <w:rFonts w:hint="eastAsia" w:ascii="宋体" w:hAnsi="宋体" w:cs="宋体"/>
          <w:color w:val="000000"/>
          <w:sz w:val="24"/>
          <w:highlight w:val="none"/>
        </w:rPr>
        <w:t xml:space="preserve">镇江市润州区九华山路江苏科技大学南校区二号楼四楼</w:t>
      </w:r>
      <w:r/>
    </w:p>
    <w:p>
      <w:pPr>
        <w:ind w:firstLine="500"/>
        <w:spacing w:line="360" w:lineRule="auto"/>
        <w:rPr>
          <w:rFonts w:ascii="宋体" w:hAnsi="宋体" w:cs="宋体"/>
          <w:color w:val="000000"/>
          <w:sz w:val="24"/>
          <w:highlight w:val="none"/>
        </w:rPr>
      </w:pPr>
      <w:r>
        <w:rPr>
          <w:rFonts w:hint="eastAsia" w:ascii="宋体" w:hAnsi="宋体" w:cs="宋体"/>
          <w:color w:val="000000"/>
          <w:spacing w:val="60"/>
          <w:sz w:val="24"/>
          <w:highlight w:val="none"/>
        </w:rPr>
        <w:t xml:space="preserve">联系</w:t>
      </w:r>
      <w:r>
        <w:rPr>
          <w:rFonts w:hint="eastAsia" w:ascii="宋体" w:hAnsi="宋体" w:cs="宋体"/>
          <w:color w:val="000000"/>
          <w:sz w:val="24"/>
          <w:highlight w:val="none"/>
        </w:rPr>
        <w:t xml:space="preserve">人：刘工</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    话：0511-8083600</w:t>
      </w:r>
      <w:r>
        <w:rPr>
          <w:rFonts w:hint="eastAsia" w:ascii="宋体" w:hAnsi="宋体" w:cs="宋体"/>
          <w:color w:val="000000"/>
          <w:sz w:val="24"/>
          <w:highlight w:val="none"/>
          <w:lang w:val="en-US" w:eastAsia="zh-CN"/>
        </w:rPr>
        <w:t xml:space="preserve">3</w:t>
      </w:r>
      <w:r/>
    </w:p>
    <w:p>
      <w:pPr>
        <w:pStyle w:val="1692"/>
        <w:ind w:left="0"/>
        <w:jc w:val="center"/>
        <w:spacing w:line="360" w:lineRule="auto"/>
        <w:tabs>
          <w:tab w:val="right" w:pos="9061" w:leader="dot"/>
        </w:tabs>
        <w:rPr>
          <w:rStyle w:val="1669"/>
          <w:rFonts w:ascii="宋体" w:hAnsi="宋体" w:cs="宋体"/>
          <w:color w:val="000000"/>
          <w:sz w:val="28"/>
          <w:szCs w:val="28"/>
          <w:highlight w:val="none"/>
        </w:rPr>
        <w:outlineLvl w:val="0"/>
      </w:pPr>
      <w:r>
        <w:rPr>
          <w:rFonts w:ascii="宋体" w:hAnsi="宋体"/>
          <w:color w:val="000000"/>
          <w:sz w:val="20"/>
          <w:szCs w:val="22"/>
          <w:highlight w:val="none"/>
        </w:rPr>
        <w:br w:type="page" w:clear="all"/>
      </w:r>
      <w:bookmarkStart w:id="16" w:name="_Toc13833"/>
      <w:r/>
      <w:bookmarkStart w:id="17" w:name="_Toc605545432"/>
      <w:r/>
      <w:bookmarkStart w:id="18" w:name="_Toc105940807"/>
      <w:r>
        <w:rPr>
          <w:rStyle w:val="1669"/>
          <w:rFonts w:hint="eastAsia" w:ascii="宋体" w:hAnsi="宋体" w:cs="宋体"/>
          <w:color w:val="000000"/>
          <w:sz w:val="28"/>
          <w:szCs w:val="28"/>
          <w:highlight w:val="none"/>
        </w:rPr>
        <w:t xml:space="preserve">第二部分  供应商须知</w:t>
      </w:r>
      <w:bookmarkEnd w:id="16"/>
      <w:r/>
      <w:bookmarkEnd w:id="17"/>
      <w:r/>
      <w:bookmarkEnd w:id="18"/>
      <w:r/>
      <w:r/>
    </w:p>
    <w:p>
      <w:pPr>
        <w:pStyle w:val="1663"/>
        <w:jc w:val="center"/>
        <w:keepLines w:val="0"/>
        <w:keepNext w:val="0"/>
        <w:spacing w:before="0" w:after="0" w:line="360" w:lineRule="auto"/>
        <w:shd w:val="clear" w:color="auto" w:fill="ffffff"/>
        <w:rPr>
          <w:rFonts w:ascii="宋体" w:hAnsi="宋体" w:cs="宋体"/>
          <w:color w:val="000000"/>
          <w:sz w:val="28"/>
          <w:szCs w:val="28"/>
          <w:highlight w:val="none"/>
        </w:rPr>
      </w:pPr>
      <w:r/>
      <w:bookmarkStart w:id="19" w:name="_Toc100386034"/>
      <w:r/>
      <w:bookmarkStart w:id="20" w:name="_Toc105940890"/>
      <w:r/>
      <w:bookmarkStart w:id="21" w:name="_Toc92168000"/>
      <w:r/>
      <w:bookmarkStart w:id="22" w:name="_Toc105940808"/>
      <w:r>
        <w:rPr>
          <w:rFonts w:hint="eastAsia" w:ascii="宋体" w:hAnsi="宋体" w:cs="宋体"/>
          <w:color w:val="000000"/>
          <w:sz w:val="28"/>
          <w:szCs w:val="28"/>
          <w:highlight w:val="none"/>
        </w:rPr>
        <w:t xml:space="preserve">前附表</w:t>
      </w:r>
      <w:r/>
    </w:p>
    <w:tbl>
      <w:tblPr>
        <w:tblStyle w:val="1439"/>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99"/>
        <w:gridCol w:w="6859"/>
      </w:tblGrid>
      <w:tr>
        <w:trPr>
          <w:jc w:val="center"/>
        </w:trPr>
        <w:tc>
          <w:tcPr>
            <w:tcW w:w="905" w:type="dxa"/>
            <w:vAlign w:val="center"/>
            <w:textDirection w:val="lrTb"/>
            <w:noWrap w:val="false"/>
          </w:tcPr>
          <w:p>
            <w:pPr>
              <w:pStyle w:val="1662"/>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事项</w:t>
            </w:r>
            <w:r/>
          </w:p>
        </w:tc>
        <w:tc>
          <w:tcPr>
            <w:tcW w:w="6859" w:type="dxa"/>
            <w:vAlign w:val="center"/>
            <w:textDirection w:val="lrTb"/>
            <w:noWrap w:val="false"/>
          </w:tcPr>
          <w:p>
            <w:pPr>
              <w:pStyle w:val="1662"/>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本项目规定</w:t>
            </w:r>
            <w:r/>
          </w:p>
        </w:tc>
      </w:tr>
      <w:tr>
        <w:trPr>
          <w:jc w:val="center"/>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报价要求</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本次投标报价的币种为人民币。</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供应商应按磋商文件所提供的各报价表格式报价。</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供应商应对本项目报出最具有竞争力的价格，应包括本次招标要求提供的服务已支付或将支付的所有费用（含税费）。</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最低投标报价不能作为中标的保证。</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中标价即为合同签约价。</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如出现报价前后不一致的，将按磋商文件第五部分“评标办法和标准”第5项规定进行修正。</w:t>
            </w:r>
            <w:r/>
          </w:p>
          <w:p>
            <w:pPr>
              <w:pStyle w:val="1475"/>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按照财库〔2026〕2号文要求，评审过程中出现下列情形之一的，评标委员会应当启动异常低价投标（响应）审查程序： </w:t>
            </w:r>
            <w:r/>
          </w:p>
          <w:p>
            <w:pPr>
              <w:pStyle w:val="1475"/>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1.投标（响应）报价低于全部通过符合性审查供应商投标（响应）报价平均值5</w:t>
            </w:r>
            <w:bookmarkStart w:id="190" w:name="_GoBack"/>
            <w:r/>
            <w:bookmarkEnd w:id="190"/>
            <w:r>
              <w:rPr>
                <w:rFonts w:hint="eastAsia" w:ascii="宋体" w:hAnsi="宋体" w:eastAsia="宋体" w:cs="宋体"/>
                <w:b/>
                <w:bCs/>
                <w:color w:val="000000"/>
                <w:sz w:val="24"/>
                <w:szCs w:val="24"/>
                <w:highlight w:val="none"/>
                <w:u w:val="single"/>
              </w:rPr>
              <w:t xml:space="preserve">0%的，即投标（响应）报价&lt;全部通过符合性审查供应商投标（响应）报价平均值×50%；</w:t>
            </w:r>
            <w:r/>
          </w:p>
          <w:p>
            <w:pPr>
              <w:pStyle w:val="1475"/>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pStyle w:val="1475"/>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3.投标（响应）报价低于采购项目最高限价45%的，即投标（响应）报价&lt;采购项目最高限价×45%；</w:t>
            </w:r>
            <w:r/>
          </w:p>
          <w:p>
            <w:pPr>
              <w:pStyle w:val="1475"/>
              <w:ind w:firstLine="0"/>
              <w:rPr>
                <w:sz w:val="24"/>
                <w:szCs w:val="24"/>
                <w:highlight w:val="none"/>
              </w:rPr>
            </w:pPr>
            <w:r>
              <w:rPr>
                <w:rFonts w:hint="eastAsia" w:ascii="宋体" w:hAnsi="宋体" w:eastAsia="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jc w:val="center"/>
          <w:trHeight w:val="746"/>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转包及分包</w:t>
            </w:r>
            <w:r/>
          </w:p>
        </w:tc>
        <w:tc>
          <w:tcPr>
            <w:tcW w:w="6859" w:type="dxa"/>
            <w:vAlign w:val="center"/>
            <w:textDirection w:val="lrTb"/>
            <w:noWrap w:val="false"/>
          </w:tcPr>
          <w:p>
            <w:pPr>
              <w:pStyle w:val="1442"/>
              <w:ind w:firstLine="0"/>
              <w:rPr>
                <w:rFonts w:ascii="宋体" w:hAnsi="宋体" w:cs="宋体"/>
                <w:color w:val="000000"/>
                <w:sz w:val="24"/>
                <w:highlight w:val="none"/>
              </w:rPr>
            </w:pPr>
            <w:r>
              <w:rPr>
                <w:rFonts w:hint="eastAsia" w:ascii="宋体" w:hAnsi="宋体" w:cs="宋体"/>
                <w:color w:val="000000"/>
                <w:sz w:val="24"/>
                <w:highlight w:val="none"/>
              </w:rPr>
              <w:t xml:space="preserve">项目依法不得转包</w:t>
            </w:r>
            <w:r/>
          </w:p>
          <w:p>
            <w:pPr>
              <w:pStyle w:val="1442"/>
              <w:ind w:firstLine="0"/>
              <w:rPr>
                <w:rFonts w:ascii="宋体" w:hAnsi="宋体" w:cs="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s="宋体"/>
                <w:color w:val="000000"/>
                <w:sz w:val="24"/>
                <w:highlight w:val="none"/>
              </w:rPr>
              <w:t xml:space="preserve">A本项目不同意分包。</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color w:val="000000"/>
                <w:sz w:val="24"/>
                <w:szCs w:val="24"/>
                <w:highlight w:val="none"/>
              </w:rPr>
              <w:t xml:space="preserve">£</w:t>
            </w:r>
            <w:r>
              <w:rPr>
                <w:rFonts w:hint="eastAsia" w:ascii="宋体" w:hAnsi="宋体" w:eastAsia="宋体" w:cs="宋体"/>
                <w:b w:val="0"/>
                <w:color w:val="000000"/>
                <w:sz w:val="24"/>
                <w:szCs w:val="24"/>
                <w:highlight w:val="none"/>
              </w:rPr>
              <w:t xml:space="preserve">B同意将非主体、非关键性的</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工作分包。投标人应当在投标文件中载明分包承担主体，分包承担主体应当具备相应资质条件且不得再次分包。</w:t>
            </w:r>
            <w:r>
              <w:rPr>
                <w:rFonts w:hint="eastAsia" w:ascii="宋体" w:hAnsi="宋体" w:eastAsia="宋体" w:cs="宋体"/>
                <w:b w:val="0"/>
                <w:color w:val="000000"/>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开标前答疑会</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A不组织</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B组织</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szCs w:val="24"/>
                <w:highlight w:val="none"/>
                <w:u w:val="single"/>
              </w:rPr>
              <w:t xml:space="preserve">           </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szCs w:val="24"/>
                <w:highlight w:val="none"/>
                <w:u w:val="single"/>
              </w:rPr>
              <w:t xml:space="preserve">           </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p>
        </w:tc>
      </w:tr>
      <w:tr>
        <w:trPr>
          <w:jc w:val="center"/>
          <w:trHeight w:val="1366"/>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现场踏勘</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A不统一组织</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B统一组织</w:t>
            </w:r>
            <w:r/>
          </w:p>
          <w:p>
            <w:pPr>
              <w:pStyle w:val="1662"/>
              <w:jc w:val="both"/>
              <w:keepLines w:val="0"/>
              <w:keepNext w:val="0"/>
              <w:spacing w:before="0" w:after="0" w:line="240" w:lineRule="auto"/>
              <w:rPr>
                <w:rFonts w:ascii="宋体" w:hAnsi="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szCs w:val="24"/>
                <w:highlight w:val="none"/>
                <w:u w:val="single"/>
              </w:rPr>
              <w:t xml:space="preserve">       </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p>
        </w:tc>
      </w:tr>
      <w:tr>
        <w:trPr>
          <w:jc w:val="center"/>
          <w:trHeight w:val="551"/>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演示</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无</w:t>
            </w:r>
            <w:r/>
          </w:p>
        </w:tc>
      </w:tr>
      <w:tr>
        <w:trPr>
          <w:jc w:val="center"/>
          <w:trHeight w:val="435"/>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样品</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不要求提供。</w:t>
            </w:r>
            <w:r/>
          </w:p>
        </w:tc>
      </w:tr>
      <w:tr>
        <w:trPr>
          <w:jc w:val="center"/>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是否允许采购进口产品</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本项目不允许采购进口产品。</w:t>
            </w:r>
            <w:r/>
          </w:p>
        </w:tc>
      </w:tr>
      <w:tr>
        <w:trPr>
          <w:jc w:val="center"/>
          <w:trHeight w:val="90"/>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核心产品</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A货物类。</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B服务类。</w:t>
            </w:r>
            <w:r/>
          </w:p>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本项目核心产品为：/ 。</w:t>
            </w:r>
            <w:r/>
          </w:p>
        </w:tc>
      </w:tr>
      <w:tr>
        <w:trPr>
          <w:jc w:val="center"/>
          <w:trHeight w:val="90"/>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采购标的对应的中小企业划分标准所属行业</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（1）标的：</w:t>
            </w:r>
            <w:r>
              <w:rPr>
                <w:rFonts w:hint="eastAsia" w:ascii="宋体" w:hAnsi="宋体" w:eastAsia="宋体" w:cs="宋体"/>
                <w:b w:val="0"/>
                <w:bCs/>
                <w:color w:val="000000"/>
                <w:sz w:val="24"/>
                <w:szCs w:val="24"/>
                <w:highlight w:val="none"/>
                <w:u w:val="single"/>
                <w:lang w:eastAsia="zh-CN"/>
              </w:rPr>
              <w:t xml:space="preserve">镇江市国土空间总体规划(2021-2035年)五年评估及分区规划评估项目</w:t>
            </w:r>
            <w:r>
              <w:rPr>
                <w:rFonts w:hint="eastAsia" w:ascii="宋体" w:hAnsi="宋体" w:eastAsia="宋体" w:cs="宋体"/>
                <w:b w:val="0"/>
                <w:bCs/>
                <w:color w:val="000000"/>
                <w:sz w:val="24"/>
                <w:szCs w:val="24"/>
                <w:highlight w:val="none"/>
              </w:rPr>
              <w:t xml:space="preserve">，属于</w:t>
            </w:r>
            <w:r>
              <w:rPr>
                <w:rFonts w:hint="eastAsia" w:ascii="宋体" w:hAnsi="宋体" w:eastAsia="宋体" w:cs="宋体"/>
                <w:b w:val="0"/>
                <w:bCs/>
                <w:color w:val="000000"/>
                <w:sz w:val="24"/>
                <w:szCs w:val="24"/>
                <w:highlight w:val="none"/>
                <w:u w:val="single"/>
              </w:rPr>
              <w:t xml:space="preserve">其他未列明行业</w:t>
            </w:r>
            <w:r>
              <w:rPr>
                <w:rFonts w:hint="eastAsia" w:ascii="宋体" w:hAnsi="宋体" w:eastAsia="宋体" w:cs="宋体"/>
                <w:b w:val="0"/>
                <w:bCs/>
                <w:color w:val="000000"/>
                <w:sz w:val="24"/>
                <w:szCs w:val="24"/>
                <w:highlight w:val="none"/>
              </w:rPr>
              <w:t xml:space="preserve">。</w:t>
            </w:r>
            <w:r/>
          </w:p>
        </w:tc>
      </w:tr>
      <w:tr>
        <w:trPr>
          <w:jc w:val="center"/>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节能产品、环境标志产品</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中小企业信用融资</w:t>
            </w:r>
            <w:r/>
          </w:p>
        </w:tc>
        <w:tc>
          <w:tcPr>
            <w:tcW w:w="6859" w:type="dxa"/>
            <w:vAlign w:val="center"/>
            <w:textDirection w:val="lrTb"/>
            <w:noWrap w:val="false"/>
          </w:tcPr>
          <w:p>
            <w:pPr>
              <w:pStyle w:val="1662"/>
              <w:jc w:val="left"/>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highlight w:val="none"/>
              </w:rPr>
              <w:t xml:space="preserve">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highlight w:val="none"/>
              </w:rPr>
              <w:t xml:space="preserve">，</w:t>
            </w:r>
            <w:bookmarkStart w:id="24" w:name="_Hlk136444446"/>
            <w:r>
              <w:rPr>
                <w:rFonts w:hint="eastAsia" w:ascii="宋体" w:hAnsi="宋体" w:eastAsia="宋体" w:cs="宋体"/>
                <w:b w:val="0"/>
                <w:bCs/>
                <w:color w:val="000000"/>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highlight w:val="none"/>
              </w:rPr>
              <w:t xml:space="preserve">办理流程详见江苏政府采购网“政采贷”栏目，网址</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b w:val="0"/>
                <w:bCs/>
                <w:color w:val="000000"/>
                <w:sz w:val="24"/>
                <w:szCs w:val="24"/>
                <w:highlight w:val="none"/>
              </w:rPr>
              <w:t xml:space="preserve">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 xml:space="preserve">。</w:t>
            </w:r>
            <w:r/>
          </w:p>
          <w:p>
            <w:pPr>
              <w:pStyle w:val="1662"/>
              <w:jc w:val="left"/>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咨询电话：镇江市财政局政府采购处0511-80909958。</w:t>
            </w:r>
            <w:r/>
          </w:p>
        </w:tc>
      </w:tr>
      <w:tr>
        <w:trPr>
          <w:jc w:val="center"/>
          <w:trHeight w:val="472"/>
        </w:trPr>
        <w:tc>
          <w:tcPr>
            <w:tcW w:w="905"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p>
        </w:tc>
        <w:tc>
          <w:tcPr>
            <w:tcW w:w="2199" w:type="dxa"/>
            <w:vAlign w:val="center"/>
            <w:textDirection w:val="lrTb"/>
            <w:noWrap w:val="false"/>
          </w:tcPr>
          <w:p>
            <w:pPr>
              <w:pStyle w:val="1662"/>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特别说明</w:t>
            </w:r>
            <w:r/>
          </w:p>
        </w:tc>
        <w:tc>
          <w:tcPr>
            <w:tcW w:w="6859" w:type="dxa"/>
            <w:vAlign w:val="center"/>
            <w:textDirection w:val="lrTb"/>
            <w:noWrap w:val="false"/>
          </w:tcPr>
          <w:p>
            <w:pPr>
              <w:pStyle w:val="1662"/>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无。</w:t>
            </w:r>
            <w:r/>
          </w:p>
        </w:tc>
      </w:tr>
    </w:tbl>
    <w:p>
      <w:pPr>
        <w:pStyle w:val="1662"/>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一、总  则</w:t>
      </w:r>
      <w:bookmarkEnd w:id="19"/>
      <w:r/>
      <w:bookmarkEnd w:id="20"/>
      <w:r/>
      <w:bookmarkEnd w:id="21"/>
      <w:r/>
      <w:bookmarkEnd w:id="22"/>
      <w:r/>
      <w:r/>
    </w:p>
    <w:p>
      <w:pPr>
        <w:pStyle w:val="1663"/>
        <w:jc w:val="left"/>
        <w:keepLines w:val="0"/>
        <w:keepNext w:val="0"/>
        <w:spacing w:before="0" w:after="0" w:line="360" w:lineRule="auto"/>
        <w:rPr>
          <w:rFonts w:ascii="宋体" w:hAnsi="宋体" w:cs="宋体"/>
          <w:color w:val="000000"/>
          <w:sz w:val="24"/>
          <w:szCs w:val="24"/>
          <w:highlight w:val="none"/>
        </w:rPr>
      </w:pPr>
      <w:r/>
      <w:bookmarkStart w:id="25" w:name="_Toc105940809"/>
      <w:r/>
      <w:bookmarkStart w:id="26" w:name="_Toc92168001"/>
      <w:r/>
      <w:bookmarkStart w:id="27" w:name="_Toc105940891"/>
      <w:r/>
      <w:bookmarkStart w:id="28" w:name="_Toc100386035"/>
      <w:r>
        <w:rPr>
          <w:rFonts w:hint="eastAsia" w:ascii="宋体" w:hAnsi="宋体" w:cs="宋体"/>
          <w:color w:val="000000"/>
          <w:sz w:val="24"/>
          <w:szCs w:val="24"/>
          <w:highlight w:val="none"/>
        </w:rPr>
        <w:t xml:space="preserve">1、适用范围</w:t>
      </w:r>
      <w:bookmarkEnd w:id="25"/>
      <w:r/>
      <w:bookmarkEnd w:id="26"/>
      <w:r/>
      <w:bookmarkEnd w:id="27"/>
      <w:r/>
      <w:bookmarkEnd w:id="28"/>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1.1本磋商文件仅适用于</w:t>
      </w:r>
      <w:r>
        <w:rPr>
          <w:rFonts w:hint="eastAsia" w:ascii="宋体" w:hAnsi="宋体" w:cs="宋体"/>
          <w:b/>
          <w:bCs/>
          <w:color w:val="000000"/>
          <w:sz w:val="24"/>
          <w:highlight w:val="none"/>
          <w:u w:val="single"/>
          <w:lang w:eastAsia="zh-CN"/>
        </w:rPr>
        <w:t xml:space="preserve">镇江市国土空间总体规划(2021-2035年)五年评估及分区规划评估项目</w:t>
      </w:r>
      <w:r>
        <w:rPr>
          <w:rFonts w:hint="eastAsia" w:ascii="宋体" w:hAnsi="宋体" w:cs="宋体"/>
          <w:color w:val="000000"/>
          <w:sz w:val="24"/>
          <w:highlight w:val="none"/>
        </w:rPr>
        <w:t xml:space="preserve">。</w:t>
      </w:r>
      <w:r/>
    </w:p>
    <w:p>
      <w:pPr>
        <w:pStyle w:val="1663"/>
        <w:jc w:val="left"/>
        <w:keepLines w:val="0"/>
        <w:keepNext w:val="0"/>
        <w:spacing w:before="0" w:after="0" w:line="360" w:lineRule="auto"/>
        <w:rPr>
          <w:rFonts w:ascii="宋体" w:hAnsi="宋体" w:cs="宋体"/>
          <w:color w:val="000000"/>
          <w:sz w:val="24"/>
          <w:szCs w:val="24"/>
          <w:highlight w:val="none"/>
        </w:rPr>
      </w:pPr>
      <w:r/>
      <w:bookmarkStart w:id="29" w:name="_Toc92168002"/>
      <w:r/>
      <w:bookmarkStart w:id="30" w:name="_Toc100386036"/>
      <w:r>
        <w:rPr>
          <w:rFonts w:hint="eastAsia" w:ascii="宋体" w:hAnsi="宋体" w:cs="宋体"/>
          <w:color w:val="000000"/>
          <w:sz w:val="24"/>
          <w:szCs w:val="24"/>
          <w:highlight w:val="none"/>
        </w:rPr>
        <w:t xml:space="preserve">2、定义</w:t>
      </w:r>
      <w:bookmarkEnd w:id="29"/>
      <w:r/>
      <w:bookmarkEnd w:id="30"/>
      <w:r/>
      <w:r/>
    </w:p>
    <w:p>
      <w:pPr>
        <w:ind w:firstLine="480"/>
        <w:spacing w:line="360" w:lineRule="auto"/>
        <w:rPr>
          <w:rFonts w:ascii="宋体" w:hAnsi="宋体"/>
          <w:b/>
          <w:color w:val="000000"/>
          <w:sz w:val="24"/>
          <w:highlight w:val="none"/>
        </w:rPr>
      </w:pPr>
      <w:r>
        <w:rPr>
          <w:rFonts w:hint="eastAsia" w:ascii="宋体" w:hAnsi="宋体" w:cs="宋体"/>
          <w:color w:val="000000"/>
          <w:sz w:val="24"/>
          <w:highlight w:val="none"/>
        </w:rPr>
        <w:t xml:space="preserve">磋商文件中下列术语应解释为：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2.1“磋商组织方”指政府采购代理机构，即：</w:t>
      </w:r>
      <w:r>
        <w:rPr>
          <w:rFonts w:hint="eastAsia" w:ascii="宋体" w:hAnsi="宋体" w:cs="宋体"/>
          <w:b/>
          <w:color w:val="000000"/>
          <w:sz w:val="24"/>
          <w:highlight w:val="none"/>
          <w:u w:val="single"/>
        </w:rPr>
        <w:t xml:space="preserve">江苏巍信项目管理有限公司</w:t>
      </w:r>
      <w:r>
        <w:rPr>
          <w:rFonts w:hint="eastAsia" w:ascii="宋体" w:hAnsi="宋体" w:cs="宋体"/>
          <w:color w:val="000000"/>
          <w:sz w:val="24"/>
          <w:highlight w:val="none"/>
        </w:rPr>
        <w:t xml:space="preserve">。</w:t>
      </w:r>
      <w:r/>
    </w:p>
    <w:p>
      <w:pPr>
        <w:ind w:firstLine="480"/>
        <w:spacing w:line="360" w:lineRule="auto"/>
        <w:tabs>
          <w:tab w:val="left" w:pos="7725" w:leader="none"/>
        </w:tabs>
        <w:rPr>
          <w:rFonts w:ascii="宋体" w:hAnsi="宋体" w:cs="宋体"/>
          <w:color w:val="000000"/>
          <w:sz w:val="24"/>
          <w:highlight w:val="none"/>
        </w:rPr>
      </w:pPr>
      <w:r>
        <w:rPr>
          <w:rFonts w:hint="eastAsia" w:ascii="宋体" w:hAnsi="宋体" w:cs="宋体"/>
          <w:color w:val="000000"/>
          <w:sz w:val="24"/>
          <w:highlight w:val="none"/>
        </w:rPr>
        <w:t xml:space="preserve">2.2“供应商”指向磋商组织方提交磋商响应文件的投标单位。</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2.3“采购人”</w:t>
      </w:r>
      <w:r>
        <w:rPr>
          <w:rFonts w:ascii="宋体" w:hAnsi="宋体" w:cs="宋体"/>
          <w:color w:val="000000"/>
          <w:sz w:val="24"/>
          <w:highlight w:val="none"/>
        </w:rPr>
        <w:t xml:space="preserve">系指依法进行政府采购的国家机关、事业单位、团体组织</w:t>
      </w:r>
      <w:r>
        <w:rPr>
          <w:rFonts w:hint="eastAsia" w:ascii="宋体" w:hAnsi="宋体" w:cs="宋体"/>
          <w:color w:val="000000"/>
          <w:sz w:val="24"/>
          <w:highlight w:val="none"/>
        </w:rPr>
        <w:t xml:space="preserve">，即：</w:t>
      </w:r>
      <w:r>
        <w:rPr>
          <w:rFonts w:hint="eastAsia" w:ascii="宋体" w:hAnsi="宋体" w:cs="宋体"/>
          <w:b/>
          <w:bCs/>
          <w:color w:val="000000"/>
          <w:sz w:val="24"/>
          <w:highlight w:val="none"/>
          <w:u w:val="single"/>
        </w:rPr>
        <w:t xml:space="preserve">镇江市自然资源和规划局。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t xml:space="preserve">“服务”系指本</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所述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应该履行的承诺和义务，</w:t>
      </w:r>
      <w:r>
        <w:rPr>
          <w:rFonts w:ascii="宋体" w:hAnsi="宋体" w:cs="宋体"/>
          <w:color w:val="000000"/>
          <w:spacing w:val="2"/>
          <w:sz w:val="24"/>
          <w:highlight w:val="none"/>
        </w:rPr>
        <w:t xml:space="preserve">即</w:t>
      </w:r>
      <w:r>
        <w:rPr>
          <w:rFonts w:hint="eastAsia" w:ascii="宋体" w:hAnsi="宋体" w:cs="宋体"/>
          <w:color w:val="000000"/>
          <w:spacing w:val="2"/>
          <w:sz w:val="24"/>
          <w:highlight w:val="none"/>
        </w:rPr>
        <w:t xml:space="preserve">供应商</w:t>
      </w:r>
      <w:r>
        <w:rPr>
          <w:rFonts w:ascii="宋体" w:hAnsi="宋体" w:cs="宋体"/>
          <w:color w:val="000000"/>
          <w:spacing w:val="-2"/>
          <w:sz w:val="24"/>
          <w:highlight w:val="none"/>
        </w:rPr>
        <w:t xml:space="preserve">按合</w:t>
      </w:r>
      <w:r>
        <w:rPr>
          <w:rFonts w:ascii="宋体" w:hAnsi="宋体" w:cs="宋体"/>
          <w:color w:val="000000"/>
          <w:spacing w:val="2"/>
          <w:sz w:val="24"/>
          <w:highlight w:val="none"/>
        </w:rPr>
        <w:t xml:space="preserve">同规定必须提供的</w:t>
      </w:r>
      <w:r>
        <w:rPr>
          <w:rFonts w:hint="eastAsia" w:ascii="宋体" w:hAnsi="宋体" w:cs="宋体"/>
          <w:color w:val="000000"/>
          <w:spacing w:val="2"/>
          <w:sz w:val="24"/>
          <w:highlight w:val="none"/>
          <w:lang w:eastAsia="zh-CN"/>
        </w:rPr>
        <w:t xml:space="preserve">镇江市国土空间总体规划(2021-2035年)五年评估及分区规划评估项目</w:t>
      </w:r>
      <w:r>
        <w:rPr>
          <w:rFonts w:hint="eastAsia" w:ascii="宋体" w:hAnsi="宋体" w:cs="宋体"/>
          <w:color w:val="000000"/>
          <w:spacing w:val="2"/>
          <w:sz w:val="24"/>
          <w:highlight w:val="none"/>
        </w:rPr>
        <w:t xml:space="preserve">及其他类似的承诺义务。服务亦包括磋商文件中特别描述的其它形式的服务</w:t>
      </w:r>
      <w:r>
        <w:rPr>
          <w:rFonts w:ascii="宋体" w:hAnsi="宋体" w:cs="宋体"/>
          <w:color w:val="000000"/>
          <w:spacing w:val="1"/>
          <w:sz w:val="24"/>
          <w:highlight w:val="none"/>
        </w:rPr>
        <w:t xml:space="preserve">。</w:t>
      </w:r>
      <w:r/>
    </w:p>
    <w:p>
      <w:pPr>
        <w:pStyle w:val="1663"/>
        <w:jc w:val="left"/>
        <w:keepLines w:val="0"/>
        <w:keepNext w:val="0"/>
        <w:spacing w:before="0" w:after="0" w:line="360" w:lineRule="auto"/>
        <w:rPr>
          <w:rFonts w:ascii="宋体" w:hAnsi="宋体" w:cs="宋体"/>
          <w:color w:val="000000"/>
          <w:sz w:val="24"/>
          <w:szCs w:val="24"/>
          <w:highlight w:val="none"/>
        </w:rPr>
      </w:pPr>
      <w:r/>
      <w:bookmarkStart w:id="31" w:name="_Toc105940810"/>
      <w:r/>
      <w:bookmarkStart w:id="32" w:name="_Toc105940892"/>
      <w:r/>
      <w:bookmarkStart w:id="33" w:name="_Toc20732971"/>
      <w:r/>
      <w:bookmarkStart w:id="34" w:name="_Toc98669335"/>
      <w:r/>
      <w:bookmarkStart w:id="35" w:name="_Toc100386038"/>
      <w:r/>
      <w:bookmarkStart w:id="36" w:name="_Toc92168004"/>
      <w:r/>
      <w:bookmarkStart w:id="37" w:name="_Toc98669693"/>
      <w:r>
        <w:rPr>
          <w:rFonts w:hint="eastAsia" w:ascii="宋体" w:hAnsi="宋体" w:cs="宋体"/>
          <w:color w:val="000000"/>
          <w:sz w:val="24"/>
          <w:szCs w:val="24"/>
          <w:highlight w:val="none"/>
        </w:rPr>
        <w:t xml:space="preserve">3、本次采购方式</w:t>
      </w:r>
      <w:bookmarkEnd w:id="31"/>
      <w:r/>
      <w:bookmarkEnd w:id="3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3.1本次采购采取竞争性磋商方式☑综合评分法□最低评标价法。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3.2本项目资格审查方式：☑资格后审□资格预审。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3.3本次采购确定的成交供应商数量：1名。</w:t>
      </w:r>
      <w:r/>
    </w:p>
    <w:p>
      <w:pPr>
        <w:pStyle w:val="1663"/>
        <w:jc w:val="left"/>
        <w:keepLines w:val="0"/>
        <w:keepNext w:val="0"/>
        <w:spacing w:before="0" w:after="0" w:line="360" w:lineRule="auto"/>
        <w:rPr>
          <w:rFonts w:ascii="宋体" w:hAnsi="宋体" w:cs="宋体"/>
          <w:color w:val="000000"/>
          <w:sz w:val="24"/>
          <w:szCs w:val="24"/>
          <w:highlight w:val="none"/>
        </w:rPr>
      </w:pPr>
      <w:r/>
      <w:bookmarkStart w:id="38" w:name="_Toc105940893"/>
      <w:r/>
      <w:bookmarkStart w:id="39" w:name="_Toc105940811"/>
      <w:r>
        <w:rPr>
          <w:rFonts w:hint="eastAsia" w:ascii="宋体" w:hAnsi="宋体" w:cs="宋体"/>
          <w:color w:val="000000"/>
          <w:sz w:val="24"/>
          <w:szCs w:val="24"/>
          <w:highlight w:val="none"/>
        </w:rPr>
        <w:t xml:space="preserve">4、磋商费用</w:t>
      </w:r>
      <w:bookmarkEnd w:id="33"/>
      <w:r/>
      <w:bookmarkEnd w:id="34"/>
      <w:r/>
      <w:bookmarkEnd w:id="35"/>
      <w:r/>
      <w:bookmarkEnd w:id="36"/>
      <w:r/>
      <w:bookmarkEnd w:id="37"/>
      <w:r/>
      <w:bookmarkEnd w:id="38"/>
      <w:r/>
      <w:bookmarkEnd w:id="39"/>
      <w:r/>
      <w:r/>
    </w:p>
    <w:p>
      <w:pPr>
        <w:ind w:firstLine="480"/>
        <w:spacing w:line="360" w:lineRule="auto"/>
        <w:rPr>
          <w:rFonts w:ascii="宋体" w:hAnsi="宋体" w:cs="宋体"/>
          <w:color w:val="000000"/>
          <w:sz w:val="24"/>
          <w:highlight w:val="none"/>
        </w:rPr>
      </w:pPr>
      <w:r/>
      <w:bookmarkStart w:id="40" w:name="_Toc105940894"/>
      <w:r/>
      <w:bookmarkStart w:id="41" w:name="_Toc92168005"/>
      <w:r/>
      <w:bookmarkStart w:id="42" w:name="_Toc20732973"/>
      <w:r/>
      <w:bookmarkStart w:id="43" w:name="_Toc98669336"/>
      <w:r/>
      <w:bookmarkStart w:id="44" w:name="_Toc105940812"/>
      <w:r/>
      <w:bookmarkStart w:id="45" w:name="_Toc100386039"/>
      <w:r/>
      <w:bookmarkStart w:id="46" w:name="_Toc98669694"/>
      <w:r>
        <w:rPr>
          <w:rFonts w:hint="eastAsia" w:ascii="宋体" w:hAnsi="宋体" w:cs="宋体"/>
          <w:color w:val="000000"/>
          <w:sz w:val="24"/>
          <w:highlight w:val="none"/>
        </w:rPr>
        <w:t xml:space="preserve">4.1</w:t>
      </w:r>
      <w:bookmarkStart w:id="47" w:name="EB3140ac15ffe94745a99198862d707f3f"/>
      <w:r>
        <w:rPr>
          <w:rFonts w:hint="eastAsia" w:ascii="宋体" w:hAnsi="宋体" w:cs="宋体"/>
          <w:color w:val="000000"/>
          <w:sz w:val="24"/>
          <w:highlight w:val="none"/>
        </w:rPr>
        <w:t xml:space="preserve">☑</w:t>
      </w:r>
      <w:bookmarkEnd w:id="47"/>
      <w:r>
        <w:rPr>
          <w:rFonts w:hint="eastAsia" w:ascii="宋体" w:hAnsi="宋体" w:cs="宋体"/>
          <w:color w:val="000000"/>
          <w:sz w:val="24"/>
          <w:highlight w:val="none"/>
        </w:rPr>
        <w:t xml:space="preserve">采购人需向代理机构缴纳代理服务费。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收费标准：参照发改价格[2011]534号收费标准优惠后收取10000元整。</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专家评审费由采购人支付。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采购代理费用收款信息：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收款单位：江苏巍信项目管理有限公司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收款账号：10312501040016032</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开户银行：中国农业银行股份有限公司镇江常发支行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4.2不论投标的结果如何，采购代理机构在任何情况下均无义务和责任承担上述费用。</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bookmarkEnd w:id="40"/>
      <w:r/>
      <w:bookmarkEnd w:id="41"/>
      <w:r/>
      <w:bookmarkEnd w:id="42"/>
      <w:r/>
      <w:bookmarkEnd w:id="43"/>
      <w:r/>
      <w:bookmarkEnd w:id="44"/>
      <w:r/>
      <w:bookmarkEnd w:id="45"/>
      <w:r/>
      <w:bookmarkEnd w:id="46"/>
      <w:r>
        <w:rPr>
          <w:rFonts w:hint="eastAsia" w:ascii="宋体" w:hAnsi="宋体" w:cs="宋体"/>
          <w:color w:val="000000"/>
          <w:sz w:val="24"/>
          <w:szCs w:val="24"/>
          <w:highlight w:val="none"/>
        </w:rPr>
        <w:t xml:space="preserve">政策功能</w:t>
      </w:r>
      <w:r/>
    </w:p>
    <w:p>
      <w:pPr>
        <w:pStyle w:val="1442"/>
        <w:ind w:firstLine="480"/>
        <w:spacing w:line="460" w:lineRule="exact"/>
        <w:rPr>
          <w:rFonts w:ascii="宋体" w:hAnsi="宋体" w:cs="宋体"/>
          <w:sz w:val="24"/>
          <w:highlight w:val="none"/>
        </w:rPr>
      </w:pPr>
      <w:r/>
      <w:bookmarkStart w:id="48" w:name="_Toc105940813"/>
      <w:r/>
      <w:bookmarkStart w:id="49" w:name="_Toc105940895"/>
      <w:r>
        <w:rPr>
          <w:rFonts w:hint="eastAsia" w:ascii="宋体" w:hAnsi="宋体" w:cs="宋体"/>
          <w:sz w:val="24"/>
          <w:highlight w:val="none"/>
        </w:rPr>
        <w:t xml:space="preserve">5.1支持中小企业发展</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5.1.2在政府采购活动中，供应商提供的货物、工程或者服务符合下列情形的，享受中小企业扶持政策：</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的价格扣除。联合体各方均为小型、微型企业的，联合体视同为小型、微型企业享受10%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5.1.6中小企业享受扶持政策获得政府采购合同的，小微企业不得将合同分包给大中型企业，中型企业不得将合同分包给大型企业。</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5.2强制采购信息安全产品</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5.3支持绿色发展</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5.3.4采购人采购数据中心相关设备、运维服务，按照《绿色数据中心政府采购需求标准（试行）》实施相关采购活动。</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5.5支持创新发展</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5.5.1采购人优先采购被认定为重点推广应用、首台（套）重大装备、重点领域首版次软件的自主创新产品。</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5.6平等对待内外资企业和符合条件的破产重整企业</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5.6.1平等对待内外资企业和符合条件的破产重整企业，切实保障企业公平竞争，平等维护企业的合法利益。</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5.7实施本国产品标准及相关政策</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5.7.1认定标准</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本国产品应当符合以下条件：</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（一）在中国境内生产</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产品应当在中国境内生产，即在中华人民共和国关境内实现从原材料、组件到产品的属性改变。</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属性改变是指经过制造、加工或者组装等工序，产生完全不同于原材料、组件的新产品，并具有新的名称和特征（用途）。属性改变不包括以下细微操作：</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1.为确保产品在运输或者储存期间保持某种状态而进行的操作；</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2.为产品运输或者销售进行的包装或者展示；</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3.在产品或者其包装上粘贴或者印刷品牌、标志、标识以及其他用于区别的标记；</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4.简单的上漆、磨光和分装；</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5.其他不属于属性改变的情形。</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（二）在中国境内生产的组件成本占比达到规定比例</w:t>
      </w:r>
      <w:r/>
    </w:p>
    <w:p>
      <w:pPr>
        <w:pStyle w:val="1442"/>
        <w:ind w:firstLine="480"/>
        <w:spacing w:line="460" w:lineRule="exact"/>
        <w:rPr>
          <w:rFonts w:ascii="宋体" w:hAnsi="宋体"/>
          <w:sz w:val="24"/>
          <w:highlight w:val="none"/>
        </w:rPr>
      </w:pPr>
      <w:r>
        <w:rPr>
          <w:rFonts w:hint="eastAsia" w:ascii="宋体" w:hAnsi="宋体"/>
          <w:sz w:val="24"/>
          <w:highlight w:val="none"/>
        </w:rPr>
        <w:t xml:space="preserve">产品在中国境内生产的组件成本占比应当达到规定比例，计算公式为：</w:t>
      </w:r>
      <w:r/>
    </w:p>
    <w:p>
      <w:pPr>
        <w:ind w:firstLine="480"/>
        <w:spacing w:line="360" w:lineRule="auto"/>
        <w:rPr>
          <w:rFonts w:hint="eastAsia" w:hAnsi="Cambria Math"/>
          <w:bCs/>
          <w:color w:val="0000ff"/>
          <w:sz w:val="24"/>
          <w:highlight w:val="none"/>
        </w:rPr>
      </w:pPr>
      <w:r/>
      <m:oMathPara>
        <m:oMathParaPr/>
        <m:oMath>
          <m:f>
            <m:fPr>
              <m:ctrlPr>
                <w:rPr>
                  <w:rFonts w:hint="eastAsia" w:ascii="Cambria Math" w:hAnsi="Cambria Math" w:cs="宋体"/>
                  <w:bCs/>
                  <w:iCs/>
                  <w:sz w:val="24"/>
                  <w:highlight w:val="none"/>
                </w:rPr>
              </m:ctrlPr>
            </m:fPr>
            <m:num>
              <m:r>
                <w:rPr>
                  <w:rFonts w:hint="eastAsia" w:ascii="Cambria Math" w:hAnsi="Cambria Math" w:cs="宋体"/>
                  <w:sz w:val="24"/>
                  <w:highlight w:val="none"/>
                </w:rPr>
                <m:rPr>
                  <m:sty m:val="p"/>
                </m:rPr>
                <m:t>产品在中国境内生产的组件成本</m:t>
              </m:r>
            </m:num>
            <m:den>
              <m:r>
                <w:rPr>
                  <w:rFonts w:hint="eastAsia" w:ascii="Cambria Math" w:hAnsi="Cambria Math" w:cs="宋体"/>
                  <w:sz w:val="24"/>
                  <w:highlight w:val="none"/>
                </w:rPr>
                <m:rPr>
                  <m:sty m:val="p"/>
                </m:rPr>
                <m:t>产品总成本</m:t>
              </m:r>
            </m:den>
          </m:f>
          <m:r>
            <w:rPr>
              <w:rFonts w:hint="eastAsia" w:ascii="Cambria Math" w:hAnsi="Cambria Math" w:cs="宋体"/>
              <w:sz w:val="24"/>
              <w:highlight w:val="none"/>
            </w:rPr>
            <m:rPr>
              <m:sty m:val="p"/>
            </m:rPr>
            <m:t>≥规定比例</m:t>
          </m:r>
        </m:oMath>
      </m:oMathPara>
      <w:r/>
      <w:r/>
    </w:p>
    <w:p>
      <w:pPr>
        <w:pStyle w:val="1442"/>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（三）特定产品的关键组件、关键工序符合相关要求</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5.7.2适用范围</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5.7.3对本国产品的支持政策</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442"/>
        <w:ind w:firstLine="480"/>
        <w:spacing w:line="460" w:lineRule="exact"/>
        <w:rPr>
          <w:rFonts w:ascii="宋体" w:hAnsi="宋体" w:cs="宋体"/>
          <w:sz w:val="24"/>
          <w:highlight w:val="none"/>
        </w:rPr>
      </w:pPr>
      <w:r>
        <w:rPr>
          <w:rFonts w:hint="eastAsia" w:ascii="宋体" w:hAnsi="宋体" w:cs="宋体"/>
          <w:sz w:val="24"/>
          <w:highlight w:val="none"/>
        </w:rPr>
        <w:t xml:space="preserve">5.7.4书面澄清、说明或者补正</w:t>
      </w:r>
      <w:r/>
    </w:p>
    <w:p>
      <w:pPr>
        <w:pStyle w:val="1442"/>
        <w:ind w:firstLine="480"/>
        <w:spacing w:line="460" w:lineRule="exact"/>
        <w:rPr>
          <w:rFonts w:ascii="宋体" w:hAnsi="宋体" w:cs="宋体"/>
          <w:color w:val="000000"/>
          <w:sz w:val="24"/>
          <w:highlight w:val="none"/>
        </w:rPr>
      </w:pPr>
      <w:r>
        <w:rPr>
          <w:rFonts w:hint="eastAsia" w:ascii="宋体" w:hAnsi="宋体" w:cs="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662"/>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二、磋商文件</w:t>
      </w:r>
      <w:bookmarkEnd w:id="48"/>
      <w:r/>
      <w:bookmarkEnd w:id="49"/>
      <w:r/>
      <w:r/>
    </w:p>
    <w:p>
      <w:pPr>
        <w:pStyle w:val="1663"/>
        <w:jc w:val="left"/>
        <w:keepLines w:val="0"/>
        <w:keepNext w:val="0"/>
        <w:spacing w:before="0" w:after="0" w:line="360" w:lineRule="auto"/>
        <w:rPr>
          <w:rFonts w:ascii="宋体" w:hAnsi="宋体" w:cs="宋体"/>
          <w:color w:val="000000"/>
          <w:sz w:val="24"/>
          <w:szCs w:val="24"/>
          <w:highlight w:val="none"/>
        </w:rPr>
      </w:pPr>
      <w:r/>
      <w:bookmarkStart w:id="50" w:name="_Toc92168007"/>
      <w:r/>
      <w:bookmarkStart w:id="51" w:name="_Toc98669338"/>
      <w:r/>
      <w:bookmarkStart w:id="52" w:name="_Toc100386041"/>
      <w:r/>
      <w:bookmarkStart w:id="53" w:name="_Toc105940814"/>
      <w:r/>
      <w:bookmarkStart w:id="54" w:name="_Toc98669696"/>
      <w:r/>
      <w:bookmarkStart w:id="55" w:name="_Toc105940896"/>
      <w:r/>
      <w:bookmarkStart w:id="56" w:name="_Toc20732975"/>
      <w:r>
        <w:rPr>
          <w:rFonts w:hint="eastAsia" w:ascii="宋体" w:hAnsi="宋体" w:cs="宋体"/>
          <w:color w:val="000000"/>
          <w:sz w:val="24"/>
          <w:szCs w:val="24"/>
          <w:highlight w:val="none"/>
        </w:rPr>
        <w:t xml:space="preserve">6、磋商文件构成</w:t>
      </w:r>
      <w:bookmarkEnd w:id="50"/>
      <w:r/>
      <w:bookmarkEnd w:id="51"/>
      <w:r/>
      <w:bookmarkEnd w:id="52"/>
      <w:r/>
      <w:bookmarkEnd w:id="53"/>
      <w:r/>
      <w:bookmarkEnd w:id="54"/>
      <w:r/>
      <w:bookmarkEnd w:id="55"/>
      <w:r/>
      <w:bookmarkEnd w:id="56"/>
      <w:r>
        <w:rPr>
          <w:rFonts w:hint="eastAsia" w:ascii="宋体" w:hAnsi="宋体" w:cs="宋体"/>
          <w:color w:val="000000"/>
          <w:sz w:val="24"/>
          <w:szCs w:val="24"/>
          <w:highlight w:val="none"/>
        </w:rPr>
        <w:tab/>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6.1磋商文件包括：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（1）磋商邀请；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（2）供应商须知；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（5）评标办法和标准；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（6）磋商响应文件（格式）；</w:t>
      </w:r>
      <w:r/>
    </w:p>
    <w:p>
      <w:pPr>
        <w:ind w:firstLine="361"/>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t xml:space="preserve">请仔细检查磋商文件是否齐全，如有缺漏请立即与磋商组织方联系解决</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6.2供应商</w:t>
      </w:r>
      <w:r>
        <w:rPr>
          <w:rFonts w:ascii="宋体" w:hAnsi="宋体" w:cs="宋体"/>
          <w:color w:val="000000"/>
          <w:sz w:val="24"/>
          <w:highlight w:val="none"/>
        </w:rPr>
        <w:t xml:space="preserve">获取本文件后，应认真阅读本文件中所有的事项、格式条款和规范等要求。</w:t>
      </w:r>
      <w:r/>
    </w:p>
    <w:p>
      <w:pPr>
        <w:ind w:firstLine="480"/>
        <w:spacing w:line="360" w:lineRule="auto"/>
        <w:rPr>
          <w:rFonts w:eastAsia="楷体_GB2312"/>
          <w:color w:val="000000"/>
          <w:sz w:val="24"/>
          <w:highlight w:val="none"/>
        </w:rPr>
      </w:pPr>
      <w:r>
        <w:rPr>
          <w:rFonts w:hint="eastAsia" w:ascii="宋体" w:hAnsi="宋体" w:cs="宋体"/>
          <w:color w:val="000000"/>
          <w:sz w:val="24"/>
          <w:highlight w:val="none"/>
        </w:rPr>
        <w:t xml:space="preserve">6.3</w:t>
      </w:r>
      <w:r>
        <w:rPr>
          <w:rFonts w:ascii="宋体" w:hAnsi="宋体" w:cs="宋体"/>
          <w:b/>
          <w:color w:val="000000"/>
          <w:sz w:val="24"/>
          <w:highlight w:val="none"/>
          <w:u w:val="single"/>
        </w:rPr>
        <w:t xml:space="preserve">除非有特殊要求，</w:t>
      </w:r>
      <w:r>
        <w:rPr>
          <w:rFonts w:hint="eastAsia" w:ascii="宋体" w:hAnsi="宋体" w:cs="宋体"/>
          <w:b/>
          <w:color w:val="000000"/>
          <w:sz w:val="24"/>
          <w:highlight w:val="none"/>
          <w:u w:val="single"/>
        </w:rPr>
        <w:t xml:space="preserve">磋商文件</w:t>
      </w:r>
      <w:r>
        <w:rPr>
          <w:rFonts w:ascii="宋体" w:hAnsi="宋体" w:cs="宋体"/>
          <w:b/>
          <w:color w:val="000000"/>
          <w:sz w:val="24"/>
          <w:highlight w:val="none"/>
          <w:u w:val="single"/>
        </w:rPr>
        <w:t xml:space="preserve">不单独提供招标标的所在地自然环境、气象条件、公用设施等情况，</w:t>
      </w:r>
      <w:r>
        <w:rPr>
          <w:rFonts w:hint="eastAsia" w:ascii="宋体" w:hAnsi="宋体" w:cs="宋体"/>
          <w:b/>
          <w:color w:val="000000"/>
          <w:sz w:val="24"/>
          <w:highlight w:val="none"/>
          <w:u w:val="single"/>
        </w:rPr>
        <w:t xml:space="preserve">供应商</w:t>
      </w:r>
      <w:r>
        <w:rPr>
          <w:rFonts w:ascii="宋体" w:hAnsi="宋体" w:cs="宋体"/>
          <w:b/>
          <w:color w:val="000000"/>
          <w:sz w:val="24"/>
          <w:highlight w:val="none"/>
          <w:u w:val="single"/>
        </w:rPr>
        <w:t xml:space="preserve">被视为熟悉上述与签订和履行合同有关的一切情况</w:t>
      </w:r>
      <w:r>
        <w:rPr>
          <w:rFonts w:ascii="宋体" w:hAnsi="宋体" w:cs="宋体"/>
          <w:color w:val="000000"/>
          <w:sz w:val="24"/>
          <w:highlight w:val="none"/>
        </w:rPr>
        <w:t xml:space="preserve">。</w:t>
      </w:r>
      <w:r/>
    </w:p>
    <w:p>
      <w:pPr>
        <w:pStyle w:val="1663"/>
        <w:jc w:val="left"/>
        <w:keepLines w:val="0"/>
        <w:keepNext w:val="0"/>
        <w:spacing w:before="0" w:after="0" w:line="360" w:lineRule="auto"/>
        <w:rPr>
          <w:rFonts w:ascii="宋体" w:hAnsi="宋体" w:cs="宋体"/>
          <w:color w:val="000000"/>
          <w:sz w:val="24"/>
          <w:szCs w:val="24"/>
          <w:highlight w:val="none"/>
        </w:rPr>
      </w:pPr>
      <w:r/>
      <w:bookmarkStart w:id="57" w:name="_Toc98669339"/>
      <w:r/>
      <w:bookmarkStart w:id="58" w:name="_Toc98669697"/>
      <w:r/>
      <w:bookmarkStart w:id="59" w:name="_Toc92168008"/>
      <w:r/>
      <w:bookmarkStart w:id="60" w:name="_Toc20732976"/>
      <w:r/>
      <w:bookmarkStart w:id="61" w:name="_Toc100386042"/>
      <w:r/>
      <w:bookmarkStart w:id="62" w:name="_Toc105940815"/>
      <w:r/>
      <w:bookmarkStart w:id="63" w:name="_Toc105940897"/>
      <w:r>
        <w:rPr>
          <w:rFonts w:hint="eastAsia" w:ascii="宋体" w:hAnsi="宋体" w:cs="宋体"/>
          <w:color w:val="000000"/>
          <w:sz w:val="24"/>
          <w:szCs w:val="24"/>
          <w:highlight w:val="none"/>
        </w:rPr>
        <w:t xml:space="preserve">7、磋商文件的澄清</w:t>
      </w:r>
      <w:bookmarkEnd w:id="57"/>
      <w:r/>
      <w:bookmarkEnd w:id="58"/>
      <w:r/>
      <w:bookmarkEnd w:id="59"/>
      <w:r/>
      <w:bookmarkEnd w:id="60"/>
      <w:r/>
      <w:bookmarkEnd w:id="61"/>
      <w:r/>
      <w:bookmarkStart w:id="64" w:name="_Toc98669340"/>
      <w:r/>
      <w:bookmarkStart w:id="65" w:name="_Toc20732977"/>
      <w:r/>
      <w:bookmarkStart w:id="66" w:name="_Toc92168009"/>
      <w:r/>
      <w:bookmarkStart w:id="67" w:name="_Toc100386043"/>
      <w:r/>
      <w:bookmarkStart w:id="68" w:name="_Toc98669698"/>
      <w:r>
        <w:rPr>
          <w:rFonts w:hint="eastAsia" w:ascii="宋体" w:hAnsi="宋体" w:cs="宋体"/>
          <w:color w:val="000000"/>
          <w:sz w:val="24"/>
          <w:szCs w:val="24"/>
          <w:highlight w:val="none"/>
        </w:rPr>
        <w:t xml:space="preserve">和修改</w:t>
      </w:r>
      <w:bookmarkEnd w:id="62"/>
      <w:r/>
      <w:bookmarkEnd w:id="63"/>
      <w:r/>
      <w:bookmarkEnd w:id="64"/>
      <w:r/>
      <w:bookmarkEnd w:id="65"/>
      <w:r/>
      <w:bookmarkEnd w:id="66"/>
      <w:r/>
      <w:bookmarkEnd w:id="67"/>
      <w:r/>
      <w:bookmarkEnd w:id="6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b/>
          <w:color w:val="000000"/>
          <w:sz w:val="24"/>
          <w:highlight w:val="none"/>
        </w:rPr>
        <w:t xml:space="preserve">按照权责相一致原则，</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提出的对于</w:t>
      </w:r>
      <w:r>
        <w:rPr>
          <w:rFonts w:hint="eastAsia" w:ascii="宋体" w:hAnsi="宋体" w:cs="宋体"/>
          <w:b/>
          <w:color w:val="000000"/>
          <w:sz w:val="24"/>
          <w:highlight w:val="none"/>
        </w:rPr>
        <w:t xml:space="preserve">磋商文件</w:t>
      </w:r>
      <w:r>
        <w:rPr>
          <w:rFonts w:ascii="宋体" w:hAnsi="宋体" w:cs="宋体"/>
          <w:b/>
          <w:color w:val="000000"/>
          <w:sz w:val="24"/>
          <w:highlight w:val="none"/>
        </w:rPr>
        <w:t xml:space="preserve">主要商务、技术指标的相关澄清、修改要求，由采购人负责答复并视情况作出澄清或修改的决定。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7.4澄清或者修改的内容可能影响磋商响应文件编制的，磋商组织方将在投标截止时间至少5日前，</w:t>
      </w:r>
      <w:r>
        <w:rPr>
          <w:rFonts w:ascii="宋体" w:hAnsi="宋体" w:cs="宋体"/>
          <w:color w:val="000000"/>
          <w:sz w:val="24"/>
          <w:highlight w:val="none"/>
        </w:rPr>
        <w:t xml:space="preserve">在系统中以书面形式通知所有已获取</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供应商；不足5日的，磋商组织方将顺延提交磋商响应文件的截止时间。</w:t>
      </w:r>
      <w:r>
        <w:rPr>
          <w:rFonts w:hint="eastAsia" w:ascii="宋体" w:hAnsi="宋体" w:cs="宋体"/>
          <w:b/>
          <w:bCs/>
          <w:color w:val="000000"/>
          <w:sz w:val="24"/>
          <w:highlight w:val="none"/>
          <w:u w:val="single"/>
        </w:rPr>
        <w:t xml:space="preserve">供应商应及时自行登录系统查看相应内容。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7.5如澄清或修改公告有重新发布磋商文件的，投标供应商应下载最新发布的磋商文件制作投标文件。因投标供应商自身原因未能及时获取的，一切后果由投标供应商自行承担。</w:t>
      </w:r>
      <w:r/>
    </w:p>
    <w:p>
      <w:pPr>
        <w:pStyle w:val="1662"/>
        <w:keepLines w:val="0"/>
        <w:keepNext w:val="0"/>
        <w:spacing w:before="200" w:after="200" w:line="240" w:lineRule="auto"/>
        <w:rPr>
          <w:rFonts w:ascii="宋体" w:hAnsi="宋体" w:eastAsia="宋体" w:cs="宋体"/>
          <w:color w:val="000000"/>
          <w:sz w:val="28"/>
          <w:szCs w:val="28"/>
          <w:highlight w:val="none"/>
        </w:rPr>
      </w:pPr>
      <w:r/>
      <w:bookmarkStart w:id="69" w:name="_Toc105940816"/>
      <w:r/>
      <w:bookmarkStart w:id="70" w:name="_Toc105940898"/>
      <w:r>
        <w:rPr>
          <w:rFonts w:hint="eastAsia" w:ascii="宋体" w:hAnsi="宋体" w:eastAsia="宋体" w:cs="宋体"/>
          <w:color w:val="000000"/>
          <w:sz w:val="28"/>
          <w:szCs w:val="28"/>
          <w:highlight w:val="none"/>
        </w:rPr>
        <w:t xml:space="preserve">三、磋商响应文件的编制</w:t>
      </w:r>
      <w:bookmarkEnd w:id="69"/>
      <w:r/>
      <w:bookmarkEnd w:id="70"/>
      <w:r/>
      <w:r/>
    </w:p>
    <w:p>
      <w:pPr>
        <w:pStyle w:val="1663"/>
        <w:jc w:val="left"/>
        <w:keepLines w:val="0"/>
        <w:keepNext w:val="0"/>
        <w:spacing w:before="0" w:after="0" w:line="360" w:lineRule="auto"/>
        <w:rPr>
          <w:rFonts w:ascii="宋体" w:hAnsi="宋体" w:cs="宋体"/>
          <w:color w:val="000000"/>
          <w:sz w:val="24"/>
          <w:szCs w:val="24"/>
          <w:highlight w:val="none"/>
        </w:rPr>
      </w:pPr>
      <w:r/>
      <w:bookmarkStart w:id="71" w:name="_Toc105940817"/>
      <w:r/>
      <w:bookmarkStart w:id="72" w:name="_Toc105940899"/>
      <w:r>
        <w:rPr>
          <w:rFonts w:hint="eastAsia" w:ascii="宋体" w:hAnsi="宋体" w:cs="宋体"/>
          <w:color w:val="000000"/>
          <w:sz w:val="24"/>
          <w:szCs w:val="24"/>
          <w:highlight w:val="none"/>
        </w:rPr>
        <w:t xml:space="preserve">8、磋商响应文件的编写</w:t>
      </w:r>
      <w:bookmarkEnd w:id="71"/>
      <w:r/>
      <w:bookmarkEnd w:id="7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8.2供应商在编制磋商响应文件时，请按照磋商文件第六部分规定的格式进行填写并提交到对应位置，无相应内容可填的项应填写“无”、“没有相应指标”等明确的回答文字。</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8.3如没有按照磋商文件要求和规定编制磋商响应文件提交相关资料，其风险应由供应商自行承担；投磋商响应文件编排混乱、文字表达不清或上传资料内容模糊所引起的不利后果，由供应商自行承担。</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8.4供应商必须保证投标文件所提供的全部资料合法、真实、可靠。</w:t>
      </w:r>
      <w:r/>
    </w:p>
    <w:p>
      <w:pPr>
        <w:pStyle w:val="1663"/>
        <w:jc w:val="left"/>
        <w:keepLines w:val="0"/>
        <w:keepNext w:val="0"/>
        <w:spacing w:before="0" w:after="0" w:line="360" w:lineRule="auto"/>
        <w:rPr>
          <w:rFonts w:ascii="宋体" w:hAnsi="宋体" w:cs="宋体"/>
          <w:color w:val="000000"/>
          <w:sz w:val="24"/>
          <w:szCs w:val="24"/>
          <w:highlight w:val="none"/>
        </w:rPr>
      </w:pPr>
      <w:r/>
      <w:bookmarkStart w:id="73" w:name="_Toc105940900"/>
      <w:r/>
      <w:bookmarkStart w:id="74" w:name="_Toc105940818"/>
      <w:r>
        <w:rPr>
          <w:rFonts w:hint="eastAsia" w:ascii="宋体" w:hAnsi="宋体" w:cs="宋体"/>
          <w:color w:val="000000"/>
          <w:sz w:val="24"/>
          <w:szCs w:val="24"/>
          <w:highlight w:val="none"/>
        </w:rPr>
        <w:t xml:space="preserve">9、投标语言及度量衡单位</w:t>
      </w:r>
      <w:bookmarkEnd w:id="73"/>
      <w:r/>
      <w:bookmarkEnd w:id="7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9.1供应商的磋商响应文件以及供应商就有关投标的所有来往函电等均应使用中文。</w:t>
      </w:r>
      <w:r/>
    </w:p>
    <w:p>
      <w:pPr>
        <w:ind w:firstLine="480"/>
        <w:spacing w:line="360" w:lineRule="auto"/>
        <w:tabs>
          <w:tab w:val="left" w:pos="2226" w:leader="none"/>
        </w:tabs>
        <w:rPr>
          <w:rFonts w:ascii="宋体" w:hAnsi="宋体" w:cs="宋体"/>
          <w:color w:val="000000"/>
          <w:sz w:val="24"/>
          <w:highlight w:val="none"/>
        </w:rPr>
      </w:pPr>
      <w:r>
        <w:rPr>
          <w:rFonts w:hint="eastAsia" w:ascii="宋体" w:hAnsi="宋体" w:cs="宋体"/>
          <w:color w:val="000000"/>
          <w:sz w:val="24"/>
          <w:highlight w:val="none"/>
        </w:rPr>
        <w:t xml:space="preserve">9.2磋商响应文件中所使用的计量单位除磋商文件中另有特殊规定外，一律使用法定计量单位。</w:t>
      </w:r>
      <w:r>
        <w:tab/>
      </w:r>
      <w:r/>
    </w:p>
    <w:p>
      <w:pPr>
        <w:pStyle w:val="1663"/>
        <w:jc w:val="left"/>
        <w:keepLines w:val="0"/>
        <w:keepNext w:val="0"/>
        <w:spacing w:before="0" w:after="0" w:line="360" w:lineRule="auto"/>
        <w:rPr>
          <w:rFonts w:ascii="宋体" w:hAnsi="宋体" w:cs="宋体"/>
          <w:color w:val="000000"/>
          <w:sz w:val="24"/>
          <w:szCs w:val="24"/>
          <w:highlight w:val="none"/>
        </w:rPr>
      </w:pPr>
      <w:r/>
      <w:bookmarkStart w:id="75" w:name="_Toc105940819"/>
      <w:r/>
      <w:bookmarkStart w:id="76" w:name="_Toc105940901"/>
      <w:r>
        <w:rPr>
          <w:rFonts w:hint="eastAsia" w:ascii="宋体" w:hAnsi="宋体" w:cs="宋体"/>
          <w:color w:val="000000"/>
          <w:sz w:val="24"/>
          <w:szCs w:val="24"/>
          <w:highlight w:val="none"/>
        </w:rPr>
        <w:t xml:space="preserve">10、磋商响应文件构成</w:t>
      </w:r>
      <w:bookmarkEnd w:id="75"/>
      <w:r/>
      <w:bookmarkEnd w:id="7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10.1供应商编写的磋商响应文件应分为</w:t>
      </w:r>
      <w:r>
        <w:rPr>
          <w:rFonts w:ascii="宋体" w:hAnsi="宋体" w:cs="宋体"/>
          <w:color w:val="000000"/>
          <w:sz w:val="24"/>
          <w:highlight w:val="none"/>
        </w:rPr>
        <w:t xml:space="preserve">资格部分、商务部分、技术部分和价格部分</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w:t>
      </w:r>
      <w:r>
        <w:rPr>
          <w:rFonts w:ascii="宋体" w:hAnsi="宋体" w:cs="宋体"/>
          <w:color w:val="000000"/>
          <w:sz w:val="24"/>
          <w:highlight w:val="none"/>
        </w:rPr>
        <w:t xml:space="preserve">资格部分系指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提交的证明其有资格参加投标的文件</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w:t>
      </w:r>
      <w:r>
        <w:rPr>
          <w:rFonts w:ascii="宋体" w:hAnsi="宋体" w:cs="宋体"/>
          <w:color w:val="000000"/>
          <w:sz w:val="24"/>
          <w:highlight w:val="none"/>
        </w:rPr>
        <w:t xml:space="preserve">商务部分系指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提交的证明其中标后有能力履行合同的文件。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w:t>
      </w:r>
      <w:r>
        <w:rPr>
          <w:rFonts w:ascii="宋体" w:hAnsi="宋体" w:cs="宋体"/>
          <w:color w:val="000000"/>
          <w:sz w:val="24"/>
          <w:highlight w:val="none"/>
        </w:rPr>
        <w:t xml:space="preserve">技术部分系指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提交的能够证明</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提供的货物（服务）符合</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规定的文件。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w:t>
      </w:r>
      <w:r>
        <w:rPr>
          <w:rFonts w:ascii="宋体" w:hAnsi="宋体" w:cs="宋体"/>
          <w:color w:val="000000"/>
          <w:sz w:val="24"/>
          <w:highlight w:val="none"/>
        </w:rPr>
        <w:t xml:space="preserve">具体填写格式详见</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第六部分。</w:t>
      </w:r>
      <w:r/>
    </w:p>
    <w:p>
      <w:pPr>
        <w:pStyle w:val="1663"/>
        <w:jc w:val="left"/>
        <w:keepLines w:val="0"/>
        <w:keepNext w:val="0"/>
        <w:spacing w:before="0" w:after="0" w:line="360" w:lineRule="auto"/>
        <w:rPr>
          <w:rFonts w:ascii="宋体" w:hAnsi="宋体" w:cs="宋体"/>
          <w:color w:val="000000"/>
          <w:sz w:val="24"/>
          <w:szCs w:val="24"/>
          <w:highlight w:val="none"/>
        </w:rPr>
      </w:pPr>
      <w:r/>
      <w:bookmarkStart w:id="77" w:name="_Toc105940820"/>
      <w:r/>
      <w:bookmarkStart w:id="78" w:name="_Toc105940902"/>
      <w:r/>
      <w:bookmarkStart w:id="79" w:name="_Toc105940903"/>
      <w:r/>
      <w:bookmarkStart w:id="80" w:name="_Toc105940821"/>
      <w:r>
        <w:rPr>
          <w:rFonts w:hint="eastAsia" w:ascii="宋体" w:hAnsi="宋体" w:cs="宋体"/>
          <w:color w:val="000000"/>
          <w:sz w:val="24"/>
          <w:szCs w:val="24"/>
          <w:highlight w:val="none"/>
        </w:rPr>
        <w:t xml:space="preserve">11、编制投标文件的工具</w:t>
      </w:r>
      <w:r/>
    </w:p>
    <w:p>
      <w:pPr>
        <w:pStyle w:val="1674"/>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11.1供应商须通过江苏省政府采购网提供的最新响应文件制作软件编制磋商响应文件。</w:t>
      </w:r>
      <w:bookmarkEnd w:id="77"/>
      <w:r/>
      <w:bookmarkEnd w:id="78"/>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12、投标报价</w:t>
      </w:r>
      <w:bookmarkEnd w:id="79"/>
      <w:r/>
      <w:bookmarkEnd w:id="80"/>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12.4磋商最后报价即为合同签约价。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12.5最低磋商报价不能作为成交的唯一保证。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12.6磋商报价应以人民币报价。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12.7磋商报价的其他要求：无</w:t>
      </w:r>
      <w:r/>
    </w:p>
    <w:p>
      <w:pPr>
        <w:pStyle w:val="1663"/>
        <w:jc w:val="left"/>
        <w:keepLines w:val="0"/>
        <w:keepNext w:val="0"/>
        <w:spacing w:before="0" w:after="0" w:line="360" w:lineRule="auto"/>
        <w:rPr>
          <w:rFonts w:ascii="宋体" w:hAnsi="宋体" w:cs="宋体"/>
          <w:color w:val="000000"/>
          <w:sz w:val="24"/>
          <w:szCs w:val="24"/>
          <w:highlight w:val="none"/>
        </w:rPr>
      </w:pPr>
      <w:r/>
      <w:bookmarkStart w:id="81" w:name="_Toc105940904"/>
      <w:r/>
      <w:bookmarkStart w:id="82" w:name="_Toc105940822"/>
      <w:r>
        <w:rPr>
          <w:rFonts w:hint="eastAsia" w:ascii="宋体" w:hAnsi="宋体" w:cs="宋体"/>
          <w:color w:val="000000"/>
          <w:sz w:val="24"/>
          <w:szCs w:val="24"/>
          <w:highlight w:val="none"/>
        </w:rPr>
        <w:t xml:space="preserve">13、技术规格要求和服务要求的响应</w:t>
      </w:r>
      <w:bookmarkEnd w:id="81"/>
      <w:r/>
      <w:bookmarkEnd w:id="8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13.1供应商必须依据技术要求及规格，逐条说明投标服务的技术参数、运行性能以及适用性。</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ascii="宋体" w:hAnsi="宋体"/>
          <w:color w:val="000000"/>
          <w:sz w:val="24"/>
          <w:highlight w:val="none"/>
          <w:u w:val="single"/>
        </w:rPr>
      </w:pPr>
      <w:r>
        <w:rPr>
          <w:rFonts w:hint="eastAsia" w:ascii="宋体" w:hAnsi="宋体" w:cs="宋体"/>
          <w:color w:val="000000"/>
          <w:sz w:val="24"/>
          <w:highlight w:val="none"/>
        </w:rPr>
        <w:t xml:space="preserve">13.3技术规格的响应，应对磋商文件中的技术规格逐项作出实质性响应。13.4供应商的服务承诺应按不低于磋商文件中服务要求的标准做出响应。</w:t>
      </w:r>
      <w:r/>
    </w:p>
    <w:p>
      <w:pPr>
        <w:pStyle w:val="1663"/>
        <w:jc w:val="left"/>
        <w:keepLines w:val="0"/>
        <w:keepNext w:val="0"/>
        <w:spacing w:before="0" w:after="0" w:line="360" w:lineRule="auto"/>
        <w:rPr>
          <w:rFonts w:ascii="宋体" w:hAnsi="宋体" w:cs="宋体"/>
          <w:color w:val="000000"/>
          <w:sz w:val="24"/>
          <w:szCs w:val="24"/>
          <w:highlight w:val="none"/>
        </w:rPr>
      </w:pPr>
      <w:r/>
      <w:bookmarkStart w:id="83" w:name="_Toc105940823"/>
      <w:r/>
      <w:bookmarkStart w:id="84" w:name="_Toc105940905"/>
      <w:r>
        <w:rPr>
          <w:rFonts w:hint="eastAsia" w:ascii="宋体" w:hAnsi="宋体" w:cs="宋体"/>
          <w:color w:val="000000"/>
          <w:sz w:val="24"/>
          <w:szCs w:val="24"/>
          <w:highlight w:val="none"/>
        </w:rPr>
        <w:t xml:space="preserve">14、供应商资格和能力的证明文件</w:t>
      </w:r>
      <w:bookmarkEnd w:id="83"/>
      <w:r/>
      <w:bookmarkEnd w:id="8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14.2供应商除必须具有履行合同所需提供的服务能力外，还必须具备相应的财务、技术等各方面的能力。</w:t>
      </w:r>
      <w:bookmarkStart w:id="85" w:name="_Toc105940906"/>
      <w:r/>
      <w:bookmarkEnd w:id="85"/>
      <w:r/>
      <w:bookmarkStart w:id="86" w:name="_Toc105940824"/>
      <w:r/>
      <w:bookmarkEnd w:id="86"/>
      <w:r/>
      <w:r/>
    </w:p>
    <w:p>
      <w:pPr>
        <w:pStyle w:val="1663"/>
        <w:jc w:val="left"/>
        <w:keepLines w:val="0"/>
        <w:keepNext w:val="0"/>
        <w:spacing w:before="0" w:after="0" w:line="360" w:lineRule="auto"/>
        <w:rPr>
          <w:rFonts w:ascii="宋体" w:hAnsi="宋体" w:cs="宋体"/>
          <w:color w:val="000000"/>
          <w:sz w:val="24"/>
          <w:szCs w:val="24"/>
          <w:highlight w:val="none"/>
        </w:rPr>
      </w:pPr>
      <w:r/>
      <w:bookmarkStart w:id="87" w:name="_Toc105940828"/>
      <w:r/>
      <w:bookmarkStart w:id="88" w:name="_Toc105940910"/>
      <w:r/>
      <w:bookmarkStart w:id="89" w:name="_Toc105940825"/>
      <w:r/>
      <w:bookmarkStart w:id="90" w:name="_Toc105940907"/>
      <w:r>
        <w:rPr>
          <w:rFonts w:hint="eastAsia" w:ascii="宋体" w:hAnsi="宋体" w:cs="宋体"/>
          <w:color w:val="000000"/>
          <w:sz w:val="24"/>
          <w:szCs w:val="24"/>
          <w:highlight w:val="none"/>
        </w:rPr>
        <w:t xml:space="preserve">15、投标</w:t>
      </w:r>
      <w:bookmarkEnd w:id="87"/>
      <w:r/>
      <w:bookmarkEnd w:id="88"/>
      <w:r>
        <w:rPr>
          <w:rFonts w:hint="eastAsia" w:ascii="宋体" w:hAnsi="宋体" w:cs="宋体"/>
          <w:color w:val="000000"/>
          <w:sz w:val="24"/>
          <w:szCs w:val="24"/>
          <w:highlight w:val="none"/>
        </w:rPr>
        <w:t xml:space="preserve">文件的提交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15.1.2</w:t>
      </w:r>
      <w:r>
        <w:rPr>
          <w:rFonts w:hint="eastAsia" w:ascii="宋体" w:hAnsi="宋体" w:cs="宋体"/>
          <w:b/>
          <w:color w:val="000000"/>
          <w:sz w:val="24"/>
          <w:highlight w:val="none"/>
          <w:u w:val="single"/>
        </w:rPr>
        <w:t xml:space="preserve">截止时间以后提交的磋商响应文件，电子交易平台将拒绝接收。供应商应充分考虑网络环境、网络带宽等风险因素。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15.1.3</w:t>
      </w:r>
      <w:r>
        <w:rPr>
          <w:rFonts w:hint="eastAsia" w:ascii="宋体" w:hAnsi="宋体" w:cs="宋体"/>
          <w:b/>
          <w:color w:val="000000"/>
          <w:sz w:val="24"/>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15.1.4</w:t>
      </w:r>
      <w:r>
        <w:rPr>
          <w:rFonts w:hint="eastAsia" w:ascii="宋体" w:hAnsi="宋体" w:cs="宋体"/>
          <w:b/>
          <w:color w:val="000000"/>
          <w:sz w:val="24"/>
          <w:highlight w:val="none"/>
          <w:u w:val="single"/>
        </w:rPr>
        <w:t xml:space="preserve">提交完成后至解密前，供应商不能对加密磋商响应文件时所使用的数字认证证书进行更新、续费，否则可能引起的磋商响应文件解密失败等相关后果由供应商自行承担。</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，并在</w:t>
      </w:r>
      <w:r>
        <w:rPr>
          <w:rFonts w:hint="eastAsia" w:ascii="宋体" w:hAnsi="宋体" w:cs="宋体"/>
          <w:b/>
          <w:bCs/>
          <w:color w:val="000000"/>
          <w:sz w:val="24"/>
          <w:highlight w:val="none"/>
          <w:u w:val="single"/>
        </w:rPr>
        <w:t xml:space="preserve">原公告媒体</w:t>
      </w:r>
      <w:r>
        <w:rPr>
          <w:rFonts w:hint="eastAsia" w:ascii="宋体" w:hAnsi="宋体" w:cs="宋体"/>
          <w:color w:val="000000"/>
          <w:sz w:val="24"/>
          <w:highlight w:val="none"/>
        </w:rPr>
        <w:t xml:space="preserve">上发布公告。</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应及时自行登录系统查看相应内容。</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16、投标有效期</w:t>
      </w:r>
      <w:bookmarkEnd w:id="89"/>
      <w:r/>
      <w:bookmarkEnd w:id="90"/>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16.1投标有效期为：磋商响应文件自开标之日起</w:t>
      </w:r>
      <w:r>
        <w:rPr>
          <w:rFonts w:hint="eastAsia" w:ascii="宋体" w:hAnsi="宋体"/>
          <w:b/>
          <w:color w:val="000000"/>
          <w:sz w:val="24"/>
          <w:highlight w:val="none"/>
          <w:u w:val="single"/>
        </w:rPr>
        <w:t xml:space="preserve">90</w:t>
      </w:r>
      <w:r>
        <w:rPr>
          <w:rFonts w:hint="eastAsia" w:ascii="宋体" w:hAnsi="宋体" w:cs="宋体"/>
          <w:color w:val="000000"/>
          <w:sz w:val="24"/>
          <w:highlight w:val="none"/>
        </w:rPr>
        <w:t xml:space="preserve">天内有效。</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一旦获取了本磋商文件并参加投标，即被认为接受了投标有效期的约定。</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16.2在特殊情况下，采购人于原投标有效期满之前，可向</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提出延长投标有效期的要求。这种要求与答复均应采用书面形式（如信件、传真或电报等）。</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可以拒绝磋商组织方的这一要求而放弃投标。同意延长的</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既不能要求也不允许修改其磋商响应文件。</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17、投标文件的式样和签署</w:t>
      </w:r>
      <w:r/>
    </w:p>
    <w:p>
      <w:pPr>
        <w:pStyle w:val="167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ascii="宋体" w:hAnsi="宋体" w:eastAsia="宋体" w:cs="宋体"/>
          <w:color w:val="000000"/>
          <w:spacing w:val="-6"/>
          <w:sz w:val="24"/>
          <w:szCs w:val="24"/>
          <w:highlight w:val="none"/>
        </w:rPr>
        <w:t xml:space="preserve">供应商</w:t>
      </w:r>
      <w:r>
        <w:rPr>
          <w:rFonts w:hint="eastAsia" w:ascii="宋体" w:hAnsi="宋体" w:eastAsia="宋体" w:cs="宋体"/>
          <w:color w:val="000000"/>
          <w:sz w:val="24"/>
          <w:szCs w:val="24"/>
          <w:highlight w:val="none"/>
        </w:rPr>
        <w:t xml:space="preserve">应通过响应文件制作软件使用数字认证证书对磋商响应文件进行合成、电子签章及加密打包。</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18、磋商保证金</w:t>
      </w:r>
      <w:r/>
    </w:p>
    <w:p>
      <w:pPr>
        <w:pStyle w:val="167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本项目无需缴纳磋商保证金。</w:t>
      </w:r>
      <w:r/>
    </w:p>
    <w:p>
      <w:pPr>
        <w:pStyle w:val="1663"/>
        <w:jc w:val="left"/>
        <w:keepLines w:val="0"/>
        <w:keepNext w:val="0"/>
        <w:spacing w:before="0" w:after="0" w:line="360" w:lineRule="auto"/>
        <w:rPr>
          <w:rFonts w:ascii="宋体" w:hAnsi="宋体" w:cs="宋体"/>
          <w:color w:val="000000"/>
          <w:sz w:val="24"/>
          <w:szCs w:val="24"/>
          <w:highlight w:val="none"/>
        </w:rPr>
      </w:pPr>
      <w:r/>
      <w:bookmarkStart w:id="91" w:name="_Toc105940829"/>
      <w:r/>
      <w:bookmarkStart w:id="92" w:name="_Toc105940911"/>
      <w:r>
        <w:rPr>
          <w:rFonts w:hint="eastAsia" w:ascii="宋体" w:hAnsi="宋体" w:cs="宋体"/>
          <w:color w:val="000000"/>
          <w:sz w:val="24"/>
          <w:szCs w:val="24"/>
          <w:highlight w:val="none"/>
        </w:rPr>
        <w:t xml:space="preserve">19、磋商响应文件的补充、修改或者撤回</w:t>
      </w:r>
      <w:bookmarkEnd w:id="91"/>
      <w:r/>
      <w:bookmarkEnd w:id="9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在提交截止时间前，可以对所提交的磋商响应文件进行补充、修改或者撤回。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19.2在提交截止时间之前</w:t>
      </w:r>
      <w:r>
        <w:rPr>
          <w:rFonts w:ascii="宋体" w:hAnsi="宋体" w:cs="宋体"/>
          <w:color w:val="000000"/>
          <w:sz w:val="24"/>
          <w:highlight w:val="none"/>
        </w:rPr>
        <w:t xml:space="preserve">需要对</w:t>
      </w:r>
      <w:r>
        <w:rPr>
          <w:rFonts w:hint="eastAsia" w:ascii="宋体" w:hAnsi="宋体" w:cs="宋体"/>
          <w:color w:val="000000"/>
          <w:sz w:val="24"/>
          <w:highlight w:val="none"/>
        </w:rPr>
        <w:t xml:space="preserve">磋商响应</w:t>
      </w:r>
      <w:r>
        <w:rPr>
          <w:rFonts w:ascii="宋体" w:hAnsi="宋体" w:cs="宋体"/>
          <w:color w:val="000000"/>
          <w:sz w:val="24"/>
          <w:highlight w:val="none"/>
        </w:rPr>
        <w:t xml:space="preserve">文件进行补充、修改的，应当使用响应文件制作软件重新制作并提交。</w:t>
      </w:r>
      <w:r/>
    </w:p>
    <w:p>
      <w:pPr>
        <w:ind w:firstLine="480"/>
        <w:spacing w:line="360" w:lineRule="auto"/>
        <w:rPr>
          <w:rFonts w:ascii="宋体" w:hAnsi="宋体" w:cs="宋体"/>
          <w:color w:val="000000"/>
          <w:sz w:val="24"/>
          <w:highlight w:val="none"/>
        </w:rPr>
      </w:pPr>
      <w:r/>
      <w:bookmarkStart w:id="93" w:name="_Toc105940830"/>
      <w:r/>
      <w:bookmarkStart w:id="94" w:name="_Toc105940912"/>
      <w:r>
        <w:rPr>
          <w:rFonts w:hint="eastAsia" w:ascii="宋体" w:hAnsi="宋体" w:cs="宋体"/>
          <w:color w:val="000000"/>
          <w:sz w:val="24"/>
          <w:highlight w:val="none"/>
        </w:rPr>
        <w:t xml:space="preserve">19.3</w:t>
      </w:r>
      <w:r>
        <w:rPr>
          <w:rFonts w:ascii="宋体" w:hAnsi="宋体" w:cs="宋体"/>
          <w:color w:val="000000"/>
          <w:sz w:val="24"/>
          <w:highlight w:val="none"/>
        </w:rPr>
        <w:t xml:space="preserve">在提交截止时间之后，</w:t>
      </w:r>
      <w:r>
        <w:rPr>
          <w:rFonts w:ascii="宋体" w:hAnsi="宋体" w:cs="宋体"/>
          <w:color w:val="000000"/>
          <w:spacing w:val="-6"/>
          <w:sz w:val="24"/>
          <w:highlight w:val="none"/>
        </w:rPr>
        <w:t xml:space="preserve">供应商</w:t>
      </w:r>
      <w:r>
        <w:rPr>
          <w:rFonts w:ascii="宋体" w:hAnsi="宋体" w:cs="宋体"/>
          <w:color w:val="000000"/>
          <w:sz w:val="24"/>
          <w:highlight w:val="none"/>
        </w:rPr>
        <w:t xml:space="preserve">不得对其投标文件作任何修改或撤回。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19.4在投标截止时间至磋商组织方在磋商文件中规定的投标有效期满之间的这段时间内，</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不得撤回其投标。</w:t>
      </w:r>
      <w:bookmarkEnd w:id="93"/>
      <w:r/>
      <w:bookmarkEnd w:id="94"/>
      <w:r/>
      <w:r/>
    </w:p>
    <w:p>
      <w:pPr>
        <w:pStyle w:val="1662"/>
        <w:keepLines w:val="0"/>
        <w:keepNext w:val="0"/>
        <w:spacing w:before="200" w:after="200" w:line="240" w:lineRule="auto"/>
        <w:rPr>
          <w:rFonts w:ascii="宋体" w:hAnsi="宋体" w:eastAsia="宋体" w:cs="宋体"/>
          <w:color w:val="000000"/>
          <w:sz w:val="28"/>
          <w:szCs w:val="28"/>
          <w:highlight w:val="none"/>
        </w:rPr>
      </w:pPr>
      <w:r/>
      <w:bookmarkStart w:id="95" w:name="_Toc105940913"/>
      <w:r/>
      <w:bookmarkStart w:id="96" w:name="_Toc105940831"/>
      <w:r>
        <w:rPr>
          <w:rFonts w:hint="eastAsia" w:ascii="宋体" w:hAnsi="宋体" w:eastAsia="宋体" w:cs="宋体"/>
          <w:color w:val="000000"/>
          <w:sz w:val="28"/>
          <w:szCs w:val="28"/>
          <w:highlight w:val="none"/>
        </w:rPr>
        <w:t xml:space="preserve">五、磋商与评定</w:t>
      </w:r>
      <w:bookmarkEnd w:id="95"/>
      <w:r/>
      <w:bookmarkEnd w:id="96"/>
      <w:r/>
      <w:r/>
    </w:p>
    <w:p>
      <w:pPr>
        <w:pStyle w:val="1663"/>
        <w:jc w:val="left"/>
        <w:keepLines w:val="0"/>
        <w:keepNext w:val="0"/>
        <w:spacing w:before="0" w:after="0" w:line="360" w:lineRule="auto"/>
        <w:rPr>
          <w:rFonts w:ascii="宋体" w:hAnsi="宋体" w:cs="宋体"/>
          <w:color w:val="000000"/>
          <w:sz w:val="24"/>
          <w:szCs w:val="24"/>
          <w:highlight w:val="none"/>
        </w:rPr>
      </w:pPr>
      <w:r/>
      <w:bookmarkStart w:id="97" w:name="_Toc105940914"/>
      <w:r/>
      <w:bookmarkStart w:id="98" w:name="_Toc105940832"/>
      <w:r>
        <w:rPr>
          <w:rFonts w:hint="eastAsia" w:ascii="宋体" w:hAnsi="宋体" w:cs="宋体"/>
          <w:color w:val="000000"/>
          <w:sz w:val="24"/>
          <w:szCs w:val="24"/>
          <w:highlight w:val="none"/>
        </w:rPr>
        <w:t xml:space="preserve">20、磋商</w:t>
      </w:r>
      <w:bookmarkEnd w:id="97"/>
      <w:r/>
      <w:bookmarkEnd w:id="98"/>
      <w:r/>
      <w:r/>
    </w:p>
    <w:p>
      <w:pPr>
        <w:ind w:firstLine="480"/>
        <w:spacing w:line="360" w:lineRule="auto"/>
        <w:rPr>
          <w:rFonts w:ascii="宋体" w:hAnsi="宋体"/>
          <w:b/>
          <w:color w:val="000000"/>
          <w:sz w:val="24"/>
          <w:highlight w:val="none"/>
          <w:u w:val="single"/>
        </w:rPr>
      </w:pPr>
      <w:r>
        <w:rPr>
          <w:rFonts w:hint="eastAsia" w:ascii="宋体" w:hAnsi="宋体" w:cs="宋体"/>
          <w:color w:val="000000"/>
          <w:sz w:val="24"/>
          <w:highlight w:val="none"/>
        </w:rPr>
        <w:t xml:space="preserve">20.1磋商组织方将在“磋商文件”中规定的时间和地点主持开标。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应当在开标前做好充分准备，使用制作该磋商响应文件的同一数字认证证书准时参加开标。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20.3</w:t>
      </w:r>
      <w:r>
        <w:rPr>
          <w:rFonts w:ascii="宋体" w:hAnsi="宋体" w:cs="宋体"/>
          <w:b/>
          <w:bCs/>
          <w:color w:val="000000"/>
          <w:spacing w:val="-13"/>
          <w:sz w:val="24"/>
          <w:highlight w:val="none"/>
        </w:rPr>
        <w:t xml:space="preserve">供应商不足3家，不进入解密程序。</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20.4</w:t>
      </w:r>
      <w:r>
        <w:rPr>
          <w:rFonts w:hint="eastAsia" w:ascii="宋体" w:hAnsi="宋体" w:cs="宋体"/>
          <w:b/>
          <w:bCs/>
          <w:color w:val="000000"/>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highlight w:val="none"/>
        </w:rPr>
      </w:pPr>
      <w:r>
        <w:rPr>
          <w:rFonts w:hint="eastAsia" w:ascii="宋体" w:hAnsi="宋体" w:cs="宋体"/>
          <w:color w:val="000000"/>
          <w:sz w:val="24"/>
          <w:highlight w:val="none"/>
        </w:rPr>
        <w:t xml:space="preserve">20.5</w:t>
      </w:r>
      <w:r>
        <w:rPr>
          <w:rFonts w:ascii="宋体" w:hAnsi="宋体" w:cs="宋体"/>
          <w:color w:val="000000"/>
          <w:spacing w:val="-6"/>
          <w:sz w:val="24"/>
          <w:highlight w:val="none"/>
        </w:rPr>
        <w:t xml:space="preserve">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 xml:space="preserve">组织方将拒绝其响应。部分供应商的响应文件未解密或解密失败的， 程序可以继续进</w:t>
      </w:r>
      <w:r>
        <w:rPr>
          <w:rFonts w:ascii="宋体" w:hAnsi="宋体" w:cs="宋体"/>
          <w:color w:val="000000"/>
          <w:spacing w:val="-3"/>
          <w:sz w:val="24"/>
          <w:highlight w:val="none"/>
        </w:rPr>
        <w:t xml:space="preserve">行</w:t>
      </w:r>
      <w:r>
        <w:rPr>
          <w:rFonts w:ascii="宋体" w:hAnsi="宋体" w:cs="宋体"/>
          <w:color w:val="000000"/>
          <w:sz w:val="24"/>
          <w:highlight w:val="none"/>
        </w:rPr>
        <w:t xml:space="preserve">。</w:t>
      </w:r>
      <w:r>
        <w:rPr>
          <w:rFonts w:ascii="宋体" w:hAnsi="宋体" w:cs="宋体"/>
          <w:b/>
          <w:bCs/>
          <w:color w:val="000000"/>
          <w:spacing w:val="1"/>
          <w:sz w:val="24"/>
          <w:highlight w:val="none"/>
        </w:rPr>
        <w:t xml:space="preserve">若解密成功的</w:t>
      </w:r>
      <w:r>
        <w:rPr>
          <w:rFonts w:ascii="宋体" w:hAnsi="宋体" w:cs="宋体"/>
          <w:b/>
          <w:bCs/>
          <w:color w:val="000000"/>
          <w:sz w:val="24"/>
          <w:highlight w:val="none"/>
        </w:rPr>
        <w:t xml:space="preserve">供应商不足三家，不进入后续程序。</w:t>
      </w:r>
      <w:r/>
    </w:p>
    <w:p>
      <w:pPr>
        <w:ind w:left="41" w:right="121" w:firstLine="497"/>
        <w:spacing w:before="3" w:line="359" w:lineRule="auto"/>
        <w:rPr>
          <w:rFonts w:ascii="宋体" w:hAnsi="宋体" w:cs="宋体"/>
          <w:color w:val="000000"/>
          <w:sz w:val="24"/>
          <w:highlight w:val="none"/>
        </w:rPr>
      </w:pPr>
      <w:r>
        <w:rPr>
          <w:rFonts w:hint="eastAsia" w:ascii="宋体" w:hAnsi="宋体" w:cs="宋体"/>
          <w:color w:val="000000"/>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20.7电子投标文件解密全部完成后，按</w:t>
      </w:r>
      <w:r>
        <w:rPr>
          <w:rFonts w:hint="eastAsia" w:ascii="宋体" w:hAnsi="宋体" w:cs="宋体"/>
          <w:b/>
          <w:color w:val="000000"/>
          <w:sz w:val="24"/>
          <w:highlight w:val="none"/>
        </w:rPr>
        <w:t xml:space="preserve">投标文件解密成功顺序</w:t>
      </w:r>
      <w:r>
        <w:rPr>
          <w:rFonts w:hint="eastAsia" w:ascii="宋体" w:hAnsi="宋体" w:cs="宋体"/>
          <w:color w:val="000000"/>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highlight w:val="none"/>
        </w:rPr>
      </w:pPr>
      <w:r>
        <w:rPr>
          <w:rFonts w:hint="eastAsia" w:ascii="宋体" w:hAnsi="宋体" w:cs="宋体"/>
          <w:color w:val="000000"/>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highlight w:val="none"/>
        </w:rPr>
      </w:pPr>
      <w:r>
        <w:rPr>
          <w:rFonts w:hint="eastAsia" w:ascii="宋体" w:hAnsi="宋体" w:cs="宋体"/>
          <w:color w:val="000000"/>
          <w:spacing w:val="-8"/>
          <w:sz w:val="24"/>
          <w:highlight w:val="none"/>
        </w:rPr>
        <w:t xml:space="preserve">20.10</w:t>
      </w:r>
      <w:r>
        <w:rPr>
          <w:rFonts w:ascii="宋体" w:hAnsi="宋体" w:cs="宋体"/>
          <w:color w:val="000000"/>
          <w:spacing w:val="-4"/>
          <w:sz w:val="24"/>
          <w:highlight w:val="none"/>
        </w:rPr>
        <w:t xml:space="preserve">供应商须配合磋商工作，否则自行承担后果。</w:t>
      </w:r>
      <w:r/>
    </w:p>
    <w:p>
      <w:pPr>
        <w:pStyle w:val="1663"/>
        <w:jc w:val="left"/>
        <w:keepLines w:val="0"/>
        <w:keepNext w:val="0"/>
        <w:spacing w:before="0" w:after="0" w:line="360" w:lineRule="auto"/>
        <w:rPr>
          <w:rFonts w:ascii="宋体" w:hAnsi="宋体" w:cs="宋体"/>
          <w:color w:val="000000"/>
          <w:sz w:val="24"/>
          <w:szCs w:val="24"/>
          <w:highlight w:val="none"/>
        </w:rPr>
      </w:pPr>
      <w:r/>
      <w:bookmarkStart w:id="99" w:name="_Toc105940915"/>
      <w:r/>
      <w:bookmarkStart w:id="100" w:name="_Toc105940833"/>
      <w:r>
        <w:rPr>
          <w:rFonts w:hint="eastAsia" w:ascii="宋体" w:hAnsi="宋体" w:cs="宋体"/>
          <w:color w:val="000000"/>
          <w:sz w:val="24"/>
          <w:szCs w:val="24"/>
          <w:highlight w:val="none"/>
        </w:rPr>
        <w:t xml:space="preserve">21、磋商过程的保密</w:t>
      </w:r>
      <w:bookmarkEnd w:id="99"/>
      <w:r/>
      <w:bookmarkEnd w:id="100"/>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
          <w:bCs/>
          <w:color w:val="000000"/>
          <w:sz w:val="24"/>
          <w:highlight w:val="none"/>
          <w:u w:val="single"/>
        </w:rPr>
        <w:t xml:space="preserve">磋商</w:t>
      </w:r>
      <w:r>
        <w:rPr>
          <w:rFonts w:hint="eastAsia" w:ascii="宋体" w:hAnsi="宋体" w:cs="宋体"/>
          <w:b/>
          <w:color w:val="000000"/>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663"/>
        <w:jc w:val="left"/>
        <w:keepLines w:val="0"/>
        <w:keepNext w:val="0"/>
        <w:spacing w:before="0" w:after="0" w:line="360" w:lineRule="auto"/>
        <w:rPr>
          <w:rFonts w:ascii="宋体" w:hAnsi="宋体" w:cs="宋体"/>
          <w:color w:val="000000"/>
          <w:sz w:val="24"/>
          <w:szCs w:val="24"/>
          <w:highlight w:val="none"/>
        </w:rPr>
      </w:pPr>
      <w:r/>
      <w:bookmarkStart w:id="101" w:name="_Toc105940916"/>
      <w:r/>
      <w:bookmarkStart w:id="102" w:name="_Toc105940834"/>
      <w:r>
        <w:rPr>
          <w:rFonts w:hint="eastAsia" w:ascii="宋体" w:hAnsi="宋体" w:cs="宋体"/>
          <w:color w:val="000000"/>
          <w:sz w:val="24"/>
          <w:szCs w:val="24"/>
          <w:highlight w:val="none"/>
        </w:rPr>
        <w:t xml:space="preserve">22、磋商小组评审纪律</w:t>
      </w:r>
      <w:bookmarkEnd w:id="101"/>
      <w:r/>
      <w:bookmarkEnd w:id="10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22.1磋商时，磋商小组各成员应当独立对每个供应商的磋商响应文件进行评价，并汇总每个供应商的得分。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22.2评审专家应当遵守评审工作纪律，不得泄露评审情况和评审中获悉的商业秘密。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磋商小组在评审过程中发现供应商有行贿、提供虚假材料或者串通等违法行为的，应当及时向财政部门报告。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评审专家在评审过程中受到非法干涉的，应当及时向财政、监察等部门举报。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ascii="宋体" w:hAnsi="宋体" w:cs="宋体"/>
          <w:b/>
          <w:bCs/>
          <w:color w:val="000000"/>
          <w:sz w:val="24"/>
          <w:highlight w:val="none"/>
        </w:rPr>
      </w:pPr>
      <w:r/>
      <w:bookmarkStart w:id="103" w:name="_Toc105940917"/>
      <w:r/>
      <w:bookmarkStart w:id="104" w:name="_Toc105940835"/>
      <w:r>
        <w:rPr>
          <w:rFonts w:hint="eastAsia" w:ascii="宋体" w:hAnsi="宋体" w:cs="宋体"/>
          <w:b/>
          <w:bCs/>
          <w:color w:val="000000"/>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3"/>
      <w:r/>
      <w:bookmarkEnd w:id="104"/>
      <w:r/>
      <w:r/>
    </w:p>
    <w:p>
      <w:pPr>
        <w:pStyle w:val="1663"/>
        <w:jc w:val="left"/>
        <w:keepLines w:val="0"/>
        <w:keepNext w:val="0"/>
        <w:spacing w:before="0" w:after="0" w:line="360" w:lineRule="auto"/>
        <w:rPr>
          <w:rFonts w:ascii="宋体" w:hAnsi="宋体" w:cs="宋体"/>
          <w:color w:val="000000"/>
          <w:sz w:val="24"/>
          <w:szCs w:val="24"/>
          <w:highlight w:val="none"/>
        </w:rPr>
      </w:pPr>
      <w:r/>
      <w:bookmarkStart w:id="105" w:name="_Toc105940920"/>
      <w:r/>
      <w:bookmarkStart w:id="106" w:name="_Toc105940838"/>
      <w:r>
        <w:rPr>
          <w:rFonts w:hint="eastAsia" w:ascii="宋体" w:hAnsi="宋体" w:cs="宋体"/>
          <w:color w:val="000000"/>
          <w:sz w:val="24"/>
          <w:szCs w:val="24"/>
          <w:highlight w:val="none"/>
        </w:rPr>
        <w:t xml:space="preserve">23、无效磋商的情形</w:t>
      </w:r>
      <w:bookmarkEnd w:id="105"/>
      <w:r/>
      <w:bookmarkEnd w:id="10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供应商存在下列情况之一的，其投标无效：</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（1）磋商响应文件未按磋商文件要求进行有效签章的；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（2）报价超过磋商文件中规定的预算金额或最高限价的；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（3）采购人拟采购的产品属于政府强制采购的节能产品品目清单范围的，供应商未按磋商文件要求提供国家确定的认证机构出具的、处于有效期之内的节能产品认证证书的；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（4）磋商响应文件含有采购人不能接受的附加条件的；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（6）供应商对根据修正原则修正后的报价不确认的；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（7）磋商响应文件中提供了虚假或失实资料的；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（8）不同供应商的电子投标文件出自同一台电脑；</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（9）供应商存在串通投标情形的；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（10）为本项目提供整体设计、规范编制或者项目管理、监理、检测等服务的；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（11）不同供应商的法定代表人或单位负责人为同一个人或者存在直接控股、管理关系的；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（12）磋商响应文件不满足磋商文件的其它实质性要求的；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（13）法律、法规、规章（适用本市的）及省级以上规范性文件（适用本市的）规定的其他无效情形。</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24、磋商响应文件的澄清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25、磋商内容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25.1磋商小组与符合条件的供应商就磋商文件中的技术、服务要求及合同草案条款等进行磋商。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663"/>
        <w:jc w:val="left"/>
        <w:keepLines w:val="0"/>
        <w:keepNext w:val="0"/>
        <w:spacing w:before="0" w:after="0" w:line="360" w:lineRule="auto"/>
        <w:rPr>
          <w:rFonts w:ascii="宋体" w:hAnsi="宋体" w:cs="宋体"/>
          <w:color w:val="000000"/>
          <w:sz w:val="24"/>
          <w:szCs w:val="24"/>
          <w:highlight w:val="none"/>
        </w:rPr>
      </w:pPr>
      <w:r/>
      <w:bookmarkStart w:id="107" w:name="_Toc105940921"/>
      <w:r/>
      <w:bookmarkStart w:id="108" w:name="_Toc105940839"/>
      <w:r>
        <w:rPr>
          <w:rFonts w:hint="eastAsia" w:ascii="宋体" w:hAnsi="宋体" w:cs="宋体"/>
          <w:color w:val="000000"/>
          <w:sz w:val="24"/>
          <w:szCs w:val="24"/>
          <w:highlight w:val="none"/>
        </w:rPr>
        <w:t xml:space="preserve">26、最后报价的提交</w:t>
      </w:r>
      <w:bookmarkEnd w:id="107"/>
      <w:r/>
      <w:bookmarkEnd w:id="10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成交供应商与采购人签订合同时，必须提交与合同价（最后总报价）一致的明细报价。</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本项目符合第一种情况</w:t>
      </w:r>
      <w:r>
        <w:rPr>
          <w:rFonts w:hint="eastAsia" w:ascii="宋体" w:hAnsi="宋体" w:cs="宋体"/>
          <w:color w:val="000000"/>
          <w:sz w:val="24"/>
          <w:highlight w:val="none"/>
        </w:rPr>
        <w:t xml:space="preserve">。</w:t>
      </w:r>
      <w:r/>
    </w:p>
    <w:p>
      <w:pPr>
        <w:ind w:firstLine="482"/>
        <w:spacing w:line="360" w:lineRule="auto"/>
        <w:rPr>
          <w:rFonts w:ascii="宋体" w:hAnsi="宋体" w:cs="宋体"/>
          <w:color w:val="000000"/>
          <w:sz w:val="24"/>
          <w:highlight w:val="none"/>
        </w:rPr>
      </w:pPr>
      <w:r/>
      <w:bookmarkStart w:id="109" w:name="_Toc105940922"/>
      <w:r/>
      <w:bookmarkStart w:id="110" w:name="_Toc105940840"/>
      <w:r>
        <w:rPr>
          <w:rFonts w:hint="eastAsia" w:ascii="宋体" w:hAnsi="宋体" w:cs="宋体"/>
          <w:b/>
          <w:bCs/>
          <w:color w:val="000000"/>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 xml:space="preserve">。</w:t>
      </w:r>
      <w:bookmarkEnd w:id="109"/>
      <w:r/>
      <w:bookmarkEnd w:id="110"/>
      <w:r/>
      <w:bookmarkStart w:id="111" w:name="_Toc98669719"/>
      <w:r/>
      <w:bookmarkStart w:id="112" w:name="_Toc100386064"/>
      <w:r/>
      <w:bookmarkStart w:id="113" w:name="_Toc20732998"/>
      <w:r/>
      <w:bookmarkStart w:id="114" w:name="_Toc98669361"/>
      <w:r/>
      <w:bookmarkStart w:id="115" w:name="_Toc92168030"/>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26.3最后报价是供应商响应文件的有效组成部分。符合《政府采购竞争性磋商采购方式管理暂行办法》第三条第四项及本须知第25.2项情形的，提交最后报价的供应商可以为2家。</w:t>
      </w:r>
      <w:bookmarkEnd w:id="10"/>
      <w:r/>
      <w:bookmarkEnd w:id="11"/>
      <w:r/>
      <w:bookmarkEnd w:id="12"/>
      <w:r/>
      <w:bookmarkEnd w:id="13"/>
      <w:r/>
      <w:bookmarkEnd w:id="14"/>
      <w:r/>
      <w:bookmarkEnd w:id="111"/>
      <w:r/>
      <w:bookmarkEnd w:id="112"/>
      <w:r/>
      <w:bookmarkEnd w:id="113"/>
      <w:r/>
      <w:bookmarkEnd w:id="114"/>
      <w:r/>
      <w:bookmarkEnd w:id="115"/>
      <w:r/>
      <w:r/>
    </w:p>
    <w:p>
      <w:pPr>
        <w:pStyle w:val="1663"/>
        <w:jc w:val="left"/>
        <w:keepLines w:val="0"/>
        <w:keepNext w:val="0"/>
        <w:spacing w:before="0" w:after="0" w:line="360" w:lineRule="auto"/>
        <w:rPr>
          <w:rFonts w:ascii="宋体" w:hAnsi="宋体" w:cs="宋体"/>
          <w:color w:val="000000"/>
          <w:sz w:val="24"/>
          <w:szCs w:val="24"/>
          <w:highlight w:val="none"/>
        </w:rPr>
      </w:pPr>
      <w:r/>
      <w:bookmarkStart w:id="116" w:name="_Toc98669372"/>
      <w:r/>
      <w:bookmarkStart w:id="117" w:name="_Toc20821546"/>
      <w:r/>
      <w:bookmarkStart w:id="118" w:name="_Toc100386076"/>
      <w:r/>
      <w:bookmarkStart w:id="119" w:name="_Toc98669730"/>
      <w:r/>
      <w:bookmarkStart w:id="120" w:name="_Toc76955302"/>
      <w:r>
        <w:rPr>
          <w:rFonts w:hint="eastAsia" w:ascii="宋体" w:hAnsi="宋体" w:cs="宋体"/>
          <w:color w:val="000000"/>
          <w:sz w:val="24"/>
          <w:szCs w:val="24"/>
          <w:highlight w:val="none"/>
        </w:rPr>
        <w:t xml:space="preserve">27、相同品牌产品的处理原则</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27.1非单一产品采购项目，采购人应当根据采购项目技术构成、产品价格比重等合理确定核心产品。本项目核心产品见供应商须知前附表。</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27.2使用综合评分法的采购项目，核心产品提供相同品牌产品且通过资格审查、符合性审查的不同供应商参加同一合同项下投标的，按一家供应商计</w:t>
      </w:r>
      <w:r>
        <w:rPr>
          <w:rFonts w:hint="eastAsia" w:ascii="宋体" w:hAnsi="宋体" w:cs="宋体"/>
          <w:color w:val="000000"/>
          <w:sz w:val="24"/>
          <w:highlight w:val="none"/>
        </w:rPr>
        <w:t xml:space="preserve">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28、竞争性磋商特殊情况处理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28.1出现下列情形之一的，应当终止竞争性磋商采购活动，发布项目终止公告并说明原因，重新开展采购活动：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28.2</w:t>
      </w:r>
      <w:r>
        <w:rPr>
          <w:rFonts w:hint="eastAsia" w:ascii="宋体" w:hAnsi="宋体" w:cs="宋体"/>
          <w:b/>
          <w:bCs/>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513"/>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28.3因重大变故，采购任务取消的则该磋商活动取消，采购人应当将取消理由通知所有供应商。</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29、允许组织重新评审的情形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29.1磋商结果汇总完成后，除下列情形外，任何人不得以任何理由组织重新评审：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（1）资格性检查认定错误的；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（2）分值汇总计算错误的；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（3）分项评分超出评分标准范围的；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（4）客观分评分不一致的；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（5）经磋商小组一致认定评分畸高、畸低的。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采购人、采购代理机构发现磋商小组未按照磋商文件规定的评审标准进行评审的，应当重新开展采购活动，并同时书面报告本级财政部门。</w:t>
      </w:r>
      <w:r/>
    </w:p>
    <w:p>
      <w:pPr>
        <w:pStyle w:val="1662"/>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六、确定结果</w:t>
      </w:r>
      <w:r/>
    </w:p>
    <w:p>
      <w:pPr>
        <w:pStyle w:val="1663"/>
        <w:jc w:val="left"/>
        <w:keepLines w:val="0"/>
        <w:keepNext w:val="0"/>
        <w:spacing w:before="0" w:after="0" w:line="360" w:lineRule="auto"/>
        <w:rPr>
          <w:rFonts w:ascii="宋体" w:hAnsi="宋体" w:cs="宋体"/>
          <w:color w:val="000000"/>
          <w:sz w:val="24"/>
          <w:szCs w:val="24"/>
          <w:highlight w:val="none"/>
        </w:rPr>
      </w:pPr>
      <w:r/>
      <w:bookmarkStart w:id="121" w:name="_Toc105940841"/>
      <w:r/>
      <w:bookmarkStart w:id="122" w:name="_Toc105940923"/>
      <w:r>
        <w:rPr>
          <w:rFonts w:hint="eastAsia" w:ascii="宋体" w:hAnsi="宋体" w:cs="宋体"/>
          <w:color w:val="000000"/>
          <w:sz w:val="24"/>
          <w:szCs w:val="24"/>
          <w:highlight w:val="none"/>
        </w:rPr>
        <w:t xml:space="preserve">30、确定</w:t>
      </w:r>
      <w:bookmarkEnd w:id="121"/>
      <w:r/>
      <w:bookmarkEnd w:id="122"/>
      <w:r>
        <w:rPr>
          <w:rFonts w:hint="eastAsia" w:ascii="宋体" w:hAnsi="宋体" w:cs="宋体"/>
          <w:color w:val="000000"/>
          <w:sz w:val="24"/>
          <w:szCs w:val="24"/>
          <w:highlight w:val="none"/>
        </w:rPr>
        <w:t xml:space="preserve">成交供应商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30.1磋商小组在评标结束后2个工作日内将评标报告送采购人。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662"/>
        <w:keepLines w:val="0"/>
        <w:keepNext w:val="0"/>
        <w:spacing w:before="200" w:after="200" w:line="240" w:lineRule="auto"/>
        <w:rPr>
          <w:rFonts w:ascii="宋体" w:hAnsi="宋体" w:eastAsia="宋体" w:cs="宋体"/>
          <w:color w:val="000000"/>
          <w:sz w:val="28"/>
          <w:szCs w:val="28"/>
          <w:highlight w:val="none"/>
        </w:rPr>
      </w:pPr>
      <w:r/>
      <w:bookmarkStart w:id="123" w:name="_Toc105940842"/>
      <w:r/>
      <w:bookmarkStart w:id="124" w:name="_Toc105940924"/>
      <w:r>
        <w:rPr>
          <w:rFonts w:hint="eastAsia" w:ascii="宋体" w:hAnsi="宋体" w:eastAsia="宋体" w:cs="宋体"/>
          <w:color w:val="000000"/>
          <w:sz w:val="28"/>
          <w:szCs w:val="28"/>
          <w:highlight w:val="none"/>
        </w:rPr>
        <w:t xml:space="preserve">七、授予合同</w:t>
      </w:r>
      <w:bookmarkEnd w:id="123"/>
      <w:r/>
      <w:bookmarkEnd w:id="124"/>
      <w:r/>
      <w:r/>
    </w:p>
    <w:p>
      <w:pPr>
        <w:pStyle w:val="1663"/>
        <w:jc w:val="left"/>
        <w:keepLines w:val="0"/>
        <w:keepNext w:val="0"/>
        <w:spacing w:before="0" w:after="0" w:line="360" w:lineRule="auto"/>
        <w:rPr>
          <w:rFonts w:ascii="宋体" w:hAnsi="宋体" w:cs="宋体"/>
          <w:color w:val="000000"/>
          <w:sz w:val="24"/>
          <w:szCs w:val="24"/>
          <w:highlight w:val="none"/>
        </w:rPr>
      </w:pPr>
      <w:r/>
      <w:bookmarkStart w:id="125" w:name="_Toc105940843"/>
      <w:r/>
      <w:bookmarkStart w:id="126" w:name="_Toc105940925"/>
      <w:r>
        <w:rPr>
          <w:rFonts w:hint="eastAsia" w:ascii="宋体" w:hAnsi="宋体" w:cs="宋体"/>
          <w:color w:val="000000"/>
          <w:sz w:val="24"/>
          <w:szCs w:val="24"/>
          <w:highlight w:val="none"/>
        </w:rPr>
        <w:t xml:space="preserve">31、磋商组织方接受和拒绝任何或所有投标的权利</w:t>
      </w:r>
      <w:bookmarkEnd w:id="125"/>
      <w:r/>
      <w:bookmarkEnd w:id="12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31.1为维护国家和社会公共利益，磋商组织方保留在授标之前任何时候接受或拒绝任何供应商中标的权利，且对受影响的供应商不承担任何责任。</w:t>
      </w:r>
      <w:r/>
    </w:p>
    <w:p>
      <w:pPr>
        <w:pStyle w:val="1663"/>
        <w:jc w:val="left"/>
        <w:keepLines w:val="0"/>
        <w:keepNext w:val="0"/>
        <w:spacing w:before="0" w:after="0" w:line="360" w:lineRule="auto"/>
        <w:rPr>
          <w:rFonts w:ascii="宋体" w:hAnsi="宋体" w:cs="宋体"/>
          <w:color w:val="000000"/>
          <w:sz w:val="24"/>
          <w:szCs w:val="24"/>
          <w:highlight w:val="none"/>
        </w:rPr>
      </w:pPr>
      <w:r/>
      <w:bookmarkStart w:id="127" w:name="_Toc105940844"/>
      <w:r/>
      <w:bookmarkStart w:id="128" w:name="_Toc105940926"/>
      <w:r>
        <w:rPr>
          <w:rFonts w:hint="eastAsia" w:ascii="宋体" w:hAnsi="宋体" w:cs="宋体"/>
          <w:color w:val="000000"/>
          <w:sz w:val="24"/>
          <w:szCs w:val="24"/>
          <w:highlight w:val="none"/>
        </w:rPr>
        <w:t xml:space="preserve">32、</w:t>
      </w:r>
      <w:bookmarkEnd w:id="127"/>
      <w:r/>
      <w:bookmarkEnd w:id="128"/>
      <w:r>
        <w:rPr>
          <w:rFonts w:hint="eastAsia" w:ascii="宋体" w:hAnsi="宋体" w:cs="宋体"/>
          <w:color w:val="000000"/>
          <w:sz w:val="24"/>
          <w:szCs w:val="24"/>
          <w:highlight w:val="none"/>
        </w:rPr>
        <w:t xml:space="preserve">成交通知书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32.2成交通知书将是合同的一个组成部分。</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u w:val="single"/>
        </w:rPr>
        <w:t xml:space="preserve">32.3成交通知书发出后，采购人不得违法改变中标结果，成交供应商无正当理由不得放弃中标</w:t>
      </w:r>
      <w:r>
        <w:rPr>
          <w:rFonts w:hint="eastAsia" w:ascii="宋体" w:hAnsi="宋体" w:cs="宋体"/>
          <w:b/>
          <w:bCs/>
          <w:color w:val="000000"/>
          <w:sz w:val="24"/>
          <w:highlight w:val="none"/>
        </w:rPr>
        <w:t xml:space="preserve">。</w:t>
      </w:r>
      <w:r/>
    </w:p>
    <w:p>
      <w:pPr>
        <w:pStyle w:val="1663"/>
        <w:jc w:val="left"/>
        <w:keepLines w:val="0"/>
        <w:keepNext w:val="0"/>
        <w:spacing w:before="0" w:after="0" w:line="360" w:lineRule="auto"/>
        <w:rPr>
          <w:rFonts w:ascii="宋体" w:hAnsi="宋体" w:cs="宋体"/>
          <w:color w:val="000000"/>
          <w:sz w:val="24"/>
          <w:szCs w:val="24"/>
          <w:highlight w:val="none"/>
        </w:rPr>
      </w:pPr>
      <w:r/>
      <w:bookmarkStart w:id="129" w:name="_Toc105940846"/>
      <w:r/>
      <w:bookmarkStart w:id="130" w:name="_Toc105940928"/>
      <w:r>
        <w:rPr>
          <w:rFonts w:hint="eastAsia" w:ascii="宋体" w:hAnsi="宋体" w:cs="宋体"/>
          <w:color w:val="000000"/>
          <w:sz w:val="24"/>
          <w:szCs w:val="24"/>
          <w:highlight w:val="none"/>
        </w:rPr>
        <w:t xml:space="preserve">33、</w:t>
      </w:r>
      <w:bookmarkEnd w:id="129"/>
      <w:r/>
      <w:bookmarkEnd w:id="130"/>
      <w:r>
        <w:rPr>
          <w:rFonts w:hint="eastAsia" w:ascii="宋体" w:hAnsi="宋体" w:cs="宋体"/>
          <w:color w:val="000000"/>
          <w:sz w:val="24"/>
          <w:szCs w:val="24"/>
          <w:highlight w:val="none"/>
        </w:rPr>
        <w:t xml:space="preserve">履约保证金</w:t>
      </w:r>
      <w:r/>
    </w:p>
    <w:p>
      <w:pPr>
        <w:pStyle w:val="1442"/>
        <w:ind w:firstLine="440"/>
        <w:spacing w:line="360" w:lineRule="auto"/>
        <w:rPr>
          <w:rFonts w:ascii="宋体" w:hAnsi="宋体" w:cs="宋体"/>
          <w:sz w:val="24"/>
          <w:highlight w:val="none"/>
        </w:rPr>
      </w:pPr>
      <w:r>
        <w:rPr>
          <w:rFonts w:hint="eastAsia" w:ascii="宋体" w:hAnsi="宋体" w:cs="宋体"/>
          <w:color w:val="000000"/>
          <w:sz w:val="24"/>
          <w:highlight w:val="none"/>
        </w:rPr>
        <w:t xml:space="preserve">33.1</w:t>
      </w:r>
      <w:r>
        <w:rPr>
          <w:rFonts w:hint="eastAsia" w:ascii="宋体" w:hAnsi="宋体" w:cs="宋体"/>
          <w:sz w:val="24"/>
          <w:highlight w:val="none"/>
        </w:rPr>
        <w:t xml:space="preserve">A☑本项目不收取履约保证金。</w:t>
      </w:r>
      <w:r/>
    </w:p>
    <w:p>
      <w:pPr>
        <w:ind w:firstLine="440"/>
        <w:spacing w:line="360" w:lineRule="auto"/>
        <w:rPr>
          <w:sz w:val="24"/>
          <w:highlight w:val="none"/>
        </w:rPr>
      </w:pPr>
      <w:r>
        <w:rPr>
          <w:rFonts w:hint="eastAsia" w:ascii="宋体" w:hAnsi="宋体" w:cs="宋体"/>
          <w:sz w:val="24"/>
          <w:highlight w:val="none"/>
        </w:rPr>
        <w:t xml:space="preserve">B□本项目中标供应商应提交政府采购合同金额XX%的履约保证金（不得超过政府采购合同金额的10%），履约保证金应以支票、汇票、本票、保函、保险保单等非现金形式缴纳或提交。</w:t>
      </w:r>
      <w:r>
        <w:rPr>
          <w:rFonts w:hint="eastAsia" w:ascii="宋体" w:hAnsi="宋体" w:cs="宋体"/>
          <w:color w:val="000000"/>
          <w:sz w:val="24"/>
          <w:highlight w:val="none"/>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663"/>
        <w:jc w:val="left"/>
        <w:keepLines w:val="0"/>
        <w:keepNext w:val="0"/>
        <w:spacing w:before="0" w:after="0" w:line="360" w:lineRule="auto"/>
        <w:rPr>
          <w:rFonts w:ascii="宋体" w:hAnsi="宋体" w:cs="宋体"/>
          <w:color w:val="000000"/>
          <w:sz w:val="24"/>
          <w:szCs w:val="24"/>
          <w:highlight w:val="none"/>
        </w:rPr>
      </w:pPr>
      <w:r/>
      <w:bookmarkStart w:id="131" w:name="_Toc105940929"/>
      <w:r/>
      <w:bookmarkStart w:id="132" w:name="_Toc105940847"/>
      <w:r>
        <w:rPr>
          <w:rFonts w:hint="eastAsia" w:ascii="宋体" w:hAnsi="宋体" w:cs="宋体"/>
          <w:color w:val="000000"/>
          <w:sz w:val="24"/>
          <w:szCs w:val="24"/>
          <w:highlight w:val="none"/>
        </w:rPr>
        <w:t xml:space="preserve">34、签订合同</w:t>
      </w:r>
      <w:bookmarkEnd w:id="131"/>
      <w:r/>
      <w:bookmarkEnd w:id="132"/>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34.1采购人应当自中标通知书发出之日起</w:t>
      </w:r>
      <w:r>
        <w:rPr>
          <w:rFonts w:hint="eastAsia" w:ascii="宋体" w:hAnsi="宋体" w:cs="宋体"/>
          <w:b/>
          <w:bCs/>
          <w:color w:val="000000"/>
          <w:sz w:val="24"/>
          <w:highlight w:val="none"/>
          <w:u w:val="single"/>
        </w:rPr>
        <w:t xml:space="preserve">15</w:t>
      </w:r>
      <w:r>
        <w:rPr>
          <w:rFonts w:hint="eastAsia" w:ascii="宋体" w:hAnsi="宋体" w:cs="宋体"/>
          <w:color w:val="000000"/>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s="宋体"/>
          <w:color w:val="000000"/>
          <w:sz w:val="22"/>
          <w:szCs w:val="22"/>
          <w:highlight w:val="none"/>
        </w:rPr>
      </w:pPr>
      <w:r>
        <w:rPr>
          <w:rFonts w:hint="eastAsia" w:ascii="宋体" w:hAnsi="宋体" w:cs="宋体"/>
          <w:color w:val="000000"/>
          <w:sz w:val="24"/>
          <w:highlight w:val="none"/>
        </w:rPr>
        <w:t xml:space="preserve">34.6采购人与成交供应商应当根据合同的约定依法履行合同义务。政府采购合同的履行、违约责任和解决争议的方法等适用《中华人民共和国民法典》。</w:t>
      </w:r>
      <w:r/>
    </w:p>
    <w:p>
      <w:pPr>
        <w:pStyle w:val="1662"/>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八、询问、质疑、投诉</w:t>
      </w:r>
      <w:r/>
    </w:p>
    <w:p>
      <w:pPr>
        <w:pStyle w:val="1663"/>
        <w:jc w:val="left"/>
        <w:keepLines w:val="0"/>
        <w:keepNext w:val="0"/>
        <w:spacing w:before="0" w:after="0" w:line="360" w:lineRule="auto"/>
        <w:rPr>
          <w:rFonts w:ascii="宋体" w:hAnsi="宋体" w:cs="宋体"/>
          <w:color w:val="000000"/>
          <w:sz w:val="24"/>
          <w:szCs w:val="24"/>
          <w:highlight w:val="none"/>
        </w:rPr>
      </w:pPr>
      <w:r/>
      <w:bookmarkStart w:id="133" w:name="_Toc105940931"/>
      <w:r/>
      <w:bookmarkStart w:id="134" w:name="_Toc105940849"/>
      <w:r>
        <w:rPr>
          <w:rFonts w:hint="eastAsia" w:ascii="宋体" w:hAnsi="宋体" w:cs="宋体"/>
          <w:color w:val="000000"/>
          <w:sz w:val="24"/>
          <w:szCs w:val="24"/>
          <w:highlight w:val="none"/>
        </w:rPr>
        <w:t xml:space="preserve">35、询问</w:t>
      </w:r>
      <w:bookmarkEnd w:id="133"/>
      <w:r/>
      <w:bookmarkEnd w:id="13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663"/>
        <w:jc w:val="left"/>
        <w:keepLines w:val="0"/>
        <w:keepNext w:val="0"/>
        <w:spacing w:before="0" w:after="0" w:line="360" w:lineRule="auto"/>
        <w:rPr>
          <w:rFonts w:ascii="宋体" w:hAnsi="宋体" w:cs="宋体"/>
          <w:color w:val="000000"/>
          <w:sz w:val="24"/>
          <w:szCs w:val="24"/>
          <w:highlight w:val="none"/>
        </w:rPr>
      </w:pPr>
      <w:r/>
      <w:bookmarkStart w:id="135" w:name="_Toc105940850"/>
      <w:r/>
      <w:bookmarkStart w:id="136" w:name="_Toc105940932"/>
      <w:r>
        <w:rPr>
          <w:rFonts w:hint="eastAsia" w:ascii="宋体" w:hAnsi="宋体" w:cs="宋体"/>
          <w:color w:val="000000"/>
          <w:sz w:val="24"/>
          <w:szCs w:val="24"/>
          <w:highlight w:val="none"/>
        </w:rPr>
        <w:t xml:space="preserve">36、质疑</w:t>
      </w:r>
      <w:bookmarkEnd w:id="135"/>
      <w:r/>
      <w:bookmarkEnd w:id="136"/>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（1）对可以质疑的磋商文件提出质疑的，为收到磋商文件之日或者磋商文件公告期限届满之日；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7" w:name="_Hlk132706924"/>
      <w:r>
        <w:rPr>
          <w:rFonts w:hint="eastAsia" w:ascii="宋体" w:hAnsi="宋体" w:cs="宋体"/>
          <w:color w:val="000000"/>
          <w:sz w:val="24"/>
          <w:highlight w:val="none"/>
        </w:rPr>
        <w:t xml:space="preserve">政府采购监管部门</w:t>
      </w:r>
      <w:bookmarkEnd w:id="137"/>
      <w:r>
        <w:rPr>
          <w:rFonts w:hint="eastAsia" w:ascii="宋体" w:hAnsi="宋体" w:cs="宋体"/>
          <w:color w:val="000000"/>
          <w:sz w:val="24"/>
          <w:highlight w:val="none"/>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highlight w:val="none"/>
        </w:rPr>
      </w:pPr>
      <w:r>
        <w:rPr>
          <w:rFonts w:hint="eastAsia" w:ascii="宋体" w:hAnsi="宋体" w:cs="宋体"/>
          <w:color w:val="000000"/>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663"/>
        <w:jc w:val="left"/>
        <w:keepLines w:val="0"/>
        <w:keepNext w:val="0"/>
        <w:spacing w:before="0" w:after="0" w:line="360" w:lineRule="auto"/>
        <w:rPr>
          <w:rFonts w:ascii="宋体" w:hAnsi="宋体" w:cs="宋体"/>
          <w:color w:val="000000"/>
          <w:sz w:val="24"/>
          <w:szCs w:val="24"/>
          <w:highlight w:val="none"/>
        </w:rPr>
      </w:pPr>
      <w:r/>
      <w:bookmarkStart w:id="138" w:name="_Toc105940851"/>
      <w:r/>
      <w:bookmarkStart w:id="139" w:name="_Toc105940933"/>
      <w:r>
        <w:rPr>
          <w:rFonts w:hint="eastAsia" w:ascii="宋体" w:hAnsi="宋体" w:cs="宋体"/>
          <w:color w:val="000000"/>
          <w:sz w:val="24"/>
          <w:szCs w:val="24"/>
          <w:highlight w:val="none"/>
        </w:rPr>
        <w:t xml:space="preserve">37、投诉</w:t>
      </w:r>
      <w:bookmarkEnd w:id="138"/>
      <w:r/>
      <w:bookmarkEnd w:id="139"/>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37.2投诉流程及注意事项见“江苏政府采购网”网站“办事指南”。</w:t>
      </w:r>
      <w:r/>
    </w:p>
    <w:p>
      <w:pPr>
        <w:pStyle w:val="1662"/>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九、诚实信用和解释权</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38、诚实信用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38.3供应商不得虚假承诺，否则，按照提供虚假材料谋取中标（成交）处理。</w:t>
      </w:r>
      <w:r/>
    </w:p>
    <w:p>
      <w:pPr>
        <w:ind w:left="2"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38.5根据《财政部关于在政府采购活动中查询及使用信息记录有关问题的通知》（财库〔2016〕125号）、江苏省财政厅《关于做好政府采购信用信息查询使用及登记等工作的通知》（苏财购〔2016〕5</w:t>
      </w:r>
      <w:r>
        <w:rPr>
          <w:rFonts w:hint="eastAsia" w:ascii="宋体" w:hAnsi="宋体" w:cs="宋体"/>
          <w:color w:val="000000"/>
          <w:sz w:val="24"/>
          <w:highlight w:val="none"/>
        </w:rPr>
        <w:t xml:space="preserve">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39、解释权</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39.1除相关法律、法规规定外，本磋商文件的解释权归</w:t>
      </w:r>
      <w:r>
        <w:rPr>
          <w:rFonts w:hint="eastAsia" w:ascii="宋体" w:hAnsi="宋体" w:cs="宋体"/>
          <w:b/>
          <w:bCs/>
          <w:color w:val="000000"/>
          <w:sz w:val="24"/>
          <w:highlight w:val="none"/>
        </w:rPr>
        <w:t xml:space="preserve">江苏巍信项目管理有限公司</w:t>
      </w:r>
      <w:r>
        <w:rPr>
          <w:rFonts w:hint="eastAsia" w:ascii="宋体" w:hAnsi="宋体" w:cs="宋体"/>
          <w:color w:val="000000"/>
          <w:sz w:val="24"/>
          <w:highlight w:val="none"/>
        </w:rPr>
        <w:t xml:space="preserve">所有。</w:t>
      </w:r>
      <w:r/>
    </w:p>
    <w:p>
      <w:pPr>
        <w:pStyle w:val="1663"/>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40、适用法律及约束力</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40.1</w:t>
      </w:r>
      <w:r>
        <w:rPr>
          <w:rFonts w:hint="eastAsia" w:ascii="宋体" w:hAnsi="宋体" w:cs="宋体"/>
          <w:b/>
          <w:color w:val="000000"/>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40.2本次采购及由本次招标产生的合同受中华人民共和国法律制约和保护。</w:t>
      </w:r>
      <w:bookmarkStart w:id="140" w:name="_Toc105940853"/>
      <w:r/>
      <w:bookmarkStart w:id="141" w:name="_Toc105940935"/>
      <w:r/>
      <w:r/>
    </w:p>
    <w:p>
      <w:pPr>
        <w:ind w:firstLine="480"/>
        <w:jc w:val="center"/>
        <w:spacing w:line="360" w:lineRule="auto"/>
        <w:shd w:val="clear" w:color="auto" w:fill="ffffff"/>
        <w:rPr>
          <w:rFonts w:ascii="宋体" w:cs="宋体"/>
          <w:color w:val="000000"/>
          <w:highlight w:val="none"/>
        </w:rPr>
        <w:outlineLvl w:val="0"/>
      </w:pPr>
      <w:r>
        <w:rPr>
          <w:rFonts w:hint="eastAsia" w:ascii="宋体" w:hAnsi="宋体" w:cs="宋体"/>
          <w:color w:val="000000"/>
          <w:sz w:val="22"/>
          <w:szCs w:val="22"/>
          <w:highlight w:val="none"/>
        </w:rPr>
        <w:br w:type="page" w:clear="all"/>
      </w:r>
      <w:bookmarkStart w:id="142" w:name="_Toc11670"/>
      <w:r>
        <w:rPr>
          <w:rStyle w:val="1669"/>
          <w:rFonts w:hint="eastAsia" w:ascii="宋体" w:hAnsi="宋体" w:cs="宋体"/>
          <w:color w:val="000000"/>
          <w:sz w:val="28"/>
          <w:szCs w:val="28"/>
          <w:highlight w:val="none"/>
        </w:rPr>
        <w:t xml:space="preserve">第三部分  合同格式</w:t>
      </w:r>
      <w:bookmarkEnd w:id="140"/>
      <w:r/>
      <w:bookmarkEnd w:id="141"/>
      <w:r/>
      <w:bookmarkEnd w:id="142"/>
      <w:r/>
      <w:bookmarkStart w:id="143" w:name="_Toc237516017"/>
      <w:r/>
      <w:bookmarkStart w:id="144" w:name="_Toc105940854"/>
      <w:r/>
      <w:r/>
    </w:p>
    <w:p>
      <w:pPr>
        <w:pStyle w:val="1738"/>
        <w:jc w:val="center"/>
        <w:spacing w:after="0" w:line="360" w:lineRule="exact"/>
        <w:rPr>
          <w:rFonts w:ascii="宋体" w:hAnsi="宋体"/>
          <w:b/>
          <w:bCs/>
          <w:sz w:val="72"/>
          <w:szCs w:val="72"/>
          <w:highlight w:val="none"/>
        </w:rPr>
      </w:pPr>
      <w:r/>
      <w:bookmarkStart w:id="145" w:name="_Toc22000612"/>
      <w:r/>
      <w:bookmarkStart w:id="146" w:name="EB0db309cd75bd4f689fb07273c1a254bc"/>
      <w:r/>
      <w:r/>
    </w:p>
    <w:p>
      <w:pPr>
        <w:pStyle w:val="1738"/>
        <w:jc w:val="center"/>
        <w:spacing w:after="0" w:line="360" w:lineRule="auto"/>
        <w:rPr>
          <w:rFonts w:ascii="宋体" w:hAnsi="宋体"/>
          <w:b/>
          <w:bCs/>
          <w:sz w:val="56"/>
          <w:szCs w:val="56"/>
          <w:highlight w:val="none"/>
        </w:rPr>
      </w:pPr>
      <w:r>
        <w:rPr>
          <w:rFonts w:hint="eastAsia" w:ascii="宋体" w:hAnsi="宋体"/>
          <w:b/>
          <w:bCs/>
          <w:sz w:val="56"/>
          <w:szCs w:val="56"/>
          <w:highlight w:val="none"/>
        </w:rPr>
        <w:t xml:space="preserve">镇江市政府采购合同</w:t>
      </w:r>
      <w:r/>
    </w:p>
    <w:p>
      <w:pPr>
        <w:pStyle w:val="1738"/>
        <w:jc w:val="center"/>
        <w:spacing w:after="0" w:line="360" w:lineRule="auto"/>
        <w:rPr>
          <w:rFonts w:ascii="宋体" w:hAnsi="宋体"/>
          <w:b/>
          <w:bCs/>
          <w:sz w:val="52"/>
          <w:szCs w:val="52"/>
          <w:highlight w:val="none"/>
        </w:rPr>
      </w:pPr>
      <w:r>
        <w:rPr>
          <w:rFonts w:hint="eastAsia" w:ascii="仿宋_GB2312" w:hAnsi="仿宋_GB2312" w:eastAsia="仿宋_GB2312" w:cs="仿宋_GB2312"/>
          <w:b/>
          <w:color w:val="000000"/>
          <w:sz w:val="20"/>
          <w:szCs w:val="20"/>
          <w:highlight w:val="none"/>
        </w:rPr>
        <w:t xml:space="preserve">（</w:t>
      </w:r>
      <w:r>
        <w:rPr>
          <w:rFonts w:hint="eastAsia" w:ascii="仿宋_GB2312" w:hAnsi="仿宋_GB2312" w:eastAsia="仿宋_GB2312" w:cs="仿宋_GB2312"/>
          <w:b/>
          <w:sz w:val="20"/>
          <w:szCs w:val="20"/>
          <w:highlight w:val="none"/>
        </w:rPr>
        <w:t xml:space="preserve">以下为中标后签定本项目合同的通用条款，中标供应商不得提出实质性的修改，最终由采购单位与中标单位结合本项目具体情况协商后签订</w:t>
      </w:r>
      <w:r>
        <w:rPr>
          <w:rFonts w:hint="eastAsia" w:ascii="仿宋_GB2312" w:hAnsi="仿宋_GB2312" w:eastAsia="仿宋_GB2312" w:cs="仿宋_GB2312"/>
          <w:b/>
          <w:color w:val="000000"/>
          <w:sz w:val="20"/>
          <w:szCs w:val="20"/>
          <w:highlight w:val="none"/>
        </w:rPr>
        <w:t xml:space="preserve">）</w:t>
      </w:r>
      <w:r/>
    </w:p>
    <w:p>
      <w:pPr>
        <w:pStyle w:val="1738"/>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38"/>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38"/>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38"/>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38"/>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38"/>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38"/>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38"/>
        <w:ind w:firstLine="945"/>
        <w:jc w:val="left"/>
        <w:spacing w:after="0" w:line="360" w:lineRule="exact"/>
        <w:rPr>
          <w:rFonts w:ascii="宋体" w:hAnsi="宋体"/>
          <w:sz w:val="24"/>
          <w:highlight w:val="none"/>
          <w:u w:val="single"/>
        </w:rPr>
      </w:pPr>
      <w:r>
        <w:rPr>
          <w:rFonts w:hint="eastAsia" w:ascii="宋体" w:hAnsi="宋体"/>
          <w:sz w:val="24"/>
          <w:highlight w:val="none"/>
        </w:rPr>
        <w:t xml:space="preserve">项目名称：</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38"/>
        <w:ind w:firstLine="618"/>
        <w:jc w:val="left"/>
        <w:spacing w:after="0" w:line="360" w:lineRule="exact"/>
        <w:rPr>
          <w:rFonts w:ascii="宋体" w:hAnsi="宋体"/>
          <w:sz w:val="24"/>
          <w:highlight w:val="none"/>
        </w:rPr>
      </w:pPr>
      <w:r>
        <w:rPr>
          <w:rFonts w:ascii="宋体" w:hAnsi="宋体"/>
          <w:sz w:val="24"/>
          <w:highlight w:val="none"/>
        </w:rPr>
      </w:r>
      <w:r/>
    </w:p>
    <w:p>
      <w:pPr>
        <w:pStyle w:val="1738"/>
        <w:ind w:firstLine="945"/>
        <w:jc w:val="left"/>
        <w:spacing w:after="0" w:line="360" w:lineRule="exact"/>
        <w:rPr>
          <w:rFonts w:ascii="宋体" w:hAnsi="宋体"/>
          <w:sz w:val="24"/>
          <w:highlight w:val="none"/>
        </w:rPr>
      </w:pPr>
      <w:r>
        <w:rPr>
          <w:rFonts w:hint="eastAsia" w:ascii="宋体" w:hAnsi="宋体"/>
          <w:sz w:val="24"/>
          <w:highlight w:val="none"/>
        </w:rPr>
        <w:t xml:space="preserve">项目编号：</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38"/>
        <w:ind w:firstLine="618"/>
        <w:jc w:val="left"/>
        <w:spacing w:after="0" w:line="360" w:lineRule="exact"/>
        <w:rPr>
          <w:rFonts w:ascii="宋体" w:hAnsi="宋体"/>
          <w:sz w:val="24"/>
          <w:highlight w:val="none"/>
        </w:rPr>
      </w:pPr>
      <w:r>
        <w:rPr>
          <w:rFonts w:ascii="宋体" w:hAnsi="宋体"/>
          <w:sz w:val="24"/>
          <w:highlight w:val="none"/>
        </w:rPr>
      </w:r>
      <w:r/>
    </w:p>
    <w:p>
      <w:pPr>
        <w:pStyle w:val="1738"/>
        <w:ind w:firstLine="945"/>
        <w:jc w:val="left"/>
        <w:spacing w:after="0" w:line="360" w:lineRule="exact"/>
        <w:rPr>
          <w:rFonts w:ascii="宋体" w:hAnsi="宋体"/>
          <w:sz w:val="24"/>
          <w:highlight w:val="none"/>
        </w:rPr>
      </w:pPr>
      <w:r>
        <w:rPr>
          <w:rFonts w:hint="eastAsia" w:ascii="宋体" w:hAnsi="宋体"/>
          <w:sz w:val="24"/>
          <w:highlight w:val="none"/>
        </w:rPr>
        <w:t xml:space="preserve">采购单位：</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38"/>
        <w:ind w:firstLine="618"/>
        <w:jc w:val="left"/>
        <w:spacing w:after="0" w:line="360" w:lineRule="exact"/>
        <w:rPr>
          <w:rFonts w:ascii="宋体" w:hAnsi="宋体"/>
          <w:sz w:val="24"/>
          <w:highlight w:val="none"/>
        </w:rPr>
      </w:pPr>
      <w:r>
        <w:rPr>
          <w:rFonts w:ascii="宋体" w:hAnsi="宋体"/>
          <w:sz w:val="24"/>
          <w:highlight w:val="none"/>
        </w:rPr>
      </w:r>
      <w:r/>
    </w:p>
    <w:p>
      <w:pPr>
        <w:pStyle w:val="1738"/>
        <w:ind w:firstLine="945"/>
        <w:jc w:val="left"/>
        <w:spacing w:after="0" w:line="360" w:lineRule="exact"/>
        <w:rPr>
          <w:rFonts w:ascii="宋体" w:hAnsi="宋体"/>
          <w:sz w:val="24"/>
          <w:highlight w:val="none"/>
        </w:rPr>
      </w:pPr>
      <w:r>
        <w:rPr>
          <w:rFonts w:hint="eastAsia" w:ascii="宋体" w:hAnsi="宋体"/>
          <w:sz w:val="24"/>
          <w:highlight w:val="none"/>
        </w:rPr>
        <w:t xml:space="preserve">中标单位：</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pStyle w:val="1738"/>
        <w:jc w:val="center"/>
        <w:spacing w:after="0" w:line="360" w:lineRule="exact"/>
        <w:rPr>
          <w:rFonts w:ascii="宋体" w:hAnsi="宋体"/>
          <w:sz w:val="24"/>
          <w:highlight w:val="none"/>
        </w:rPr>
      </w:pPr>
      <w:r>
        <w:rPr>
          <w:rFonts w:ascii="宋体" w:hAnsi="宋体"/>
          <w:sz w:val="24"/>
          <w:highlight w:val="none"/>
        </w:rPr>
      </w:r>
      <w:r/>
    </w:p>
    <w:p>
      <w:pPr>
        <w:pStyle w:val="1738"/>
        <w:jc w:val="center"/>
        <w:spacing w:after="0" w:line="360" w:lineRule="exact"/>
        <w:rPr>
          <w:rFonts w:ascii="宋体" w:hAnsi="宋体"/>
          <w:b/>
          <w:sz w:val="36"/>
          <w:szCs w:val="36"/>
          <w:highlight w:val="none"/>
        </w:rPr>
      </w:pPr>
      <w:r>
        <w:rPr>
          <w:rFonts w:hint="eastAsia" w:ascii="宋体" w:hAnsi="宋体"/>
          <w:sz w:val="24"/>
          <w:highlight w:val="none"/>
        </w:rPr>
        <w:t xml:space="preserve">二○</w:t>
      </w:r>
      <w:r>
        <w:rPr>
          <w:rFonts w:ascii="宋体" w:hAnsi="宋体"/>
          <w:sz w:val="24"/>
          <w:highlight w:val="none"/>
        </w:rPr>
        <w:t xml:space="preserve">二</w:t>
      </w:r>
      <w:r>
        <w:rPr>
          <w:rFonts w:hint="eastAsia" w:ascii="宋体" w:hAnsi="宋体"/>
          <w:sz w:val="24"/>
          <w:highlight w:val="none"/>
        </w:rPr>
        <w:t xml:space="preserve">六年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月</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日</w:t>
      </w:r>
      <w:r/>
    </w:p>
    <w:p>
      <w:pPr>
        <w:spacing w:line="360" w:lineRule="exact"/>
        <w:rPr>
          <w:rFonts w:ascii="宋体" w:hAnsi="宋体"/>
          <w:highlight w:val="none"/>
        </w:rPr>
      </w:pPr>
      <w:r>
        <w:rPr>
          <w:rFonts w:ascii="宋体" w:hAnsi="宋体"/>
          <w:highlight w:val="none"/>
        </w:rPr>
      </w:r>
      <w:r/>
    </w:p>
    <w:p>
      <w:pPr>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ind w:firstLine="500"/>
        <w:spacing w:line="360" w:lineRule="auto"/>
        <w:rPr>
          <w:rFonts w:hint="eastAsia" w:ascii="宋体" w:hAnsi="宋体" w:eastAsia="宋体" w:cs="宋体"/>
          <w:color w:val="000000"/>
          <w:spacing w:val="5"/>
          <w:sz w:val="24"/>
          <w:highlight w:val="none"/>
          <w:lang w:eastAsia="zh-CN"/>
        </w:rPr>
      </w:pPr>
      <w:r>
        <w:rPr>
          <w:rFonts w:hint="eastAsia" w:ascii="宋体" w:hAnsi="宋体" w:cs="宋体"/>
          <w:color w:val="000000"/>
          <w:spacing w:val="5"/>
          <w:sz w:val="24"/>
          <w:highlight w:val="none"/>
        </w:rPr>
        <w:t xml:space="preserve">项目名称：</w:t>
      </w:r>
      <w:r>
        <w:rPr>
          <w:rFonts w:hint="eastAsia" w:ascii="宋体" w:hAnsi="宋体" w:cs="宋体"/>
          <w:color w:val="000000"/>
          <w:spacing w:val="5"/>
          <w:sz w:val="24"/>
          <w:highlight w:val="none"/>
          <w:lang w:eastAsia="zh-CN"/>
        </w:rPr>
        <w:t xml:space="preserve">镇江市国土空间总体规划(2021-2035年)五年评估及分区规划评估项目</w:t>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项目编号：</w:t>
      </w:r>
      <w:r/>
    </w:p>
    <w:p>
      <w:pPr>
        <w:ind w:firstLine="500"/>
        <w:spacing w:line="360" w:lineRule="auto"/>
        <w:rPr>
          <w:rFonts w:ascii="宋体" w:hAnsi="宋体" w:cs="宋体"/>
          <w:color w:val="000000"/>
          <w:spacing w:val="5"/>
          <w:sz w:val="24"/>
          <w:highlight w:val="none"/>
        </w:rPr>
      </w:pPr>
      <w:r>
        <w:rPr>
          <w:rFonts w:ascii="宋体" w:hAnsi="宋体" w:cs="宋体"/>
          <w:color w:val="000000"/>
          <w:spacing w:val="5"/>
          <w:sz w:val="24"/>
          <w:highlight w:val="none"/>
        </w:rPr>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委托方（甲方）：镇江市自然资源和规划局 </w:t>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受托方（乙方）：</w:t>
      </w:r>
      <w:bookmarkEnd w:id="145"/>
      <w:bookmarkEnd w:id="146"/>
      <w:r/>
    </w:p>
    <w:p>
      <w:pPr>
        <w:ind w:firstLine="480"/>
        <w:spacing w:line="360" w:lineRule="auto"/>
        <w:rPr>
          <w:rFonts w:ascii="宋体" w:hAnsi="宋体" w:cs="宋体"/>
          <w:color w:val="000000"/>
          <w:sz w:val="24"/>
          <w:highlight w:val="none"/>
        </w:rPr>
      </w:pPr>
      <w:r/>
      <w:bookmarkStart w:id="147" w:name="_Toc47707249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镇江市自然资源和规划局</w:t>
      </w:r>
      <w:r>
        <w:rPr>
          <w:rFonts w:hint="eastAsia" w:ascii="宋体" w:hAnsi="宋体" w:cs="宋体"/>
          <w:color w:val="000000"/>
          <w:spacing w:val="5"/>
          <w:sz w:val="24"/>
          <w:highlight w:val="none"/>
        </w:rPr>
        <w:t xml:space="preserve">开展</w:t>
      </w:r>
      <w:r>
        <w:rPr>
          <w:rFonts w:hint="eastAsia" w:ascii="宋体" w:hAnsi="宋体" w:cs="宋体"/>
          <w:color w:val="000000"/>
          <w:spacing w:val="5"/>
          <w:sz w:val="24"/>
          <w:highlight w:val="none"/>
          <w:lang w:eastAsia="zh-CN"/>
        </w:rPr>
        <w:t xml:space="preserve">镇江市国土空间总体规划(2021-2035年)五年评估及分区规划评估项目</w:t>
      </w:r>
      <w:r>
        <w:rPr>
          <w:rFonts w:hint="eastAsia" w:ascii="宋体" w:hAnsi="宋体" w:cs="宋体"/>
          <w:color w:val="000000"/>
          <w:spacing w:val="5"/>
          <w:sz w:val="24"/>
          <w:highlight w:val="none"/>
        </w:rPr>
        <w:t xml:space="preserve">，委托</w:t>
      </w:r>
      <w:r>
        <w:rPr>
          <w:rFonts w:hint="eastAsia" w:ascii="宋体" w:hAnsi="宋体" w:cs="宋体"/>
          <w:color w:val="000000"/>
          <w:spacing w:val="5"/>
          <w:sz w:val="24"/>
          <w:highlight w:val="none"/>
          <w:u w:val="single"/>
        </w:rPr>
        <w:t xml:space="preserve">          </w:t>
      </w:r>
      <w:r>
        <w:rPr>
          <w:rFonts w:hint="eastAsia" w:ascii="宋体" w:hAnsi="宋体" w:cs="宋体"/>
          <w:color w:val="000000"/>
          <w:spacing w:val="5"/>
          <w:sz w:val="24"/>
          <w:highlight w:val="none"/>
        </w:rPr>
        <w:t xml:space="preserve">负责具体实施，</w:t>
      </w:r>
      <w:r>
        <w:rPr>
          <w:rFonts w:hint="eastAsia" w:ascii="宋体" w:hAnsi="宋体" w:cs="宋体"/>
          <w:color w:val="000000"/>
          <w:sz w:val="24"/>
          <w:highlight w:val="none"/>
        </w:rPr>
        <w:t xml:space="preserve">甲、乙双方经友好协商并就</w:t>
      </w:r>
      <w:r>
        <w:rPr>
          <w:rFonts w:hint="eastAsia" w:ascii="宋体" w:hAnsi="宋体" w:cs="宋体"/>
          <w:color w:val="000000"/>
          <w:spacing w:val="5"/>
          <w:sz w:val="24"/>
          <w:highlight w:val="none"/>
        </w:rPr>
        <w:t xml:space="preserve">相关工作的顺利开展</w:t>
      </w:r>
      <w:r>
        <w:rPr>
          <w:rFonts w:hint="eastAsia" w:ascii="宋体" w:hAnsi="宋体" w:cs="宋体"/>
          <w:color w:val="000000"/>
          <w:sz w:val="24"/>
          <w:highlight w:val="none"/>
        </w:rPr>
        <w:t xml:space="preserve">签订合同。具体内容如下：</w:t>
      </w:r>
      <w:r/>
    </w:p>
    <w:p>
      <w:pPr>
        <w:jc w:val="left"/>
        <w:spacing w:line="360" w:lineRule="auto"/>
        <w:rPr>
          <w:rFonts w:ascii="宋体" w:hAnsi="宋体" w:cs="宋体"/>
          <w:b/>
          <w:color w:val="000000"/>
          <w:sz w:val="24"/>
          <w:highlight w:val="none"/>
        </w:rPr>
        <w:outlineLvl w:val="1"/>
      </w:pPr>
      <w:r/>
      <w:bookmarkStart w:id="148" w:name="_Toc22000633"/>
      <w:r>
        <w:rPr>
          <w:rFonts w:hint="eastAsia" w:ascii="宋体" w:hAnsi="宋体" w:cs="宋体"/>
          <w:b/>
          <w:color w:val="000000"/>
          <w:sz w:val="24"/>
          <w:highlight w:val="none"/>
        </w:rPr>
        <w:t xml:space="preserve">1、合同文件</w:t>
      </w:r>
      <w:bookmarkEnd w:id="14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下列关于江苏巍信项目管理有限公司就</w:t>
      </w:r>
      <w:r>
        <w:rPr>
          <w:rFonts w:hint="eastAsia" w:cs="宋体" w:asciiTheme="minorEastAsia" w:hAnsiTheme="minorEastAsia" w:eastAsiaTheme="minorEastAsia"/>
          <w:b/>
          <w:color w:val="000000"/>
          <w:sz w:val="24"/>
          <w:highlight w:val="none"/>
          <w:u w:val="single"/>
        </w:rPr>
        <w:t xml:space="preserve">（项目名称）（项目编号</w:t>
      </w:r>
      <w:r>
        <w:rPr>
          <w:rFonts w:hint="eastAsia" w:cs="宋体" w:asciiTheme="minorEastAsia" w:hAnsiTheme="minorEastAsia"/>
          <w:b/>
          <w:color w:val="000000"/>
          <w:sz w:val="24"/>
          <w:highlight w:val="none"/>
          <w:u w:val="single"/>
        </w:rPr>
        <w:t xml:space="preserve">）</w:t>
      </w:r>
      <w:r>
        <w:rPr>
          <w:rFonts w:hint="eastAsia" w:ascii="宋体" w:hAnsi="宋体" w:cs="宋体"/>
          <w:color w:val="000000"/>
          <w:sz w:val="24"/>
          <w:highlight w:val="none"/>
        </w:rPr>
        <w:t xml:space="preserve">的招标文件、乙方提交的响应文件是构成本合同不可分割的部分：</w:t>
      </w:r>
      <w:r/>
    </w:p>
    <w:p>
      <w:pPr>
        <w:ind w:firstLine="480"/>
        <w:spacing w:line="360" w:lineRule="auto"/>
        <w:tabs>
          <w:tab w:val="left" w:pos="1365" w:leader="none"/>
        </w:tabs>
        <w:rPr>
          <w:rFonts w:ascii="宋体" w:hAnsi="宋体" w:cs="宋体"/>
          <w:color w:val="000000"/>
          <w:sz w:val="24"/>
          <w:highlight w:val="none"/>
        </w:rPr>
      </w:pPr>
      <w:r/>
      <w:bookmarkStart w:id="149" w:name="_Toc22000634"/>
      <w:r>
        <w:rPr>
          <w:rFonts w:hint="eastAsia" w:ascii="宋体" w:hAnsi="宋体" w:cs="宋体"/>
          <w:color w:val="000000"/>
          <w:sz w:val="24"/>
          <w:highlight w:val="none"/>
        </w:rPr>
        <w:t xml:space="preserve">（1）成交通知书；</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（2）磋商承诺函；</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（3）报价一览表；</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（4）清单及报价明细表；</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（5）技术响应文件；</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（6）服务承诺。</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2、合同范围和条件</w:t>
      </w:r>
      <w:bookmarkEnd w:id="149"/>
      <w:r/>
      <w:r/>
    </w:p>
    <w:p>
      <w:pPr>
        <w:ind w:firstLine="480"/>
        <w:spacing w:line="360" w:lineRule="auto"/>
        <w:rPr>
          <w:rFonts w:ascii="宋体" w:hAnsi="宋体" w:cs="宋体"/>
          <w:b/>
          <w:color w:val="000000"/>
          <w:sz w:val="32"/>
          <w:szCs w:val="32"/>
          <w:highlight w:val="none"/>
        </w:rPr>
      </w:pPr>
      <w:r>
        <w:rPr>
          <w:rFonts w:hint="eastAsia" w:ascii="宋体" w:hAnsi="宋体" w:cs="宋体"/>
          <w:color w:val="000000"/>
          <w:sz w:val="24"/>
          <w:highlight w:val="none"/>
        </w:rPr>
        <w:t xml:space="preserve">本合同的范围和条件应与上述合同文件的规定相一致。</w:t>
      </w:r>
      <w:r/>
    </w:p>
    <w:p>
      <w:pPr>
        <w:jc w:val="left"/>
        <w:spacing w:line="360" w:lineRule="auto"/>
        <w:rPr>
          <w:rFonts w:ascii="宋体" w:hAnsi="宋体" w:cs="宋体"/>
          <w:b/>
          <w:color w:val="000000"/>
          <w:sz w:val="24"/>
          <w:highlight w:val="none"/>
        </w:rPr>
        <w:outlineLvl w:val="1"/>
      </w:pPr>
      <w:r/>
      <w:bookmarkStart w:id="150" w:name="_Toc22000635"/>
      <w:r>
        <w:rPr>
          <w:rFonts w:hint="eastAsia" w:ascii="宋体" w:hAnsi="宋体" w:cs="宋体"/>
          <w:b/>
          <w:color w:val="000000"/>
          <w:sz w:val="24"/>
          <w:highlight w:val="none"/>
        </w:rPr>
        <w:t xml:space="preserve">3</w:t>
      </w:r>
      <w:bookmarkEnd w:id="150"/>
      <w:r>
        <w:rPr>
          <w:rFonts w:hint="eastAsia" w:ascii="宋体" w:hAnsi="宋体" w:cs="宋体"/>
          <w:b/>
          <w:color w:val="000000"/>
          <w:sz w:val="24"/>
          <w:highlight w:val="none"/>
        </w:rPr>
        <w:t xml:space="preserve">、标的物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本合同所提供的标的物详见“清单及明细报价表”（</w:t>
      </w:r>
      <w:r>
        <w:rPr>
          <w:rFonts w:hint="eastAsia" w:ascii="宋体" w:hAnsi="宋体" w:cs="宋体"/>
          <w:bCs/>
          <w:color w:val="000000"/>
          <w:sz w:val="24"/>
          <w:highlight w:val="none"/>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highlight w:val="none"/>
        </w:rPr>
        <w:t xml:space="preserve">。</w:t>
      </w:r>
      <w:r/>
    </w:p>
    <w:p>
      <w:pPr>
        <w:jc w:val="left"/>
        <w:spacing w:line="360" w:lineRule="auto"/>
        <w:rPr>
          <w:rFonts w:ascii="宋体" w:hAnsi="宋体" w:cs="宋体"/>
          <w:b/>
          <w:color w:val="000000"/>
          <w:sz w:val="24"/>
          <w:highlight w:val="none"/>
        </w:rPr>
        <w:outlineLvl w:val="1"/>
      </w:pPr>
      <w:r/>
      <w:bookmarkStart w:id="151" w:name="_Toc22000636"/>
      <w:r>
        <w:rPr>
          <w:rFonts w:hint="eastAsia" w:ascii="宋体" w:hAnsi="宋体" w:cs="宋体"/>
          <w:b/>
          <w:color w:val="000000"/>
          <w:sz w:val="24"/>
          <w:highlight w:val="none"/>
        </w:rPr>
        <w:t xml:space="preserve">4、合同金额</w:t>
      </w:r>
      <w:bookmarkEnd w:id="151"/>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根据上述合同文件要求，合同金额（大写）为人民币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元（项目增加费用不得超过原合同金额的10%，同时双方必须签订补充合同），分项价格在乙方提交的报价表中有明确规定。</w:t>
      </w:r>
      <w:bookmarkStart w:id="152" w:name="_Toc22000637"/>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5、付款</w:t>
      </w:r>
      <w:bookmarkEnd w:id="152"/>
      <w:r>
        <w:rPr>
          <w:rFonts w:hint="eastAsia" w:ascii="宋体" w:hAnsi="宋体" w:cs="宋体"/>
          <w:b/>
          <w:color w:val="000000"/>
          <w:sz w:val="24"/>
          <w:highlight w:val="none"/>
        </w:rPr>
        <w:t xml:space="preserve">方式</w:t>
      </w:r>
      <w:r/>
    </w:p>
    <w:p>
      <w:pPr>
        <w:ind w:firstLine="480"/>
        <w:jc w:val="left"/>
        <w:spacing w:line="360" w:lineRule="auto"/>
        <w:rPr>
          <w:rFonts w:hint="eastAsia" w:ascii="宋体" w:hAnsi="宋体" w:cs="宋体"/>
          <w:color w:val="000000"/>
          <w:sz w:val="24"/>
          <w:highlight w:val="none"/>
        </w:rPr>
        <w:outlineLvl w:val="1"/>
      </w:pPr>
      <w:r/>
      <w:bookmarkStart w:id="153" w:name="_Toc22000638"/>
      <w:r>
        <w:rPr>
          <w:rFonts w:hint="eastAsia" w:ascii="宋体" w:hAnsi="宋体" w:cs="宋体"/>
          <w:color w:val="000000"/>
          <w:sz w:val="24"/>
          <w:highlight w:val="none"/>
          <w:lang w:val="en-US" w:eastAsia="zh-CN"/>
        </w:rPr>
        <w:t xml:space="preserve">5.1</w:t>
      </w:r>
      <w:r>
        <w:rPr>
          <w:rFonts w:hint="eastAsia" w:ascii="宋体" w:hAnsi="宋体" w:cs="宋体"/>
          <w:color w:val="000000"/>
          <w:sz w:val="24"/>
          <w:highlight w:val="none"/>
        </w:rPr>
        <w:t xml:space="preserve">合同签订后，甲方收到乙方提供的相应金额发票十个工作日内，支付70万元合同预付款；</w:t>
      </w:r>
      <w:r/>
    </w:p>
    <w:p>
      <w:pPr>
        <w:ind w:firstLine="480"/>
        <w:jc w:val="lef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lang w:val="en-US" w:eastAsia="zh-CN"/>
        </w:rPr>
        <w:t xml:space="preserve">5.2</w:t>
      </w:r>
      <w:r>
        <w:rPr>
          <w:rFonts w:hint="eastAsia" w:ascii="宋体" w:hAnsi="宋体" w:cs="宋体"/>
          <w:color w:val="000000"/>
          <w:sz w:val="24"/>
          <w:highlight w:val="none"/>
        </w:rPr>
        <w:t xml:space="preserve">项目阶段性成果汇报后，甲方收到乙方提供的相应金额发票十个工作日内支付70万元；</w:t>
      </w:r>
      <w:r/>
    </w:p>
    <w:p>
      <w:pPr>
        <w:ind w:firstLine="480"/>
        <w:jc w:val="left"/>
        <w:spacing w:line="360" w:lineRule="auto"/>
        <w:rPr>
          <w:rFonts w:hint="eastAsia" w:ascii="宋体" w:hAnsi="宋体" w:cs="宋体"/>
          <w:color w:val="auto"/>
          <w:sz w:val="24"/>
          <w:highlight w:val="none"/>
        </w:rPr>
        <w:outlineLvl w:val="1"/>
      </w:pPr>
      <w:r>
        <w:rPr>
          <w:rFonts w:hint="eastAsia" w:ascii="宋体" w:hAnsi="宋体" w:cs="宋体"/>
          <w:color w:val="000000"/>
          <w:sz w:val="24"/>
          <w:highlight w:val="none"/>
          <w:lang w:val="en-US" w:eastAsia="zh-CN"/>
        </w:rPr>
        <w:t xml:space="preserve">5.3</w:t>
      </w:r>
      <w:r>
        <w:rPr>
          <w:rFonts w:hint="eastAsia" w:ascii="宋体" w:hAnsi="宋体" w:cs="宋体"/>
          <w:color w:val="auto"/>
          <w:sz w:val="24"/>
          <w:highlight w:val="none"/>
        </w:rPr>
        <w:t xml:space="preserve">项目成果经验收通过后，甲方收到乙方提供的相应金额发票十个工作日内一次性付清尾款。</w:t>
      </w:r>
      <w:r/>
    </w:p>
    <w:p>
      <w:pPr>
        <w:jc w:val="left"/>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6、合同履行期限和实施</w:t>
      </w:r>
      <w:bookmarkEnd w:id="153"/>
      <w:r>
        <w:rPr>
          <w:rFonts w:hint="eastAsia" w:ascii="宋体" w:hAnsi="宋体" w:cs="宋体"/>
          <w:b/>
          <w:color w:val="auto"/>
          <w:sz w:val="24"/>
          <w:highlight w:val="none"/>
        </w:rPr>
        <w:t xml:space="preserve">范围</w:t>
      </w:r>
      <w:r/>
    </w:p>
    <w:p>
      <w:pPr>
        <w:pStyle w:val="1707"/>
        <w:ind w:firstLine="480"/>
        <w:jc w:val="left"/>
        <w:spacing w:line="360" w:lineRule="auto"/>
        <w:rPr>
          <w:rFonts w:ascii="宋体" w:hAnsi="宋体" w:cs="宋体"/>
          <w:color w:val="auto"/>
          <w:sz w:val="24"/>
          <w:szCs w:val="24"/>
          <w:highlight w:val="none"/>
        </w:rPr>
      </w:pPr>
      <w:r/>
      <w:bookmarkStart w:id="154" w:name="_Toc22000639"/>
      <w:r>
        <w:rPr>
          <w:rFonts w:hint="eastAsia" w:ascii="宋体" w:hAnsi="宋体" w:cs="宋体"/>
          <w:color w:val="auto"/>
          <w:sz w:val="24"/>
          <w:szCs w:val="24"/>
          <w:highlight w:val="none"/>
        </w:rPr>
        <w:t xml:space="preserve">6.1 </w:t>
      </w:r>
      <w:r>
        <w:rPr>
          <w:rFonts w:ascii="宋体" w:hAnsi="宋体" w:cs="宋体"/>
          <w:color w:val="auto"/>
          <w:spacing w:val="6"/>
          <w:sz w:val="24"/>
          <w:szCs w:val="24"/>
          <w:highlight w:val="none"/>
        </w:rPr>
        <w:t xml:space="preserve">合同履行期限：</w:t>
      </w:r>
      <w:r>
        <w:rPr>
          <w:rFonts w:hint="eastAsia" w:ascii="宋体" w:hAnsi="宋体" w:cs="宋体"/>
          <w:color w:val="auto"/>
          <w:spacing w:val="6"/>
          <w:sz w:val="24"/>
          <w:szCs w:val="24"/>
          <w:highlight w:val="none"/>
        </w:rPr>
        <w:t xml:space="preserve">自合同签订起至2027年12月30日</w:t>
      </w:r>
      <w:r>
        <w:rPr>
          <w:rFonts w:hint="eastAsia"/>
          <w:color w:val="auto"/>
          <w:spacing w:val="-1"/>
          <w:sz w:val="24"/>
          <w:szCs w:val="24"/>
          <w:highlight w:val="none"/>
        </w:rPr>
        <w:t xml:space="preserve">。</w:t>
      </w:r>
      <w:r/>
    </w:p>
    <w:p>
      <w:pPr>
        <w:pStyle w:val="1707"/>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6.2 项目实施范围：</w:t>
      </w:r>
      <w:r>
        <w:rPr>
          <w:rFonts w:hint="eastAsia"/>
          <w:color w:val="000000"/>
          <w:sz w:val="24"/>
          <w:highlight w:val="none"/>
        </w:rPr>
        <w:t xml:space="preserve">镇江</w:t>
      </w:r>
      <w:r>
        <w:rPr>
          <w:rFonts w:hint="eastAsia" w:ascii="Times New Roman" w:hAnsi="Times New Roman"/>
          <w:color w:val="000000"/>
          <w:sz w:val="24"/>
          <w:highlight w:val="none"/>
        </w:rPr>
        <w:t xml:space="preserve">市</w:t>
      </w:r>
      <w:r>
        <w:rPr>
          <w:rFonts w:hint="eastAsia" w:ascii="宋体" w:hAnsi="宋体" w:cs="宋体"/>
          <w:color w:val="000000"/>
          <w:sz w:val="24"/>
          <w:szCs w:val="24"/>
          <w:highlight w:val="none"/>
        </w:rPr>
        <w:t xml:space="preserve">。</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7、服务内容和标准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（一）项目内容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核心工作为按照《国土空间规划城市体检评估规程（2025年修订版）》，核查中央、国务院及省委、省政府决策部署和国家、省级重大战略的落实情况，市委、市政府决策部署和“十四五”规划的保障支撑情况；评估国土空间总体规划定位、国土空间目标指标的落实成效，主体功能区格局和“三区三线”等安全底线的协调落实情况，以及重要基础设施、公共服务设施的配置情况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同时，在市级国土空间总体规划评估</w:t>
      </w:r>
      <w:r>
        <w:rPr>
          <w:rFonts w:hint="eastAsia" w:ascii="宋体" w:hAnsi="宋体" w:cs="宋体"/>
          <w:color w:val="000000"/>
          <w:sz w:val="24"/>
          <w:highlight w:val="none"/>
        </w:rPr>
        <w:t xml:space="preserve">基础上，同步开展国土空间分区规划实施评估，构建“总规—分规”联动评估框架，保障市级战略与分区落实的有效衔接和传导。具体评估内容包含战略目标、空间发展格局与建设用地布局、空间管控、各类要素配置、规划合理性与适应性、其他专项规划、城市人口发展专题、综合效能与满意度等8个方面，从安全、创新、协调、生态、开放、共享六大维度评估城市空间效能，结合规划实施面临的新形势、新要求研判未来发展趋势，并依据自然资源部、省自然资源厅最新政策要求，提出市级总规动态维护建议，以及“十五五”期间规划实施的具体措施、政策机制等相关建议。</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w:t>
      </w:r>
      <w:r>
        <w:rPr>
          <w:rFonts w:hint="eastAsia" w:ascii="宋体" w:hAnsi="宋体" w:cs="宋体"/>
          <w:color w:val="000000"/>
          <w:sz w:val="24"/>
          <w:highlight w:val="none"/>
          <w:lang w:val="en-US" w:eastAsia="zh-CN"/>
        </w:rPr>
        <w:t xml:space="preserve">项目范围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项目研究范围分为两部分：第一部分为镇江市国土空间总体规划（2021-2035年）编制范围。第二部分为各区分区规划编制范围。</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（三）</w:t>
      </w:r>
      <w:r>
        <w:rPr>
          <w:rFonts w:hint="eastAsia" w:ascii="宋体" w:hAnsi="宋体" w:cs="宋体"/>
          <w:color w:val="000000"/>
          <w:sz w:val="24"/>
          <w:highlight w:val="none"/>
          <w:lang w:val="en-US" w:eastAsia="zh-CN"/>
        </w:rPr>
        <w:t xml:space="preserve">成果要求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主要成果由市级总规及各分区规划的五年评估报告、2025年度城市体检成果、附件和数据库四部分组成：五年评估报告涵盖总体结论、规划实施成效、存在问题及原因分析、对策建议等内容；2025年度城市体检成果包含体检报告、数据库、2025年城市体检指标表、体检基础数据库建设情况报告；附件包含评估指标表、五年重点任务完成清单、五年规划实施分析图、五年规划实施社会满意度评价报告、五年评估基础数据库建设情况说明；数据库包含分析评价数据库、分区规划评估专题数据库。</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进度要求</w:t>
      </w:r>
      <w:bookmarkEnd w:id="154"/>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）初步启动阶段（2026年9月）。组建技术团队，明确人员分工安排；收集并整理现行政策、文件、规划、案例，确定评估大纲、技术路线、成果框架等内容。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）全面启动阶段（2026年10月）。全面启动评估，召开全市部门启动会。开展实地调研、部门访谈等工作，收集各条线相关资料，开展规划评估。</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）方案编制阶段（2026年11月至2027年2月）。形成评估报告、评估附件等初步成果。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）意见征询阶段（2027年3月至4月）。充分征求相关部门及专家的意见，确保评估报告的准确性、全面性和前瞻性。项目组根据意见进行优化和完善，形成中期成果。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）最终成果阶段（2027年5月至8月）。进一步征求各方意见，形成评审稿，提交市自然资源和规划局审核，根据要求修改完善后提交评审验收。</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、甲、乙双方违约责任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.1甲方违约责任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.1.1合同签订后，由于甲方原因停止项目而终止合同的，乙方未进入现场工作前，乙方必须全额返还预付款；乙方已进入现场工作，但因甲方过错导致的项目停止和终止，甲方应按完成的实际工作量支付合同款。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.2乙方违约责任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.2.1合同签订后，由于乙方原因停止项目而终止合同的，甲方有权不支付乙方剩余合同款项。</w:t>
      </w:r>
      <w:r/>
    </w:p>
    <w:p>
      <w:pPr>
        <w:pStyle w:val="1466"/>
        <w:ind w:firstLine="480"/>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.2.2在甲方根据上述规定，终止了全部或部分合同后，甲方可以依其认为适当的条件和方法购买与未提供服务类似的服务，乙方应对甲方购买类似服务所超出部分费用负责。</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、不可抗力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.3受事故影响的一方应在不可抗拒力事故发后尽快以传真通知对方，双方应通过友好协商在合理时间内达成进一步履行合同的协议。</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、税费</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.2中国政府根据现行税法规定对乙方征收的与本合同有关的一切税费均由乙方负担(免税部分除外)，采购文件另有规定的除外。</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、纠纷解决办法</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.2在诉讼期间，本合同应继续执行。</w:t>
      </w:r>
      <w:r/>
    </w:p>
    <w:p>
      <w:pPr>
        <w:jc w:val="left"/>
        <w:spacing w:line="360" w:lineRule="auto"/>
        <w:rPr>
          <w:rFonts w:ascii="宋体" w:hAnsi="宋体" w:cs="宋体"/>
          <w:color w:val="000000"/>
          <w:spacing w:val="-8"/>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、违约终止合同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.1在甲方对乙方违约而采取的任何补救措施不受影响的情况下，甲方可向乙方发出终止部分或全部合同的书面通知书。</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(1)如果乙方未能按合同规定的期限或甲方同意延长的限期内完成部分或全部</w:t>
      </w:r>
      <w:r>
        <w:rPr>
          <w:rFonts w:hint="eastAsia" w:ascii="宋体" w:hAnsi="宋体" w:cs="宋体"/>
          <w:color w:val="000000"/>
          <w:sz w:val="24"/>
          <w:highlight w:val="none"/>
        </w:rPr>
        <w:t xml:space="preserve">成果</w:t>
      </w:r>
      <w:r>
        <w:rPr>
          <w:rFonts w:ascii="宋体" w:hAnsi="宋体" w:cs="宋体"/>
          <w:color w:val="000000"/>
          <w:sz w:val="24"/>
          <w:highlight w:val="none"/>
        </w:rPr>
        <w:t xml:space="preserve">交付及相关的服务工作</w:t>
      </w:r>
      <w:r>
        <w:rPr>
          <w:rFonts w:hint="eastAsia" w:ascii="宋体" w:hAnsi="宋体" w:cs="宋体"/>
          <w:color w:val="000000"/>
          <w:sz w:val="24"/>
          <w:highlight w:val="none"/>
        </w:rPr>
        <w:t xml:space="preserve">；</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(2)乙方在收到甲方发出的违约通知后20天内，或经甲方书面认可延长的时间内未能纠正其过失</w:t>
      </w:r>
      <w:r>
        <w:rPr>
          <w:rFonts w:hint="eastAsia" w:ascii="宋体" w:hAnsi="宋体" w:cs="宋体"/>
          <w:color w:val="000000"/>
          <w:sz w:val="24"/>
          <w:highlight w:val="none"/>
        </w:rPr>
        <w:t xml:space="preserve">；</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(3)如果乙方未能履行合同规定的其他义务。</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.2在履行合同期间，出现未能响应采购文件服务要求，将每次从合同价款中扣除</w:t>
      </w:r>
      <w:r>
        <w:rPr>
          <w:rFonts w:hint="eastAsia" w:ascii="宋体" w:hAnsi="宋体" w:cs="宋体"/>
          <w:color w:val="000000"/>
          <w:sz w:val="24"/>
          <w:highlight w:val="none"/>
          <w:u w:val="single"/>
        </w:rPr>
        <w:t xml:space="preserve">1000</w:t>
      </w:r>
      <w:r>
        <w:rPr>
          <w:rFonts w:ascii="宋体" w:hAnsi="宋体" w:cs="宋体"/>
          <w:color w:val="000000"/>
          <w:sz w:val="24"/>
          <w:highlight w:val="none"/>
        </w:rPr>
        <w:t xml:space="preserve">元，出现此类情况达到3次的，甲方可以无条件终止合同并且有权拒绝付款。</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、破产终止合同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、转让和分包</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、合同生效及其它</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.1合同应在双方签字盖章后生效。</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.2本合同一式肆份，甲方贰份、乙方贰份，具有同等法律效力。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.3本合同未尽事宜，遵照《中华人民共和国民法典》有关条文执行。</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（以下无合同正文）</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甲方（单位盖章）：</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代表签字：</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乙方（单位盖章）：</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代表签字：</w:t>
      </w:r>
      <w:r/>
    </w:p>
    <w:p>
      <w:pPr>
        <w:ind w:firstLine="357"/>
        <w:jc w:val="righ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合同签订日期：    年  月  日</w:t>
      </w:r>
      <w:r/>
    </w:p>
    <w:p>
      <w:pPr>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ind w:firstLine="480"/>
        <w:jc w:val="center"/>
        <w:spacing w:line="360" w:lineRule="auto"/>
        <w:shd w:val="clear" w:color="auto" w:fill="ffffff"/>
        <w:rPr>
          <w:rStyle w:val="1669"/>
          <w:rFonts w:ascii="宋体" w:hAnsi="宋体" w:cs="宋体"/>
          <w:color w:val="000000"/>
          <w:sz w:val="28"/>
          <w:szCs w:val="28"/>
          <w:highlight w:val="none"/>
        </w:rPr>
        <w:outlineLvl w:val="0"/>
      </w:pPr>
      <w:r/>
      <w:bookmarkStart w:id="155" w:name="_Toc12977"/>
      <w:r>
        <w:rPr>
          <w:rStyle w:val="1669"/>
          <w:rFonts w:hint="eastAsia" w:ascii="宋体" w:hAnsi="宋体" w:cs="宋体"/>
          <w:color w:val="000000"/>
          <w:sz w:val="28"/>
          <w:szCs w:val="28"/>
          <w:highlight w:val="none"/>
        </w:rPr>
        <w:t xml:space="preserve">第四部分 </w:t>
      </w:r>
      <w:bookmarkEnd w:id="143"/>
      <w:r>
        <w:rPr>
          <w:rStyle w:val="1669"/>
          <w:rFonts w:hint="eastAsia" w:ascii="宋体" w:hAnsi="宋体" w:cs="宋体"/>
          <w:color w:val="000000"/>
          <w:sz w:val="28"/>
          <w:szCs w:val="28"/>
          <w:highlight w:val="none"/>
        </w:rPr>
        <w:t xml:space="preserve"> 项目采购需求</w:t>
      </w:r>
      <w:bookmarkEnd w:id="144"/>
      <w:r/>
      <w:bookmarkEnd w:id="147"/>
      <w:r/>
      <w:bookmarkEnd w:id="155"/>
      <w:r/>
      <w:r/>
    </w:p>
    <w:p>
      <w:pPr>
        <w:spacing w:line="360" w:lineRule="auto"/>
        <w:rPr>
          <w:rFonts w:hint="eastAsia"/>
          <w:b/>
          <w:bCs/>
          <w:color w:val="000000"/>
          <w:sz w:val="24"/>
          <w:highlight w:val="none"/>
        </w:rPr>
      </w:pPr>
      <w:r/>
      <w:bookmarkStart w:id="156" w:name="_Toc1600901986"/>
      <w:r>
        <w:rPr>
          <w:rFonts w:hint="eastAsia"/>
          <w:b/>
          <w:bCs/>
          <w:color w:val="000000"/>
          <w:sz w:val="24"/>
          <w:highlight w:val="none"/>
        </w:rPr>
        <w:t xml:space="preserve">一、项目背景</w:t>
      </w:r>
      <w:r/>
    </w:p>
    <w:p>
      <w:pPr>
        <w:ind w:firstLine="480"/>
        <w:spacing w:line="360" w:lineRule="auto"/>
        <w:rPr>
          <w:rFonts w:hint="eastAsia"/>
          <w:color w:val="000000"/>
          <w:sz w:val="24"/>
          <w:highlight w:val="none"/>
        </w:rPr>
      </w:pPr>
      <w:r>
        <w:rPr>
          <w:rFonts w:hint="eastAsia"/>
          <w:color w:val="000000"/>
          <w:sz w:val="24"/>
          <w:highlight w:val="none"/>
        </w:rPr>
        <w:t xml:space="preserve">根据《自然资源部办公厅关于开展国土空间规划体检评估的通知》（自然资办发﹝2025﹞20号）要求，国土空间规划实施五年评估工作一般每五年开展一次，也可结合国民经济和社会发展规划编制同步开展。</w:t>
      </w:r>
      <w:r/>
    </w:p>
    <w:p>
      <w:pPr>
        <w:spacing w:line="360" w:lineRule="auto"/>
        <w:rPr>
          <w:rFonts w:hint="eastAsia"/>
          <w:b/>
          <w:bCs/>
          <w:color w:val="000000"/>
          <w:sz w:val="24"/>
          <w:highlight w:val="none"/>
        </w:rPr>
      </w:pPr>
      <w:r>
        <w:rPr>
          <w:rFonts w:hint="eastAsia"/>
          <w:b/>
          <w:bCs/>
          <w:color w:val="000000"/>
          <w:sz w:val="24"/>
          <w:highlight w:val="none"/>
        </w:rPr>
        <w:t xml:space="preserve">二、工作内容</w:t>
      </w:r>
      <w:r/>
    </w:p>
    <w:p>
      <w:pPr>
        <w:ind w:firstLine="480"/>
        <w:spacing w:line="360" w:lineRule="auto"/>
        <w:rPr>
          <w:rFonts w:hint="eastAsia"/>
          <w:color w:val="000000"/>
          <w:sz w:val="24"/>
          <w:highlight w:val="none"/>
        </w:rPr>
      </w:pPr>
      <w:r>
        <w:rPr>
          <w:rFonts w:hint="eastAsia"/>
          <w:color w:val="000000"/>
          <w:sz w:val="24"/>
          <w:highlight w:val="none"/>
        </w:rPr>
        <w:t xml:space="preserve">本项目核心工作为按照《国土空间规划城市体检评估规程（2025年修订版）》，核查中央、国务院及省委、省政府决策部署和国家、省级重大战略的落实情况，市委、市政府决策部署和“十四五”规划的保障支撑情况；评估国土空间总体规划定位、国土空间目标指标的落实成效，主体功能区格局和“三区三线”等安全底线的协调落实情况，以及重要基础设施、公共服务设施的配置情况等。</w:t>
      </w:r>
      <w:r/>
    </w:p>
    <w:p>
      <w:pPr>
        <w:ind w:firstLine="480"/>
        <w:spacing w:line="360" w:lineRule="auto"/>
        <w:rPr>
          <w:rFonts w:hint="eastAsia"/>
          <w:color w:val="000000"/>
          <w:sz w:val="24"/>
          <w:highlight w:val="none"/>
        </w:rPr>
      </w:pPr>
      <w:r>
        <w:rPr>
          <w:rFonts w:hint="eastAsia"/>
          <w:color w:val="000000"/>
          <w:sz w:val="24"/>
          <w:highlight w:val="none"/>
        </w:rPr>
        <w:t xml:space="preserve">同时，在市级国土空间总体规划评估</w:t>
      </w:r>
      <w:r>
        <w:rPr>
          <w:rFonts w:hint="eastAsia"/>
          <w:color w:val="000000"/>
          <w:sz w:val="24"/>
          <w:highlight w:val="none"/>
        </w:rPr>
        <w:t xml:space="preserve">基础上，同步开展国土空间分区规划实施评估，构建“总规—分规”联动评估框架，保障市级战略与分区落实的有效衔接和传导。具体评估内容包含战略目标、空间发展格局与建设用地布局、空间管控、各类要素配置、规划合理性与适应性、其他专项规划、城市人口发展专题、综合效能与满意度等8个方面，从安全、创新、协调、生态、开放、共享六大维度评估城市空间效能，结合规划实施面临的新形势、新要求研判未来发展趋势，并依据自然资源部、省自然资源厅最新政策要求，提出市级总规动态维护建议，以及“十五五”期间规划实施的具体措施、政策机制等相关建议。</w:t>
      </w:r>
      <w:r/>
    </w:p>
    <w:p>
      <w:pPr>
        <w:spacing w:line="360" w:lineRule="auto"/>
        <w:rPr>
          <w:rFonts w:hint="eastAsia"/>
          <w:b/>
          <w:bCs/>
          <w:color w:val="000000"/>
          <w:sz w:val="24"/>
          <w:highlight w:val="none"/>
        </w:rPr>
      </w:pPr>
      <w:r>
        <w:rPr>
          <w:rFonts w:hint="eastAsia"/>
          <w:b/>
          <w:bCs/>
          <w:color w:val="000000"/>
          <w:sz w:val="24"/>
          <w:highlight w:val="none"/>
        </w:rPr>
        <w:t xml:space="preserve">三、项目范围</w:t>
      </w:r>
      <w:r/>
    </w:p>
    <w:p>
      <w:pPr>
        <w:ind w:firstLine="480"/>
        <w:spacing w:line="360" w:lineRule="auto"/>
        <w:rPr>
          <w:rFonts w:hint="eastAsia"/>
          <w:color w:val="000000"/>
          <w:sz w:val="24"/>
          <w:highlight w:val="none"/>
        </w:rPr>
      </w:pPr>
      <w:r>
        <w:rPr>
          <w:rFonts w:hint="eastAsia"/>
          <w:color w:val="000000"/>
          <w:sz w:val="24"/>
          <w:highlight w:val="none"/>
        </w:rPr>
        <w:t xml:space="preserve">项目研究范围分为两部分：第一部分为镇江市国土空间总体规划（2021-2035年）编制范围。第二部分为各区分区规划编制范围。</w:t>
      </w:r>
      <w:r/>
    </w:p>
    <w:p>
      <w:pPr>
        <w:spacing w:line="360" w:lineRule="auto"/>
        <w:rPr>
          <w:rFonts w:hint="eastAsia"/>
          <w:b/>
          <w:bCs/>
          <w:color w:val="000000"/>
          <w:sz w:val="24"/>
          <w:highlight w:val="none"/>
        </w:rPr>
      </w:pPr>
      <w:r>
        <w:rPr>
          <w:rFonts w:hint="eastAsia"/>
          <w:b/>
          <w:bCs/>
          <w:color w:val="000000"/>
          <w:sz w:val="24"/>
          <w:highlight w:val="none"/>
        </w:rPr>
        <w:t xml:space="preserve">四、成果要求</w:t>
      </w:r>
      <w:r/>
    </w:p>
    <w:p>
      <w:pPr>
        <w:ind w:firstLine="480"/>
        <w:spacing w:line="360" w:lineRule="auto"/>
        <w:rPr>
          <w:rFonts w:hint="eastAsia"/>
          <w:color w:val="000000"/>
          <w:sz w:val="24"/>
          <w:highlight w:val="none"/>
        </w:rPr>
      </w:pPr>
      <w:r>
        <w:rPr>
          <w:rFonts w:hint="eastAsia"/>
          <w:color w:val="000000"/>
          <w:sz w:val="24"/>
          <w:highlight w:val="none"/>
        </w:rPr>
        <w:t xml:space="preserve">本项目主要成果由市级总规及各分区规划的五年评估报告、2025年度城市体检成果、附件和数据库四部分组成：五年评估报告涵盖总体结论、规划实施成效、存在问题及原因分析、对策建议等内容；2025年度城市体检成果包含体检报告、数据库、2025年城市体检指标表、体检基础数据库建设情况报告；附件包含评估指标表、五年重点任务完成清单、五年规划实施分析图、五年规划实施社会满意度评价报告、五年评估基础数据库建设情况说明；数据库包含分析评价数据库、分区规划评估专题数据库。</w:t>
      </w:r>
      <w:r/>
    </w:p>
    <w:p>
      <w:pPr>
        <w:spacing w:line="360" w:lineRule="auto"/>
        <w:rPr>
          <w:rFonts w:hint="eastAsia"/>
          <w:b/>
          <w:bCs/>
          <w:color w:val="000000"/>
          <w:sz w:val="24"/>
          <w:highlight w:val="none"/>
        </w:rPr>
      </w:pPr>
      <w:r>
        <w:rPr>
          <w:rFonts w:hint="eastAsia"/>
          <w:b/>
          <w:bCs/>
          <w:color w:val="000000"/>
          <w:sz w:val="24"/>
          <w:highlight w:val="none"/>
        </w:rPr>
        <w:t xml:space="preserve">五、进度要求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（一）初步启动阶段（2026年9月）。组建技术团队，明确人员分工安排；收集并整理现行政策、文件、规划、案例，确定评估大纲、技术路线、成果框架等内容。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（二）全面启动阶段（2026年10月）。全面启动评估，召开全市部门启动会。开展实地调研、部门访谈等工作，收集各条线相关资料，开展规划评估。</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（三）方案编制阶段（2026年11月至2027年2月）。形成评估报告、评估附件等初步成果。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（四）意见征询阶段（2027年3月至4月）。充分征求相关部门及专家的意见，确保评估报告的准确性、全面性和前瞻性。项目组根据意见进行优化和完善，形成中期成果。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（五）最终成果阶段（2027年5月至8月）。进一步征求各方意见，形成评审稿，提交市自然资源和规划局审核，根据要求修改完善后提交评审验收。</w:t>
      </w:r>
      <w:r/>
    </w:p>
    <w:p>
      <w:pPr>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、服务要求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1、履约能力要求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供应商须成立专责团队全程负责本项工作，并有及时高效的服务。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低效用地调查成果及过程性数据按照机密级管理，须按照国家、省、市有关相关规定执行。</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3、供应商需提供完整且合理的项目方案，应包含：技术方案、质量和数据安全保障措施、进度计划措施、重难点分析、后续服务响应计划等。</w:t>
      </w:r>
      <w:r/>
    </w:p>
    <w:p>
      <w:pPr>
        <w:spacing w:line="360" w:lineRule="auto"/>
        <w:rPr>
          <w:rFonts w:ascii="宋体" w:hAnsi="宋体" w:cs="宋体"/>
          <w:b/>
          <w:sz w:val="24"/>
          <w:highlight w:val="none"/>
        </w:rPr>
      </w:pP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、项目服务期和实施地点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1、项目服务期：自合同签订起至2027年12月30日。</w:t>
      </w:r>
      <w:r/>
    </w:p>
    <w:p>
      <w:pPr>
        <w:ind w:firstLine="480"/>
        <w:spacing w:line="360" w:lineRule="auto"/>
        <w:rPr>
          <w:sz w:val="24"/>
          <w:highlight w:val="none"/>
        </w:rPr>
      </w:pPr>
      <w:r>
        <w:rPr>
          <w:rFonts w:hint="eastAsia" w:ascii="宋体" w:hAnsi="宋体" w:cs="宋体"/>
          <w:sz w:val="24"/>
          <w:highlight w:val="none"/>
        </w:rPr>
        <w:t xml:space="preserve">2、项目实施地点：镇江市</w:t>
      </w:r>
      <w:r>
        <w:rPr>
          <w:rFonts w:hint="eastAsia"/>
          <w:sz w:val="24"/>
          <w:highlight w:val="none"/>
        </w:rPr>
        <w:t xml:space="preserve">。</w:t>
      </w:r>
      <w:r/>
    </w:p>
    <w:p>
      <w:pPr>
        <w:spacing w:line="360" w:lineRule="auto"/>
        <w:rPr>
          <w:rFonts w:ascii="宋体" w:hAnsi="宋体" w:cs="宋体"/>
          <w:b/>
          <w:sz w:val="24"/>
          <w:highlight w:val="none"/>
        </w:rPr>
      </w:pPr>
      <w:r>
        <w:rPr>
          <w:rFonts w:hint="eastAsia" w:ascii="宋体" w:hAnsi="宋体" w:cs="宋体"/>
          <w:b/>
          <w:sz w:val="24"/>
          <w:highlight w:val="none"/>
          <w:lang w:val="en-US" w:eastAsia="zh-CN"/>
        </w:rPr>
        <w:t xml:space="preserve">八</w:t>
      </w:r>
      <w:r>
        <w:rPr>
          <w:rFonts w:hint="eastAsia" w:ascii="宋体" w:hAnsi="宋体" w:cs="宋体"/>
          <w:b/>
          <w:sz w:val="24"/>
          <w:highlight w:val="none"/>
        </w:rPr>
        <w:t xml:space="preserve">、费用说明及付款方式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1、费用说明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总价包括项目各项工作实施的全部费用，以及供应商整个服务期内全部费用的报价，包含人员工资、加班费、各项福利、办公费、管理费、交通费、为本招标项目提供服务所需的仪器设备、各类耗材、公共耗能费、专家评审费、利润、税金等本项目招标文件规定的全部费用。除因特殊原因经双方协商同意外，供应商不得再要求追加任何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2.1</w:t>
      </w:r>
      <w:r>
        <w:rPr>
          <w:rFonts w:hint="eastAsia" w:ascii="宋体" w:hAnsi="宋体" w:cs="宋体"/>
          <w:sz w:val="24"/>
          <w:highlight w:val="none"/>
        </w:rPr>
        <w:t xml:space="preserve">合同签订后，甲方收到乙方提供的相应金额发票十个工作日内，支付70万元合同预付款；</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项目阶段性成果汇报后，甲方收到乙方提供的相应金额发票十个工作日内支付70万元；</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2.3</w:t>
      </w:r>
      <w:r>
        <w:rPr>
          <w:rFonts w:hint="eastAsia" w:ascii="宋体" w:hAnsi="宋体" w:cs="宋体"/>
          <w:sz w:val="24"/>
          <w:highlight w:val="none"/>
        </w:rPr>
        <w:t xml:space="preserve">项目成果经验收通过后，甲方收到乙方提供的相应金额发票十个工作日内一次性付清尾款。</w:t>
      </w:r>
      <w:r/>
    </w:p>
    <w:p>
      <w:pPr>
        <w:ind w:firstLine="420"/>
        <w:jc w:val="left"/>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br w:type="page" w:clear="all"/>
      </w:r>
      <w:r/>
    </w:p>
    <w:p>
      <w:pPr>
        <w:ind w:firstLine="480"/>
        <w:jc w:val="center"/>
        <w:spacing w:line="360" w:lineRule="auto"/>
        <w:shd w:val="clear" w:color="auto" w:fill="ffffff"/>
        <w:rPr>
          <w:rStyle w:val="1669"/>
          <w:rFonts w:ascii="宋体" w:hAnsi="宋体" w:cs="宋体"/>
          <w:color w:val="000000"/>
          <w:sz w:val="28"/>
          <w:szCs w:val="28"/>
          <w:highlight w:val="none"/>
        </w:rPr>
        <w:outlineLvl w:val="0"/>
      </w:pPr>
      <w:r/>
      <w:bookmarkStart w:id="157" w:name="_Toc7242"/>
      <w:r>
        <w:rPr>
          <w:rStyle w:val="1669"/>
          <w:rFonts w:hint="eastAsia" w:ascii="宋体" w:hAnsi="宋体" w:cs="宋体"/>
          <w:color w:val="000000"/>
          <w:sz w:val="28"/>
          <w:szCs w:val="28"/>
          <w:highlight w:val="none"/>
        </w:rPr>
        <w:t xml:space="preserve">第五部分  磋商及评审</w:t>
      </w:r>
      <w:bookmarkEnd w:id="156"/>
      <w:r/>
      <w:bookmarkEnd w:id="157"/>
      <w:r/>
      <w:r/>
    </w:p>
    <w:p>
      <w:pPr>
        <w:ind w:left="451"/>
        <w:spacing w:before="101" w:after="240" w:line="412" w:lineRule="exact"/>
        <w:rPr>
          <w:rFonts w:ascii="宋体" w:hAnsi="宋体" w:cs="宋体"/>
          <w:b/>
          <w:bCs/>
          <w:color w:val="000000"/>
          <w:spacing w:val="10"/>
          <w:position w:val="2"/>
          <w:sz w:val="24"/>
          <w:highlight w:val="none"/>
        </w:rPr>
        <w:outlineLvl w:val="1"/>
      </w:pPr>
      <w:r/>
      <w:bookmarkStart w:id="158" w:name="_bookmark59"/>
      <w:r/>
      <w:bookmarkEnd w:id="158"/>
      <w:r>
        <w:rPr>
          <w:rFonts w:ascii="宋体" w:hAnsi="宋体" w:cs="宋体"/>
          <w:b/>
          <w:bCs/>
          <w:color w:val="000000"/>
          <w:spacing w:val="10"/>
          <w:position w:val="2"/>
          <w:sz w:val="24"/>
          <w:highlight w:val="none"/>
        </w:rPr>
        <w:t xml:space="preserve">1</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磋商小组职责</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1.3起草评审报告并进行签署。</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1.4推荐成交供应商。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1.6法律、法规和规章规定的其他职责。</w:t>
      </w:r>
      <w:r/>
    </w:p>
    <w:p>
      <w:pPr>
        <w:ind w:left="451"/>
        <w:spacing w:before="101" w:after="240" w:line="412" w:lineRule="exact"/>
        <w:rPr>
          <w:rFonts w:ascii="宋体" w:hAnsi="宋体" w:cs="宋体"/>
          <w:b/>
          <w:bCs/>
          <w:color w:val="000000"/>
          <w:spacing w:val="10"/>
          <w:position w:val="2"/>
          <w:sz w:val="24"/>
          <w:highlight w:val="none"/>
        </w:rPr>
        <w:outlineLvl w:val="1"/>
      </w:pPr>
      <w:r/>
      <w:bookmarkStart w:id="159" w:name="_bookmark60"/>
      <w:r/>
      <w:bookmarkEnd w:id="159"/>
      <w:r>
        <w:rPr>
          <w:rFonts w:ascii="宋体" w:hAnsi="宋体" w:cs="宋体"/>
          <w:b/>
          <w:bCs/>
          <w:color w:val="000000"/>
          <w:spacing w:val="10"/>
          <w:position w:val="2"/>
          <w:sz w:val="24"/>
          <w:highlight w:val="none"/>
        </w:rPr>
        <w:t xml:space="preserve">2</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磋商及评审程序</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2.1磋商组织方按磋商小组名单核对身份并签到。</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2.2磋商组织方宣布磋商及评审纪律，磋商小组确认有无回避的情形。</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2.4磋商小组正式评审前，应当对磋商文件进行熟悉和理解，审查磋商文件。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2.7磋商小组应集中与符合要求的单一供应商分别进行磋商，并给予所有参加磋商的供应商平等的磋商机会</w:t>
      </w:r>
      <w:r>
        <w:rPr>
          <w:rFonts w:hint="eastAsia" w:ascii="宋体" w:hAnsi="宋体" w:cs="宋体"/>
          <w:color w:val="000000"/>
          <w:spacing w:val="-1"/>
          <w:sz w:val="24"/>
          <w:highlight w:val="none"/>
        </w:rPr>
        <w:t xml:space="preserve">。</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highlight w:val="none"/>
        </w:rPr>
        <w:outlineLvl w:val="1"/>
      </w:pPr>
      <w:r/>
      <w:bookmarkStart w:id="160" w:name="_bookmark61"/>
      <w:r/>
      <w:bookmarkEnd w:id="160"/>
      <w:r>
        <w:rPr>
          <w:rFonts w:ascii="宋体" w:hAnsi="宋体" w:cs="宋体"/>
          <w:b/>
          <w:bCs/>
          <w:color w:val="000000"/>
          <w:spacing w:val="10"/>
          <w:position w:val="2"/>
          <w:sz w:val="24"/>
          <w:highlight w:val="none"/>
        </w:rPr>
        <w:t xml:space="preserve">3</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供应商资格审查</w:t>
      </w:r>
      <w:r/>
    </w:p>
    <w:p>
      <w:pPr>
        <w:ind w:left="601"/>
        <w:spacing w:before="79" w:line="219" w:lineRule="auto"/>
        <w:rPr>
          <w:rFonts w:ascii="宋体" w:hAnsi="宋体" w:cs="宋体"/>
          <w:color w:val="000000"/>
          <w:sz w:val="24"/>
          <w:highlight w:val="none"/>
        </w:rPr>
      </w:pPr>
      <w:r>
        <w:rPr>
          <w:rFonts w:ascii="宋体" w:hAnsi="宋体" w:cs="宋体"/>
          <w:color w:val="000000"/>
          <w:spacing w:val="-10"/>
          <w:sz w:val="24"/>
          <w:highlight w:val="none"/>
        </w:rPr>
        <w:t xml:space="preserve">开</w:t>
      </w:r>
      <w:r>
        <w:rPr>
          <w:rFonts w:ascii="宋体" w:hAnsi="宋体" w:cs="宋体"/>
          <w:color w:val="000000"/>
          <w:spacing w:val="-8"/>
          <w:sz w:val="24"/>
          <w:highlight w:val="none"/>
        </w:rPr>
        <w:t xml:space="preserve">启</w:t>
      </w:r>
      <w:r>
        <w:rPr>
          <w:rFonts w:ascii="宋体" w:hAnsi="宋体" w:cs="宋体"/>
          <w:color w:val="000000"/>
          <w:spacing w:val="-5"/>
          <w:sz w:val="24"/>
          <w:highlight w:val="none"/>
        </w:rPr>
        <w:t xml:space="preserve">结束后，采购人将依法对供应商的资格进行审查。资格审查的内容如下：</w:t>
      </w:r>
      <w:r/>
    </w:p>
    <w:tbl>
      <w:tblPr>
        <w:tblStyle w:val="143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2124"/>
        <w:gridCol w:w="5772"/>
      </w:tblGrid>
      <w:tr>
        <w:trPr>
          <w:jc w:val="center"/>
          <w:trHeight w:val="592"/>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序号</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审查要素</w:t>
            </w:r>
            <w:r/>
          </w:p>
        </w:tc>
        <w:tc>
          <w:tcPr>
            <w:tcW w:w="5772"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审查内容</w:t>
            </w:r>
            <w:r/>
          </w:p>
        </w:tc>
      </w:tr>
      <w:tr>
        <w:trPr>
          <w:jc w:val="center"/>
          <w:trHeight w:val="733"/>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具有独立承担民事责任的能力</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法人或者其他组织的营业执照等证明文件；自然人的身份证。</w:t>
            </w:r>
            <w:r/>
          </w:p>
        </w:tc>
      </w:tr>
      <w:tr>
        <w:trPr>
          <w:jc w:val="center"/>
          <w:trHeight w:val="1047"/>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具有良好的商业信誉和健全的财务会计制度</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2025年度财务报告(成立不满一年的提供至少一个月)，或银行出具的资信证明，或财政部门认可的政府采购专业担保机构出具的磋商担保函等。(或提供资格承诺函)</w:t>
            </w:r>
            <w:r/>
          </w:p>
        </w:tc>
      </w:tr>
      <w:tr>
        <w:trPr>
          <w:jc w:val="center"/>
          <w:trHeight w:val="788"/>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具有履行合同所必需的设备和专业技术能力</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供应商相关信息一览表。(或提供资格承诺函)</w:t>
            </w:r>
            <w:r/>
          </w:p>
        </w:tc>
      </w:tr>
      <w:tr>
        <w:trPr>
          <w:jc w:val="center"/>
          <w:trHeight w:val="1061"/>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有依法缴纳税收和社会保障资金的良好记录</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参加本次政府采购活动前半年内(至少一个月)依法缴纳税收和社会保险资金的相关材料。(或提供资格承诺函)</w:t>
            </w:r>
            <w:r/>
          </w:p>
        </w:tc>
      </w:tr>
      <w:tr>
        <w:trPr>
          <w:jc w:val="center"/>
          <w:trHeight w:val="1488"/>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5</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参加政府采购活动前三年内，在经营活动中没有重大违法记录</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磋商承诺函。(2)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829"/>
        </w:trPr>
        <w:tc>
          <w:tcPr>
            <w:tcW w:w="608" w:type="dxa"/>
            <w:vAlign w:val="center"/>
            <w:textDirection w:val="lrTb"/>
            <w:noWrap w:val="false"/>
          </w:tcPr>
          <w:p>
            <w:pPr>
              <w:jc w:val="center"/>
              <w:spacing w:line="20" w:lineRule="atLeas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6</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落实政府采购政策需满足的资格要求</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中小企业声明函</w:t>
            </w:r>
            <w:r/>
          </w:p>
        </w:tc>
      </w:tr>
      <w:tr>
        <w:trPr>
          <w:jc w:val="center"/>
          <w:trHeight w:val="771"/>
        </w:trPr>
        <w:tc>
          <w:tcPr>
            <w:tcW w:w="608" w:type="dxa"/>
            <w:vAlign w:val="center"/>
            <w:textDirection w:val="lrTb"/>
            <w:noWrap w:val="false"/>
          </w:tcPr>
          <w:p>
            <w:pPr>
              <w:jc w:val="center"/>
              <w:spacing w:line="20" w:lineRule="atLeas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7</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本项目特定资格要求</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见“第一部分  磋商邀请”。</w:t>
            </w:r>
            <w:r/>
          </w:p>
        </w:tc>
      </w:tr>
    </w:tbl>
    <w:p>
      <w:pPr>
        <w:ind w:left="451"/>
        <w:spacing w:before="101" w:after="240" w:line="412" w:lineRule="exact"/>
        <w:rPr>
          <w:rFonts w:ascii="宋体" w:hAnsi="宋体" w:cs="宋体"/>
          <w:b/>
          <w:bCs/>
          <w:color w:val="000000"/>
          <w:spacing w:val="10"/>
          <w:position w:val="2"/>
          <w:sz w:val="24"/>
          <w:highlight w:val="none"/>
        </w:rPr>
        <w:outlineLvl w:val="1"/>
      </w:pPr>
      <w:r/>
      <w:bookmarkStart w:id="161" w:name="_bookmark62"/>
      <w:r/>
      <w:bookmarkEnd w:id="161"/>
      <w:r>
        <w:rPr>
          <w:rFonts w:ascii="宋体" w:hAnsi="宋体" w:cs="宋体"/>
          <w:b/>
          <w:bCs/>
          <w:color w:val="000000"/>
          <w:spacing w:val="10"/>
          <w:position w:val="2"/>
          <w:sz w:val="24"/>
          <w:highlight w:val="none"/>
        </w:rPr>
        <w:t xml:space="preserve">4</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磋商响应文件的有效性、完整性和响应程度审查</w:t>
      </w:r>
      <w:r/>
    </w:p>
    <w:tbl>
      <w:tblPr>
        <w:tblStyle w:val="14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631"/>
        <w:gridCol w:w="604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28"/>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28"/>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28"/>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28"/>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报价符合性</w:t>
            </w:r>
            <w:r/>
          </w:p>
          <w:p>
            <w:pPr>
              <w:pStyle w:val="1728"/>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28"/>
              <w:jc w:val="both"/>
              <w:rPr>
                <w:rFonts w:ascii="宋体" w:hAnsi="宋体" w:eastAsia="宋体" w:cs="宋体"/>
                <w:sz w:val="21"/>
                <w:szCs w:val="21"/>
                <w:highlight w:val="none"/>
              </w:rPr>
            </w:pPr>
            <w:r>
              <w:rPr>
                <w:rFonts w:hint="eastAsia" w:ascii="宋体" w:hAnsi="宋体" w:eastAsia="宋体" w:cs="宋体"/>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28"/>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28"/>
              <w:jc w:val="center"/>
              <w:rPr>
                <w:rFonts w:ascii="宋体" w:hAnsi="宋体" w:eastAsia="宋体" w:cs="宋体"/>
                <w:sz w:val="21"/>
                <w:szCs w:val="21"/>
                <w:highlight w:val="none"/>
              </w:rPr>
            </w:pPr>
            <w:r>
              <w:rPr>
                <w:rFonts w:ascii="宋体" w:hAnsi="宋体" w:eastAsia="宋体" w:cs="宋体"/>
                <w:sz w:val="21"/>
                <w:szCs w:val="21"/>
                <w:highlight w:val="none"/>
              </w:rPr>
              <w:t xml:space="preserve">投标文件</w:t>
            </w:r>
            <w:r/>
          </w:p>
          <w:p>
            <w:pPr>
              <w:pStyle w:val="1728"/>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28"/>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28"/>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28"/>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28"/>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审查投标文件与招标文件要求的主要条款、条件和技术规格是否相符，是否存在重大偏离或保留。</w:t>
            </w:r>
            <w:r/>
          </w:p>
        </w:tc>
      </w:tr>
    </w:tbl>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highlight w:val="none"/>
        </w:rPr>
        <w:outlineLvl w:val="1"/>
      </w:pPr>
      <w:r/>
      <w:bookmarkStart w:id="162" w:name="_bookmark63"/>
      <w:r/>
      <w:bookmarkEnd w:id="162"/>
      <w:r>
        <w:rPr>
          <w:rFonts w:ascii="宋体" w:hAnsi="宋体" w:cs="宋体"/>
          <w:b/>
          <w:bCs/>
          <w:color w:val="000000"/>
          <w:spacing w:val="10"/>
          <w:position w:val="2"/>
          <w:sz w:val="24"/>
          <w:highlight w:val="none"/>
        </w:rPr>
        <w:t xml:space="preserve">5</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磋商记录</w:t>
      </w:r>
      <w:r/>
    </w:p>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5.1《磋商记录》包括供应商答复或承诺的内容、磋商文件的变动情况及最后报价等。</w:t>
      </w:r>
      <w:r/>
    </w:p>
    <w:p>
      <w:pPr>
        <w:ind w:left="451"/>
        <w:spacing w:before="101" w:after="240" w:line="412" w:lineRule="exact"/>
        <w:rPr>
          <w:rFonts w:ascii="宋体" w:hAnsi="宋体" w:cs="宋体"/>
          <w:b/>
          <w:bCs/>
          <w:color w:val="ff0000"/>
          <w:spacing w:val="10"/>
          <w:position w:val="2"/>
          <w:sz w:val="24"/>
          <w:highlight w:val="none"/>
        </w:rPr>
        <w:outlineLvl w:val="1"/>
      </w:pPr>
      <w:r/>
      <w:bookmarkStart w:id="163" w:name="_bookmark64"/>
      <w:r/>
      <w:bookmarkEnd w:id="163"/>
      <w:r>
        <w:rPr>
          <w:rFonts w:ascii="宋体" w:hAnsi="宋体" w:cs="宋体"/>
          <w:b/>
          <w:bCs/>
          <w:color w:val="000000"/>
          <w:spacing w:val="10"/>
          <w:position w:val="2"/>
          <w:sz w:val="24"/>
          <w:highlight w:val="none"/>
        </w:rPr>
        <w:t xml:space="preserve">6</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综合评分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经磋商确定最终采购需求和提交最后报价的供应商后，磋商小组采用综合评分法对提交最后报价的供应商的磋商响应文件和最后报价进行综合评分</w:t>
      </w:r>
      <w:r>
        <w:rPr>
          <w:rFonts w:hint="eastAsia" w:ascii="宋体" w:hAnsi="宋体" w:cs="宋体"/>
          <w:color w:val="000000"/>
          <w:spacing w:val="-1"/>
          <w:sz w:val="24"/>
          <w:highlight w:val="none"/>
        </w:rPr>
        <w:t xml:space="preserve">，</w:t>
      </w:r>
      <w:r>
        <w:rPr>
          <w:rFonts w:ascii="宋体" w:hAnsi="宋体" w:cs="宋体"/>
          <w:color w:val="000000"/>
          <w:spacing w:val="-1"/>
          <w:sz w:val="24"/>
          <w:highlight w:val="none"/>
        </w:rPr>
        <w:t xml:space="preserve">总分100分。</w:t>
      </w:r>
      <w:r/>
    </w:p>
    <w:tbl>
      <w:tblPr>
        <w:tblStyle w:val="14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520"/>
        <w:gridCol w:w="864"/>
        <w:gridCol w:w="6662"/>
        <w:gridCol w:w="477"/>
      </w:tblGrid>
      <w:tr>
        <w:trPr>
          <w:trHeight w:val="485"/>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序号</w:t>
            </w:r>
            <w:r/>
          </w:p>
        </w:tc>
        <w:tc>
          <w:tcPr>
            <w:tcW w:w="506"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评审因素</w:t>
            </w:r>
            <w:r/>
          </w:p>
        </w:tc>
        <w:tc>
          <w:tcPr>
            <w:tcW w:w="3908"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评分标准说明</w:t>
            </w:r>
            <w:r/>
          </w:p>
        </w:tc>
        <w:tc>
          <w:tcPr>
            <w:tcW w:w="279"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分值</w:t>
            </w:r>
            <w:r/>
          </w:p>
        </w:tc>
      </w:tr>
      <w:tr>
        <w:trPr>
          <w:trHeight w:val="23"/>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一</w:t>
            </w:r>
            <w:r/>
          </w:p>
        </w:tc>
        <w:tc>
          <w:tcPr>
            <w:gridSpan w:val="2"/>
            <w:tcW w:w="441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商务部分</w:t>
            </w:r>
            <w:r/>
          </w:p>
        </w:tc>
        <w:tc>
          <w:tcPr>
            <w:tcW w:w="279" w:type="pct"/>
            <w:vAlign w:val="center"/>
            <w:textDirection w:val="lrTb"/>
            <w:noWrap/>
          </w:tcPr>
          <w:p>
            <w:pPr>
              <w:jc w:val="center"/>
              <w:widowControl/>
              <w:tabs>
                <w:tab w:val="left" w:pos="640" w:leader="none"/>
              </w:tabs>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28</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50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W w:w="3908" w:type="pct"/>
            <w:vAlign w:val="center"/>
            <w:textDirection w:val="lrTb"/>
            <w:noWrap/>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rPr>
              <w:t xml:space="preserve">承担过县级及以上国土空间总体规划评估项目的，每项得1分，本项最高得4分；承担过县级及以上国土空间规划编制项目的，每项得1分，本项最高得4分。</w:t>
            </w:r>
            <w:r/>
          </w:p>
          <w:p>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本项最高得8分。</w:t>
            </w:r>
            <w:r/>
          </w:p>
          <w:p>
            <w:pPr>
              <w:rPr>
                <w:rFonts w:ascii="宋体" w:hAnsi="宋体" w:cs="宋体"/>
                <w:b/>
                <w:bCs/>
                <w:color w:val="auto"/>
                <w:szCs w:val="21"/>
                <w:highlight w:val="none"/>
              </w:rPr>
            </w:pPr>
            <w:r>
              <w:rPr>
                <w:rFonts w:hint="eastAsia" w:ascii="宋体" w:hAnsi="宋体" w:cs="宋体"/>
                <w:b/>
                <w:bCs/>
                <w:color w:val="auto"/>
                <w:szCs w:val="21"/>
                <w:highlight w:val="none"/>
              </w:rPr>
              <w:t xml:space="preserve">注：提供有效合同扫描件上传至投标文件并电子签章，未按要求提供不得分。</w:t>
            </w:r>
            <w:r/>
          </w:p>
        </w:tc>
        <w:tc>
          <w:tcPr>
            <w:tcW w:w="279" w:type="pct"/>
            <w:vAlign w:val="center"/>
            <w:textDirection w:val="lrTb"/>
            <w:noWrap/>
          </w:tcPr>
          <w:p>
            <w:pPr>
              <w:jc w:val="center"/>
              <w:widowControl/>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r>
      <w:tr>
        <w:trPr>
          <w:trHeight w:val="23"/>
        </w:trPr>
        <w:tc>
          <w:tcPr>
            <w:tcW w:w="305" w:type="pct"/>
            <w:vAlign w:val="center"/>
            <w:textDirection w:val="lrTb"/>
            <w:noWrap/>
          </w:tcPr>
          <w:p>
            <w:pPr>
              <w:jc w:val="center"/>
              <w:widowControl/>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tcW w:w="506" w:type="pct"/>
            <w:vAlign w:val="center"/>
            <w:textDirection w:val="lrTb"/>
            <w:noWrap/>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资质</w:t>
            </w:r>
            <w:r/>
          </w:p>
        </w:tc>
        <w:tc>
          <w:tcPr>
            <w:tcW w:w="3908" w:type="pct"/>
            <w:vAlign w:val="center"/>
            <w:textDirection w:val="lrTb"/>
            <w:noWrap/>
          </w:tcPr>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供应商具有土地规划乙级及以上资质的得2分。未提供不得分。</w:t>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注：提供有效证明材料</w:t>
            </w:r>
            <w:r>
              <w:rPr>
                <w:rFonts w:hint="eastAsia" w:ascii="宋体" w:hAnsi="宋体" w:cs="宋体"/>
                <w:b/>
                <w:bCs/>
                <w:color w:val="auto"/>
                <w:szCs w:val="21"/>
                <w:highlight w:val="none"/>
              </w:rPr>
              <w:t xml:space="preserve">上传至投标文件并电子签章，未按要求提供不得分。</w:t>
            </w:r>
            <w:r/>
          </w:p>
        </w:tc>
        <w:tc>
          <w:tcPr>
            <w:tcW w:w="279" w:type="pct"/>
            <w:vAlign w:val="center"/>
            <w:textDirection w:val="lrTb"/>
            <w:noWrap/>
          </w:tcPr>
          <w:p>
            <w:pPr>
              <w:jc w:val="center"/>
              <w:widowControl/>
              <w:tabs>
                <w:tab w:val="left" w:pos="64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trHeight w:val="23"/>
        </w:trPr>
        <w:tc>
          <w:tcPr>
            <w:tcW w:w="305" w:type="pct"/>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tcW w:w="506"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W w:w="3908" w:type="pct"/>
            <w:vAlign w:val="center"/>
            <w:textDirection w:val="lrTb"/>
            <w:noWrap/>
          </w:tcPr>
          <w:p>
            <w:pPr>
              <w:rPr>
                <w:rFonts w:hint="eastAsia" w:ascii="宋体" w:hAnsi="宋体" w:cs="宋体"/>
                <w:color w:val="auto"/>
                <w:szCs w:val="21"/>
                <w:highlight w:val="none"/>
              </w:rPr>
            </w:pPr>
            <w:r>
              <w:rPr>
                <w:rFonts w:hint="eastAsia" w:ascii="宋体" w:hAnsi="宋体" w:cs="宋体"/>
                <w:color w:val="auto"/>
                <w:szCs w:val="21"/>
                <w:highlight w:val="none"/>
              </w:rPr>
              <w:t xml:space="preserve">拟投入本项目的项目负责人具有具有城乡规划或土地规划正高级职称的，得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分，具有城乡规划或土地规划副高级职称的，得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注：提供人员相关证书复印件并加盖公章</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供应商近半年内任意一个月为拟投入项目负责人缴纳社保的记录并加盖公章。</w:t>
            </w:r>
            <w:r/>
          </w:p>
        </w:tc>
        <w:tc>
          <w:tcPr>
            <w:tcW w:w="279" w:type="pct"/>
            <w:vAlign w:val="center"/>
            <w:textDirection w:val="lrTb"/>
            <w:noWrap/>
          </w:tcPr>
          <w:p>
            <w:pPr>
              <w:jc w:val="center"/>
              <w:widowControl/>
              <w:tabs>
                <w:tab w:val="left" w:pos="64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r>
      <w:tr>
        <w:trPr>
          <w:trHeight w:val="23"/>
        </w:trPr>
        <w:tc>
          <w:tcPr>
            <w:tcW w:w="305" w:type="pct"/>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506"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项目组成员</w:t>
            </w:r>
            <w:r/>
          </w:p>
        </w:tc>
        <w:tc>
          <w:tcPr>
            <w:tcW w:w="3908" w:type="pct"/>
            <w:vAlign w:val="center"/>
            <w:textDirection w:val="lrTb"/>
            <w:noWrap/>
          </w:tcPr>
          <w:p>
            <w:pPr>
              <w:jc w:val="left"/>
              <w:widowControl/>
              <w:rPr>
                <w:rFonts w:ascii="宋体" w:hAnsi="宋体" w:cs="宋体"/>
                <w:b/>
                <w:bCs/>
                <w:color w:val="auto"/>
                <w:szCs w:val="21"/>
                <w:highlight w:val="none"/>
              </w:rPr>
            </w:pPr>
            <w:r>
              <w:rPr>
                <w:rFonts w:hint="eastAsia" w:ascii="宋体" w:hAnsi="宋体" w:cs="宋体"/>
                <w:color w:val="auto"/>
                <w:szCs w:val="21"/>
                <w:highlight w:val="none"/>
              </w:rPr>
              <w:t xml:space="preserve">拟投入本项目的项目组成人员（不含项目负责人）配备地理信息工程、土地规划、城乡规划、国土空间规划、园林类、土地利用与保护类、林业工程类职称的，每具备</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个专业高级工程师职称得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分，每具备</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个专业中级工程师职称得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（同一人员不重复计算）。</w:t>
            </w:r>
            <w:r>
              <w:rPr>
                <w:rFonts w:hint="eastAsia" w:ascii="宋体" w:hAnsi="宋体" w:cs="宋体"/>
                <w:color w:val="auto"/>
                <w:szCs w:val="21"/>
                <w:highlight w:val="none"/>
              </w:rPr>
              <w:br/>
            </w:r>
            <w:r>
              <w:rPr>
                <w:rFonts w:hint="eastAsia" w:ascii="宋体" w:hAnsi="宋体" w:cs="宋体"/>
                <w:b/>
                <w:bCs/>
                <w:color w:val="auto"/>
                <w:szCs w:val="21"/>
                <w:highlight w:val="none"/>
              </w:rPr>
              <w:t xml:space="preserve">注：提供人员相关证书复印件并加盖公章</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供应商近半年内任意一个月为拟投入项目组成员缴纳社保的记录并加盖公章。</w:t>
            </w:r>
            <w:r/>
          </w:p>
        </w:tc>
        <w:tc>
          <w:tcPr>
            <w:tcW w:w="279" w:type="pct"/>
            <w:vAlign w:val="center"/>
            <w:textDirection w:val="lrTb"/>
            <w:noWrap/>
          </w:tcPr>
          <w:p>
            <w:pPr>
              <w:jc w:val="center"/>
              <w:widowControl/>
              <w:tabs>
                <w:tab w:val="left" w:pos="64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14</w:t>
            </w:r>
            <w:r/>
          </w:p>
        </w:tc>
      </w:tr>
      <w:tr>
        <w:trPr>
          <w:trHeight w:val="23"/>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二</w:t>
            </w:r>
            <w:r/>
          </w:p>
        </w:tc>
        <w:tc>
          <w:tcPr>
            <w:gridSpan w:val="2"/>
            <w:tcW w:w="4415" w:type="pct"/>
            <w:vAlign w:val="center"/>
            <w:textDirection w:val="lrTb"/>
            <w:noWrap/>
          </w:tcPr>
          <w:p>
            <w:pPr>
              <w:jc w:val="center"/>
              <w:widowControl/>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技术部分</w:t>
            </w:r>
            <w:r/>
          </w:p>
        </w:tc>
        <w:tc>
          <w:tcPr>
            <w:tcW w:w="279" w:type="pct"/>
            <w:vAlign w:val="center"/>
            <w:textDirection w:val="lrTb"/>
            <w:noWrap/>
          </w:tcPr>
          <w:p>
            <w:pPr>
              <w:jc w:val="center"/>
              <w:widowControl/>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6</w:t>
            </w:r>
            <w:r>
              <w:rPr>
                <w:rFonts w:hint="eastAsia" w:ascii="宋体" w:hAnsi="宋体" w:cs="宋体"/>
                <w:b/>
                <w:bCs/>
                <w:szCs w:val="21"/>
                <w:highlight w:val="none"/>
                <w:lang w:val="en-US" w:eastAsia="zh-CN"/>
              </w:rPr>
              <w:t xml:space="preserve">2</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506"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val="zh-CN"/>
              </w:rPr>
              <w:t xml:space="preserve">规划背景及相关规划解读</w:t>
            </w:r>
            <w:r/>
          </w:p>
        </w:tc>
        <w:tc>
          <w:tcPr>
            <w:tcW w:w="3908" w:type="pct"/>
            <w:vAlign w:val="center"/>
            <w:textDirection w:val="lrTb"/>
            <w:noWrap/>
          </w:tcPr>
          <w:p>
            <w:pPr>
              <w:widowControl/>
              <w:rPr>
                <w:rFonts w:ascii="宋体" w:hAnsi="宋体" w:cs="宋体"/>
                <w:szCs w:val="21"/>
                <w:highlight w:val="none"/>
              </w:rPr>
            </w:pPr>
            <w:r>
              <w:rPr>
                <w:rFonts w:hint="eastAsia" w:ascii="宋体" w:hAnsi="宋体" w:cs="宋体"/>
                <w:szCs w:val="21"/>
                <w:highlight w:val="none"/>
              </w:rPr>
              <w:t xml:space="preserve">根据供应商提供的对本项目规划背景及相关规划解读进行评分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包括但不限于：编制的背景和目的，解读国家、省、市相关政策法规的要求</w:t>
            </w:r>
            <w:r>
              <w:rPr>
                <w:rFonts w:hint="eastAsia" w:ascii="宋体" w:hAnsi="宋体" w:cs="宋体"/>
                <w:szCs w:val="21"/>
                <w:highlight w:val="none"/>
                <w:lang w:eastAsia="zh-CN"/>
              </w:rPr>
              <w:t xml:space="preserve">；收集并分析镇江市国土空间总体规划、各分区规划等上位规划，准确把握上位规划对项目的要求；收集并分析近几年镇江编制的各类专项规划，准确把握专项规划对项目的要求；评估现行市级国土空间规划和分区规划的实施情况，梳理实施问题，剖析问题原因，并确定五年评估重点</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bCs/>
                <w:szCs w:val="21"/>
                <w:highlight w:val="none"/>
              </w:rPr>
              <w:t xml:space="preserve">完全包含上述要点的得</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rPr>
                <w:rFonts w:hint="eastAsia" w:ascii="宋体" w:hAnsi="宋体" w:cs="宋体"/>
                <w:bCs/>
                <w:spacing w:val="-8"/>
                <w:szCs w:val="21"/>
                <w:highlight w:val="none"/>
              </w:rPr>
              <w:t xml:space="preserve">缺一项扣</w:t>
            </w:r>
            <w:r>
              <w:rPr>
                <w:rFonts w:hint="eastAsia" w:ascii="宋体" w:hAnsi="宋体" w:cs="宋体"/>
                <w:bCs/>
                <w:spacing w:val="-8"/>
                <w:szCs w:val="21"/>
                <w:highlight w:val="none"/>
                <w:lang w:val="en-US" w:eastAsia="zh-CN"/>
              </w:rPr>
              <w:t xml:space="preserve">2</w:t>
            </w:r>
            <w:r>
              <w:rPr>
                <w:rFonts w:hint="eastAsia" w:ascii="宋体" w:hAnsi="宋体" w:cs="宋体"/>
                <w:bCs/>
                <w:spacing w:val="-8"/>
                <w:szCs w:val="21"/>
                <w:highlight w:val="none"/>
              </w:rPr>
              <w:t xml:space="preserve">分，</w:t>
            </w:r>
            <w:r>
              <w:rPr>
                <w:rFonts w:hint="eastAsia" w:ascii="宋体" w:hAnsi="宋体"/>
                <w:szCs w:val="21"/>
                <w:highlight w:val="none"/>
              </w:rPr>
              <w:t xml:space="preserve">未提供方案的不得分。</w:t>
            </w:r>
            <w:r/>
          </w:p>
          <w:p>
            <w:pPr>
              <w:widowControl/>
              <w:rPr>
                <w:rFonts w:hint="eastAsia" w:ascii="宋体" w:hAnsi="宋体" w:eastAsia="宋体"/>
                <w:szCs w:val="21"/>
                <w:highlight w:val="none"/>
                <w:lang w:eastAsia="zh-CN"/>
              </w:rPr>
            </w:pPr>
            <w:r>
              <w:rPr>
                <w:rFonts w:hint="eastAsia" w:ascii="宋体" w:hAnsi="宋体"/>
                <w:szCs w:val="21"/>
                <w:highlight w:val="none"/>
              </w:rPr>
              <w:t xml:space="preserve">对项目背景描述贴合实际情况的</w:t>
            </w:r>
            <w:r>
              <w:rPr>
                <w:rFonts w:ascii="宋体" w:hAnsi="宋体"/>
                <w:szCs w:val="21"/>
                <w:highlight w:val="none"/>
              </w:rPr>
              <w:t xml:space="preserve">加</w:t>
            </w:r>
            <w:r>
              <w:rPr>
                <w:rFonts w:hint="eastAsia" w:ascii="宋体" w:hAnsi="宋体"/>
                <w:szCs w:val="21"/>
                <w:highlight w:val="none"/>
                <w:lang w:val="en-US" w:eastAsia="zh-CN"/>
              </w:rPr>
              <w:t xml:space="preserve">2</w:t>
            </w:r>
            <w:r>
              <w:rPr>
                <w:rFonts w:ascii="宋体" w:hAnsi="宋体"/>
                <w:szCs w:val="21"/>
                <w:highlight w:val="none"/>
              </w:rPr>
              <w:t xml:space="preserve">分</w:t>
            </w:r>
            <w:r>
              <w:rPr>
                <w:rFonts w:hint="eastAsia" w:ascii="宋体" w:hAnsi="宋体"/>
                <w:szCs w:val="21"/>
                <w:highlight w:val="none"/>
                <w:lang w:eastAsia="zh-CN"/>
              </w:rPr>
              <w:t xml:space="preserve">。</w:t>
            </w:r>
            <w:r/>
          </w:p>
          <w:p>
            <w:pPr>
              <w:widowControl/>
              <w:rPr>
                <w:rFonts w:hint="eastAsia" w:ascii="宋体" w:hAnsi="宋体"/>
                <w:szCs w:val="21"/>
                <w:highlight w:val="none"/>
              </w:rPr>
            </w:pPr>
            <w:r>
              <w:rPr>
                <w:rFonts w:ascii="宋体" w:hAnsi="宋体" w:cs="宋体"/>
                <w:szCs w:val="21"/>
                <w:highlight w:val="none"/>
              </w:rPr>
              <w:t xml:space="preserve">清晰阐述方案实施重、难点，并提供解决措施</w:t>
            </w:r>
            <w:r>
              <w:rPr>
                <w:rFonts w:hint="eastAsia" w:ascii="宋体" w:hAnsi="宋体" w:cs="宋体"/>
                <w:szCs w:val="21"/>
                <w:highlight w:val="none"/>
              </w:rPr>
              <w:t xml:space="preserve">的加2分。</w:t>
            </w:r>
            <w:r/>
          </w:p>
          <w:p>
            <w:pPr>
              <w:widowControl/>
              <w:rPr>
                <w:rFonts w:ascii="宋体" w:hAnsi="宋体" w:cs="宋体"/>
                <w:szCs w:val="2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分。</w:t>
            </w:r>
            <w:r/>
          </w:p>
        </w:tc>
        <w:tc>
          <w:tcPr>
            <w:tcW w:w="279" w:type="pct"/>
            <w:vAlign w:val="center"/>
            <w:textDirection w:val="lrTb"/>
            <w:noWrap/>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基础分析与研究</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根据供应商提供的对本项目</w:t>
            </w:r>
            <w:r>
              <w:rPr>
                <w:rFonts w:hint="eastAsia" w:ascii="宋体" w:hAnsi="宋体" w:cs="宋体"/>
                <w:color w:val="auto"/>
                <w:szCs w:val="21"/>
                <w:highlight w:val="none"/>
                <w:lang w:val="zh-CN"/>
              </w:rPr>
              <w:t xml:space="preserve">基础分析与研究</w:t>
            </w:r>
            <w:r>
              <w:rPr>
                <w:rFonts w:hint="eastAsia" w:ascii="宋体" w:hAnsi="宋体" w:cs="宋体"/>
                <w:color w:val="auto"/>
                <w:szCs w:val="21"/>
                <w:highlight w:val="none"/>
              </w:rPr>
              <w:t xml:space="preserve">进行评分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包括但不限于：规划区自然条件、历史文化资源、现状社会经济及现状人口情况等基础资料；规划区国土利用变更调查情况，并全面分析用地趋势变化、结构布局等主要特征</w:t>
            </w:r>
            <w:r>
              <w:rPr>
                <w:rFonts w:hint="eastAsia" w:ascii="宋体" w:hAnsi="宋体" w:cs="宋体"/>
                <w:color w:val="auto"/>
                <w:szCs w:val="21"/>
                <w:highlight w:val="none"/>
                <w:lang w:eastAsia="zh-CN"/>
              </w:rPr>
              <w:t xml:space="preserve">；准确掌握耕地保护、永久基本农田保护、生态保护红线、城镇开发边界、城市控制线等情况；现状公共服务设施、综合交通、市政基础设施情况</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bCs/>
                <w:color w:val="auto"/>
                <w:szCs w:val="21"/>
                <w:highlight w:val="none"/>
              </w:rPr>
              <w:t xml:space="preserve">完全包含上述要点的得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rPr>
                <w:rFonts w:hint="eastAsia" w:ascii="宋体" w:hAnsi="宋体" w:cs="宋体"/>
                <w:bCs/>
                <w:color w:val="auto"/>
                <w:spacing w:val="-8"/>
                <w:szCs w:val="21"/>
                <w:highlight w:val="none"/>
              </w:rPr>
              <w:t xml:space="preserve">缺一项扣</w:t>
            </w:r>
            <w:r>
              <w:rPr>
                <w:rFonts w:hint="eastAsia" w:ascii="宋体" w:hAnsi="宋体" w:cs="宋体"/>
                <w:bCs/>
                <w:color w:val="auto"/>
                <w:spacing w:val="-8"/>
                <w:szCs w:val="21"/>
                <w:highlight w:val="none"/>
                <w:lang w:val="en-US" w:eastAsia="zh-CN"/>
              </w:rPr>
              <w:t xml:space="preserve">2</w:t>
            </w:r>
            <w:r>
              <w:rPr>
                <w:rFonts w:hint="eastAsia" w:ascii="宋体" w:hAnsi="宋体" w:cs="宋体"/>
                <w:bCs/>
                <w:color w:val="auto"/>
                <w:spacing w:val="-8"/>
                <w:szCs w:val="21"/>
                <w:highlight w:val="none"/>
              </w:rPr>
              <w:t xml:space="preserve">分，</w:t>
            </w:r>
            <w:r>
              <w:rPr>
                <w:rFonts w:hint="eastAsia" w:ascii="宋体" w:hAnsi="宋体"/>
                <w:color w:val="auto"/>
                <w:szCs w:val="21"/>
                <w:highlight w:val="none"/>
              </w:rPr>
              <w:t xml:space="preserve">未提供方案的不得分。</w:t>
            </w:r>
            <w:r/>
          </w:p>
          <w:p>
            <w:pPr>
              <w:widowControl/>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基础分析与研究</w:t>
            </w:r>
            <w:r>
              <w:rPr>
                <w:rFonts w:hint="eastAsia" w:ascii="宋体" w:hAnsi="宋体"/>
                <w:color w:val="auto"/>
                <w:szCs w:val="21"/>
                <w:highlight w:val="none"/>
              </w:rPr>
              <w:t xml:space="preserve">描述贴合实际情况的</w:t>
            </w:r>
            <w:r>
              <w:rPr>
                <w:rFonts w:ascii="宋体" w:hAnsi="宋体"/>
                <w:color w:val="auto"/>
                <w:szCs w:val="21"/>
                <w:highlight w:val="none"/>
              </w:rPr>
              <w:t xml:space="preserve">加</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分</w:t>
            </w:r>
            <w:r>
              <w:rPr>
                <w:rFonts w:hint="eastAsia" w:ascii="宋体" w:hAnsi="宋体"/>
                <w:color w:val="auto"/>
                <w:szCs w:val="21"/>
                <w:highlight w:val="none"/>
                <w:lang w:eastAsia="zh-CN"/>
              </w:rPr>
              <w:t xml:space="preserve">。</w:t>
            </w:r>
            <w:r/>
          </w:p>
          <w:p>
            <w:pPr>
              <w:widowControl/>
              <w:rPr>
                <w:rFonts w:hint="eastAsia" w:ascii="宋体" w:hAnsi="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编制思路及重难点分析</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根据供应商提供的技术思路进行评分，包括但不限于：重点和难点问题分析及技术路线思路清晰、研究内容</w:t>
            </w:r>
            <w:r>
              <w:rPr>
                <w:rFonts w:hint="eastAsia" w:ascii="宋体" w:hAnsi="宋体" w:cs="宋体"/>
                <w:color w:val="auto"/>
                <w:szCs w:val="21"/>
                <w:highlight w:val="none"/>
                <w:lang w:val="en-US" w:eastAsia="zh-CN"/>
              </w:rPr>
              <w:t xml:space="preserve">是否</w:t>
            </w:r>
            <w:r>
              <w:rPr>
                <w:rFonts w:hint="eastAsia" w:ascii="宋体" w:hAnsi="宋体" w:cs="宋体"/>
                <w:color w:val="auto"/>
                <w:szCs w:val="21"/>
                <w:highlight w:val="none"/>
              </w:rPr>
              <w:t xml:space="preserve">全面</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研究方法</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可行</w:t>
            </w:r>
            <w:r>
              <w:rPr>
                <w:rFonts w:hint="eastAsia" w:ascii="宋体" w:hAnsi="宋体" w:cs="宋体"/>
                <w:color w:val="auto"/>
                <w:szCs w:val="21"/>
                <w:highlight w:val="none"/>
                <w:lang w:val="en-US" w:eastAsia="zh-CN"/>
              </w:rPr>
              <w:t xml:space="preserve">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并能贴合镇江实际等内容。</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分，缺一项扣</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分，未提供方案的不得分。</w:t>
            </w:r>
            <w:r/>
          </w:p>
          <w:p>
            <w:pPr>
              <w:widowControl/>
              <w:rPr>
                <w:rFonts w:ascii="宋体" w:hAnsi="宋体" w:cs="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思路</w:t>
            </w:r>
            <w:r>
              <w:rPr>
                <w:rFonts w:ascii="宋体" w:hAnsi="宋体" w:cs="宋体"/>
                <w:color w:val="auto"/>
                <w:szCs w:val="21"/>
                <w:highlight w:val="none"/>
              </w:rPr>
              <w:t xml:space="preserve">清晰、可操作性强，明确各环节责任分工的加</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r>
      <w:tr>
        <w:trPr>
          <w:trHeight w:val="807"/>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W w:w="506" w:type="pct"/>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规划</w:t>
            </w:r>
            <w:r/>
          </w:p>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内容</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根据供应商提供的</w:t>
            </w:r>
            <w:r>
              <w:rPr>
                <w:rFonts w:hint="eastAsia" w:ascii="宋体" w:hAnsi="宋体" w:cs="宋体"/>
                <w:color w:val="auto"/>
                <w:szCs w:val="21"/>
                <w:highlight w:val="none"/>
                <w:lang w:val="en-US" w:eastAsia="zh-CN"/>
              </w:rPr>
              <w:t xml:space="preserve">规划内容</w:t>
            </w:r>
            <w:r>
              <w:rPr>
                <w:rFonts w:hint="eastAsia" w:ascii="宋体" w:hAnsi="宋体" w:cs="宋体"/>
                <w:color w:val="auto"/>
                <w:szCs w:val="21"/>
                <w:highlight w:val="none"/>
              </w:rPr>
              <w:t xml:space="preserve">进行评分，包括但不限于：战略目标评估、空间发展格局与建设用地布局评估、空间管控评估</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各类要素配置评估、规划合理性与适应性评估、其他专项类规划评估</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城市人口发展专题评估等内容。</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分，缺一项扣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未提供方案的不得分。</w:t>
            </w:r>
            <w:r/>
          </w:p>
          <w:p>
            <w:pPr>
              <w:numPr>
                <w:ilvl w:val="0"/>
                <w:numId w:val="0"/>
              </w:numPr>
              <w:widowControl/>
              <w:rPr>
                <w:rFonts w:hint="eastAsia"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Cs w:val="21"/>
                <w:highlight w:val="none"/>
                <w:lang w:val="en-US" w:eastAsia="zh-CN"/>
              </w:rPr>
              <w:t xml:space="preserve">基于经济、社会、生态效应的客观分析和公众满意度调查分析，针对规划实施以来城市空间运行质量与绩效进行评价，结合城市体检评估指南确定的指标综合分析城市空间发展与运行状况。</w:t>
            </w:r>
            <w:r/>
          </w:p>
          <w:p>
            <w:pP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分，缺一项扣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未提供方案的不得分。</w:t>
            </w:r>
            <w:r/>
          </w:p>
          <w:p>
            <w:pPr>
              <w:widowControl/>
              <w:rPr>
                <w:rFonts w:ascii="宋体" w:hAnsi="宋体" w:cs="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的加2分。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思路</w:t>
            </w:r>
            <w:r>
              <w:rPr>
                <w:rFonts w:ascii="宋体" w:hAnsi="宋体" w:cs="宋体"/>
                <w:color w:val="auto"/>
                <w:szCs w:val="21"/>
                <w:highlight w:val="none"/>
              </w:rPr>
              <w:t xml:space="preserve">清晰、可操作性强，明确各环节责任分工的加</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rPr>
                <w:rFonts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r>
      <w:tr>
        <w:trPr>
          <w:trHeight w:val="807"/>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质量保证措施</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根据供应商提供的</w:t>
            </w:r>
            <w:r>
              <w:rPr>
                <w:rFonts w:hint="eastAsia" w:ascii="宋体" w:hAnsi="宋体" w:cs="宋体"/>
                <w:color w:val="auto"/>
                <w:szCs w:val="21"/>
                <w:highlight w:val="none"/>
                <w:lang w:val="zh-CN"/>
              </w:rPr>
              <w:t xml:space="preserve">质量和技术保障措施</w:t>
            </w:r>
            <w:r>
              <w:rPr>
                <w:rFonts w:hint="eastAsia" w:ascii="宋体" w:hAnsi="宋体" w:cs="宋体"/>
                <w:color w:val="auto"/>
                <w:szCs w:val="21"/>
                <w:highlight w:val="none"/>
              </w:rPr>
              <w:t xml:space="preserve">进行评分，包括但不限于：质量管理措施、数据安全保障措施等内容。</w:t>
            </w:r>
            <w:r/>
          </w:p>
          <w:p>
            <w:pPr>
              <w:rPr>
                <w:rFonts w:ascii="宋体" w:hAnsi="宋体" w:cs="宋体"/>
                <w:color w:val="auto"/>
                <w:szCs w:val="21"/>
                <w:highlight w:val="none"/>
              </w:rPr>
            </w:pPr>
            <w:r>
              <w:rPr>
                <w:rFonts w:hint="eastAsia" w:ascii="宋体" w:hAnsi="宋体" w:cs="宋体"/>
                <w:color w:val="auto"/>
                <w:szCs w:val="21"/>
                <w:highlight w:val="none"/>
              </w:rPr>
              <w:t xml:space="preserve">完全包含上述要点的得2分，缺一项扣1分，未提供方案的不得分。</w:t>
            </w:r>
            <w:r/>
          </w:p>
          <w:p>
            <w:pPr>
              <w:rPr>
                <w:rFonts w:ascii="宋体" w:hAnsi="宋体" w:cs="宋体"/>
                <w:color w:val="auto"/>
                <w:szCs w:val="21"/>
                <w:highlight w:val="none"/>
              </w:rPr>
            </w:pPr>
            <w:r>
              <w:rPr>
                <w:rFonts w:hint="eastAsia" w:ascii="宋体" w:hAnsi="宋体" w:cs="宋体"/>
                <w:color w:val="auto"/>
                <w:szCs w:val="21"/>
                <w:highlight w:val="none"/>
              </w:rPr>
              <w:t xml:space="preserve">具有监督、检查与改进机制的加1分。</w:t>
            </w:r>
            <w:r/>
          </w:p>
          <w:p>
            <w:pPr>
              <w:rPr>
                <w:rFonts w:ascii="宋体" w:hAnsi="宋体" w:cs="宋体"/>
                <w:color w:val="auto"/>
                <w:szCs w:val="21"/>
                <w:highlight w:val="none"/>
              </w:rPr>
            </w:pPr>
            <w:r>
              <w:rPr>
                <w:rFonts w:hint="eastAsia" w:ascii="宋体" w:hAnsi="宋体" w:cs="宋体"/>
                <w:color w:val="auto"/>
                <w:szCs w:val="21"/>
                <w:highlight w:val="none"/>
              </w:rPr>
              <w:t xml:space="preserve">设置培训管理制度的加1分。</w:t>
            </w:r>
            <w:r/>
          </w:p>
          <w:p>
            <w:pPr>
              <w:numPr>
                <w:ilvl w:val="0"/>
                <w:numId w:val="0"/>
              </w:numPr>
              <w:widowControl/>
              <w:rPr>
                <w:rFonts w:hint="eastAsia"/>
                <w:color w:val="auto"/>
                <w:highlight w:val="none"/>
                <w:lang w:val="en-US" w:eastAsia="zh-CN"/>
              </w:rPr>
            </w:pPr>
            <w:r>
              <w:rPr>
                <w:rFonts w:hint="eastAsia" w:ascii="Times New Roman" w:hAnsi="Times New Roman" w:eastAsia="宋体" w:cs="Times New Roman"/>
                <w:color w:val="auto"/>
                <w:sz w:val="21"/>
                <w:szCs w:val="24"/>
                <w:lang w:val="en-US" w:eastAsia="zh-CN" w:bidi="ar-SA"/>
              </w:rPr>
              <w:t xml:space="preserve">2.</w:t>
            </w:r>
            <w:r>
              <w:rPr>
                <w:rFonts w:hint="eastAsia"/>
                <w:color w:val="auto"/>
                <w:highlight w:val="none"/>
                <w:lang w:val="en-US" w:eastAsia="zh-CN"/>
              </w:rPr>
              <w:t xml:space="preserve">供应商承诺接到采购人通知后2小时内能到现场的得2分。</w:t>
            </w:r>
            <w:r/>
          </w:p>
          <w:p>
            <w:pPr>
              <w:rPr>
                <w:rFonts w:hint="eastAsia"/>
                <w:b/>
                <w:bCs/>
                <w:color w:val="auto"/>
                <w:highlight w:val="none"/>
                <w:lang w:val="en-US" w:eastAsia="zh-CN"/>
              </w:rPr>
            </w:pPr>
            <w:r>
              <w:rPr>
                <w:rFonts w:hint="eastAsia"/>
                <w:b/>
                <w:bCs/>
                <w:color w:val="auto"/>
                <w:highlight w:val="none"/>
                <w:lang w:val="en-US" w:eastAsia="zh-CN"/>
              </w:rPr>
              <w:t xml:space="preserve">注：供应商提供承诺函并加盖公章，格式自拟。未提供承诺函的不得分。</w:t>
            </w:r>
            <w:r/>
          </w:p>
          <w:p>
            <w:pPr>
              <w:rPr>
                <w:rFonts w:hint="default" w:eastAsia="宋体"/>
                <w:color w:val="auto"/>
                <w:highlight w:val="none"/>
                <w:lang w:val="en-US" w:eastAsia="zh-CN"/>
              </w:rPr>
            </w:pPr>
            <w:r>
              <w:rPr>
                <w:rFonts w:hint="eastAsia" w:ascii="宋体" w:hAnsi="宋体" w:cs="宋体"/>
                <w:color w:val="auto"/>
                <w:szCs w:val="21"/>
                <w:highlight w:val="none"/>
                <w:lang w:val="en-US" w:eastAsia="zh-CN"/>
              </w:rPr>
              <w:t xml:space="preserve">本项</w:t>
            </w:r>
            <w:r>
              <w:rPr>
                <w:rFonts w:hint="eastAsia" w:ascii="宋体" w:hAnsi="宋体" w:cs="宋体"/>
                <w:color w:val="auto"/>
                <w:szCs w:val="21"/>
                <w:highlight w:val="none"/>
              </w:rPr>
              <w:t xml:space="preserve">最高得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trHeight w:val="122"/>
        </w:trPr>
        <w:tc>
          <w:tcPr>
            <w:tcW w:w="305" w:type="pct"/>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项目进度保障措施</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根据供应商提供的项目进度保障措施进行评分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包括但不限于：提供的进度计划安排方案综合评定，从对本项目的进度计划安排、进度保障措施、规划编制工作质量及对磋商文件的响应等内容。</w:t>
            </w:r>
            <w:r/>
          </w:p>
          <w:p>
            <w:pPr>
              <w:rPr>
                <w:rFonts w:ascii="宋体" w:hAnsi="宋体" w:cs="宋体"/>
                <w:color w:val="auto"/>
                <w:szCs w:val="21"/>
                <w:highlight w:val="none"/>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分，缺一项扣1分，未提供方案的不得分。</w:t>
            </w:r>
            <w:r/>
          </w:p>
          <w:p>
            <w:pPr>
              <w:rPr>
                <w:rFonts w:ascii="宋体" w:hAnsi="宋体" w:cs="宋体"/>
                <w:color w:val="auto"/>
                <w:szCs w:val="21"/>
                <w:highlight w:val="none"/>
              </w:rPr>
            </w:pPr>
            <w:r>
              <w:rPr>
                <w:rFonts w:hint="eastAsia" w:ascii="宋体" w:hAnsi="宋体" w:cs="宋体"/>
                <w:color w:val="auto"/>
                <w:szCs w:val="21"/>
                <w:highlight w:val="none"/>
              </w:rPr>
              <w:t xml:space="preserve">进度安排流程清晰，</w:t>
            </w:r>
            <w:r>
              <w:rPr>
                <w:rFonts w:ascii="宋体" w:hAnsi="宋体" w:cs="宋体"/>
                <w:color w:val="auto"/>
                <w:szCs w:val="21"/>
                <w:highlight w:val="none"/>
              </w:rPr>
              <w:t xml:space="preserve">明确各环节</w:t>
            </w:r>
            <w:r>
              <w:rPr>
                <w:rFonts w:hint="eastAsia" w:ascii="宋体" w:hAnsi="宋体" w:cs="宋体"/>
                <w:color w:val="auto"/>
                <w:szCs w:val="21"/>
                <w:highlight w:val="none"/>
              </w:rPr>
              <w:t xml:space="preserve">重难点</w:t>
            </w:r>
            <w:r>
              <w:rPr>
                <w:rFonts w:ascii="宋体" w:hAnsi="宋体" w:cs="宋体"/>
                <w:color w:val="auto"/>
                <w:szCs w:val="21"/>
                <w:highlight w:val="none"/>
              </w:rPr>
              <w:t xml:space="preserve">的加</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各环节</w:t>
            </w:r>
            <w:r>
              <w:rPr>
                <w:rFonts w:ascii="宋体" w:hAnsi="宋体" w:cs="宋体"/>
                <w:color w:val="auto"/>
                <w:szCs w:val="21"/>
                <w:highlight w:val="none"/>
              </w:rPr>
              <w:t xml:space="preserve">具有量化考核体系的</w:t>
            </w:r>
            <w:r>
              <w:rPr>
                <w:rFonts w:hint="eastAsia" w:ascii="宋体" w:hAnsi="宋体" w:cs="宋体"/>
                <w:color w:val="auto"/>
                <w:szCs w:val="21"/>
                <w:highlight w:val="none"/>
              </w:rPr>
              <w:t xml:space="preserve">加1分。</w:t>
            </w:r>
            <w:r/>
          </w:p>
          <w:p>
            <w:pPr>
              <w:rPr>
                <w:rFonts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r>
      <w:tr>
        <w:trPr>
          <w:trHeight w:val="122"/>
        </w:trPr>
        <w:tc>
          <w:tcPr>
            <w:tcW w:w="305" w:type="pct"/>
            <w:vAlign w:val="center"/>
            <w:textDirection w:val="lrTb"/>
            <w:noWrap/>
          </w:tcPr>
          <w:p>
            <w:pPr>
              <w:jc w:val="center"/>
              <w:widowControl/>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7</w:t>
            </w:r>
            <w:r/>
          </w:p>
        </w:tc>
        <w:tc>
          <w:tcPr>
            <w:tcW w:w="506" w:type="pct"/>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售后服务方案</w:t>
            </w:r>
            <w:r/>
          </w:p>
        </w:tc>
        <w:tc>
          <w:tcPr>
            <w:tcW w:w="3908" w:type="pct"/>
            <w:vAlign w:val="center"/>
            <w:textDirection w:val="lrTb"/>
            <w:noWrap/>
          </w:tcPr>
          <w:p>
            <w:pPr>
              <w:numPr>
                <w:ilvl w:val="0"/>
                <w:numId w:val="0"/>
              </w:numPr>
              <w:rPr>
                <w:rFonts w:hint="eastAsia"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highlight w:val="none"/>
              </w:rPr>
              <w:t xml:space="preserve">根据供应商提供的</w:t>
            </w:r>
            <w:r>
              <w:rPr>
                <w:rFonts w:hint="eastAsia" w:ascii="宋体" w:hAnsi="宋体" w:cs="宋体"/>
                <w:color w:val="auto"/>
                <w:szCs w:val="21"/>
                <w:highlight w:val="none"/>
                <w:lang w:val="en-US" w:eastAsia="zh-CN"/>
              </w:rPr>
              <w:t xml:space="preserve">售后服务方案</w:t>
            </w:r>
            <w:r>
              <w:rPr>
                <w:rFonts w:hint="eastAsia" w:ascii="宋体" w:hAnsi="宋体" w:cs="宋体"/>
                <w:color w:val="auto"/>
                <w:szCs w:val="21"/>
                <w:highlight w:val="none"/>
              </w:rPr>
              <w:t xml:space="preserve">进行评分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包括但不限于：对采购人提出的要求响应积极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响应时间快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疑问解答</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售后服务措施</w:t>
            </w:r>
            <w:r>
              <w:rPr>
                <w:rFonts w:hint="eastAsia" w:ascii="宋体" w:hAnsi="宋体" w:cs="宋体"/>
                <w:color w:val="auto"/>
                <w:szCs w:val="21"/>
                <w:highlight w:val="none"/>
                <w:lang w:val="en-US" w:eastAsia="zh-CN"/>
              </w:rPr>
              <w:t xml:space="preserve">等内容。</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分，缺一项扣1分，未提供方案的不得分。</w:t>
            </w:r>
            <w:r/>
          </w:p>
          <w:p>
            <w:pPr>
              <w:widowControl/>
              <w:rPr>
                <w:rFonts w:ascii="宋体" w:hAnsi="宋体" w:cs="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思路</w:t>
            </w:r>
            <w:r>
              <w:rPr>
                <w:rFonts w:ascii="宋体" w:hAnsi="宋体" w:cs="宋体"/>
                <w:color w:val="auto"/>
                <w:szCs w:val="21"/>
                <w:highlight w:val="none"/>
              </w:rPr>
              <w:t xml:space="preserve">清晰、可操作性强，明确各环节责任分工的加</w:t>
            </w:r>
            <w:r>
              <w:rPr>
                <w:rFonts w:hint="eastAsia" w:ascii="宋体" w:hAnsi="宋体" w:cs="宋体"/>
                <w:color w:val="auto"/>
                <w:szCs w:val="21"/>
                <w:highlight w:val="none"/>
                <w:lang w:val="en-US" w:eastAsia="zh-CN"/>
              </w:rPr>
              <w:t xml:space="preserve">0.5</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numPr>
                <w:ilvl w:val="0"/>
                <w:numId w:val="0"/>
              </w:numPr>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Cs w:val="21"/>
                <w:highlight w:val="none"/>
                <w:lang w:val="en-US" w:eastAsia="zh-CN"/>
              </w:rPr>
              <w:t xml:space="preserve">供应商承诺</w:t>
            </w:r>
            <w:r>
              <w:rPr>
                <w:rFonts w:hint="eastAsia" w:ascii="宋体" w:hAnsi="宋体" w:cs="宋体"/>
                <w:color w:val="auto"/>
                <w:szCs w:val="21"/>
                <w:highlight w:val="none"/>
              </w:rPr>
              <w:t xml:space="preserve">合同履约期在镇江本地安排不少于5人驻点服务的得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分；合同履约期在镇江本地安排2-3人驻点服务的得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分；合同履约期在镇江本地安排1人驻点服务的得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分，不提供或无驻场服务人员不得分。</w:t>
            </w:r>
            <w:r/>
          </w:p>
          <w:p>
            <w:pPr>
              <w:rPr>
                <w:rFonts w:hint="eastAsia" w:ascii="宋体" w:hAnsi="宋体" w:cs="宋体"/>
                <w:color w:val="auto"/>
                <w:szCs w:val="21"/>
                <w:highlight w:val="none"/>
              </w:rPr>
            </w:pPr>
            <w:r>
              <w:rPr>
                <w:rFonts w:hint="eastAsia"/>
                <w:b/>
                <w:bCs/>
                <w:color w:val="auto"/>
                <w:highlight w:val="none"/>
                <w:lang w:val="en-US" w:eastAsia="zh-CN"/>
              </w:rPr>
              <w:t xml:space="preserve">注：供应商提供承诺函并加盖公章，格式自拟。未提供承诺函的不得分。</w:t>
            </w:r>
            <w:r/>
          </w:p>
        </w:tc>
        <w:tc>
          <w:tcPr>
            <w:tcW w:w="279" w:type="pct"/>
            <w:vAlign w:val="center"/>
            <w:textDirection w:val="lrTb"/>
            <w:noWrap/>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trHeight w:val="23"/>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三</w:t>
            </w:r>
            <w:r/>
          </w:p>
        </w:tc>
        <w:tc>
          <w:tcPr>
            <w:gridSpan w:val="2"/>
            <w:tcW w:w="441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价格评价</w:t>
            </w:r>
            <w:r/>
          </w:p>
        </w:tc>
        <w:tc>
          <w:tcPr>
            <w:tcW w:w="279" w:type="pct"/>
            <w:vAlign w:val="center"/>
            <w:textDirection w:val="lrTb"/>
            <w:noWrap/>
          </w:tcPr>
          <w:p>
            <w:pPr>
              <w:jc w:val="center"/>
              <w:widowControl/>
              <w:rPr>
                <w:rFonts w:ascii="宋体" w:hAnsi="宋体" w:cs="宋体"/>
                <w:b/>
                <w:szCs w:val="21"/>
                <w:highlight w:val="none"/>
              </w:rPr>
            </w:pPr>
            <w:r>
              <w:rPr>
                <w:rFonts w:hint="eastAsia" w:ascii="宋体" w:hAnsi="宋体" w:cs="宋体"/>
                <w:b/>
                <w:szCs w:val="21"/>
                <w:highlight w:val="none"/>
              </w:rPr>
              <w:t xml:space="preserve">10</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506"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价格评价</w:t>
            </w:r>
            <w:r/>
          </w:p>
        </w:tc>
        <w:tc>
          <w:tcPr>
            <w:tcW w:w="3908" w:type="pct"/>
            <w:vAlign w:val="center"/>
            <w:textDirection w:val="lrTb"/>
            <w:noWrap/>
          </w:tcPr>
          <w:p>
            <w:pPr>
              <w:pStyle w:val="1728"/>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综合评分法中的价格分采用低价优先法计算，即满足磋商文件要求且最后报价最低的供应商的价格为磋商基准价，其价格分为满分10分。其他供应商的价格分统一按照下列公式计算：磋商报价得分= (磋商基准价／</w:t>
            </w:r>
            <w:r>
              <w:rPr>
                <w:rFonts w:hint="eastAsia" w:ascii="宋体" w:hAnsi="宋体" w:eastAsia="宋体" w:cs="宋体"/>
                <w:color w:val="auto"/>
                <w:sz w:val="21"/>
                <w:szCs w:val="21"/>
                <w:highlight w:val="none"/>
              </w:rPr>
              <w:t xml:space="preserve">最后磋商报价)×10，计算分数时四舍五入取小数点后两位。</w:t>
            </w:r>
            <w:r/>
          </w:p>
          <w:p>
            <w:pPr>
              <w:pStyle w:val="1728"/>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bidi="ar"/>
              </w:rPr>
              <w:t xml:space="preserve">注：如果供应商报价属于财库〔2026〕2号文审查情形的，评审委员会将开展异常低价审查。</w:t>
            </w:r>
            <w:r/>
          </w:p>
        </w:tc>
        <w:tc>
          <w:tcPr>
            <w:tcW w:w="279"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10</w:t>
            </w:r>
            <w:r/>
          </w:p>
        </w:tc>
      </w:tr>
    </w:tbl>
    <w:p>
      <w:pPr>
        <w:ind w:firstLine="482"/>
        <w:spacing w:before="101" w:after="240" w:line="412" w:lineRule="exact"/>
        <w:rPr>
          <w:rFonts w:ascii="宋体" w:hAnsi="宋体" w:cs="宋体"/>
          <w:b/>
          <w:bCs/>
          <w:color w:val="000000"/>
          <w:spacing w:val="10"/>
          <w:position w:val="2"/>
          <w:sz w:val="22"/>
          <w:szCs w:val="22"/>
          <w:highlight w:val="none"/>
        </w:rPr>
        <w:outlineLvl w:val="1"/>
      </w:pPr>
      <w:r>
        <w:rPr>
          <w:rFonts w:ascii="宋体" w:hAnsi="宋体" w:cs="宋体"/>
          <w:b/>
          <w:bCs/>
          <w:color w:val="000000"/>
          <w:spacing w:val="10"/>
          <w:position w:val="2"/>
          <w:sz w:val="22"/>
          <w:szCs w:val="22"/>
          <w:highlight w:val="none"/>
        </w:rPr>
        <w:t xml:space="preserve">7．推荐成交供应商</w:t>
      </w:r>
      <w:r/>
    </w:p>
    <w:p>
      <w:pPr>
        <w:ind w:firstLine="476"/>
        <w:spacing w:line="360" w:lineRule="auto"/>
        <w:rPr>
          <w:rFonts w:ascii="宋体" w:hAnsi="宋体" w:cs="宋体"/>
          <w:color w:val="000000"/>
          <w:spacing w:val="-1"/>
          <w:sz w:val="24"/>
          <w:highlight w:val="none"/>
        </w:rPr>
        <w:sectPr>
          <w:headerReference w:type="default" r:id="rId12"/>
          <w:footerReference w:type="default" r:id="rId21"/>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cs="宋体"/>
          <w:color w:val="000000"/>
          <w:spacing w:val="-1"/>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4" w:name="_Toc105940862"/>
      <w:r/>
      <w:r/>
    </w:p>
    <w:p>
      <w:pPr>
        <w:ind w:firstLine="480"/>
        <w:jc w:val="center"/>
        <w:spacing w:line="360" w:lineRule="auto"/>
        <w:shd w:val="clear" w:color="auto" w:fill="ffffff"/>
        <w:rPr>
          <w:rStyle w:val="1669"/>
          <w:rFonts w:ascii="宋体" w:hAnsi="宋体" w:cs="宋体"/>
          <w:color w:val="000000"/>
          <w:sz w:val="28"/>
          <w:szCs w:val="28"/>
          <w:highlight w:val="none"/>
        </w:rPr>
        <w:outlineLvl w:val="0"/>
      </w:pPr>
      <w:r/>
      <w:bookmarkStart w:id="165" w:name="_Toc43"/>
      <w:r>
        <w:rPr>
          <w:rStyle w:val="1669"/>
          <w:rFonts w:hint="eastAsia" w:ascii="宋体" w:hAnsi="宋体" w:cs="宋体"/>
          <w:color w:val="000000"/>
          <w:sz w:val="28"/>
          <w:szCs w:val="28"/>
          <w:highlight w:val="none"/>
        </w:rPr>
        <w:t xml:space="preserve">第六部分  磋商响应文件（格式）</w:t>
      </w:r>
      <w:bookmarkEnd w:id="164"/>
      <w:r/>
      <w:bookmarkEnd w:id="165"/>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jc w:val="center"/>
        <w:spacing w:line="360" w:lineRule="auto"/>
        <w:rPr>
          <w:rFonts w:ascii="宋体" w:hAnsi="宋体"/>
          <w:color w:val="000000"/>
          <w:sz w:val="52"/>
          <w:szCs w:val="52"/>
          <w:highlight w:val="none"/>
        </w:rPr>
      </w:pPr>
      <w:r>
        <w:rPr>
          <w:rFonts w:hint="eastAsia" w:ascii="宋体" w:hAnsi="宋体"/>
          <w:b/>
          <w:color w:val="000000"/>
          <w:sz w:val="52"/>
          <w:szCs w:val="52"/>
          <w:highlight w:val="none"/>
        </w:rPr>
        <w:t xml:space="preserve">磋 商 响 应 文 件</w:t>
      </w:r>
      <w:r/>
    </w:p>
    <w:p>
      <w:pPr>
        <w:jc w:val="center"/>
        <w:rPr>
          <w:rFonts w:ascii="宋体" w:hAnsi="宋体"/>
          <w:b/>
          <w:color w:val="000000"/>
          <w:sz w:val="32"/>
          <w:szCs w:val="22"/>
          <w:highlight w:val="none"/>
        </w:rPr>
      </w:pPr>
      <w:r>
        <w:rPr>
          <w:rFonts w:ascii="宋体" w:hAnsi="宋体"/>
          <w:b/>
          <w:color w:val="000000"/>
          <w:sz w:val="32"/>
          <w:szCs w:val="22"/>
          <w:highlight w:val="none"/>
        </w:rPr>
      </w:r>
      <w:r/>
    </w:p>
    <w:p>
      <w:pPr>
        <w:ind w:firstLine="790"/>
        <w:rPr>
          <w:rFonts w:ascii="宋体" w:hAnsi="宋体"/>
          <w:b/>
          <w:color w:val="000000"/>
          <w:sz w:val="28"/>
          <w:szCs w:val="22"/>
          <w:highlight w:val="none"/>
        </w:rPr>
      </w:pPr>
      <w:r>
        <w:rPr>
          <w:rFonts w:ascii="宋体" w:hAnsi="宋体"/>
          <w:b/>
          <w:color w:val="000000"/>
          <w:sz w:val="28"/>
          <w:szCs w:val="22"/>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rPr>
          <w:rFonts w:ascii="宋体" w:hAnsi="宋体"/>
          <w:b/>
          <w:color w:val="000000"/>
          <w:sz w:val="28"/>
          <w:szCs w:val="22"/>
          <w:highlight w:val="none"/>
        </w:rPr>
      </w:pPr>
      <w:r>
        <w:rPr>
          <w:rFonts w:ascii="宋体" w:hAnsi="宋体"/>
          <w:b/>
          <w:color w:val="000000"/>
          <w:sz w:val="28"/>
          <w:szCs w:val="22"/>
          <w:highlight w:val="none"/>
        </w:rPr>
      </w:r>
      <w:r/>
    </w:p>
    <w:p>
      <w:pPr>
        <w:pStyle w:val="1513"/>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13"/>
        <w:rPr>
          <w:rFonts w:ascii="宋体" w:hAnsi="宋体" w:eastAsia="宋体"/>
          <w:color w:val="000000"/>
          <w:sz w:val="28"/>
          <w:szCs w:val="18"/>
          <w:highlight w:val="none"/>
        </w:rPr>
      </w:pPr>
      <w:r>
        <w:rPr>
          <w:rFonts w:ascii="宋体" w:hAnsi="宋体" w:eastAsia="宋体"/>
          <w:color w:val="000000"/>
          <w:sz w:val="28"/>
          <w:szCs w:val="18"/>
          <w:highlight w:val="none"/>
        </w:rPr>
      </w:r>
      <w:r/>
    </w:p>
    <w:p>
      <w:pPr>
        <w:jc w:val="center"/>
        <w:rPr>
          <w:sz w:val="20"/>
          <w:szCs w:val="22"/>
          <w:highlight w:val="none"/>
        </w:rPr>
      </w:pPr>
      <w:r>
        <w:rPr>
          <w:rFonts w:hint="eastAsia" w:ascii="宋体" w:hAnsi="宋体"/>
          <w:b/>
          <w:color w:val="000000"/>
          <w:sz w:val="28"/>
          <w:szCs w:val="22"/>
          <w:highlight w:val="none"/>
        </w:rPr>
        <w:t xml:space="preserve">项目编号：</w:t>
      </w:r>
      <w:r/>
    </w:p>
    <w:p>
      <w:pPr>
        <w:jc w:val="center"/>
        <w:rPr>
          <w:rFonts w:ascii="宋体" w:hAnsi="宋体"/>
          <w:b/>
          <w:color w:val="000000"/>
          <w:sz w:val="28"/>
          <w:szCs w:val="28"/>
          <w:highlight w:val="none"/>
        </w:rPr>
      </w:pPr>
      <w:r>
        <w:rPr>
          <w:rFonts w:hint="eastAsia" w:ascii="宋体" w:hAnsi="宋体"/>
          <w:b/>
          <w:color w:val="000000"/>
          <w:sz w:val="28"/>
          <w:szCs w:val="22"/>
          <w:highlight w:val="none"/>
        </w:rPr>
        <w:t xml:space="preserve">项目名称：</w:t>
      </w:r>
      <w:r/>
    </w:p>
    <w:p>
      <w:pPr>
        <w:jc w:val="center"/>
        <w:rPr>
          <w:rFonts w:ascii="宋体" w:hAnsi="宋体"/>
          <w:b/>
          <w:color w:val="000000"/>
          <w:sz w:val="28"/>
          <w:szCs w:val="22"/>
          <w:highlight w:val="none"/>
        </w:rPr>
      </w:pPr>
      <w:r>
        <w:rPr>
          <w:rFonts w:ascii="宋体" w:hAnsi="宋体"/>
          <w:b/>
          <w:color w:val="000000"/>
          <w:sz w:val="28"/>
          <w:szCs w:val="22"/>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pStyle w:val="1513"/>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13"/>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13"/>
        <w:rPr>
          <w:rFonts w:ascii="宋体" w:hAnsi="宋体" w:eastAsia="宋体"/>
          <w:b/>
          <w:color w:val="000000"/>
          <w:sz w:val="28"/>
          <w:szCs w:val="18"/>
          <w:highlight w:val="none"/>
        </w:rPr>
      </w:pPr>
      <w:r>
        <w:rPr>
          <w:rFonts w:ascii="宋体" w:hAnsi="宋体" w:eastAsia="宋体"/>
          <w:b/>
          <w:color w:val="000000"/>
          <w:sz w:val="28"/>
          <w:szCs w:val="18"/>
          <w:highlight w:val="none"/>
        </w:rPr>
      </w:r>
      <w:r/>
    </w:p>
    <w:p>
      <w:pPr>
        <w:pStyle w:val="1513"/>
        <w:rPr>
          <w:rFonts w:ascii="宋体" w:hAnsi="宋体" w:eastAsia="宋体"/>
          <w:b/>
          <w:color w:val="000000"/>
          <w:sz w:val="28"/>
          <w:szCs w:val="18"/>
          <w:highlight w:val="none"/>
        </w:rPr>
      </w:pPr>
      <w:r>
        <w:rPr>
          <w:rFonts w:ascii="宋体" w:hAnsi="宋体" w:eastAsia="宋体"/>
          <w:b/>
          <w:color w:val="000000"/>
          <w:sz w:val="28"/>
          <w:szCs w:val="18"/>
          <w:highlight w:val="none"/>
        </w:rPr>
      </w:r>
      <w:r/>
    </w:p>
    <w:p>
      <w:pPr>
        <w:ind w:firstLine="2554"/>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供应商：（公章）</w:t>
      </w:r>
      <w:r/>
    </w:p>
    <w:p>
      <w:pPr>
        <w:ind w:firstLine="2554"/>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日期：2026年 月</w:t>
      </w:r>
      <w:r>
        <w:rPr>
          <w:rFonts w:ascii="宋体" w:hAnsi="宋体"/>
          <w:b/>
          <w:color w:val="000000"/>
          <w:sz w:val="28"/>
          <w:szCs w:val="28"/>
          <w:highlight w:val="none"/>
        </w:rPr>
        <w:t xml:space="preserve"> </w:t>
      </w:r>
      <w:r>
        <w:rPr>
          <w:rFonts w:hint="eastAsia" w:ascii="宋体" w:hAnsi="宋体"/>
          <w:b/>
          <w:color w:val="000000"/>
          <w:sz w:val="28"/>
          <w:szCs w:val="28"/>
          <w:highlight w:val="none"/>
        </w:rPr>
        <w:t xml:space="preserve">日</w:t>
      </w:r>
      <w:bookmarkEnd w:id="116"/>
      <w:bookmarkEnd w:id="117"/>
      <w:bookmarkEnd w:id="118"/>
      <w:bookmarkEnd w:id="119"/>
      <w:bookmarkEnd w:id="120"/>
      <w:r/>
    </w:p>
    <w:p>
      <w:pPr>
        <w:pStyle w:val="1513"/>
        <w:rPr>
          <w:rFonts w:ascii="宋体" w:hAnsi="宋体" w:eastAsia="宋体"/>
          <w:color w:val="000000"/>
          <w:sz w:val="28"/>
          <w:szCs w:val="18"/>
          <w:highlight w:val="none"/>
        </w:rPr>
      </w:pPr>
      <w:r>
        <w:rPr>
          <w:rFonts w:ascii="宋体" w:hAnsi="宋体" w:eastAsia="宋体"/>
          <w:color w:val="000000"/>
          <w:sz w:val="28"/>
          <w:szCs w:val="18"/>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jc w:val="center"/>
        <w:spacing w:before="101" w:line="225" w:lineRule="auto"/>
        <w:rPr>
          <w:rFonts w:ascii="宋体" w:hAnsi="宋体" w:cs="宋体"/>
          <w:color w:val="000000"/>
          <w:sz w:val="28"/>
          <w:szCs w:val="28"/>
          <w:highlight w:val="none"/>
        </w:rPr>
        <w:outlineLvl w:val="1"/>
      </w:pPr>
      <w:r>
        <w:rPr>
          <w:rFonts w:hint="eastAsia" w:ascii="宋体" w:hAnsi="宋体" w:cs="宋体"/>
          <w:color w:val="000000"/>
          <w:sz w:val="20"/>
          <w:szCs w:val="20"/>
          <w:highlight w:val="none"/>
        </w:rPr>
        <w:br w:type="page" w:clear="all"/>
      </w:r>
      <w:r>
        <w:rPr>
          <w:rFonts w:ascii="宋体" w:hAnsi="宋体" w:cs="宋体"/>
          <w:color w:val="000000"/>
          <w:spacing w:val="9"/>
          <w:sz w:val="28"/>
          <w:szCs w:val="28"/>
          <w:highlight w:val="none"/>
        </w:rPr>
        <w:t xml:space="preserve">一</w:t>
      </w:r>
      <w:r>
        <w:rPr>
          <w:rFonts w:ascii="宋体" w:hAnsi="宋体" w:cs="宋体"/>
          <w:color w:val="000000"/>
          <w:spacing w:val="6"/>
          <w:sz w:val="28"/>
          <w:szCs w:val="28"/>
          <w:highlight w:val="none"/>
        </w:rPr>
        <w:t xml:space="preserve">、资格部分</w:t>
      </w:r>
      <w:r/>
    </w:p>
    <w:p>
      <w:pPr>
        <w:rPr>
          <w:color w:val="000000"/>
          <w:sz w:val="20"/>
          <w:szCs w:val="22"/>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3" w:lineRule="auto"/>
        <w:rPr>
          <w:rFonts w:ascii="宋体" w:hAnsi="宋体" w:cs="宋体"/>
          <w:color w:val="000000"/>
          <w:sz w:val="24"/>
          <w:highlight w:val="none"/>
        </w:rPr>
        <w:outlineLvl w:val="2"/>
      </w:pPr>
      <w:r/>
      <w:bookmarkStart w:id="166" w:name="_bookmark68"/>
      <w:r/>
      <w:bookmarkEnd w:id="166"/>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一)磋商承诺函</w:t>
      </w:r>
      <w:r/>
    </w:p>
    <w:p>
      <w:pPr>
        <w:spacing w:line="309" w:lineRule="auto"/>
        <w:rPr>
          <w:rFonts w:ascii="Arial"/>
          <w:color w:val="000000"/>
          <w:sz w:val="24"/>
          <w:highlight w:val="none"/>
        </w:rPr>
      </w:pPr>
      <w:r>
        <w:rPr>
          <w:rFonts w:ascii="Arial"/>
          <w:color w:val="000000"/>
          <w:sz w:val="24"/>
          <w:highlight w:val="none"/>
        </w:rPr>
      </w:r>
      <w: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(磋商组织方)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根据贵方关于</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的磋商邀请，我方已完全理解磋商文件的所有内容。据此函，我方兹宣布同意如下：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2.我方承诺：参加本次采购活动前三年内，在经营活动中没有重大违法记录。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4.我方承诺按磋商文件要求提供的服务及货物的磋商报价见报价一览表。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5．我方承诺根据磋商文件的规定，完成合同义务，并承担责任(如有偏离，在响应文件中另作说明)。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6．我方已详读全部磋商文件，包括磋商文件书面修改通知(如有)，我方完全理解并同意放弃对这方面不明及误解的权利。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8．我方同意从规定的磋商日期起遵循本磋商文件，并在规定的磋商有效期期满之前均具有约束力。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9．我方同意向贵方提供贵方可能要求的与本磋商有关的任何证据或资料。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11．本次响应文件内容与磋商文件内容偏离见磋商偏离表(如果有)。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12．遵守磋商文件中要求的收费项目和标准。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13．我方将严格遵守《中华人民共和国政府采购法》，若存在违法违规行为，自愿承担相应的法律后果。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14．与本磋商有关的一切正式往来通讯请寄：</w:t>
      </w:r>
      <w:r/>
    </w:p>
    <w:p>
      <w:pPr>
        <w:pStyle w:val="1710"/>
        <w:ind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地址：                             电话：</w:t>
      </w:r>
      <w:r/>
    </w:p>
    <w:p>
      <w:pPr>
        <w:pStyle w:val="1710"/>
        <w:ind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传真：                             邮政编码：</w:t>
      </w:r>
      <w:r/>
    </w:p>
    <w:p>
      <w:pPr>
        <w:pStyle w:val="1710"/>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供应商（公章）：</w:t>
      </w:r>
      <w:r/>
    </w:p>
    <w:p>
      <w:pPr>
        <w:pStyle w:val="1710"/>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法定代表人签章：</w:t>
      </w:r>
      <w:r/>
    </w:p>
    <w:p>
      <w:pPr>
        <w:pStyle w:val="1710"/>
        <w:ind w:firstLine="480"/>
        <w:jc w:val="center"/>
        <w:spacing w:line="360" w:lineRule="auto"/>
        <w:rPr>
          <w:rFonts w:ascii="宋体" w:hAnsi="宋体" w:cs="宋体"/>
          <w:sz w:val="24"/>
          <w:szCs w:val="24"/>
          <w:highlight w:val="none"/>
        </w:rPr>
        <w:sectPr>
          <w:footerReference w:type="default" r:id="rId22"/>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sz w:val="24"/>
          <w:szCs w:val="24"/>
          <w:highlight w:val="none"/>
        </w:rPr>
        <w:t xml:space="preserve">日期：</w:t>
      </w:r>
      <w:r/>
    </w:p>
    <w:p>
      <w:pPr>
        <w:jc w:val="center"/>
        <w:spacing w:before="91" w:line="220" w:lineRule="auto"/>
        <w:rPr>
          <w:rFonts w:ascii="宋体" w:hAnsi="宋体" w:cs="宋体"/>
          <w:color w:val="000000"/>
          <w:sz w:val="24"/>
          <w:highlight w:val="none"/>
        </w:rPr>
        <w:outlineLvl w:val="2"/>
      </w:pPr>
      <w:r/>
      <w:bookmarkStart w:id="167" w:name="_bookmark69"/>
      <w:r/>
      <w:bookmarkEnd w:id="167"/>
      <w:r>
        <w:rPr>
          <w:rFonts w:ascii="宋体" w:hAnsi="宋体" w:cs="宋体"/>
          <w:color w:val="000000"/>
          <w:spacing w:val="-7"/>
          <w:sz w:val="24"/>
          <w:highlight w:val="none"/>
        </w:rPr>
        <w:t xml:space="preserve">(</w:t>
      </w:r>
      <w:r>
        <w:rPr>
          <w:rFonts w:ascii="宋体" w:hAnsi="宋体" w:cs="宋体"/>
          <w:color w:val="000000"/>
          <w:spacing w:val="-4"/>
          <w:sz w:val="24"/>
          <w:highlight w:val="none"/>
        </w:rPr>
        <w:t xml:space="preserve">二)独立承担民事责任的能力</w:t>
      </w:r>
      <w:r/>
    </w:p>
    <w:p>
      <w:pPr>
        <w:jc w:val="center"/>
        <w:rPr>
          <w:color w:val="000000"/>
          <w:sz w:val="24"/>
          <w:highlight w:val="none"/>
        </w:rPr>
        <w:sectPr>
          <w:footerReference w:type="default" r:id="rId23"/>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68" w:name="_bookmark70"/>
      <w:r/>
      <w:bookmarkEnd w:id="168"/>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三)良好的商业信誉和健全的财务会计制度</w:t>
      </w:r>
      <w:r/>
    </w:p>
    <w:p>
      <w:pPr>
        <w:rPr>
          <w:color w:val="000000"/>
          <w:sz w:val="24"/>
          <w:highlight w:val="none"/>
        </w:rPr>
        <w:sectPr>
          <w:footerReference w:type="default" r:id="rId2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ind w:left="2196"/>
        <w:spacing w:before="91" w:line="220" w:lineRule="auto"/>
        <w:rPr>
          <w:rFonts w:ascii="宋体" w:hAnsi="宋体" w:cs="宋体"/>
          <w:color w:val="000000"/>
          <w:sz w:val="24"/>
          <w:highlight w:val="none"/>
        </w:rPr>
        <w:outlineLvl w:val="2"/>
      </w:pP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四)履行合同所必需的设备和专业技术能力</w:t>
      </w:r>
      <w:r/>
    </w:p>
    <w:tbl>
      <w:tblPr>
        <w:tblStyle w:val="1439"/>
        <w:tblpPr w:horzAnchor="page" w:tblpXSpec="center" w:vertAnchor="text" w:tblpY="98" w:leftFromText="180" w:topFromText="0" w:rightFromText="180" w:bottomFromText="0"/>
        <w:tblW w:w="9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公司基本信息</w:t>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公司名称</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公司地址</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从业人数</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法定代表人</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账号</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项目联系人</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公司财务状况</w:t>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2025年度财务状况</w:t>
            </w:r>
            <w:r/>
          </w:p>
        </w:tc>
      </w:tr>
      <w:tr>
        <w:trPr>
          <w:jc w:val="center"/>
          <w:trHeight w:val="723"/>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营业收入</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利润总额(万)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年末“固定资产合计”</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年末“流动资产”余额(万)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年末“短期</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负债”余额</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年末“长期负债”余额(万)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年末“资产</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总计”余额</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年末“货币资金”余额(万)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三</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供应商其他信息</w:t>
            </w:r>
            <w:r/>
          </w:p>
        </w:tc>
      </w:tr>
      <w:tr>
        <w:trPr>
          <w:jc w:val="center"/>
          <w:trHeight w:val="747"/>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公司取得</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的相关资</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质及等级：</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21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公司2023年度</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后获得的荣誉及表彰情况</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19"/>
        </w:trPr>
        <w:tc>
          <w:tcPr>
            <w:shd w:val="clear" w:color="auto" w:fill="bfbfbf"/>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四</w:t>
            </w:r>
            <w:r/>
          </w:p>
        </w:tc>
        <w:tc>
          <w:tcPr>
            <w:gridSpan w:val="5"/>
            <w:shd w:val="clear" w:color="auto" w:fill="bfbfbf"/>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提供本项目服务所必须的专业技术能力</w:t>
            </w:r>
            <w:r/>
          </w:p>
        </w:tc>
      </w:tr>
      <w:tr>
        <w:trPr>
          <w:jc w:val="center"/>
          <w:trHeight w:val="649"/>
        </w:trPr>
        <w:tc>
          <w:tcPr>
            <w:gridSpan w:val="6"/>
            <w:tcW w:w="957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118" w:lineRule="exact"/>
        <w:rPr>
          <w:color w:val="000000"/>
          <w:sz w:val="24"/>
          <w:highlight w:val="none"/>
        </w:rPr>
      </w:pPr>
      <w:r>
        <w:rPr>
          <w:color w:val="000000"/>
          <w:sz w:val="24"/>
          <w:highlight w:val="none"/>
        </w:rPr>
      </w:r>
      <w:r/>
    </w:p>
    <w:p>
      <w:pPr>
        <w:ind w:left="122"/>
        <w:spacing w:before="78" w:line="220" w:lineRule="auto"/>
        <w:rPr>
          <w:rFonts w:ascii="宋体" w:hAnsi="宋体" w:cs="宋体"/>
          <w:color w:val="000000"/>
          <w:sz w:val="24"/>
          <w:highlight w:val="none"/>
        </w:rPr>
      </w:pPr>
      <w:r/>
      <w:bookmarkStart w:id="169" w:name="_bookmark71"/>
      <w:r/>
      <w:bookmarkEnd w:id="169"/>
      <w:r>
        <w:rPr>
          <w:rFonts w:ascii="宋体" w:hAnsi="宋体" w:cs="宋体"/>
          <w:color w:val="000000"/>
          <w:spacing w:val="-29"/>
          <w:sz w:val="24"/>
          <w:highlight w:val="none"/>
        </w:rPr>
        <w:t xml:space="preserve">注</w:t>
      </w:r>
      <w:r>
        <w:rPr>
          <w:rFonts w:ascii="宋体" w:hAnsi="宋体" w:cs="宋体"/>
          <w:color w:val="000000"/>
          <w:spacing w:val="-17"/>
          <w:sz w:val="24"/>
          <w:highlight w:val="none"/>
        </w:rPr>
        <w:t xml:space="preserve">：1、</w:t>
      </w:r>
      <w:r>
        <w:rPr>
          <w:rFonts w:ascii="宋体" w:hAnsi="宋体" w:cs="宋体"/>
          <w:color w:val="000000"/>
          <w:spacing w:val="-17"/>
          <w:sz w:val="24"/>
          <w:highlight w:val="none"/>
          <w:u w:val="single"/>
        </w:rPr>
        <w:t xml:space="preserve">如行数不够请自行添加。</w:t>
      </w:r>
      <w:r/>
    </w:p>
    <w:p>
      <w:pPr>
        <w:rPr>
          <w:color w:val="000000"/>
          <w:sz w:val="24"/>
          <w:highlight w:val="none"/>
        </w:rPr>
        <w:sectPr>
          <w:headerReference w:type="default" r:id="rId13"/>
          <w:footerReference w:type="default" r:id="rId2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0" w:name="_bookmark72"/>
      <w:r/>
      <w:bookmarkEnd w:id="170"/>
      <w:r>
        <w:rPr>
          <w:rFonts w:ascii="宋体" w:hAnsi="宋体" w:cs="宋体"/>
          <w:color w:val="000000"/>
          <w:spacing w:val="-3"/>
          <w:sz w:val="24"/>
          <w:highlight w:val="none"/>
        </w:rPr>
        <w:t xml:space="preserve">(五)依法缴纳税收和社会保障资金的良好记</w:t>
      </w:r>
      <w:r>
        <w:rPr>
          <w:rFonts w:ascii="宋体" w:hAnsi="宋体" w:cs="宋体"/>
          <w:color w:val="000000"/>
          <w:sz w:val="24"/>
          <w:highlight w:val="none"/>
        </w:rPr>
        <w:t xml:space="preserve">录</w:t>
      </w:r>
      <w:r/>
    </w:p>
    <w:p>
      <w:pPr>
        <w:rPr>
          <w:color w:val="000000"/>
          <w:sz w:val="24"/>
          <w:highlight w:val="none"/>
        </w:rPr>
        <w:sectPr>
          <w:headerReference w:type="default" r:id="rId14"/>
          <w:footerReference w:type="default" r:id="rId2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bookmarkStart w:id="171" w:name="_bookmark73"/>
      <w:r/>
      <w:bookmarkEnd w:id="171"/>
      <w:r>
        <w:rPr>
          <w:rFonts w:ascii="宋体" w:hAnsi="宋体" w:cs="宋体"/>
          <w:color w:val="000000"/>
          <w:spacing w:val="-6"/>
          <w:sz w:val="24"/>
          <w:highlight w:val="none"/>
        </w:rPr>
        <w:t xml:space="preserve">(六</w:t>
      </w: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法律、行政法规规定的其他条件</w:t>
      </w:r>
      <w:r/>
    </w:p>
    <w:p>
      <w:pPr>
        <w:rPr>
          <w:color w:val="000000"/>
          <w:sz w:val="24"/>
          <w:highlight w:val="none"/>
        </w:rPr>
        <w:sectPr>
          <w:footerReference w:type="default" r:id="rId2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2" w:name="_bookmark74"/>
      <w:r/>
      <w:bookmarkEnd w:id="172"/>
      <w:r>
        <w:rPr>
          <w:rFonts w:ascii="宋体" w:hAnsi="宋体" w:cs="宋体"/>
          <w:color w:val="000000"/>
          <w:spacing w:val="-6"/>
          <w:sz w:val="24"/>
          <w:highlight w:val="none"/>
        </w:rPr>
        <w:t xml:space="preserve">(</w:t>
      </w:r>
      <w:r>
        <w:rPr>
          <w:rFonts w:ascii="宋体" w:hAnsi="宋体" w:cs="宋体"/>
          <w:color w:val="000000"/>
          <w:spacing w:val="-4"/>
          <w:sz w:val="24"/>
          <w:highlight w:val="none"/>
        </w:rPr>
        <w:t xml:space="preserve">七</w:t>
      </w:r>
      <w:r>
        <w:rPr>
          <w:rFonts w:ascii="宋体" w:hAnsi="宋体" w:cs="宋体"/>
          <w:color w:val="000000"/>
          <w:spacing w:val="-3"/>
          <w:sz w:val="24"/>
          <w:highlight w:val="none"/>
        </w:rPr>
        <w:t xml:space="preserve">)落实政府采购政策需满足的资格要求</w:t>
      </w:r>
      <w:r/>
    </w:p>
    <w:p>
      <w:pPr>
        <w:rPr>
          <w:color w:val="000000"/>
          <w:sz w:val="24"/>
          <w:highlight w:val="none"/>
        </w:rPr>
        <w:sectPr>
          <w:footerReference w:type="default" r:id="rId28"/>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3" w:name="_bookmark75"/>
      <w:r/>
      <w:bookmarkEnd w:id="173"/>
      <w:r>
        <w:rPr>
          <w:rFonts w:ascii="宋体" w:hAnsi="宋体" w:cs="宋体"/>
          <w:color w:val="000000"/>
          <w:spacing w:val="-8"/>
          <w:sz w:val="24"/>
          <w:highlight w:val="none"/>
        </w:rPr>
        <w:t xml:space="preserve">(</w:t>
      </w:r>
      <w:r>
        <w:rPr>
          <w:rFonts w:ascii="宋体" w:hAnsi="宋体" w:cs="宋体"/>
          <w:color w:val="000000"/>
          <w:spacing w:val="-7"/>
          <w:sz w:val="24"/>
          <w:highlight w:val="none"/>
        </w:rPr>
        <w:t xml:space="preserve">八</w:t>
      </w:r>
      <w:r>
        <w:rPr>
          <w:rFonts w:ascii="宋体" w:hAnsi="宋体" w:cs="宋体"/>
          <w:color w:val="000000"/>
          <w:spacing w:val="-4"/>
          <w:sz w:val="24"/>
          <w:highlight w:val="none"/>
        </w:rPr>
        <w:t xml:space="preserve">)本项目的特定资格要求</w:t>
      </w:r>
      <w:r/>
    </w:p>
    <w:p>
      <w:pPr>
        <w:rPr>
          <w:color w:val="000000"/>
          <w:sz w:val="24"/>
          <w:highlight w:val="none"/>
        </w:rPr>
        <w:sectPr>
          <w:footerReference w:type="default" r:id="rId29"/>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4" w:name="_bookmark76"/>
      <w:r/>
      <w:bookmarkEnd w:id="174"/>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九)</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身份证明书</w:t>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w:t>
      </w:r>
      <w:r>
        <w:rPr>
          <w:rFonts w:hint="eastAsia" w:ascii="宋体" w:hAnsi="宋体" w:cs="宋体"/>
          <w:color w:val="000000"/>
          <w:spacing w:val="-8"/>
          <w:sz w:val="24"/>
          <w:highlight w:val="none"/>
        </w:rPr>
        <w:t xml:space="preserve">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ascii="宋体" w:hAnsi="宋体" w:cs="宋体"/>
          <w:color w:val="000000"/>
          <w:sz w:val="24"/>
          <w:highlight w:val="none"/>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ascii="宋体" w:hAnsi="宋体" w:cs="宋体"/>
          <w:color w:val="000000"/>
          <w:sz w:val="24"/>
          <w:highlight w:val="none"/>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ascii="宋体" w:hAnsi="宋体" w:cs="宋体"/>
          <w:color w:val="000000"/>
          <w:sz w:val="24"/>
          <w:highlight w:val="none"/>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ascii="Arial"/>
          <w:color w:val="000000"/>
          <w:sz w:val="24"/>
          <w:highlight w:val="none"/>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rPr>
          <w:rFonts w:hint="eastAsia" w:ascii="宋体" w:hAnsi="宋体" w:cs="宋体"/>
          <w:color w:val="000000"/>
          <w:sz w:val="24"/>
          <w:highlight w:val="none"/>
        </w:rPr>
        <w:t xml:space="preserve">     </w:t>
      </w:r>
      <w:r/>
    </w:p>
    <w:p>
      <w:pPr>
        <w:spacing w:line="288" w:lineRule="auto"/>
        <w:rPr>
          <w:rFonts w:ascii="Arial"/>
          <w:color w:val="000000"/>
          <w:sz w:val="24"/>
          <w:highlight w:val="none"/>
        </w:rPr>
      </w:pPr>
      <w:r>
        <w:rPr>
          <w:rFonts w:hint="eastAsia" w:ascii="Arial"/>
          <w:color w:val="000000"/>
          <w:sz w:val="24"/>
          <w:highlight w:val="none"/>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left="5221"/>
        <w:spacing w:before="91" w:line="220" w:lineRule="auto"/>
        <w:rPr>
          <w:rFonts w:ascii="宋体" w:hAnsi="宋体" w:cs="宋体"/>
          <w:color w:val="000000"/>
          <w:sz w:val="24"/>
          <w:highlight w:val="none"/>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709"/>
        <w:spacing w:before="101" w:line="224" w:lineRule="auto"/>
        <w:rPr>
          <w:rFonts w:ascii="宋体" w:hAnsi="宋体" w:cs="宋体"/>
          <w:color w:val="000000"/>
          <w:sz w:val="24"/>
          <w:highlight w:val="none"/>
        </w:rPr>
      </w:pPr>
      <w:r>
        <w:rPr>
          <w:rFonts w:ascii="宋体" w:hAnsi="宋体" w:cs="宋体"/>
          <w:color w:val="000000"/>
          <w:spacing w:val="16"/>
          <w:sz w:val="24"/>
          <w:highlight w:val="none"/>
        </w:rPr>
        <w:t xml:space="preserve">附</w:t>
      </w:r>
      <w:r>
        <w:rPr>
          <w:rFonts w:ascii="宋体" w:hAnsi="宋体" w:cs="宋体"/>
          <w:color w:val="000000"/>
          <w:spacing w:val="9"/>
          <w:sz w:val="24"/>
          <w:highlight w:val="none"/>
        </w:rPr>
        <w:t xml:space="preserve">：</w:t>
      </w:r>
      <w:r>
        <w:rPr>
          <w:rFonts w:hint="eastAsia" w:ascii="宋体" w:hAnsi="宋体" w:cs="宋体"/>
          <w:color w:val="000000"/>
          <w:spacing w:val="8"/>
          <w:sz w:val="24"/>
          <w:highlight w:val="none"/>
        </w:rPr>
        <w:t xml:space="preserve">法定代表人</w:t>
      </w:r>
      <w:r>
        <w:rPr>
          <w:rFonts w:ascii="宋体" w:hAnsi="宋体" w:cs="宋体"/>
          <w:color w:val="000000"/>
          <w:spacing w:val="8"/>
          <w:sz w:val="24"/>
          <w:highlight w:val="none"/>
        </w:rPr>
        <w:t xml:space="preserve">居民身份证扫描件</w:t>
      </w:r>
      <w:r/>
    </w:p>
    <w:p>
      <w:pPr>
        <w:ind w:left="40" w:right="89" w:firstLine="559"/>
        <w:spacing w:before="267" w:line="412" w:lineRule="auto"/>
        <w:rPr>
          <w:rFonts w:ascii="宋体" w:hAnsi="宋体" w:cs="宋体"/>
          <w:color w:val="000000"/>
          <w:sz w:val="24"/>
          <w:highlight w:val="none"/>
        </w:rPr>
      </w:pPr>
      <w:r>
        <w:rPr>
          <w:rFonts w:ascii="宋体" w:hAnsi="宋体" w:cs="宋体"/>
          <w:color w:val="000000"/>
          <w:spacing w:val="-4"/>
          <w:sz w:val="24"/>
          <w:highlight w:val="none"/>
          <w:u w:val="single"/>
        </w:rPr>
        <w:t xml:space="preserve">注： 1.“</w:t>
      </w:r>
      <w:r>
        <w:rPr>
          <w:rFonts w:hint="eastAsia" w:ascii="宋体" w:hAnsi="宋体" w:cs="宋体"/>
          <w:color w:val="000000"/>
          <w:spacing w:val="-4"/>
          <w:sz w:val="24"/>
          <w:highlight w:val="none"/>
          <w:u w:val="single"/>
        </w:rPr>
        <w:t xml:space="preserve">法定代表人</w:t>
      </w:r>
      <w:r>
        <w:rPr>
          <w:rFonts w:ascii="宋体" w:hAnsi="宋体" w:cs="宋体"/>
          <w:color w:val="000000"/>
          <w:spacing w:val="-2"/>
          <w:sz w:val="24"/>
          <w:highlight w:val="none"/>
          <w:u w:val="single"/>
        </w:rPr>
        <w:t xml:space="preserve">”直接参加磋商响应活动的仅需填写本身份证明</w:t>
      </w:r>
      <w:r>
        <w:rPr>
          <w:rFonts w:ascii="宋体" w:hAnsi="宋体" w:cs="宋体"/>
          <w:color w:val="000000"/>
          <w:sz w:val="24"/>
          <w:highlight w:val="none"/>
        </w:rPr>
        <w:t xml:space="preserve">。</w:t>
      </w:r>
      <w:r/>
    </w:p>
    <w:p>
      <w:pPr>
        <w:ind w:left="41" w:right="38" w:firstLine="563"/>
        <w:spacing w:before="3" w:line="415" w:lineRule="auto"/>
        <w:rPr>
          <w:rFonts w:ascii="宋体" w:hAnsi="宋体" w:cs="宋体"/>
          <w:color w:val="000000"/>
          <w:sz w:val="24"/>
          <w:highlight w:val="none"/>
        </w:rPr>
      </w:pPr>
      <w:r>
        <w:rPr>
          <w:rFonts w:ascii="宋体" w:hAnsi="宋体" w:cs="宋体"/>
          <w:color w:val="000000"/>
          <w:spacing w:val="6"/>
          <w:sz w:val="24"/>
          <w:highlight w:val="none"/>
          <w:u w:val="single"/>
        </w:rPr>
        <w:t xml:space="preserve">2.</w:t>
      </w:r>
      <w:r>
        <w:rPr>
          <w:rFonts w:ascii="宋体" w:hAnsi="宋体" w:cs="宋体"/>
          <w:color w:val="000000"/>
          <w:spacing w:val="4"/>
          <w:sz w:val="24"/>
          <w:highlight w:val="none"/>
          <w:u w:val="single"/>
        </w:rPr>
        <w:t xml:space="preserve">供</w:t>
      </w:r>
      <w:r>
        <w:rPr>
          <w:rFonts w:ascii="宋体" w:hAnsi="宋体" w:cs="宋体"/>
          <w:color w:val="000000"/>
          <w:spacing w:val="3"/>
          <w:sz w:val="24"/>
          <w:highlight w:val="none"/>
          <w:u w:val="single"/>
        </w:rPr>
        <w:t xml:space="preserve">应商属于非法人组织的，按照法律、行政法规规定能够对外代表其</w:t>
      </w:r>
      <w:r>
        <w:rPr>
          <w:rFonts w:ascii="宋体" w:hAnsi="宋体" w:cs="宋体"/>
          <w:color w:val="000000"/>
          <w:spacing w:val="6"/>
          <w:sz w:val="24"/>
          <w:highlight w:val="none"/>
          <w:u w:val="single"/>
        </w:rPr>
        <w:t xml:space="preserve">从事</w:t>
      </w:r>
      <w:r>
        <w:rPr>
          <w:rFonts w:ascii="宋体" w:hAnsi="宋体" w:cs="宋体"/>
          <w:color w:val="000000"/>
          <w:spacing w:val="4"/>
          <w:sz w:val="24"/>
          <w:highlight w:val="none"/>
          <w:u w:val="single"/>
        </w:rPr>
        <w:t xml:space="preserve">民</w:t>
      </w:r>
      <w:r>
        <w:rPr>
          <w:rFonts w:ascii="宋体" w:hAnsi="宋体" w:cs="宋体"/>
          <w:color w:val="000000"/>
          <w:spacing w:val="3"/>
          <w:sz w:val="24"/>
          <w:highlight w:val="none"/>
          <w:u w:val="single"/>
        </w:rPr>
        <w:t xml:space="preserve">事活动的主要负责人，如个人独资企业的投资人，代表合伙企业执行</w:t>
      </w:r>
      <w:r>
        <w:rPr>
          <w:rFonts w:ascii="宋体" w:hAnsi="宋体" w:cs="宋体"/>
          <w:color w:val="000000"/>
          <w:spacing w:val="1"/>
          <w:sz w:val="24"/>
          <w:highlight w:val="none"/>
          <w:u w:val="single"/>
        </w:rPr>
        <w:t xml:space="preserve">合伙企业事务的合伙人等，</w:t>
      </w:r>
      <w:r>
        <w:rPr>
          <w:rFonts w:ascii="宋体" w:hAnsi="宋体" w:cs="宋体"/>
          <w:color w:val="000000"/>
          <w:sz w:val="24"/>
          <w:highlight w:val="none"/>
          <w:u w:val="single"/>
        </w:rPr>
        <w:t xml:space="preserve">视同</w:t>
      </w:r>
      <w:r>
        <w:rPr>
          <w:rFonts w:hint="eastAsia" w:ascii="宋体" w:hAnsi="宋体" w:cs="宋体"/>
          <w:color w:val="000000"/>
          <w:sz w:val="24"/>
          <w:highlight w:val="none"/>
          <w:u w:val="single"/>
        </w:rPr>
        <w:t xml:space="preserve">法定代表人</w:t>
      </w:r>
      <w:r>
        <w:rPr>
          <w:rFonts w:ascii="宋体" w:hAnsi="宋体" w:cs="宋体"/>
          <w:color w:val="000000"/>
          <w:sz w:val="24"/>
          <w:highlight w:val="none"/>
          <w:u w:val="single"/>
        </w:rPr>
        <w:t xml:space="preserve">。</w:t>
      </w:r>
      <w:r/>
    </w:p>
    <w:p>
      <w:pPr>
        <w:rPr>
          <w:color w:val="000000"/>
          <w:sz w:val="24"/>
          <w:highlight w:val="none"/>
        </w:rPr>
        <w:sectPr>
          <w:footerReference w:type="default" r:id="rId30"/>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ind w:left="2393"/>
        <w:spacing w:before="91" w:line="219" w:lineRule="auto"/>
        <w:rPr>
          <w:rFonts w:ascii="宋体" w:hAnsi="宋体" w:cs="宋体"/>
          <w:color w:val="000000"/>
          <w:sz w:val="24"/>
          <w:highlight w:val="none"/>
        </w:rPr>
        <w:outlineLvl w:val="2"/>
      </w:pPr>
      <w:r/>
      <w:bookmarkStart w:id="175" w:name="_bookmark77"/>
      <w:r/>
      <w:bookmarkEnd w:id="175"/>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十)</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w:t>
      </w:r>
      <w:r>
        <w:rPr>
          <w:rFonts w:hint="eastAsia" w:ascii="宋体" w:hAnsi="宋体" w:cs="宋体"/>
          <w:color w:val="000000"/>
          <w:spacing w:val="-1"/>
          <w:sz w:val="24"/>
          <w:highlight w:val="none"/>
        </w:rPr>
        <w:t xml:space="preserve">法定代表人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(代理机构) 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rPr>
        <w:t xml:space="preserve">磋商</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w:t>
      </w:r>
      <w:r>
        <w:rPr>
          <w:rFonts w:hint="eastAsia" w:ascii="宋体" w:hAnsi="宋体" w:cs="宋体"/>
          <w:color w:val="000000"/>
          <w:spacing w:val="4"/>
          <w:sz w:val="24"/>
          <w:highlight w:val="none"/>
        </w:rPr>
        <w:t xml:space="preserve">磋商</w:t>
      </w:r>
      <w:r>
        <w:rPr>
          <w:rFonts w:ascii="宋体" w:hAnsi="宋体" w:cs="宋体"/>
          <w:color w:val="000000"/>
          <w:spacing w:val="4"/>
          <w:sz w:val="24"/>
          <w:highlight w:val="none"/>
        </w:rPr>
        <w:t xml:space="preserve">有关的事务(含合同签订)。</w:t>
      </w:r>
      <w:r/>
    </w:p>
    <w:p>
      <w:pPr>
        <w:ind w:left="41" w:firstLine="43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hint="eastAsia" w:ascii="宋体" w:hAnsi="宋体" w:cs="宋体"/>
          <w:color w:val="000000"/>
          <w:spacing w:val="-3"/>
          <w:sz w:val="24"/>
          <w:highlight w:val="none"/>
        </w:rPr>
        <w:t xml:space="preserve">法定代表人</w:t>
      </w:r>
      <w:r>
        <w:rPr>
          <w:rFonts w:ascii="宋体" w:hAnsi="宋体" w:cs="宋体"/>
          <w:color w:val="000000"/>
          <w:spacing w:val="-3"/>
          <w:sz w:val="24"/>
          <w:highlight w:val="none"/>
        </w:rPr>
        <w:t xml:space="preserve">签章：</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49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49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49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附：委托代理人居民身份证扫描件</w:t>
      </w:r>
      <w:r/>
    </w:p>
    <w:p>
      <w:pPr>
        <w:ind w:left="40"/>
        <w:spacing w:before="269" w:line="360" w:lineRule="auto"/>
        <w:rPr>
          <w:rFonts w:ascii="宋体" w:hAnsi="宋体" w:cs="宋体"/>
          <w:color w:val="000000"/>
          <w:sz w:val="24"/>
          <w:highlight w:val="none"/>
        </w:rPr>
      </w:pPr>
      <w:r>
        <w:rPr>
          <w:rFonts w:ascii="宋体" w:hAnsi="宋体" w:cs="宋体"/>
          <w:b/>
          <w:bCs/>
          <w:color w:val="000000"/>
          <w:spacing w:val="-4"/>
          <w:sz w:val="24"/>
          <w:highlight w:val="none"/>
          <w:u w:val="single"/>
        </w:rPr>
        <w:t xml:space="preserve">注：“</w:t>
      </w:r>
      <w:r>
        <w:rPr>
          <w:rFonts w:hint="eastAsia" w:ascii="宋体" w:hAnsi="宋体" w:cs="宋体"/>
          <w:b/>
          <w:bCs/>
          <w:color w:val="000000"/>
          <w:spacing w:val="-4"/>
          <w:sz w:val="24"/>
          <w:highlight w:val="none"/>
          <w:u w:val="single"/>
        </w:rPr>
        <w:t xml:space="preserve">法定代表人</w:t>
      </w:r>
      <w:r>
        <w:rPr>
          <w:rFonts w:ascii="宋体" w:hAnsi="宋体" w:cs="宋体"/>
          <w:b/>
          <w:bCs/>
          <w:color w:val="000000"/>
          <w:spacing w:val="-4"/>
          <w:sz w:val="24"/>
          <w:highlight w:val="none"/>
          <w:u w:val="single"/>
        </w:rPr>
        <w:t xml:space="preserve"> ”授权委托其他人</w:t>
      </w:r>
      <w:r>
        <w:rPr>
          <w:rFonts w:ascii="宋体" w:hAnsi="宋体" w:cs="宋体"/>
          <w:b/>
          <w:bCs/>
          <w:color w:val="000000"/>
          <w:spacing w:val="-5"/>
          <w:sz w:val="24"/>
          <w:highlight w:val="none"/>
          <w:u w:val="single"/>
        </w:rPr>
        <w:t xml:space="preserve">磋商的，须填写</w:t>
      </w:r>
      <w:r>
        <w:rPr>
          <w:rFonts w:hint="eastAsia" w:ascii="宋体" w:hAnsi="宋体" w:cs="宋体"/>
          <w:b/>
          <w:bCs/>
          <w:color w:val="000000"/>
          <w:spacing w:val="-5"/>
          <w:sz w:val="24"/>
          <w:highlight w:val="none"/>
          <w:u w:val="single"/>
        </w:rPr>
        <w:t xml:space="preserve">法定代表人</w:t>
      </w:r>
      <w:r>
        <w:rPr>
          <w:rFonts w:ascii="宋体" w:hAnsi="宋体" w:cs="宋体"/>
          <w:b/>
          <w:bCs/>
          <w:color w:val="000000"/>
          <w:spacing w:val="-5"/>
          <w:sz w:val="24"/>
          <w:highlight w:val="none"/>
          <w:u w:val="single"/>
        </w:rPr>
        <w:t xml:space="preserve">身份证</w:t>
      </w:r>
      <w:r>
        <w:rPr>
          <w:rFonts w:ascii="宋体" w:hAnsi="宋体" w:cs="宋体"/>
          <w:b/>
          <w:bCs/>
          <w:color w:val="000000"/>
          <w:spacing w:val="-6"/>
          <w:sz w:val="24"/>
          <w:highlight w:val="none"/>
          <w:u w:val="single"/>
        </w:rPr>
        <w:t xml:space="preserve">明书</w:t>
      </w:r>
      <w:r>
        <w:rPr>
          <w:rFonts w:ascii="宋体" w:hAnsi="宋体" w:cs="宋体"/>
          <w:b/>
          <w:bCs/>
          <w:color w:val="000000"/>
          <w:spacing w:val="-5"/>
          <w:sz w:val="24"/>
          <w:highlight w:val="none"/>
          <w:u w:val="single"/>
        </w:rPr>
        <w:t xml:space="preserve">和</w:t>
      </w:r>
      <w:r>
        <w:rPr>
          <w:rFonts w:ascii="宋体" w:hAnsi="宋体" w:cs="宋体"/>
          <w:b/>
          <w:bCs/>
          <w:color w:val="000000"/>
          <w:spacing w:val="-3"/>
          <w:sz w:val="24"/>
          <w:highlight w:val="none"/>
          <w:u w:val="single"/>
        </w:rPr>
        <w:t xml:space="preserve">本授权委托书</w:t>
      </w:r>
      <w:r>
        <w:rPr>
          <w:rFonts w:hint="eastAsia" w:ascii="宋体" w:hAnsi="宋体" w:cs="宋体"/>
          <w:b/>
          <w:bCs/>
          <w:color w:val="000000"/>
          <w:spacing w:val="-3"/>
          <w:sz w:val="24"/>
          <w:highlight w:val="none"/>
          <w:u w:val="single"/>
        </w:rPr>
        <w:t xml:space="preserve">，否则投标无效</w:t>
      </w:r>
      <w:r>
        <w:rPr>
          <w:rFonts w:ascii="宋体" w:hAnsi="宋体" w:cs="宋体"/>
          <w:color w:val="000000"/>
          <w:spacing w:val="-3"/>
          <w:sz w:val="24"/>
          <w:highlight w:val="none"/>
        </w:rPr>
        <w:t xml:space="preserve">。</w:t>
      </w:r>
      <w:r/>
    </w:p>
    <w:p>
      <w:pPr>
        <w:rPr>
          <w:color w:val="000000"/>
          <w:sz w:val="24"/>
          <w:highlight w:val="none"/>
        </w:rPr>
        <w:sectPr>
          <w:footerReference w:type="default" r:id="rId31"/>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pacing w:val="8"/>
          <w:sz w:val="24"/>
          <w:highlight w:val="none"/>
        </w:rPr>
        <w:outlineLvl w:val="1"/>
      </w:pPr>
      <w:r>
        <w:rPr>
          <w:rFonts w:hint="eastAsia" w:ascii="宋体" w:hAnsi="宋体" w:cs="宋体"/>
          <w:color w:val="000000"/>
          <w:spacing w:val="8"/>
          <w:sz w:val="24"/>
          <w:highlight w:val="none"/>
        </w:rPr>
        <w:t xml:space="preserve">（十一）</w:t>
      </w:r>
      <w:r>
        <w:rPr>
          <w:rFonts w:ascii="宋体" w:hAnsi="宋体" w:cs="宋体"/>
          <w:color w:val="000000"/>
          <w:spacing w:val="8"/>
          <w:sz w:val="24"/>
          <w:highlight w:val="none"/>
        </w:rPr>
        <w:t xml:space="preserve">资格承诺函</w:t>
      </w:r>
      <w:r/>
    </w:p>
    <w:p>
      <w:pPr>
        <w:pStyle w:val="1733"/>
        <w:jc w:val="center"/>
        <w:spacing w:line="560" w:lineRule="atLeas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33"/>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致：</w:t>
      </w:r>
      <w:r>
        <w:rPr>
          <w:rFonts w:ascii="宋体" w:hAnsi="宋体" w:cs="宋体"/>
          <w:sz w:val="24"/>
          <w:szCs w:val="24"/>
          <w:highlight w:val="none"/>
          <w:u w:val="single"/>
        </w:rPr>
        <w:t xml:space="preserve">_</w:t>
      </w:r>
      <w:r>
        <w:rPr>
          <w:rFonts w:hint="eastAsia" w:ascii="宋体" w:hAnsi="宋体" w:cs="宋体"/>
          <w:sz w:val="24"/>
          <w:szCs w:val="24"/>
          <w:highlight w:val="none"/>
          <w:u w:val="single"/>
        </w:rPr>
        <w:t xml:space="preserve">（采购人、采购代理机构） </w:t>
      </w:r>
      <w:r/>
    </w:p>
    <w:p>
      <w:pPr>
        <w:pStyle w:val="1733"/>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我单位参与</w:t>
      </w:r>
      <w:r>
        <w:rPr>
          <w:rFonts w:hint="eastAsia" w:ascii="宋体" w:hAnsi="宋体" w:cs="宋体"/>
          <w:sz w:val="24"/>
          <w:szCs w:val="24"/>
          <w:highlight w:val="none"/>
          <w:u w:val="single"/>
        </w:rPr>
        <w:t xml:space="preserve">_（项目名称）、（项目编号）</w:t>
      </w:r>
      <w:r>
        <w:rPr>
          <w:rFonts w:hint="eastAsia" w:ascii="宋体" w:hAnsi="宋体" w:cs="宋体"/>
          <w:sz w:val="24"/>
          <w:szCs w:val="24"/>
          <w:highlight w:val="none"/>
        </w:rPr>
        <w:t xml:space="preserve">项目的政府采购活动，现承诺如下：</w:t>
      </w:r>
      <w:r/>
    </w:p>
    <w:p>
      <w:pPr>
        <w:pStyle w:val="1733"/>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.我方具有良好的商业信誉和健全的财务会计制度。</w:t>
      </w:r>
      <w:r/>
    </w:p>
    <w:p>
      <w:pPr>
        <w:pStyle w:val="1733"/>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.我方具有履行合同所必需的设备和专业技术能力。</w:t>
      </w:r>
      <w:r/>
    </w:p>
    <w:p>
      <w:pPr>
        <w:pStyle w:val="1733"/>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.我方具有依法缴纳税收和社会保障资金的良好记录。</w:t>
      </w:r>
      <w:r/>
    </w:p>
    <w:p>
      <w:pPr>
        <w:pStyle w:val="1733"/>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sz w:val="24"/>
          <w:szCs w:val="24"/>
          <w:highlight w:val="none"/>
        </w:rPr>
        <w:t xml:space="preserve">我方参加本项目采购活动前三年内，在经营活动中没有重大违法记录。</w:t>
      </w:r>
      <w:r/>
    </w:p>
    <w:p>
      <w:pPr>
        <w:pStyle w:val="1733"/>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若我单位承诺不实，自愿承担提供虚假材料谋取中标、成交的法律责任。</w:t>
      </w:r>
      <w:r/>
    </w:p>
    <w:p>
      <w:pPr>
        <w:pStyle w:val="1733"/>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33"/>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投标（响应）供应商（全称并盖章）：</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733"/>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供应商法定代表人或授权代表（签字或签章）：</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733"/>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733"/>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33"/>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33"/>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说明：1.供应商可自行选择是否提供本承诺函，若不提供本承诺函的，应按磋商文件要求提供相应的证明材料。</w:t>
      </w:r>
      <w:r/>
    </w:p>
    <w:p>
      <w:pPr>
        <w:pStyle w:val="1733"/>
        <w:ind w:firstLine="60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2.供应商可删减承诺事项，删减的承诺事项须按磋商文件要求提供相应的证明材料。比如删去本承诺函第</w:t>
      </w:r>
      <w:r>
        <w:rPr>
          <w:rFonts w:ascii="宋体" w:hAnsi="宋体" w:cs="宋体"/>
          <w:sz w:val="24"/>
          <w:szCs w:val="24"/>
          <w:highlight w:val="none"/>
        </w:rPr>
        <w:t xml:space="preserve">3</w:t>
      </w:r>
      <w:r>
        <w:rPr>
          <w:rFonts w:hint="eastAsia" w:ascii="宋体" w:hAnsi="宋体" w:cs="宋体"/>
          <w:sz w:val="24"/>
          <w:szCs w:val="24"/>
          <w:highlight w:val="none"/>
        </w:rPr>
        <w:t xml:space="preserve">项的，则应按磋商文件要求提供依法缴纳税收和社会保障资金的良好记录。</w:t>
      </w:r>
      <w:r/>
    </w:p>
    <w:p>
      <w:pPr>
        <w:rPr>
          <w:color w:val="000000"/>
          <w:sz w:val="24"/>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101" w:line="225" w:lineRule="auto"/>
        <w:rPr>
          <w:rFonts w:ascii="宋体" w:hAnsi="宋体" w:cs="宋体"/>
          <w:color w:val="000000"/>
          <w:spacing w:val="6"/>
          <w:sz w:val="24"/>
          <w:highlight w:val="none"/>
        </w:rPr>
        <w:outlineLvl w:val="1"/>
      </w:pPr>
      <w:r/>
      <w:bookmarkStart w:id="176" w:name="_bookmark78"/>
      <w:r/>
      <w:bookmarkEnd w:id="176"/>
      <w:r>
        <w:rPr>
          <w:rFonts w:hint="eastAsia" w:ascii="宋体" w:hAnsi="宋体" w:cs="宋体"/>
          <w:color w:val="000000"/>
          <w:spacing w:val="6"/>
          <w:sz w:val="24"/>
          <w:highlight w:val="none"/>
        </w:rPr>
        <w:t xml:space="preserve">二、</w:t>
      </w:r>
      <w:r>
        <w:rPr>
          <w:rFonts w:ascii="宋体" w:hAnsi="宋体" w:cs="宋体"/>
          <w:color w:val="000000"/>
          <w:spacing w:val="6"/>
          <w:sz w:val="24"/>
          <w:highlight w:val="none"/>
        </w:rPr>
        <w:t xml:space="preserve">技术部分</w:t>
      </w:r>
      <w:r/>
    </w:p>
    <w:p>
      <w:pPr>
        <w:rPr>
          <w:color w:val="000000"/>
          <w:sz w:val="24"/>
          <w:highlight w:val="none"/>
        </w:rPr>
      </w:pPr>
      <w:r/>
      <w:bookmarkStart w:id="177" w:name="_bookmark79"/>
      <w:r/>
      <w:bookmarkEnd w:id="177"/>
      <w:r/>
      <w:r/>
    </w:p>
    <w:p>
      <w:pPr>
        <w:jc w:val="center"/>
        <w:rPr>
          <w:color w:val="000000"/>
          <w:sz w:val="24"/>
          <w:highlight w:val="none"/>
        </w:rPr>
        <w:sectPr>
          <w:footerReference w:type="default" r:id="rId32"/>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color w:val="000000"/>
          <w:sz w:val="24"/>
          <w:highlight w:val="none"/>
        </w:rPr>
        <w:t xml:space="preserve">技术部分对应评分标准“技术部分”，依次详述，格式自拟</w:t>
      </w:r>
      <w:r/>
    </w:p>
    <w:p>
      <w:pPr>
        <w:jc w:val="center"/>
        <w:spacing w:before="101" w:line="225" w:lineRule="auto"/>
        <w:rPr>
          <w:rFonts w:ascii="宋体" w:hAnsi="宋体" w:cs="宋体"/>
          <w:color w:val="000000"/>
          <w:sz w:val="24"/>
          <w:highlight w:val="none"/>
        </w:rPr>
        <w:outlineLvl w:val="1"/>
      </w:pPr>
      <w:r/>
      <w:bookmarkStart w:id="178" w:name="_bookmark81"/>
      <w:r/>
      <w:bookmarkEnd w:id="178"/>
      <w:r>
        <w:rPr>
          <w:rFonts w:ascii="宋体" w:hAnsi="宋体" w:cs="宋体"/>
          <w:color w:val="000000"/>
          <w:spacing w:val="9"/>
          <w:sz w:val="24"/>
          <w:highlight w:val="none"/>
        </w:rPr>
        <w:t xml:space="preserve">三</w:t>
      </w:r>
      <w:r>
        <w:rPr>
          <w:rFonts w:ascii="宋体" w:hAnsi="宋体" w:cs="宋体"/>
          <w:color w:val="000000"/>
          <w:spacing w:val="7"/>
          <w:sz w:val="24"/>
          <w:highlight w:val="none"/>
        </w:rPr>
        <w:t xml:space="preserve">、商务部分</w:t>
      </w:r>
      <w:r/>
    </w:p>
    <w:p>
      <w:pPr>
        <w:rPr>
          <w:color w:val="000000"/>
          <w:sz w:val="24"/>
          <w:highlight w:val="none"/>
        </w:rPr>
      </w:pPr>
      <w:r>
        <w:rPr>
          <w:color w:val="000000"/>
          <w:sz w:val="24"/>
          <w:highlight w:val="none"/>
        </w:rPr>
      </w:r>
      <w:r/>
    </w:p>
    <w:p>
      <w:pPr>
        <w:jc w:val="center"/>
        <w:spacing w:line="360" w:lineRule="auto"/>
        <w:rPr>
          <w:rFonts w:ascii="宋体" w:hAnsi="宋体" w:cs="宋体"/>
          <w:sz w:val="24"/>
          <w:highlight w:val="none"/>
          <w:u w:val="single"/>
        </w:rPr>
      </w:pPr>
      <w:r>
        <w:rPr>
          <w:rFonts w:hint="eastAsia" w:ascii="宋体" w:hAnsi="宋体" w:cs="宋体"/>
          <w:color w:val="000000"/>
          <w:sz w:val="24"/>
          <w:highlight w:val="none"/>
        </w:rPr>
        <w:t xml:space="preserve">商务部分对应评分标准“商务部分”，依次详述，格式自拟。</w:t>
      </w:r>
      <w:r/>
    </w:p>
    <w:p>
      <w:pPr>
        <w:rPr>
          <w:color w:val="000000"/>
          <w:sz w:val="24"/>
          <w:highlight w:val="none"/>
        </w:rPr>
        <w:sectPr>
          <w:footerReference w:type="default" r:id="rId33"/>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3" w:lineRule="auto"/>
        <w:rPr>
          <w:rFonts w:ascii="宋体" w:hAnsi="宋体" w:cs="宋体"/>
          <w:color w:val="000000"/>
          <w:sz w:val="24"/>
          <w:highlight w:val="none"/>
        </w:rPr>
        <w:outlineLvl w:val="2"/>
      </w:pPr>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w:t>
      </w:r>
      <w:r>
        <w:rPr>
          <w:rFonts w:hint="eastAsia" w:ascii="宋体" w:hAnsi="宋体" w:cs="宋体"/>
          <w:color w:val="000000"/>
          <w:spacing w:val="-7"/>
          <w:sz w:val="24"/>
          <w:highlight w:val="none"/>
        </w:rPr>
        <w:t xml:space="preserve">企业业绩</w:t>
      </w:r>
      <w:r/>
    </w:p>
    <w:p>
      <w:pPr>
        <w:spacing w:before="227" w:line="219" w:lineRule="auto"/>
        <w:rPr>
          <w:rFonts w:ascii="宋体" w:hAnsi="宋体" w:cs="宋体"/>
          <w:color w:val="000000"/>
          <w:sz w:val="24"/>
          <w:highlight w:val="none"/>
        </w:rPr>
      </w:pPr>
      <w:r/>
      <w:bookmarkStart w:id="179" w:name="_bookmark82"/>
      <w:r/>
      <w:bookmarkEnd w:id="179"/>
      <w:r/>
      <w:r/>
    </w:p>
    <w:p>
      <w:pPr>
        <w:rPr>
          <w:color w:val="000000"/>
          <w:sz w:val="24"/>
          <w:highlight w:val="none"/>
        </w:rPr>
        <w:sectPr>
          <w:footerReference w:type="default" r:id="rId3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3" w:lineRule="auto"/>
        <w:rPr>
          <w:rFonts w:ascii="宋体" w:hAnsi="宋体" w:cs="宋体"/>
          <w:color w:val="000000"/>
          <w:sz w:val="24"/>
          <w:highlight w:val="none"/>
        </w:rPr>
        <w:outlineLvl w:val="2"/>
      </w:pPr>
      <w:r>
        <w:rPr>
          <w:rFonts w:ascii="宋体" w:hAnsi="宋体" w:cs="宋体"/>
          <w:color w:val="000000"/>
          <w:spacing w:val="-14"/>
          <w:sz w:val="24"/>
          <w:highlight w:val="none"/>
        </w:rPr>
        <w:t xml:space="preserve">(</w:t>
      </w:r>
      <w:r>
        <w:rPr>
          <w:rFonts w:ascii="宋体" w:hAnsi="宋体" w:cs="宋体"/>
          <w:color w:val="000000"/>
          <w:spacing w:val="-11"/>
          <w:sz w:val="24"/>
          <w:highlight w:val="none"/>
        </w:rPr>
        <w:t xml:space="preserve">二)</w:t>
      </w:r>
      <w:r>
        <w:rPr>
          <w:rFonts w:hint="eastAsia" w:ascii="宋体" w:hAnsi="宋体" w:cs="宋体"/>
          <w:color w:val="000000"/>
          <w:spacing w:val="-11"/>
          <w:sz w:val="24"/>
          <w:highlight w:val="none"/>
        </w:rPr>
        <w:t xml:space="preserve">企业资质</w:t>
      </w:r>
      <w:r/>
    </w:p>
    <w:p>
      <w:pPr>
        <w:spacing w:before="226" w:line="225" w:lineRule="auto"/>
        <w:rPr>
          <w:rFonts w:ascii="宋体" w:hAnsi="宋体" w:cs="宋体"/>
          <w:color w:val="000000"/>
          <w:sz w:val="24"/>
          <w:highlight w:val="none"/>
        </w:rPr>
      </w:pPr>
      <w:r/>
      <w:bookmarkStart w:id="180" w:name="_bookmark83"/>
      <w:r/>
      <w:bookmarkEnd w:id="180"/>
      <w:r/>
      <w:r/>
    </w:p>
    <w:p>
      <w:pPr>
        <w:rPr>
          <w:color w:val="000000"/>
          <w:sz w:val="24"/>
          <w:highlight w:val="none"/>
        </w:rPr>
        <w:sectPr>
          <w:footerReference w:type="default" r:id="rId3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6"/>
          <w:sz w:val="24"/>
          <w:highlight w:val="none"/>
        </w:rPr>
        <w:t xml:space="preserve">三)</w:t>
      </w:r>
      <w:r>
        <w:rPr>
          <w:rFonts w:hint="eastAsia" w:ascii="宋体" w:hAnsi="宋体" w:cs="宋体"/>
          <w:color w:val="000000"/>
          <w:spacing w:val="-6"/>
          <w:sz w:val="24"/>
          <w:highlight w:val="none"/>
        </w:rPr>
        <w:t xml:space="preserve">项目负责人</w:t>
      </w:r>
      <w:r/>
    </w:p>
    <w:p>
      <w:pPr>
        <w:spacing w:line="69" w:lineRule="exact"/>
        <w:rPr>
          <w:color w:val="000000"/>
          <w:sz w:val="24"/>
          <w:highlight w:val="none"/>
        </w:rPr>
      </w:pPr>
      <w:r/>
      <w:bookmarkStart w:id="181" w:name="_bookmark84"/>
      <w:r/>
      <w:bookmarkEnd w:id="181"/>
      <w:r/>
      <w:r/>
    </w:p>
    <w:tbl>
      <w:tblPr>
        <w:tblStyle w:val="1439"/>
        <w:tblW w:w="95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jc w:val="center"/>
          <w:trHeight w:val="659"/>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近3年工作业绩及承担的主要工作</w:t>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restart"/>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毕业时间</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所学专业</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学历</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证书名称</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专业资格</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444"/>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曾担任项目主要负责人的项目</w:t>
            </w:r>
            <w:r/>
          </w:p>
        </w:tc>
        <w:tc>
          <w:tcPr>
            <w:gridSpan w:val="2"/>
            <w:tcW w:w="711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432" w:lineRule="auto"/>
        <w:rPr>
          <w:rFonts w:ascii="Arial"/>
          <w:color w:val="000000"/>
          <w:sz w:val="24"/>
          <w:highlight w:val="none"/>
        </w:rPr>
      </w:pPr>
      <w:r>
        <w:rPr>
          <w:rFonts w:ascii="Arial"/>
          <w:color w:val="000000"/>
          <w:sz w:val="24"/>
          <w:highlight w:val="none"/>
        </w:rPr>
      </w:r>
      <w:r/>
    </w:p>
    <w:p>
      <w:pPr>
        <w:spacing w:before="78" w:line="219" w:lineRule="auto"/>
        <w:rPr>
          <w:rFonts w:ascii="宋体" w:hAnsi="宋体" w:cs="宋体"/>
          <w:color w:val="000000"/>
          <w:sz w:val="24"/>
          <w:highlight w:val="none"/>
        </w:rPr>
      </w:pPr>
      <w:r>
        <w:rPr>
          <w:rFonts w:ascii="宋体" w:hAnsi="宋体" w:cs="宋体"/>
          <w:color w:val="000000"/>
          <w:spacing w:val="-16"/>
          <w:sz w:val="24"/>
          <w:highlight w:val="none"/>
        </w:rPr>
        <w:t xml:space="preserve">注：</w:t>
      </w:r>
      <w:r>
        <w:rPr>
          <w:rFonts w:ascii="宋体" w:hAnsi="宋体" w:cs="宋体"/>
          <w:color w:val="000000"/>
          <w:spacing w:val="-8"/>
          <w:sz w:val="24"/>
          <w:highlight w:val="none"/>
        </w:rPr>
        <w:t xml:space="preserve">1、</w:t>
      </w:r>
      <w:r>
        <w:rPr>
          <w:rFonts w:ascii="宋体" w:hAnsi="宋体" w:cs="宋体"/>
          <w:color w:val="000000"/>
          <w:spacing w:val="-8"/>
          <w:sz w:val="24"/>
          <w:highlight w:val="none"/>
          <w:u w:val="single"/>
        </w:rPr>
        <w:t xml:space="preserve">项目</w:t>
      </w:r>
      <w:r>
        <w:rPr>
          <w:rFonts w:hint="eastAsia" w:ascii="宋体" w:hAnsi="宋体" w:cs="宋体"/>
          <w:color w:val="000000"/>
          <w:spacing w:val="-8"/>
          <w:sz w:val="24"/>
          <w:highlight w:val="none"/>
          <w:u w:val="single"/>
        </w:rPr>
        <w:t xml:space="preserve">负责人</w:t>
      </w:r>
      <w:r>
        <w:rPr>
          <w:rFonts w:ascii="宋体" w:hAnsi="宋体" w:cs="宋体"/>
          <w:color w:val="000000"/>
          <w:spacing w:val="-8"/>
          <w:sz w:val="24"/>
          <w:highlight w:val="none"/>
          <w:u w:val="single"/>
        </w:rPr>
        <w:t xml:space="preserve">具有资格证书的，应在本栏目提交相关证书扫描件。</w:t>
      </w:r>
      <w:r/>
    </w:p>
    <w:p>
      <w:pPr>
        <w:spacing w:before="183" w:line="219"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7"/>
          <w:sz w:val="24"/>
          <w:highlight w:val="none"/>
          <w:u w:val="single"/>
        </w:rPr>
        <w:t xml:space="preserve">列</w:t>
      </w:r>
      <w:r>
        <w:rPr>
          <w:rFonts w:ascii="宋体" w:hAnsi="宋体" w:cs="宋体"/>
          <w:color w:val="000000"/>
          <w:spacing w:val="-5"/>
          <w:sz w:val="24"/>
          <w:highlight w:val="none"/>
          <w:u w:val="single"/>
        </w:rPr>
        <w:t xml:space="preserve">入本表人员如要更换，需经采购人同意。擅自更换属违约行为。</w:t>
      </w:r>
      <w:r/>
    </w:p>
    <w:p>
      <w:pPr>
        <w:spacing w:before="183" w:line="220" w:lineRule="auto"/>
        <w:rPr>
          <w:rFonts w:ascii="宋体" w:hAnsi="宋体" w:cs="宋体"/>
          <w:color w:val="000000"/>
          <w:sz w:val="24"/>
          <w:highlight w:val="none"/>
        </w:rPr>
      </w:pPr>
      <w:r>
        <w:rPr>
          <w:rFonts w:ascii="宋体" w:hAnsi="宋体" w:cs="宋体"/>
          <w:color w:val="000000"/>
          <w:spacing w:val="6"/>
          <w:sz w:val="24"/>
          <w:highlight w:val="none"/>
        </w:rPr>
        <w:t xml:space="preserve">3、</w:t>
      </w:r>
      <w:r>
        <w:rPr>
          <w:rFonts w:ascii="宋体" w:hAnsi="宋体" w:cs="宋体"/>
          <w:color w:val="000000"/>
          <w:spacing w:val="6"/>
          <w:sz w:val="24"/>
          <w:highlight w:val="none"/>
          <w:u w:val="single"/>
        </w:rPr>
        <w:t xml:space="preserve">项目</w:t>
      </w:r>
      <w:r>
        <w:rPr>
          <w:rFonts w:hint="eastAsia" w:ascii="宋体" w:hAnsi="宋体" w:cs="宋体"/>
          <w:color w:val="000000"/>
          <w:spacing w:val="6"/>
          <w:sz w:val="24"/>
          <w:highlight w:val="none"/>
          <w:u w:val="single"/>
        </w:rPr>
        <w:t xml:space="preserve">负责人</w:t>
      </w:r>
      <w:r>
        <w:rPr>
          <w:rFonts w:ascii="宋体" w:hAnsi="宋体" w:cs="宋体"/>
          <w:color w:val="000000"/>
          <w:spacing w:val="6"/>
          <w:sz w:val="24"/>
          <w:highlight w:val="none"/>
          <w:u w:val="single"/>
        </w:rPr>
        <w:t xml:space="preserve">须提供近半年(至少一个月)供应商为其缴纳社会保险的证明材料。</w:t>
      </w:r>
      <w:r/>
    </w:p>
    <w:p>
      <w:pPr>
        <w:rPr>
          <w:color w:val="000000"/>
          <w:sz w:val="24"/>
          <w:highlight w:val="none"/>
        </w:rPr>
        <w:sectPr>
          <w:headerReference w:type="default" r:id="rId15"/>
          <w:footerReference w:type="default" r:id="rId3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5"/>
          <w:sz w:val="24"/>
          <w:highlight w:val="none"/>
        </w:rPr>
        <w:t xml:space="preserve">四)</w:t>
      </w:r>
      <w:r>
        <w:rPr>
          <w:rFonts w:hint="eastAsia" w:ascii="宋体" w:hAnsi="宋体" w:cs="宋体"/>
          <w:color w:val="000000"/>
          <w:spacing w:val="-5"/>
          <w:sz w:val="24"/>
          <w:highlight w:val="none"/>
        </w:rPr>
        <w:t xml:space="preserve">项目组成员</w:t>
      </w:r>
      <w:r/>
    </w:p>
    <w:p>
      <w:pPr>
        <w:spacing w:line="69" w:lineRule="exact"/>
        <w:rPr>
          <w:color w:val="000000"/>
          <w:sz w:val="24"/>
          <w:highlight w:val="none"/>
        </w:rPr>
      </w:pPr>
      <w:r/>
      <w:bookmarkStart w:id="182" w:name="_bookmark85"/>
      <w:r/>
      <w:bookmarkEnd w:id="182"/>
      <w:r/>
      <w:r/>
    </w:p>
    <w:tbl>
      <w:tblPr>
        <w:tblStyle w:val="143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ascii="宋体" w:hAnsi="宋体" w:cs="宋体"/>
                <w:color w:val="000000"/>
                <w:sz w:val="24"/>
                <w:highlight w:val="none"/>
              </w:rPr>
            </w:pPr>
            <w:r>
              <w:rPr>
                <w:rFonts w:ascii="宋体" w:hAnsi="宋体" w:cs="宋体"/>
                <w:color w:val="000000"/>
                <w:spacing w:val="-2"/>
                <w:sz w:val="24"/>
                <w:highlight w:val="none"/>
              </w:rPr>
              <w:t xml:space="preserve">序</w:t>
            </w:r>
            <w:r>
              <w:rPr>
                <w:rFonts w:ascii="宋体" w:hAnsi="宋体" w:cs="宋体"/>
                <w:color w:val="000000"/>
                <w:spacing w:val="-1"/>
                <w:sz w:val="24"/>
                <w:highlight w:val="none"/>
              </w:rPr>
              <w:t xml:space="preserve">号</w:t>
            </w:r>
            <w:r/>
          </w:p>
        </w:tc>
        <w:tc>
          <w:tcPr>
            <w:tcW w:w="815" w:type="dxa"/>
            <w:textDirection w:val="lrTb"/>
            <w:noWrap w:val="false"/>
          </w:tcPr>
          <w:p>
            <w:pPr>
              <w:ind w:left="223"/>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姓名</w:t>
            </w:r>
            <w:r/>
          </w:p>
        </w:tc>
        <w:tc>
          <w:tcPr>
            <w:tcW w:w="1396" w:type="dxa"/>
            <w:textDirection w:val="lrTb"/>
            <w:noWrap w:val="false"/>
          </w:tcPr>
          <w:p>
            <w:pPr>
              <w:ind w:left="316"/>
              <w:spacing w:before="117" w:line="220" w:lineRule="auto"/>
              <w:rPr>
                <w:rFonts w:ascii="宋体" w:hAnsi="宋体" w:cs="宋体"/>
                <w:color w:val="000000"/>
                <w:sz w:val="24"/>
                <w:highlight w:val="none"/>
              </w:rPr>
            </w:pPr>
            <w:r>
              <w:rPr>
                <w:rFonts w:ascii="宋体" w:hAnsi="宋体" w:cs="宋体"/>
                <w:color w:val="000000"/>
                <w:spacing w:val="-3"/>
                <w:sz w:val="24"/>
                <w:highlight w:val="none"/>
              </w:rPr>
              <w:t xml:space="preserve">身份证号</w:t>
            </w:r>
            <w:r/>
          </w:p>
        </w:tc>
        <w:tc>
          <w:tcPr>
            <w:tcW w:w="1279" w:type="dxa"/>
            <w:textDirection w:val="lrTb"/>
            <w:noWrap w:val="false"/>
          </w:tcPr>
          <w:p>
            <w:pPr>
              <w:ind w:left="245"/>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人员类</w:t>
            </w:r>
            <w:r>
              <w:rPr>
                <w:rFonts w:ascii="宋体" w:hAnsi="宋体" w:cs="宋体"/>
                <w:color w:val="000000"/>
                <w:spacing w:val="-1"/>
                <w:sz w:val="24"/>
                <w:highlight w:val="none"/>
              </w:rPr>
              <w:t xml:space="preserve">别</w:t>
            </w:r>
            <w:r/>
          </w:p>
        </w:tc>
        <w:tc>
          <w:tcPr>
            <w:tcW w:w="1746" w:type="dxa"/>
            <w:textDirection w:val="lrTb"/>
            <w:noWrap w:val="false"/>
          </w:tcPr>
          <w:p>
            <w:pPr>
              <w:ind w:left="149"/>
              <w:spacing w:before="117" w:line="219" w:lineRule="auto"/>
              <w:rPr>
                <w:rFonts w:ascii="宋体" w:hAnsi="宋体" w:cs="宋体"/>
                <w:color w:val="000000"/>
                <w:sz w:val="24"/>
                <w:highlight w:val="none"/>
              </w:rPr>
            </w:pPr>
            <w:r>
              <w:rPr>
                <w:rFonts w:ascii="宋体" w:hAnsi="宋体" w:cs="宋体"/>
                <w:color w:val="000000"/>
                <w:spacing w:val="-1"/>
                <w:sz w:val="24"/>
                <w:highlight w:val="none"/>
              </w:rPr>
              <w:t xml:space="preserve">技术证书</w:t>
            </w:r>
            <w:r>
              <w:rPr>
                <w:rFonts w:ascii="宋体" w:hAnsi="宋体" w:cs="宋体"/>
                <w:color w:val="000000"/>
                <w:sz w:val="24"/>
                <w:highlight w:val="none"/>
              </w:rPr>
              <w:t xml:space="preserve">、级别</w:t>
            </w:r>
            <w:r/>
          </w:p>
        </w:tc>
        <w:tc>
          <w:tcPr>
            <w:tcW w:w="1744" w:type="dxa"/>
            <w:textDirection w:val="lrTb"/>
            <w:noWrap w:val="false"/>
          </w:tcPr>
          <w:p>
            <w:pPr>
              <w:ind w:left="269"/>
              <w:spacing w:before="117" w:line="220" w:lineRule="auto"/>
              <w:rPr>
                <w:rFonts w:ascii="宋体" w:hAnsi="宋体" w:cs="宋体"/>
                <w:color w:val="000000"/>
                <w:sz w:val="24"/>
                <w:highlight w:val="none"/>
              </w:rPr>
            </w:pPr>
            <w:r>
              <w:rPr>
                <w:rFonts w:ascii="宋体" w:hAnsi="宋体" w:cs="宋体"/>
                <w:color w:val="000000"/>
                <w:spacing w:val="-1"/>
                <w:sz w:val="24"/>
                <w:highlight w:val="none"/>
              </w:rPr>
              <w:t xml:space="preserve">相关工作经验</w:t>
            </w:r>
            <w:r/>
          </w:p>
        </w:tc>
        <w:tc>
          <w:tcPr>
            <w:tcW w:w="819" w:type="dxa"/>
            <w:textDirection w:val="lrTb"/>
            <w:noWrap w:val="false"/>
          </w:tcPr>
          <w:p>
            <w:pPr>
              <w:ind w:left="230"/>
              <w:spacing w:before="117" w:line="221" w:lineRule="auto"/>
              <w:rPr>
                <w:rFonts w:ascii="宋体" w:hAnsi="宋体" w:cs="宋体"/>
                <w:color w:val="000000"/>
                <w:sz w:val="24"/>
                <w:highlight w:val="none"/>
              </w:rPr>
            </w:pPr>
            <w:r>
              <w:rPr>
                <w:rFonts w:ascii="宋体" w:hAnsi="宋体" w:cs="宋体"/>
                <w:color w:val="000000"/>
                <w:spacing w:val="-3"/>
                <w:sz w:val="24"/>
                <w:highlight w:val="none"/>
              </w:rPr>
              <w:t xml:space="preserve">备</w:t>
            </w:r>
            <w:r>
              <w:rPr>
                <w:rFonts w:ascii="宋体" w:hAnsi="宋体" w:cs="宋体"/>
                <w:color w:val="000000"/>
                <w:spacing w:val="-2"/>
                <w:sz w:val="24"/>
                <w:highlight w:val="none"/>
              </w:rPr>
              <w:t xml:space="preserve">注</w:t>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4"/>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7"/>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bl>
    <w:p>
      <w:pPr>
        <w:ind w:right="28"/>
        <w:spacing w:before="269" w:line="360" w:lineRule="auto"/>
        <w:rPr>
          <w:rFonts w:ascii="宋体" w:hAnsi="宋体" w:cs="宋体"/>
          <w:color w:val="000000"/>
          <w:spacing w:val="-14"/>
          <w:sz w:val="24"/>
          <w:highlight w:val="none"/>
          <w:u w:val="single"/>
        </w:rPr>
      </w:pPr>
      <w:r>
        <w:rPr>
          <w:rFonts w:ascii="宋体" w:hAnsi="宋体" w:cs="宋体"/>
          <w:color w:val="000000"/>
          <w:spacing w:val="-25"/>
          <w:sz w:val="24"/>
          <w:highlight w:val="none"/>
        </w:rPr>
        <w:t xml:space="preserve">注</w:t>
      </w:r>
      <w:r>
        <w:rPr>
          <w:rFonts w:ascii="宋体" w:hAnsi="宋体" w:cs="宋体"/>
          <w:color w:val="000000"/>
          <w:spacing w:val="-14"/>
          <w:sz w:val="24"/>
          <w:highlight w:val="none"/>
        </w:rPr>
        <w:t xml:space="preserve">：1、</w:t>
      </w:r>
      <w:r>
        <w:rPr>
          <w:rFonts w:ascii="宋体" w:hAnsi="宋体" w:cs="宋体"/>
          <w:color w:val="000000"/>
          <w:spacing w:val="-14"/>
          <w:sz w:val="24"/>
          <w:highlight w:val="none"/>
          <w:u w:val="single"/>
        </w:rPr>
        <w:t xml:space="preserve">行数不够，请自行添加。</w:t>
      </w:r>
      <w:r/>
    </w:p>
    <w:p>
      <w:pPr>
        <w:ind w:left="420" w:right="28"/>
        <w:spacing w:before="269" w:line="360" w:lineRule="auto"/>
        <w:rPr>
          <w:rFonts w:ascii="宋体" w:hAnsi="宋体" w:cs="宋体"/>
          <w:color w:val="000000"/>
          <w:spacing w:val="-4"/>
          <w:sz w:val="24"/>
          <w:highlight w:val="none"/>
          <w:u w:val="single"/>
        </w:rPr>
      </w:pPr>
      <w:r>
        <w:rPr>
          <w:rFonts w:hint="eastAsia" w:ascii="宋体" w:hAnsi="宋体" w:cs="宋体"/>
          <w:color w:val="000000"/>
          <w:spacing w:val="-4"/>
          <w:sz w:val="24"/>
          <w:highlight w:val="none"/>
        </w:rPr>
        <w:t xml:space="preserve">2、</w:t>
      </w:r>
      <w:r>
        <w:rPr>
          <w:rFonts w:ascii="宋体" w:hAnsi="宋体" w:cs="宋体"/>
          <w:color w:val="000000"/>
          <w:spacing w:val="-4"/>
          <w:sz w:val="24"/>
          <w:highlight w:val="none"/>
          <w:u w:val="single"/>
        </w:rPr>
        <w:t xml:space="preserve">列入本表人员如要更换，须经采购人同意，擅自更换属违约行为。</w:t>
      </w:r>
      <w:r/>
    </w:p>
    <w:p>
      <w:pPr>
        <w:ind w:left="420" w:right="28"/>
        <w:spacing w:before="269" w:line="360" w:lineRule="auto"/>
        <w:rPr>
          <w:rFonts w:ascii="宋体" w:hAnsi="宋体" w:cs="宋体"/>
          <w:color w:val="000000"/>
          <w:spacing w:val="5"/>
          <w:sz w:val="24"/>
          <w:highlight w:val="none"/>
          <w:u w:val="single"/>
        </w:rPr>
      </w:pPr>
      <w:r>
        <w:rPr>
          <w:rFonts w:ascii="宋体" w:hAnsi="宋体" w:cs="宋体"/>
          <w:color w:val="000000"/>
          <w:spacing w:val="10"/>
          <w:sz w:val="24"/>
          <w:highlight w:val="none"/>
        </w:rPr>
        <w:t xml:space="preserve">3、</w:t>
      </w:r>
      <w:r>
        <w:rPr>
          <w:rFonts w:ascii="宋体" w:hAnsi="宋体" w:cs="宋体"/>
          <w:color w:val="000000"/>
          <w:spacing w:val="6"/>
          <w:sz w:val="24"/>
          <w:highlight w:val="none"/>
          <w:u w:val="single"/>
        </w:rPr>
        <w:t xml:space="preserve">列</w:t>
      </w:r>
      <w:r>
        <w:rPr>
          <w:rFonts w:ascii="宋体" w:hAnsi="宋体" w:cs="宋体"/>
          <w:color w:val="000000"/>
          <w:spacing w:val="5"/>
          <w:sz w:val="24"/>
          <w:highlight w:val="none"/>
          <w:u w:val="single"/>
        </w:rPr>
        <w:t xml:space="preserve">入上表人员需提供近半年(至少一个月)供应商为其缴纳社会保险的证明材料。</w:t>
      </w:r>
      <w:r/>
    </w:p>
    <w:p>
      <w:pPr>
        <w:ind w:left="420" w:right="28"/>
        <w:spacing w:before="269" w:line="360" w:lineRule="auto"/>
        <w:rPr>
          <w:rFonts w:ascii="宋体" w:hAnsi="宋体" w:cs="宋体"/>
          <w:color w:val="000000"/>
          <w:sz w:val="24"/>
          <w:highlight w:val="none"/>
        </w:rPr>
      </w:pPr>
      <w:r>
        <w:rPr>
          <w:rFonts w:ascii="宋体" w:hAnsi="宋体" w:cs="宋体"/>
          <w:color w:val="000000"/>
          <w:spacing w:val="-2"/>
          <w:sz w:val="24"/>
          <w:highlight w:val="none"/>
        </w:rPr>
        <w:t xml:space="preserve">4、</w:t>
      </w:r>
      <w:r>
        <w:rPr>
          <w:rFonts w:ascii="宋体" w:hAnsi="宋体" w:cs="宋体"/>
          <w:color w:val="000000"/>
          <w:spacing w:val="-2"/>
          <w:sz w:val="24"/>
          <w:highlight w:val="none"/>
          <w:u w:val="single"/>
        </w:rPr>
        <w:t xml:space="preserve">列</w:t>
      </w:r>
      <w:r>
        <w:rPr>
          <w:rFonts w:ascii="宋体" w:hAnsi="宋体" w:cs="宋体"/>
          <w:color w:val="000000"/>
          <w:spacing w:val="-1"/>
          <w:sz w:val="24"/>
          <w:highlight w:val="none"/>
          <w:u w:val="single"/>
        </w:rPr>
        <w:t xml:space="preserve">入上表人员具有相关证书、工作经验的，应在本栏目提交相关证明材料扫描件。</w:t>
      </w:r>
      <w:r/>
    </w:p>
    <w:p>
      <w:pPr>
        <w:rPr>
          <w:color w:val="000000"/>
          <w:sz w:val="24"/>
          <w:highlight w:val="none"/>
        </w:rPr>
        <w:sectPr>
          <w:headerReference w:type="default" r:id="rId16"/>
          <w:footerReference w:type="default" r:id="rId3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rPr>
          <w:rFonts w:ascii="宋体" w:hAnsi="宋体" w:cs="宋体"/>
          <w:color w:val="000000"/>
          <w:spacing w:val="-6"/>
          <w:sz w:val="24"/>
          <w:highlight w:val="none"/>
        </w:rPr>
        <w:t xml:space="preserve">(</w:t>
      </w:r>
      <w:r>
        <w:rPr>
          <w:rFonts w:hint="eastAsia" w:ascii="宋体" w:hAnsi="宋体" w:cs="宋体"/>
          <w:color w:val="000000"/>
          <w:spacing w:val="-6"/>
          <w:sz w:val="24"/>
          <w:highlight w:val="none"/>
          <w:lang w:val="en-US" w:eastAsia="zh-CN"/>
        </w:rPr>
        <w:t xml:space="preserve">五</w:t>
      </w:r>
      <w:r>
        <w:rPr>
          <w:rFonts w:ascii="宋体" w:hAnsi="宋体" w:cs="宋体"/>
          <w:color w:val="000000"/>
          <w:spacing w:val="-6"/>
          <w:sz w:val="24"/>
          <w:highlight w:val="none"/>
        </w:rPr>
        <w:t xml:space="preserve">)首次报价一览表</w:t>
      </w:r>
      <w:r/>
    </w:p>
    <w:p>
      <w:pPr>
        <w:spacing w:line="266" w:lineRule="auto"/>
        <w:rPr>
          <w:rFonts w:ascii="Arial"/>
          <w:color w:val="000000"/>
          <w:sz w:val="24"/>
          <w:highlight w:val="none"/>
        </w:rPr>
      </w:pPr>
      <w:r>
        <w:rPr>
          <w:rFonts w:ascii="Arial"/>
          <w:color w:val="000000"/>
          <w:sz w:val="24"/>
          <w:highlight w:val="none"/>
        </w:rPr>
      </w:r>
      <w:r/>
    </w:p>
    <w:p>
      <w:pPr>
        <w:jc w:val="center"/>
        <w:spacing w:before="101" w:line="224" w:lineRule="auto"/>
        <w:rPr>
          <w:rFonts w:ascii="宋体" w:hAnsi="宋体" w:cs="宋体"/>
          <w:color w:val="000000"/>
          <w:sz w:val="24"/>
          <w:highlight w:val="none"/>
        </w:rPr>
      </w:pPr>
      <w:r/>
      <w:bookmarkStart w:id="183" w:name="_bookmark87"/>
      <w:r/>
      <w:bookmarkEnd w:id="183"/>
      <w:r>
        <w:rPr>
          <w:rFonts w:ascii="宋体" w:hAnsi="宋体" w:cs="宋体"/>
          <w:color w:val="000000"/>
          <w:spacing w:val="13"/>
          <w:sz w:val="24"/>
          <w:highlight w:val="none"/>
        </w:rPr>
        <w:t xml:space="preserve">首</w:t>
      </w:r>
      <w:r>
        <w:rPr>
          <w:rFonts w:ascii="宋体" w:hAnsi="宋体" w:cs="宋体"/>
          <w:color w:val="000000"/>
          <w:spacing w:val="8"/>
          <w:sz w:val="24"/>
          <w:highlight w:val="none"/>
        </w:rPr>
        <w:t xml:space="preserve">次报价一览表</w:t>
      </w:r>
      <w:r/>
    </w:p>
    <w:p>
      <w:pPr>
        <w:spacing w:line="370" w:lineRule="auto"/>
        <w:rPr>
          <w:rFonts w:ascii="Arial"/>
          <w:color w:val="000000"/>
          <w:sz w:val="24"/>
          <w:highlight w:val="none"/>
        </w:rPr>
      </w:pPr>
      <w:r>
        <w:rPr>
          <w:rFonts w:ascii="Arial"/>
          <w:color w:val="000000"/>
          <w:sz w:val="24"/>
          <w:highlight w:val="none"/>
        </w:rPr>
      </w:r>
      <w:r/>
    </w:p>
    <w:p>
      <w:pPr>
        <w:spacing w:before="78" w:line="219" w:lineRule="auto"/>
        <w:rPr>
          <w:rFonts w:ascii="宋体" w:hAnsi="宋体" w:cs="宋体"/>
          <w:color w:val="000000"/>
          <w:sz w:val="24"/>
          <w:highlight w:val="none"/>
        </w:rPr>
      </w:pPr>
      <w:r>
        <w:rPr>
          <w:rFonts w:ascii="宋体" w:hAnsi="宋体" w:cs="宋体"/>
          <w:color w:val="000000"/>
          <w:spacing w:val="23"/>
          <w:sz w:val="24"/>
          <w:highlight w:val="none"/>
        </w:rPr>
        <w:t xml:space="preserve">单</w:t>
      </w:r>
      <w:r>
        <w:rPr>
          <w:rFonts w:ascii="宋体" w:hAnsi="宋体" w:cs="宋体"/>
          <w:color w:val="000000"/>
          <w:spacing w:val="15"/>
          <w:sz w:val="24"/>
          <w:highlight w:val="none"/>
        </w:rPr>
        <w:t xml:space="preserve">位名称(加盖公章)：</w:t>
      </w:r>
      <w:r/>
    </w:p>
    <w:p>
      <w:pPr>
        <w:spacing w:line="233" w:lineRule="exact"/>
        <w:rPr>
          <w:color w:val="000000"/>
          <w:sz w:val="24"/>
          <w:highlight w:val="none"/>
        </w:rPr>
      </w:pPr>
      <w:r>
        <w:rPr>
          <w:color w:val="000000"/>
          <w:sz w:val="24"/>
          <w:highlight w:val="none"/>
        </w:rPr>
      </w:r>
      <w:r/>
    </w:p>
    <w:tbl>
      <w:tblPr>
        <w:tblStyle w:val="1439"/>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jc w:val="center"/>
          <w:trHeight w:val="915"/>
        </w:trPr>
        <w:tc>
          <w:tcPr>
            <w:tcW w:w="4737" w:type="dxa"/>
            <w:textDirection w:val="lrTb"/>
            <w:noWrap w:val="false"/>
          </w:tcPr>
          <w:p>
            <w:pPr>
              <w:spacing w:line="256" w:lineRule="auto"/>
              <w:rPr>
                <w:rFonts w:ascii="Arial"/>
                <w:color w:val="000000"/>
                <w:sz w:val="24"/>
                <w:highlight w:val="none"/>
              </w:rPr>
            </w:pPr>
            <w:r>
              <w:rPr>
                <w:rFonts w:ascii="Arial"/>
                <w:color w:val="000000"/>
                <w:sz w:val="24"/>
                <w:highlight w:val="none"/>
              </w:rPr>
            </w:r>
            <w:r/>
          </w:p>
          <w:p>
            <w:pPr>
              <w:ind w:firstLine="1908"/>
              <w:spacing w:before="78" w:line="220" w:lineRule="auto"/>
              <w:rPr>
                <w:rFonts w:ascii="宋体" w:hAnsi="宋体" w:cs="宋体"/>
                <w:color w:val="000000"/>
                <w:sz w:val="24"/>
                <w:highlight w:val="none"/>
              </w:rPr>
            </w:pPr>
            <w:r>
              <w:rPr>
                <w:rFonts w:ascii="宋体" w:hAnsi="宋体" w:cs="宋体"/>
                <w:color w:val="000000"/>
                <w:spacing w:val="-4"/>
                <w:sz w:val="24"/>
                <w:highlight w:val="none"/>
              </w:rPr>
              <w:t xml:space="preserve">标</w:t>
            </w:r>
            <w:r>
              <w:rPr>
                <w:rFonts w:ascii="宋体" w:hAnsi="宋体" w:cs="宋体"/>
                <w:color w:val="000000"/>
                <w:spacing w:val="-2"/>
                <w:sz w:val="24"/>
                <w:highlight w:val="none"/>
              </w:rPr>
              <w:t xml:space="preserve">题</w:t>
            </w:r>
            <w:r/>
          </w:p>
        </w:tc>
        <w:tc>
          <w:tcPr>
            <w:tcW w:w="4254" w:type="dxa"/>
            <w:textDirection w:val="lrTb"/>
            <w:noWrap w:val="false"/>
          </w:tcPr>
          <w:p>
            <w:pPr>
              <w:spacing w:line="255" w:lineRule="auto"/>
              <w:rPr>
                <w:rFonts w:ascii="Arial"/>
                <w:color w:val="000000"/>
                <w:sz w:val="24"/>
                <w:highlight w:val="none"/>
              </w:rPr>
            </w:pPr>
            <w:r>
              <w:rPr>
                <w:rFonts w:ascii="Arial"/>
                <w:color w:val="000000"/>
                <w:sz w:val="24"/>
                <w:highlight w:val="none"/>
              </w:rPr>
            </w:r>
            <w:r/>
          </w:p>
          <w:p>
            <w:pPr>
              <w:ind w:left="1918"/>
              <w:spacing w:before="78" w:line="220" w:lineRule="auto"/>
              <w:rPr>
                <w:rFonts w:ascii="宋体" w:hAnsi="宋体" w:cs="宋体"/>
                <w:color w:val="000000"/>
                <w:sz w:val="24"/>
                <w:highlight w:val="none"/>
              </w:rPr>
            </w:pPr>
            <w:r>
              <w:rPr>
                <w:rFonts w:ascii="宋体" w:hAnsi="宋体" w:cs="宋体"/>
                <w:color w:val="000000"/>
                <w:spacing w:val="-11"/>
                <w:sz w:val="24"/>
                <w:highlight w:val="none"/>
              </w:rPr>
              <w:t xml:space="preserve">内</w:t>
            </w:r>
            <w:r>
              <w:rPr>
                <w:rFonts w:ascii="宋体" w:hAnsi="宋体" w:cs="宋体"/>
                <w:color w:val="000000"/>
                <w:spacing w:val="-9"/>
                <w:sz w:val="24"/>
                <w:highlight w:val="none"/>
              </w:rPr>
              <w:t xml:space="preserve">容</w:t>
            </w:r>
            <w:r/>
          </w:p>
        </w:tc>
      </w:tr>
      <w:tr>
        <w:trPr>
          <w:jc w:val="center"/>
          <w:trHeight w:val="909"/>
        </w:trPr>
        <w:tc>
          <w:tcPr>
            <w:tcW w:w="4737"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ind w:left="1894"/>
              <w:spacing w:before="78" w:line="220" w:lineRule="auto"/>
              <w:rPr>
                <w:rFonts w:ascii="宋体" w:hAnsi="宋体" w:cs="宋体"/>
                <w:color w:val="000000"/>
                <w:sz w:val="24"/>
                <w:highlight w:val="none"/>
              </w:rPr>
            </w:pPr>
            <w:r>
              <w:rPr>
                <w:rFonts w:hint="eastAsia" w:ascii="宋体" w:hAnsi="宋体" w:cs="宋体"/>
                <w:color w:val="000000"/>
                <w:spacing w:val="-2"/>
                <w:sz w:val="24"/>
                <w:highlight w:val="none"/>
              </w:rPr>
              <w:t xml:space="preserve">项目</w:t>
            </w:r>
            <w:r>
              <w:rPr>
                <w:rFonts w:ascii="宋体" w:hAnsi="宋体" w:cs="宋体"/>
                <w:color w:val="000000"/>
                <w:spacing w:val="-2"/>
                <w:sz w:val="24"/>
                <w:highlight w:val="none"/>
              </w:rPr>
              <w:t xml:space="preserve">名称</w:t>
            </w:r>
            <w:r/>
          </w:p>
        </w:tc>
        <w:tc>
          <w:tcPr>
            <w:tcW w:w="4254"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908"/>
        </w:trPr>
        <w:tc>
          <w:tcPr>
            <w:tcW w:w="4737" w:type="dxa"/>
            <w:textDirection w:val="lrTb"/>
            <w:noWrap w:val="false"/>
          </w:tcPr>
          <w:p>
            <w:pPr>
              <w:spacing w:line="255" w:lineRule="auto"/>
              <w:rPr>
                <w:rFonts w:ascii="Arial"/>
                <w:color w:val="000000"/>
                <w:sz w:val="24"/>
                <w:highlight w:val="none"/>
              </w:rPr>
            </w:pPr>
            <w:r>
              <w:rPr>
                <w:rFonts w:ascii="Arial"/>
                <w:color w:val="000000"/>
                <w:sz w:val="24"/>
                <w:highlight w:val="none"/>
              </w:rPr>
            </w:r>
            <w:r/>
          </w:p>
          <w:p>
            <w:pPr>
              <w:ind w:left="1536"/>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w:t>
            </w:r>
            <w:r>
              <w:rPr>
                <w:rFonts w:hint="eastAsia" w:ascii="宋体" w:hAnsi="宋体" w:cs="宋体"/>
                <w:color w:val="000000"/>
                <w:spacing w:val="-2"/>
                <w:sz w:val="24"/>
                <w:highlight w:val="none"/>
              </w:rPr>
              <w:t xml:space="preserve">总报价</w:t>
            </w:r>
            <w:r>
              <w:rPr>
                <w:rFonts w:ascii="宋体" w:hAnsi="宋体" w:cs="宋体"/>
                <w:color w:val="000000"/>
                <w:spacing w:val="-1"/>
                <w:sz w:val="24"/>
                <w:highlight w:val="none"/>
              </w:rPr>
              <w:t xml:space="preserve">大写</w:t>
            </w:r>
            <w:r/>
          </w:p>
        </w:tc>
        <w:tc>
          <w:tcPr>
            <w:tcW w:w="4254"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911"/>
        </w:trPr>
        <w:tc>
          <w:tcPr>
            <w:tcW w:w="4737"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ind w:left="1536"/>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w:t>
            </w:r>
            <w:r>
              <w:rPr>
                <w:rFonts w:hint="eastAsia" w:ascii="宋体" w:hAnsi="宋体" w:cs="宋体"/>
                <w:color w:val="000000"/>
                <w:spacing w:val="-2"/>
                <w:sz w:val="24"/>
                <w:highlight w:val="none"/>
              </w:rPr>
              <w:t xml:space="preserve">总报价</w:t>
            </w:r>
            <w:r>
              <w:rPr>
                <w:rFonts w:ascii="宋体" w:hAnsi="宋体" w:cs="宋体"/>
                <w:color w:val="000000"/>
                <w:spacing w:val="-1"/>
                <w:sz w:val="24"/>
                <w:highlight w:val="none"/>
              </w:rPr>
              <w:t xml:space="preserve">小写</w:t>
            </w:r>
            <w:r/>
          </w:p>
        </w:tc>
        <w:tc>
          <w:tcPr>
            <w:tcW w:w="4254"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jc w:val="center"/>
              <w:spacing w:before="78" w:line="22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18"/>
        </w:trPr>
        <w:tc>
          <w:tcPr>
            <w:tcW w:w="4737" w:type="dxa"/>
            <w:vAlign w:val="center"/>
            <w:textDirection w:val="lrTb"/>
            <w:noWrap w:val="false"/>
          </w:tcPr>
          <w:p>
            <w:pPr>
              <w:jc w:val="center"/>
              <w:spacing w:before="78" w:line="218" w:lineRule="auto"/>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4254" w:type="dxa"/>
            <w:vAlign w:val="center"/>
            <w:textDirection w:val="lrTb"/>
            <w:noWrap w:val="false"/>
          </w:tcPr>
          <w:p>
            <w:pPr>
              <w:jc w:val="center"/>
              <w:spacing w:before="78" w:line="220" w:lineRule="auto"/>
              <w:rPr>
                <w:rFonts w:ascii="宋体" w:hAnsi="宋体" w:cs="宋体"/>
                <w:color w:val="000000"/>
                <w:sz w:val="24"/>
                <w:highlight w:val="none"/>
              </w:rPr>
            </w:pPr>
            <w:r>
              <w:rPr>
                <w:rFonts w:ascii="宋体" w:hAnsi="宋体" w:cs="宋体"/>
                <w:color w:val="000000"/>
                <w:sz w:val="24"/>
                <w:highlight w:val="none"/>
              </w:rPr>
            </w:r>
            <w:r/>
          </w:p>
        </w:tc>
      </w:tr>
    </w:tbl>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6040"/>
        <w:spacing w:before="78" w:line="219" w:lineRule="auto"/>
        <w:rPr>
          <w:rFonts w:ascii="宋体" w:hAnsi="宋体" w:cs="宋体"/>
          <w:color w:val="000000"/>
          <w:sz w:val="24"/>
          <w:highlight w:val="none"/>
        </w:rPr>
      </w:pPr>
      <w:r>
        <w:rPr>
          <w:rFonts w:ascii="宋体" w:hAnsi="宋体" w:cs="宋体"/>
          <w:color w:val="000000"/>
          <w:sz w:val="24"/>
          <w:highlight w:val="none"/>
        </w:rPr>
        <w:t xml:space="preserve">法定代表人签章：</w:t>
      </w:r>
      <w:r/>
    </w:p>
    <w:p>
      <w:pPr>
        <w:ind w:left="6080"/>
        <w:spacing w:before="268" w:line="220" w:lineRule="auto"/>
        <w:rPr>
          <w:rFonts w:ascii="宋体" w:hAnsi="宋体" w:cs="宋体"/>
          <w:color w:val="000000"/>
          <w:sz w:val="24"/>
          <w:highlight w:val="none"/>
        </w:rPr>
      </w:pPr>
      <w:r>
        <w:rPr>
          <w:rFonts w:ascii="宋体" w:hAnsi="宋体" w:cs="宋体"/>
          <w:color w:val="000000"/>
          <w:sz w:val="24"/>
          <w:highlight w:val="none"/>
        </w:rPr>
        <w:t xml:space="preserve">日期：</w:t>
      </w:r>
      <w:r/>
    </w:p>
    <w:p>
      <w:pPr>
        <w:rPr>
          <w:rFonts w:ascii="宋体" w:hAnsi="宋体" w:cs="楷体"/>
          <w:sz w:val="24"/>
          <w:highlight w:val="none"/>
          <w:u w:val="single"/>
        </w:rPr>
      </w:pPr>
      <w:r>
        <w:rPr>
          <w:rFonts w:ascii="宋体" w:hAnsi="宋体" w:cs="楷体"/>
          <w:sz w:val="24"/>
          <w:highlight w:val="none"/>
          <w:u w:val="single"/>
        </w:rPr>
        <w:br w:type="page" w:clear="all"/>
      </w:r>
      <w:r/>
    </w:p>
    <w:p>
      <w:pPr>
        <w:jc w:val="center"/>
        <w:spacing w:before="91" w:line="219" w:lineRule="auto"/>
        <w:rPr>
          <w:rFonts w:ascii="宋体" w:hAnsi="宋体" w:cs="宋体"/>
          <w:color w:val="000000"/>
          <w:spacing w:val="-6"/>
          <w:sz w:val="24"/>
          <w:highlight w:val="none"/>
        </w:rPr>
        <w:outlineLvl w:val="2"/>
      </w:pPr>
      <w:r>
        <w:rPr>
          <w:rFonts w:ascii="宋体" w:hAnsi="宋体" w:cs="宋体"/>
          <w:color w:val="000000"/>
          <w:spacing w:val="-6"/>
          <w:sz w:val="24"/>
          <w:highlight w:val="none"/>
        </w:rPr>
        <w:t xml:space="preserve">(</w:t>
      </w:r>
      <w:r>
        <w:rPr>
          <w:rFonts w:hint="eastAsia" w:ascii="宋体" w:hAnsi="宋体" w:cs="宋体"/>
          <w:color w:val="000000"/>
          <w:spacing w:val="-6"/>
          <w:sz w:val="24"/>
          <w:highlight w:val="none"/>
          <w:lang w:val="en-US" w:eastAsia="zh-CN"/>
        </w:rPr>
        <w:t xml:space="preserve">六）</w:t>
      </w:r>
      <w:r>
        <w:rPr>
          <w:rFonts w:ascii="宋体" w:hAnsi="宋体" w:cs="宋体"/>
          <w:color w:val="000000"/>
          <w:spacing w:val="-6"/>
          <w:sz w:val="24"/>
          <w:highlight w:val="none"/>
        </w:rPr>
        <w:t xml:space="preserve">首次明细报价表</w:t>
      </w:r>
      <w:r/>
    </w:p>
    <w:p>
      <w:pPr>
        <w:spacing w:line="120" w:lineRule="exact"/>
        <w:rPr>
          <w:color w:val="000000"/>
          <w:highlight w:val="none"/>
        </w:rPr>
      </w:pPr>
      <w:r>
        <w:rPr>
          <w:color w:val="000000"/>
          <w:highlight w:val="none"/>
        </w:rPr>
      </w:r>
      <w:r/>
    </w:p>
    <w:tbl>
      <w:tblPr>
        <w:tblStyle w:val="143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296"/>
        <w:gridCol w:w="568"/>
        <w:gridCol w:w="902"/>
        <w:gridCol w:w="1521"/>
        <w:gridCol w:w="1353"/>
        <w:gridCol w:w="59"/>
        <w:gridCol w:w="930"/>
      </w:tblGrid>
      <w:tr>
        <w:trPr>
          <w:jc w:val="center"/>
          <w:trHeight w:val="604"/>
        </w:trPr>
        <w:tc>
          <w:tcPr>
            <w:gridSpan w:val="9"/>
            <w:tcW w:w="8504" w:type="dxa"/>
            <w:vAlign w:val="center"/>
            <w:textDirection w:val="lrTb"/>
            <w:noWrap w:val="false"/>
          </w:tcPr>
          <w:p>
            <w:pPr>
              <w:jc w:val="center"/>
              <w:rPr>
                <w:rFonts w:ascii="宋体" w:hAnsi="宋体" w:cs="宋体"/>
                <w:color w:val="000000"/>
                <w:sz w:val="24"/>
                <w:highlight w:val="none"/>
              </w:rPr>
            </w:pPr>
            <w:r/>
            <w:bookmarkStart w:id="184" w:name="_bookmark88"/>
            <w:r/>
            <w:bookmarkEnd w:id="184"/>
            <w:r>
              <w:rPr>
                <w:rFonts w:hint="eastAsia" w:ascii="宋体" w:hAnsi="宋体" w:cs="宋体"/>
                <w:color w:val="000000"/>
                <w:sz w:val="24"/>
                <w:highlight w:val="none"/>
              </w:rPr>
              <w:t xml:space="preserve">一、服务部分</w:t>
            </w:r>
            <w:r/>
          </w:p>
        </w:tc>
      </w:tr>
      <w:tr>
        <w:trPr>
          <w:jc w:val="center"/>
          <w:trHeight w:val="940"/>
        </w:trPr>
        <w:tc>
          <w:tcPr>
            <w:tcW w:w="479" w:type="dxa"/>
            <w:vAlign w:val="center"/>
            <w:textDirection w:val="tbRlV"/>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3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名称</w:t>
            </w:r>
            <w:r/>
          </w:p>
        </w:tc>
        <w:tc>
          <w:tcPr>
            <w:gridSpan w:val="3"/>
            <w:tcW w:w="276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服务内容</w:t>
            </w:r>
            <w:r/>
          </w:p>
        </w:tc>
        <w:tc>
          <w:tcPr>
            <w:tcW w:w="152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135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价格(元)</w:t>
            </w:r>
            <w:r/>
          </w:p>
        </w:tc>
        <w:tc>
          <w:tcPr>
            <w:gridSpan w:val="2"/>
            <w:tcW w:w="98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3"/>
            <w:tcW w:w="276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98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99"/>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3"/>
            <w:tcW w:w="276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98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00"/>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服务部分小计：   元</w:t>
            </w:r>
            <w:r/>
          </w:p>
        </w:tc>
      </w:tr>
      <w:tr>
        <w:trPr>
          <w:jc w:val="center"/>
          <w:trHeight w:val="598"/>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二、货物部分</w:t>
            </w:r>
            <w:r/>
          </w:p>
        </w:tc>
      </w:tr>
      <w:tr>
        <w:trPr>
          <w:jc w:val="center"/>
          <w:trHeight w:val="942"/>
        </w:trPr>
        <w:tc>
          <w:tcPr>
            <w:tcW w:w="479" w:type="dxa"/>
            <w:vAlign w:val="center"/>
            <w:textDirection w:val="tbRlV"/>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3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名称</w:t>
            </w:r>
            <w:r/>
          </w:p>
        </w:tc>
        <w:tc>
          <w:tcPr>
            <w:tcW w:w="12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品牌型号</w:t>
            </w:r>
            <w:r/>
          </w:p>
        </w:tc>
        <w:tc>
          <w:tcPr>
            <w:gridSpan w:val="2"/>
            <w:tcW w:w="147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152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单价(元)</w:t>
            </w:r>
            <w:r/>
          </w:p>
        </w:tc>
        <w:tc>
          <w:tcPr>
            <w:gridSpan w:val="2"/>
            <w:tcW w:w="141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合计(元)</w:t>
            </w:r>
            <w:r/>
          </w:p>
        </w:tc>
        <w:tc>
          <w:tcPr>
            <w:tcW w:w="93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1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93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00"/>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1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93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99"/>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货物部分小计：   元</w:t>
            </w:r>
            <w:r/>
          </w:p>
        </w:tc>
      </w:tr>
      <w:tr>
        <w:trPr>
          <w:jc w:val="center"/>
          <w:trHeight w:val="940"/>
        </w:trPr>
        <w:tc>
          <w:tcPr>
            <w:gridSpan w:val="4"/>
            <w:tcW w:w="373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其它相关费用(培训、税费等与项目相关的一切费用)</w:t>
            </w:r>
            <w:r/>
          </w:p>
        </w:tc>
        <w:tc>
          <w:tcPr>
            <w:gridSpan w:val="5"/>
            <w:tcW w:w="476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元</w:t>
            </w:r>
            <w:r/>
          </w:p>
        </w:tc>
      </w:tr>
      <w:tr>
        <w:trPr>
          <w:jc w:val="center"/>
          <w:trHeight w:val="477"/>
        </w:trPr>
        <w:tc>
          <w:tcPr>
            <w:gridSpan w:val="4"/>
            <w:tcW w:w="373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项目总报价</w:t>
            </w:r>
            <w:r/>
          </w:p>
        </w:tc>
        <w:tc>
          <w:tcPr>
            <w:gridSpan w:val="5"/>
            <w:tcW w:w="476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元</w:t>
            </w:r>
            <w:r/>
          </w:p>
        </w:tc>
      </w:tr>
    </w:tbl>
    <w:p>
      <w:pPr>
        <w:ind w:left="285"/>
        <w:spacing w:before="113" w:line="218" w:lineRule="auto"/>
        <w:rPr>
          <w:rFonts w:ascii="宋体" w:hAnsi="宋体" w:cs="宋体"/>
          <w:color w:val="000000"/>
          <w:sz w:val="24"/>
          <w:highlight w:val="none"/>
        </w:rPr>
      </w:pPr>
      <w:r>
        <w:rPr>
          <w:rFonts w:ascii="宋体" w:hAnsi="宋体" w:cs="宋体"/>
          <w:color w:val="000000"/>
          <w:sz w:val="24"/>
          <w:highlight w:val="none"/>
        </w:rPr>
        <w:t xml:space="preserve">注：1、</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应当按照招标文件采购需求及相关报价要求填写。</w:t>
      </w:r>
      <w:r/>
    </w:p>
    <w:p>
      <w:pPr>
        <w:ind w:right="116" w:firstLine="726"/>
        <w:spacing w:before="184" w:line="360"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5"/>
          <w:sz w:val="24"/>
          <w:highlight w:val="none"/>
        </w:rPr>
        <w:t xml:space="preserve">、</w:t>
      </w:r>
      <w:r>
        <w:rPr>
          <w:rFonts w:ascii="宋体" w:hAnsi="宋体" w:cs="宋体"/>
          <w:color w:val="000000"/>
          <w:spacing w:val="-5"/>
          <w:sz w:val="24"/>
          <w:highlight w:val="none"/>
          <w:u w:val="single"/>
        </w:rPr>
        <w:t xml:space="preserve">本表中“其它”由</w:t>
      </w:r>
      <w:r>
        <w:rPr>
          <w:rFonts w:hint="eastAsia" w:ascii="宋体" w:hAnsi="宋体" w:cs="宋体"/>
          <w:color w:val="000000"/>
          <w:spacing w:val="-5"/>
          <w:sz w:val="24"/>
          <w:highlight w:val="none"/>
          <w:u w:val="single"/>
        </w:rPr>
        <w:t xml:space="preserve">供应商</w:t>
      </w:r>
      <w:r>
        <w:rPr>
          <w:rFonts w:ascii="宋体" w:hAnsi="宋体" w:cs="宋体"/>
          <w:color w:val="000000"/>
          <w:spacing w:val="-5"/>
          <w:sz w:val="24"/>
          <w:highlight w:val="none"/>
          <w:u w:val="single"/>
        </w:rPr>
        <w:t xml:space="preserve">根据采购需求及自身经验进行补充填写。项目实施时，除采</w:t>
      </w:r>
      <w:r>
        <w:rPr>
          <w:rFonts w:ascii="宋体" w:hAnsi="宋体" w:cs="宋体"/>
          <w:color w:val="000000"/>
          <w:spacing w:val="-2"/>
          <w:sz w:val="24"/>
          <w:highlight w:val="none"/>
          <w:u w:val="single"/>
        </w:rPr>
        <w:t xml:space="preserve">购人明确提出需要变更增加外，不再增加任何费用，</w:t>
      </w:r>
      <w:r>
        <w:rPr>
          <w:rFonts w:hint="eastAsia" w:ascii="宋体" w:hAnsi="宋体" w:cs="宋体"/>
          <w:color w:val="000000"/>
          <w:spacing w:val="-2"/>
          <w:sz w:val="24"/>
          <w:highlight w:val="none"/>
          <w:u w:val="single"/>
        </w:rPr>
        <w:t xml:space="preserve">供应商</w:t>
      </w:r>
      <w:r>
        <w:rPr>
          <w:rFonts w:ascii="宋体" w:hAnsi="宋体" w:cs="宋体"/>
          <w:color w:val="000000"/>
          <w:spacing w:val="-2"/>
          <w:sz w:val="24"/>
          <w:highlight w:val="none"/>
          <w:u w:val="single"/>
        </w:rPr>
        <w:t xml:space="preserve">应确保本项目能安全、正常</w:t>
      </w:r>
      <w:r>
        <w:rPr>
          <w:rFonts w:ascii="宋体" w:hAnsi="宋体" w:cs="宋体"/>
          <w:color w:val="000000"/>
          <w:spacing w:val="-1"/>
          <w:sz w:val="24"/>
          <w:highlight w:val="none"/>
          <w:u w:val="single"/>
        </w:rPr>
        <w:t xml:space="preserve">运</w:t>
      </w:r>
      <w:r>
        <w:rPr>
          <w:rFonts w:ascii="宋体" w:hAnsi="宋体" w:cs="宋体"/>
          <w:color w:val="000000"/>
          <w:sz w:val="24"/>
          <w:highlight w:val="none"/>
          <w:u w:val="single"/>
        </w:rPr>
        <w:t xml:space="preserve">行</w:t>
      </w:r>
      <w:r>
        <w:rPr>
          <w:rFonts w:ascii="宋体" w:hAnsi="宋体" w:cs="宋体"/>
          <w:color w:val="000000"/>
          <w:spacing w:val="-22"/>
          <w:sz w:val="24"/>
          <w:highlight w:val="none"/>
          <w:u w:val="single"/>
        </w:rPr>
        <w:t xml:space="preserve">并</w:t>
      </w:r>
      <w:r>
        <w:rPr>
          <w:rFonts w:ascii="宋体" w:hAnsi="宋体" w:cs="宋体"/>
          <w:color w:val="000000"/>
          <w:spacing w:val="-20"/>
          <w:sz w:val="24"/>
          <w:highlight w:val="none"/>
          <w:u w:val="single"/>
        </w:rPr>
        <w:t xml:space="preserve">达到采购要求。</w:t>
      </w:r>
      <w:r/>
    </w:p>
    <w:p>
      <w:pPr>
        <w:ind w:left="487" w:firstLine="226"/>
        <w:spacing w:line="218" w:lineRule="auto"/>
        <w:rPr>
          <w:rFonts w:ascii="宋体" w:hAnsi="宋体" w:cs="宋体"/>
          <w:color w:val="000000"/>
          <w:sz w:val="24"/>
          <w:highlight w:val="none"/>
        </w:rPr>
      </w:pPr>
      <w:r>
        <w:rPr>
          <w:rFonts w:ascii="宋体" w:hAnsi="宋体" w:cs="宋体"/>
          <w:color w:val="000000"/>
          <w:spacing w:val="-7"/>
          <w:sz w:val="24"/>
          <w:highlight w:val="none"/>
        </w:rPr>
        <w:t xml:space="preserve">3</w:t>
      </w:r>
      <w:r>
        <w:rPr>
          <w:rFonts w:ascii="宋体" w:hAnsi="宋体" w:cs="宋体"/>
          <w:color w:val="000000"/>
          <w:spacing w:val="-6"/>
          <w:sz w:val="24"/>
          <w:highlight w:val="none"/>
        </w:rPr>
        <w:t xml:space="preserve">、</w:t>
      </w:r>
      <w:r>
        <w:rPr>
          <w:rFonts w:ascii="宋体" w:hAnsi="宋体" w:cs="宋体"/>
          <w:color w:val="000000"/>
          <w:spacing w:val="-6"/>
          <w:sz w:val="24"/>
          <w:highlight w:val="none"/>
          <w:u w:val="single"/>
        </w:rPr>
        <w:t xml:space="preserve">本表中项目总报价应与开标一览表中项目总报价保持一致。</w:t>
      </w:r>
      <w:r/>
    </w:p>
    <w:p>
      <w:pPr>
        <w:ind w:left="481" w:firstLine="208"/>
        <w:spacing w:before="184" w:line="218" w:lineRule="auto"/>
        <w:rPr>
          <w:color w:val="000000"/>
          <w:highlight w:val="none"/>
        </w:rPr>
        <w:sectPr>
          <w:headerReference w:type="default" r:id="rId17"/>
          <w:footerReference w:type="default" r:id="rId38"/>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4"/>
          <w:highlight w:val="none"/>
        </w:rPr>
        <w:t xml:space="preserve">4</w:t>
      </w:r>
      <w:r>
        <w:rPr>
          <w:rFonts w:ascii="宋体" w:hAnsi="宋体" w:cs="宋体"/>
          <w:color w:val="000000"/>
          <w:spacing w:val="-11"/>
          <w:sz w:val="24"/>
          <w:highlight w:val="none"/>
        </w:rPr>
        <w:t xml:space="preserve">、</w:t>
      </w:r>
      <w:r>
        <w:rPr>
          <w:rFonts w:ascii="宋体" w:hAnsi="宋体" w:cs="宋体"/>
          <w:color w:val="000000"/>
          <w:spacing w:val="-8"/>
          <w:sz w:val="24"/>
          <w:highlight w:val="none"/>
          <w:u w:val="single"/>
        </w:rPr>
        <w:t xml:space="preserve">报价保留至小数点后两位，四舍五入。</w:t>
      </w:r>
      <w:r/>
    </w:p>
    <w:p>
      <w:pPr>
        <w:jc w:val="center"/>
        <w:spacing w:before="101" w:line="225" w:lineRule="auto"/>
        <w:rPr>
          <w:rFonts w:ascii="宋体" w:hAnsi="宋体" w:cs="宋体"/>
          <w:color w:val="000000"/>
          <w:sz w:val="24"/>
          <w:highlight w:val="none"/>
        </w:rPr>
        <w:outlineLvl w:val="1"/>
      </w:pPr>
      <w:r/>
      <w:bookmarkStart w:id="185" w:name="_bookmark89"/>
      <w:r/>
      <w:bookmarkEnd w:id="185"/>
      <w:r>
        <w:rPr>
          <w:rFonts w:ascii="宋体" w:hAnsi="宋体" w:cs="宋体"/>
          <w:color w:val="000000"/>
          <w:spacing w:val="4"/>
          <w:sz w:val="24"/>
          <w:highlight w:val="none"/>
        </w:rPr>
        <w:t xml:space="preserve">四</w:t>
      </w:r>
      <w:r>
        <w:rPr>
          <w:rFonts w:ascii="宋体" w:hAnsi="宋体" w:cs="宋体"/>
          <w:color w:val="000000"/>
          <w:spacing w:val="2"/>
          <w:sz w:val="24"/>
          <w:highlight w:val="none"/>
        </w:rPr>
        <w:t xml:space="preserve">、其他部分</w:t>
      </w:r>
      <w:r/>
    </w:p>
    <w:p>
      <w:pPr>
        <w:rPr>
          <w:color w:val="000000"/>
          <w:sz w:val="24"/>
          <w:highlight w:val="none"/>
        </w:rPr>
        <w:sectPr>
          <w:headerReference w:type="default" r:id="rId18"/>
          <w:footerReference w:type="default" r:id="rId39"/>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360" w:lineRule="auto"/>
        <w:rPr>
          <w:rFonts w:ascii="宋体" w:hAnsi="宋体" w:cs="宋体"/>
          <w:color w:val="000000"/>
          <w:sz w:val="24"/>
          <w:highlight w:val="none"/>
        </w:rPr>
        <w:outlineLvl w:val="2"/>
      </w:pPr>
      <w:r>
        <w:rPr>
          <w:rFonts w:ascii="宋体" w:hAnsi="宋体" w:cs="宋体"/>
          <w:color w:val="000000"/>
          <w:spacing w:val="-6"/>
          <w:sz w:val="24"/>
          <w:highlight w:val="none"/>
        </w:rPr>
        <w:t xml:space="preserve">(一)中小企业声明函</w:t>
      </w:r>
      <w:r/>
    </w:p>
    <w:p>
      <w:pPr>
        <w:pStyle w:val="1464"/>
        <w:jc w:val="center"/>
        <w:spacing w:before="30" w:beforeAutospacing="0" w:after="30" w:afterAutospacing="0"/>
        <w:shd w:val="clear" w:color="auto" w:fill="ffffff"/>
        <w:rPr>
          <w:rStyle w:val="1469"/>
          <w:rFonts w:hint="eastAsia" w:ascii="Times New Roman" w:hAnsi="Times New Roman" w:eastAsia="宋体" w:cs="Times New Roman"/>
          <w:color w:val="333333"/>
          <w:highlight w:val="none"/>
          <w:shd w:val="clear" w:color="auto" w:fill="ffffff"/>
          <w:lang w:eastAsia="zh-CN"/>
        </w:rPr>
      </w:pPr>
      <w:r/>
      <w:bookmarkStart w:id="186" w:name="_bookmark90"/>
      <w:r/>
      <w:bookmarkEnd w:id="186"/>
      <w:r>
        <w:rPr>
          <w:rStyle w:val="1469"/>
          <w:rFonts w:hint="eastAsia" w:ascii="Times New Roman" w:hAnsi="Times New Roman" w:eastAsia="宋体" w:cs="Times New Roman"/>
          <w:color w:val="333333"/>
          <w:highlight w:val="none"/>
          <w:shd w:val="clear" w:color="auto" w:fill="ffffff"/>
          <w:lang w:eastAsia="zh-CN"/>
        </w:rPr>
        <w:t xml:space="preserve">中小微企业声明函（服务类项目）</w:t>
      </w:r>
      <w:r/>
    </w:p>
    <w:p>
      <w:pPr>
        <w:pStyle w:val="1464"/>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1464"/>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464"/>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464"/>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464"/>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464"/>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46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464"/>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1464"/>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146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4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4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4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46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color w:val="000000"/>
          <w:sz w:val="24"/>
          <w:highlight w:val="none"/>
        </w:rPr>
      </w:pPr>
      <w:r>
        <w:rPr>
          <w:color w:val="000000"/>
          <w:sz w:val="24"/>
          <w:highlight w:val="none"/>
        </w:rPr>
        <w:br w:type="page" w:clear="all"/>
      </w:r>
      <w:r/>
    </w:p>
    <w:p>
      <w:pPr>
        <w:jc w:val="center"/>
        <w:spacing w:before="91" w:line="360" w:lineRule="auto"/>
        <w:rPr>
          <w:rFonts w:ascii="宋体" w:hAnsi="宋体" w:cs="宋体"/>
          <w:color w:val="auto"/>
          <w:spacing w:val="-6"/>
          <w:sz w:val="24"/>
          <w:highlight w:val="none"/>
        </w:rPr>
        <w:outlineLvl w:val="2"/>
      </w:pPr>
      <w:r>
        <w:rPr>
          <w:rFonts w:hint="eastAsia" w:ascii="宋体" w:hAnsi="宋体" w:cs="宋体"/>
          <w:color w:val="auto"/>
          <w:spacing w:val="-6"/>
          <w:sz w:val="24"/>
          <w:highlight w:val="none"/>
        </w:rPr>
        <w:t xml:space="preserve">(二)关于符合本国产品标准的声明函</w:t>
      </w:r>
      <w:r/>
    </w:p>
    <w:p>
      <w:pPr>
        <w:pStyle w:val="1464"/>
        <w:jc w:val="center"/>
        <w:spacing w:before="30" w:beforeAutospacing="0" w:after="30" w:afterAutospacing="0"/>
        <w:shd w:val="clear" w:color="auto" w:fill="ffffff"/>
        <w:rPr>
          <w:rFonts w:eastAsia="宋体"/>
          <w:color w:val="auto"/>
          <w:highlight w:val="none"/>
          <w:shd w:val="clear" w:color="auto" w:fill="ffffff"/>
        </w:rPr>
      </w:pPr>
      <w:r>
        <w:rPr>
          <w:rStyle w:val="1469"/>
          <w:rFonts w:hint="eastAsia" w:eastAsia="宋体"/>
          <w:color w:val="auto"/>
          <w:highlight w:val="none"/>
          <w:shd w:val="clear" w:color="auto" w:fill="ffffff"/>
        </w:rPr>
        <w:t xml:space="preserve">关于符合本国产品标准的声明函</w:t>
      </w:r>
      <w:r/>
    </w:p>
    <w:p>
      <w:pPr>
        <w:pStyle w:val="1464"/>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提供的以下产品属于本国产品。具体情况如下：</w:t>
      </w:r>
      <w:r/>
    </w:p>
    <w:p>
      <w:pPr>
        <w:pStyle w:val="1464"/>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1.</w:t>
      </w:r>
      <w:r>
        <w:rPr>
          <w:rStyle w:val="1472"/>
          <w:rFonts w:hint="eastAsia" w:eastAsia="宋体"/>
          <w:color w:val="auto"/>
          <w:highlight w:val="none"/>
          <w:shd w:val="clear" w:color="auto" w:fill="ffffff"/>
        </w:rPr>
        <w:t xml:space="preserve">（产品名称1）</w:t>
      </w:r>
      <w:r>
        <w:rPr>
          <w:rStyle w:val="1472"/>
          <w:rFonts w:hint="eastAsia" w:eastAsia="宋体"/>
          <w:color w:val="auto"/>
          <w:highlight w:val="none"/>
          <w:shd w:val="clear" w:color="auto" w:fill="ffffff"/>
          <w:vertAlign w:val="superscript"/>
        </w:rPr>
        <w:t xml:space="preserve">1</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，生产厂为</w:t>
      </w:r>
      <w:r>
        <w:rPr>
          <w:rStyle w:val="1472"/>
          <w:rFonts w:hint="eastAsia" w:eastAsia="宋体"/>
          <w:color w:val="auto"/>
          <w:highlight w:val="none"/>
          <w:shd w:val="clear" w:color="auto" w:fill="ffffff"/>
        </w:rPr>
        <w:t xml:space="preserve">（厂名）</w:t>
      </w:r>
      <w:r>
        <w:rPr>
          <w:rStyle w:val="1472"/>
          <w:rFonts w:hint="eastAsia" w:eastAsia="宋体"/>
          <w:color w:val="auto"/>
          <w:highlight w:val="none"/>
          <w:shd w:val="clear" w:color="auto" w:fill="ffffff"/>
          <w:vertAlign w:val="superscript"/>
        </w:rPr>
        <w:t xml:space="preserve">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，厂址为</w:t>
      </w:r>
      <w:r>
        <w:rPr>
          <w:rStyle w:val="1472"/>
          <w:rFonts w:hint="eastAsia" w:eastAsia="宋体"/>
          <w:color w:val="auto"/>
          <w:highlight w:val="none"/>
          <w:shd w:val="clear" w:color="auto" w:fill="ffffff"/>
        </w:rPr>
        <w:t xml:space="preserve">（生产厂址）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472"/>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的中国境内生产的组件成本占比≥</w:t>
      </w:r>
      <w:r>
        <w:rPr>
          <w:rStyle w:val="1472"/>
          <w:rFonts w:hint="eastAsia" w:eastAsia="宋体"/>
          <w:color w:val="auto"/>
          <w:highlight w:val="none"/>
          <w:shd w:val="clear" w:color="auto" w:fill="ffffff"/>
        </w:rPr>
        <w:t xml:space="preserve">（规定比例）</w:t>
      </w:r>
      <w:r>
        <w:rPr>
          <w:rStyle w:val="1472"/>
          <w:rFonts w:hint="eastAsia" w:eastAsia="宋体"/>
          <w:color w:val="auto"/>
          <w:highlight w:val="none"/>
          <w:shd w:val="clear" w:color="auto" w:fill="ffffff"/>
          <w:vertAlign w:val="superscript"/>
        </w:rPr>
        <w:t xml:space="preserve">3</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472"/>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w:t>
      </w:r>
      <w:r>
        <w:rPr>
          <w:rStyle w:val="1472"/>
          <w:rFonts w:hint="eastAsia" w:eastAsia="宋体"/>
          <w:color w:val="auto"/>
          <w:highlight w:val="none"/>
          <w:shd w:val="clear" w:color="auto" w:fill="ffffff"/>
        </w:rPr>
        <w:t xml:space="preserve">（关键组件）</w:t>
      </w:r>
      <w:r>
        <w:rPr>
          <w:rStyle w:val="1472"/>
          <w:rFonts w:hint="eastAsia" w:eastAsia="宋体"/>
          <w:color w:val="auto"/>
          <w:highlight w:val="none"/>
          <w:shd w:val="clear" w:color="auto" w:fill="ffffff"/>
          <w:vertAlign w:val="superscript"/>
        </w:rPr>
        <w:t xml:space="preserve">4</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在中国境内生产。</w:t>
      </w:r>
      <w:r>
        <w:rPr>
          <w:rStyle w:val="1472"/>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w:t>
      </w:r>
      <w:r>
        <w:rPr>
          <w:rStyle w:val="1472"/>
          <w:rFonts w:hint="eastAsia" w:eastAsia="宋体"/>
          <w:color w:val="auto"/>
          <w:highlight w:val="none"/>
          <w:shd w:val="clear" w:color="auto" w:fill="ffffff"/>
        </w:rPr>
        <w:t xml:space="preserve">（关键工序）</w:t>
      </w:r>
      <w:r>
        <w:rPr>
          <w:rStyle w:val="1472"/>
          <w:rFonts w:hint="eastAsia" w:eastAsia="宋体"/>
          <w:color w:val="auto"/>
          <w:highlight w:val="none"/>
          <w:shd w:val="clear" w:color="auto" w:fill="ffffff"/>
          <w:vertAlign w:val="superscript"/>
        </w:rPr>
        <w:t xml:space="preserve">5</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在中国境内完成。</w:t>
      </w:r>
      <w:r/>
    </w:p>
    <w:p>
      <w:pPr>
        <w:pStyle w:val="1464"/>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2.</w:t>
      </w:r>
      <w:r>
        <w:rPr>
          <w:rStyle w:val="1472"/>
          <w:rFonts w:hint="eastAsia" w:eastAsia="宋体"/>
          <w:color w:val="auto"/>
          <w:highlight w:val="none"/>
          <w:shd w:val="clear" w:color="auto" w:fill="ffffff"/>
        </w:rPr>
        <w:t xml:space="preserve">（产品名称2）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，生产厂为</w:t>
      </w:r>
      <w:r>
        <w:rPr>
          <w:rStyle w:val="1472"/>
          <w:rFonts w:hint="eastAsia" w:eastAsia="宋体"/>
          <w:color w:val="auto"/>
          <w:highlight w:val="none"/>
          <w:shd w:val="clear" w:color="auto" w:fill="ffffff"/>
        </w:rPr>
        <w:t xml:space="preserve">（厂名）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，厂址为</w:t>
      </w:r>
      <w:r>
        <w:rPr>
          <w:rStyle w:val="1472"/>
          <w:rFonts w:hint="eastAsia" w:eastAsia="宋体"/>
          <w:color w:val="auto"/>
          <w:highlight w:val="none"/>
          <w:shd w:val="clear" w:color="auto" w:fill="ffffff"/>
        </w:rPr>
        <w:t xml:space="preserve">（生产厂址）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472"/>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的中国境内生产的组件成本占比≥</w:t>
      </w:r>
      <w:r>
        <w:rPr>
          <w:rStyle w:val="1472"/>
          <w:rFonts w:hint="eastAsia" w:eastAsia="宋体"/>
          <w:color w:val="auto"/>
          <w:highlight w:val="none"/>
          <w:shd w:val="clear" w:color="auto" w:fill="ffffff"/>
        </w:rPr>
        <w:t xml:space="preserve">（规定比例）</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472"/>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w:t>
      </w:r>
      <w:r>
        <w:rPr>
          <w:rStyle w:val="1472"/>
          <w:rFonts w:hint="eastAsia" w:eastAsia="宋体"/>
          <w:color w:val="auto"/>
          <w:highlight w:val="none"/>
          <w:shd w:val="clear" w:color="auto" w:fill="ffffff"/>
        </w:rPr>
        <w:t xml:space="preserve">（关键组件）</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在中国境内生产。</w:t>
      </w:r>
      <w:r>
        <w:rPr>
          <w:rStyle w:val="1472"/>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w:t>
      </w:r>
      <w:r>
        <w:rPr>
          <w:rStyle w:val="1472"/>
          <w:rFonts w:hint="eastAsia" w:eastAsia="宋体"/>
          <w:color w:val="auto"/>
          <w:highlight w:val="none"/>
          <w:shd w:val="clear" w:color="auto" w:fill="ffffff"/>
        </w:rPr>
        <w:t xml:space="preserve">（关键工序）</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在中国境内完成。</w:t>
      </w:r>
      <w:r/>
    </w:p>
    <w:p>
      <w:pPr>
        <w:pStyle w:val="1464"/>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w:t>
      </w:r>
      <w:r/>
    </w:p>
    <w:p>
      <w:pPr>
        <w:pStyle w:val="1464"/>
        <w:ind w:firstLine="420"/>
        <w:spacing w:before="30" w:beforeAutospacing="0" w:after="30" w:afterAutospacing="0" w:line="360" w:lineRule="auto"/>
        <w:shd w:val="clear" w:color="auto" w:fill="ffffff"/>
        <w:rPr>
          <w:rFonts w:eastAsia="宋体"/>
          <w:color w:val="auto"/>
          <w:highlight w:val="none"/>
          <w:shd w:val="clear" w:color="auto" w:fill="ffffff"/>
        </w:rPr>
      </w:pPr>
      <w:r>
        <w:rPr>
          <w:rFonts w:hint="eastAsia" w:eastAsia="宋体"/>
          <w:color w:val="auto"/>
          <w:highlight w:val="none"/>
          <w:shd w:val="clear" w:color="auto" w:fill="ffffff"/>
        </w:rPr>
        <w:t xml:space="preserve">本公司（单位）对上述声明内容的真实性负责。如有虚假，愿承担相应法律责任。</w:t>
      </w:r>
      <w:r/>
    </w:p>
    <w:p>
      <w:pPr>
        <w:pStyle w:val="1464"/>
        <w:ind w:firstLine="420"/>
        <w:jc w:val="right"/>
        <w:spacing w:before="30" w:beforeAutospacing="0" w:after="30" w:afterAutospacing="0" w:line="360" w:lineRule="auto"/>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464"/>
        <w:ind w:firstLine="420"/>
        <w:jc w:val="right"/>
        <w:spacing w:before="30" w:beforeAutospacing="0" w:after="30" w:afterAutospacing="0" w:line="360" w:lineRule="auto"/>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464"/>
        <w:ind w:firstLine="420"/>
        <w:jc w:val="right"/>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公司（单位）名称（盖章）：      </w:t>
      </w:r>
      <w:r/>
    </w:p>
    <w:p>
      <w:pPr>
        <w:pStyle w:val="1464"/>
        <w:ind w:firstLine="420"/>
        <w:jc w:val="right"/>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日期：　　　　　年　　月　日    </w:t>
      </w:r>
      <w:r/>
    </w:p>
    <w:p>
      <w:pPr>
        <w:pStyle w:val="1464"/>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464"/>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464"/>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464"/>
        <w:spacing w:before="30" w:beforeAutospacing="0" w:after="30" w:afterAutospacing="0"/>
        <w:shd w:val="clear" w:color="auto" w:fill="ffffff"/>
        <w:rPr>
          <w:rFonts w:eastAsia="宋体"/>
          <w:color w:val="auto"/>
          <w:highlight w:val="none"/>
        </w:rPr>
      </w:pPr>
      <w:r>
        <w:rPr>
          <w:rFonts w:hint="eastAsia" w:eastAsia="宋体"/>
          <w:color w:val="auto"/>
          <w:highlight w:val="none"/>
          <w:shd w:val="clear" w:color="auto" w:fill="ffffff"/>
        </w:rPr>
        <w:t xml:space="preserve">_____________________________</w:t>
      </w:r>
      <w:r/>
    </w:p>
    <w:p>
      <w:pPr>
        <w:pStyle w:val="1464"/>
        <w:ind w:firstLine="420"/>
        <w:spacing w:before="30" w:beforeAutospacing="0" w:after="30" w:afterAutospacing="0"/>
        <w:shd w:val="clear" w:color="auto" w:fill="ffffff"/>
        <w:rPr>
          <w:rFonts w:eastAsia="宋体"/>
          <w:color w:val="auto"/>
          <w:highlight w:val="none"/>
        </w:rPr>
      </w:pPr>
      <w:r>
        <w:rPr>
          <w:rFonts w:ascii="楷体" w:hAnsi="楷体" w:eastAsia="楷体" w:cs="楷体"/>
          <w:color w:val="auto"/>
          <w:highlight w:val="none"/>
          <w:shd w:val="clear" w:color="auto" w:fill="ffffff"/>
        </w:rPr>
        <w:t xml:space="preserve">1.产品如有型号，请在“产品名称”栏一并填写。</w:t>
      </w:r>
      <w:r/>
    </w:p>
    <w:p>
      <w:pPr>
        <w:pStyle w:val="1464"/>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2.生产厂名与厂址应与生产厂营业执照载明的相关信息保持一致。</w:t>
      </w:r>
      <w:r/>
    </w:p>
    <w:p>
      <w:pPr>
        <w:pStyle w:val="1464"/>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3.该产品的中国境内生产的组件成本占比相关要求实施前，“规定比例”栏可不填，下同。</w:t>
      </w:r>
      <w:r/>
    </w:p>
    <w:p>
      <w:pPr>
        <w:pStyle w:val="1464"/>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4.该产品的关键组件要求实施前，“关键组件”栏可不填，下同。</w:t>
      </w:r>
      <w:r/>
    </w:p>
    <w:p>
      <w:pPr>
        <w:rPr>
          <w:color w:val="auto"/>
          <w:sz w:val="24"/>
          <w:highlight w:val="none"/>
        </w:rPr>
        <w:sectPr>
          <w:headerReference w:type="default" r:id="rId19"/>
          <w:footerReference w:type="default" r:id="rId40"/>
          <w:footnotePr/>
          <w:endnotePr/>
          <w:type w:val="nextPage"/>
          <w:pgSz w:w="11907" w:h="16839" w:orient="portrait"/>
          <w:pgMar w:top="1440" w:right="1800" w:bottom="1440" w:left="1800" w:header="1111" w:footer="1229" w:gutter="0"/>
          <w:cols w:num="1" w:sep="0" w:space="1701" w:equalWidth="1"/>
          <w:docGrid w:linePitch="360"/>
        </w:sectPr>
      </w:pPr>
      <w:r>
        <w:rPr>
          <w:rFonts w:hint="eastAsia" w:ascii="楷体" w:hAnsi="楷体" w:eastAsia="楷体" w:cs="楷体"/>
          <w:color w:val="auto"/>
          <w:sz w:val="24"/>
          <w:highlight w:val="none"/>
          <w:shd w:val="clear" w:color="auto" w:fill="ffffff"/>
        </w:rPr>
        <w:t xml:space="preserve">5.该产品的关键工序要求实施前，“关键工序”栏可不填，下同。</w:t>
      </w:r>
      <w:r/>
    </w:p>
    <w:p>
      <w:pPr>
        <w:pStyle w:val="1744"/>
        <w:jc w:val="center"/>
        <w:rPr>
          <w:rFonts w:hint="eastAsia" w:ascii="宋体" w:hAnsi="宋体" w:cs="宋体"/>
          <w:color w:val="000000"/>
          <w:spacing w:val="-4"/>
          <w:sz w:val="24"/>
          <w:highlight w:val="none"/>
        </w:rPr>
        <w:outlineLvl w:val="2"/>
      </w:pPr>
      <w:r/>
      <w:bookmarkStart w:id="187" w:name="_bookmark91"/>
      <w:r/>
      <w:bookmarkEnd w:id="187"/>
      <w:r>
        <w:rPr>
          <w:rFonts w:hint="eastAsia" w:ascii="宋体" w:hAnsi="宋体" w:cs="宋体"/>
          <w:color w:val="000000"/>
          <w:spacing w:val="-4"/>
          <w:sz w:val="24"/>
          <w:highlight w:val="none"/>
        </w:rPr>
        <w:t xml:space="preserve">(三)</w:t>
      </w:r>
      <w:bookmarkStart w:id="188" w:name="_Toc256000091"/>
      <w:r/>
      <w:bookmarkStart w:id="189" w:name="EB276847b82d1742a0a143ef2f7cdec288"/>
      <w:r>
        <w:rPr>
          <w:rFonts w:hint="eastAsia" w:ascii="宋体" w:hAnsi="宋体" w:cs="宋体"/>
          <w:color w:val="000000"/>
          <w:spacing w:val="-4"/>
          <w:sz w:val="24"/>
          <w:highlight w:val="none"/>
        </w:rPr>
        <w:t xml:space="preserve">联合体协议书</w:t>
      </w:r>
      <w:bookmarkEnd w:id="188"/>
      <w:r/>
      <w:r/>
    </w:p>
    <w:p>
      <w:pPr>
        <w:pStyle w:val="1745"/>
        <w:spacing w:line="400" w:lineRule="exact"/>
        <w:rPr>
          <w:rFonts w:ascii="宋体" w:hAnsi="宋体"/>
          <w:sz w:val="24"/>
        </w:rPr>
      </w:pPr>
      <w:r>
        <w:rPr>
          <w:rFonts w:hint="eastAsia" w:ascii="宋体" w:hAnsi="宋体"/>
          <w:sz w:val="24"/>
        </w:rPr>
        <w:t xml:space="preserve">牵头人名称：</w:t>
      </w:r>
      <w:r/>
    </w:p>
    <w:p>
      <w:pPr>
        <w:pStyle w:val="1745"/>
        <w:spacing w:line="400" w:lineRule="exact"/>
        <w:rPr>
          <w:rFonts w:ascii="宋体" w:hAnsi="宋体"/>
          <w:sz w:val="24"/>
        </w:rPr>
      </w:pPr>
      <w:r>
        <w:rPr>
          <w:rFonts w:hint="eastAsia" w:ascii="宋体" w:hAnsi="宋体"/>
          <w:sz w:val="24"/>
        </w:rPr>
        <w:t xml:space="preserve">法定代表人：</w:t>
      </w:r>
      <w:r/>
    </w:p>
    <w:p>
      <w:pPr>
        <w:pStyle w:val="1745"/>
        <w:spacing w:line="400" w:lineRule="exact"/>
        <w:rPr>
          <w:rFonts w:ascii="宋体" w:hAnsi="宋体"/>
          <w:sz w:val="24"/>
        </w:rPr>
      </w:pPr>
      <w:r>
        <w:rPr>
          <w:rFonts w:hint="eastAsia" w:ascii="宋体" w:hAnsi="宋体"/>
          <w:spacing w:val="15"/>
          <w:sz w:val="24"/>
        </w:rPr>
        <w:t xml:space="preserve">法定住</w:t>
      </w:r>
      <w:r>
        <w:rPr>
          <w:rFonts w:hint="eastAsia" w:ascii="宋体" w:hAnsi="宋体"/>
          <w:sz w:val="24"/>
        </w:rPr>
        <w:t xml:space="preserve">所</w:t>
      </w:r>
      <w:r>
        <w:rPr>
          <w:rFonts w:hint="eastAsia" w:ascii="宋体" w:hAnsi="宋体"/>
          <w:sz w:val="24"/>
        </w:rPr>
        <w:t xml:space="preserve">：</w:t>
      </w:r>
      <w:r/>
    </w:p>
    <w:p>
      <w:pPr>
        <w:pStyle w:val="1745"/>
        <w:spacing w:line="400" w:lineRule="exact"/>
        <w:rPr>
          <w:rFonts w:ascii="宋体" w:hAnsi="宋体"/>
          <w:sz w:val="24"/>
        </w:rPr>
      </w:pPr>
      <w:r>
        <w:rPr>
          <w:rFonts w:hint="eastAsia" w:ascii="宋体" w:hAnsi="宋体"/>
          <w:sz w:val="24"/>
        </w:rPr>
        <w:t xml:space="preserve">成员二名称：</w:t>
      </w:r>
      <w:r/>
    </w:p>
    <w:p>
      <w:pPr>
        <w:pStyle w:val="1745"/>
        <w:spacing w:line="400" w:lineRule="exact"/>
        <w:rPr>
          <w:rFonts w:ascii="宋体" w:hAnsi="宋体"/>
          <w:sz w:val="24"/>
        </w:rPr>
      </w:pPr>
      <w:r>
        <w:rPr>
          <w:rFonts w:hint="eastAsia" w:ascii="宋体" w:hAnsi="宋体"/>
          <w:sz w:val="24"/>
        </w:rPr>
        <w:t xml:space="preserve">法定代表人：</w:t>
      </w:r>
      <w:r/>
    </w:p>
    <w:p>
      <w:pPr>
        <w:pStyle w:val="1745"/>
        <w:spacing w:line="400" w:lineRule="exact"/>
        <w:rPr>
          <w:rFonts w:ascii="宋体" w:hAnsi="宋体"/>
          <w:sz w:val="24"/>
        </w:rPr>
      </w:pPr>
      <w:r>
        <w:rPr>
          <w:rFonts w:hint="eastAsia" w:ascii="宋体" w:hAnsi="宋体"/>
          <w:spacing w:val="15"/>
          <w:sz w:val="24"/>
        </w:rPr>
        <w:t xml:space="preserve">法定住</w:t>
      </w:r>
      <w:r>
        <w:rPr>
          <w:rFonts w:hint="eastAsia" w:ascii="宋体" w:hAnsi="宋体"/>
          <w:sz w:val="24"/>
        </w:rPr>
        <w:t xml:space="preserve">所</w:t>
      </w:r>
      <w:r>
        <w:rPr>
          <w:rFonts w:hint="eastAsia" w:ascii="宋体" w:hAnsi="宋体"/>
          <w:sz w:val="24"/>
        </w:rPr>
        <w:t xml:space="preserve">：</w:t>
      </w:r>
      <w:r/>
    </w:p>
    <w:p>
      <w:pPr>
        <w:pStyle w:val="1745"/>
        <w:ind w:firstLine="410"/>
        <w:spacing w:line="400" w:lineRule="exact"/>
        <w:rPr>
          <w:rFonts w:ascii="宋体" w:hAnsi="宋体"/>
          <w:sz w:val="24"/>
        </w:rPr>
      </w:pPr>
      <w:r>
        <w:rPr>
          <w:rFonts w:hint="eastAsia" w:ascii="宋体" w:hAnsi="宋体"/>
          <w:sz w:val="24"/>
        </w:rPr>
        <w:t xml:space="preserve">鉴于上述各成员单位经过友好协商，自愿组成</w:t>
      </w:r>
      <w:r>
        <w:rPr>
          <w:rFonts w:hint="eastAsia" w:ascii="宋体" w:hAnsi="宋体"/>
          <w:sz w:val="24"/>
          <w:u w:val="single"/>
          <w:lang w:val="en-US" w:eastAsia="zh-CN"/>
        </w:rPr>
        <w:t xml:space="preserve">         </w:t>
      </w:r>
      <w:r>
        <w:rPr>
          <w:rFonts w:hint="eastAsia" w:ascii="宋体" w:hAnsi="宋体"/>
          <w:sz w:val="24"/>
        </w:rPr>
        <w:t xml:space="preserve">（联合体名称）联合体，共同参加</w:t>
      </w:r>
      <w:r>
        <w:rPr>
          <w:rFonts w:hint="eastAsia" w:ascii="宋体" w:hAnsi="宋体"/>
          <w:sz w:val="24"/>
          <w:u w:val="single"/>
          <w:lang w:val="en-US" w:eastAsia="zh-CN"/>
        </w:rPr>
        <w:t xml:space="preserve">        </w:t>
      </w:r>
      <w:r>
        <w:rPr>
          <w:rFonts w:hint="eastAsia" w:ascii="宋体" w:hAnsi="宋体"/>
          <w:sz w:val="24"/>
        </w:rPr>
        <w:t xml:space="preserve">（采购人名称）（以下简称采购人）</w:t>
      </w:r>
      <w:r>
        <w:rPr>
          <w:rFonts w:hint="eastAsia" w:ascii="宋体" w:hAnsi="宋体"/>
          <w:sz w:val="24"/>
          <w:u w:val="single"/>
          <w:lang w:val="en-US" w:eastAsia="zh-CN"/>
        </w:rPr>
        <w:t xml:space="preserve">        </w:t>
      </w:r>
      <w:r>
        <w:rPr>
          <w:rFonts w:hint="eastAsia" w:ascii="宋体" w:hAnsi="宋体"/>
          <w:sz w:val="24"/>
        </w:rPr>
        <w:t xml:space="preserve">（项目编号）</w:t>
      </w:r>
      <w:r>
        <w:rPr>
          <w:rFonts w:hint="eastAsia" w:ascii="宋体" w:hAnsi="宋体"/>
          <w:sz w:val="24"/>
          <w:u w:val="single"/>
          <w:lang w:val="en-US" w:eastAsia="zh-CN"/>
        </w:rPr>
        <w:t xml:space="preserve">        </w:t>
      </w:r>
      <w:r>
        <w:rPr>
          <w:rFonts w:hint="eastAsia" w:ascii="宋体" w:hAnsi="宋体"/>
          <w:sz w:val="24"/>
        </w:rPr>
        <w:t xml:space="preserve">项目（项目名称）。现就有关事宜订立如下协议：</w:t>
      </w:r>
      <w:r/>
    </w:p>
    <w:p>
      <w:pPr>
        <w:pStyle w:val="1745"/>
        <w:ind w:firstLine="410"/>
        <w:spacing w:line="400" w:lineRule="exact"/>
        <w:rPr>
          <w:rFonts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u w:val="single"/>
          <w:lang w:val="en-US" w:eastAsia="zh-CN"/>
        </w:rPr>
        <w:t xml:space="preserve">        </w:t>
      </w:r>
      <w:r>
        <w:rPr>
          <w:rFonts w:hint="eastAsia" w:ascii="宋体" w:hAnsi="宋体"/>
          <w:sz w:val="24"/>
        </w:rPr>
        <w:t xml:space="preserve">（单位名称）为</w:t>
      </w:r>
      <w:r>
        <w:rPr>
          <w:rFonts w:hint="eastAsia" w:ascii="宋体" w:hAnsi="宋体"/>
          <w:sz w:val="24"/>
          <w:u w:val="single"/>
          <w:lang w:val="en-US" w:eastAsia="zh-CN"/>
        </w:rPr>
        <w:t xml:space="preserve">        </w:t>
      </w:r>
      <w:r>
        <w:rPr>
          <w:rFonts w:hint="eastAsia" w:ascii="宋体" w:hAnsi="宋体"/>
          <w:sz w:val="24"/>
        </w:rPr>
        <w:t xml:space="preserve">（联合体名称）牵头人。</w:t>
      </w:r>
      <w:r/>
    </w:p>
    <w:p>
      <w:pPr>
        <w:pStyle w:val="1745"/>
        <w:ind w:firstLine="410"/>
        <w:spacing w:line="400" w:lineRule="exact"/>
        <w:rPr>
          <w:rFonts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在本次采购活动中，联合体牵头人合法代表联合体各成员负责本项目响应文件编制、提交及参与磋商活动，代表联合体提交和接收相关的资料、信息及指示，并处理磋商和成交有关的一切事务。联合体牵头人在响应文件中的所有承诺均代表了联合体各成员，联合体牵头人在本项目中签署的一切文件和处理的一切事宜，联合体各成员均予以承认。</w:t>
      </w:r>
      <w:r/>
    </w:p>
    <w:p>
      <w:pPr>
        <w:pStyle w:val="1745"/>
        <w:ind w:firstLine="410"/>
        <w:spacing w:line="400" w:lineRule="exact"/>
        <w:rPr>
          <w:rFonts w:ascii="宋体" w:hAnsi="宋体"/>
          <w:sz w:val="24"/>
        </w:rPr>
      </w:pPr>
      <w:r>
        <w:rPr>
          <w:rFonts w:hint="eastAsia" w:ascii="宋体" w:hAnsi="宋体"/>
          <w:sz w:val="24"/>
        </w:rPr>
        <w:t xml:space="preserve">3、联合体将严格按照磋商文件的各项要求，联合体成员共同承担合同规定的一切义务和责任，联合体各成员单位按照内部职责的划分，承担各自所负的责任和风险，并向采购人承担连带责任。</w:t>
      </w:r>
      <w:r/>
    </w:p>
    <w:p>
      <w:pPr>
        <w:pStyle w:val="1745"/>
        <w:ind w:firstLine="412"/>
        <w:spacing w:line="400" w:lineRule="exact"/>
        <w:rPr>
          <w:rFonts w:hint="eastAsia" w:ascii="宋体" w:hAnsi="宋体"/>
          <w:b/>
          <w:bCs/>
          <w:sz w:val="24"/>
        </w:rPr>
      </w:pPr>
      <w:r>
        <w:rPr>
          <w:rFonts w:hint="eastAsia" w:ascii="宋体" w:hAnsi="宋体"/>
          <w:b/>
          <w:bCs/>
          <w:sz w:val="24"/>
        </w:rPr>
        <w:t xml:space="preserve">4.联合体各成员单位内部的职责分工如下：</w:t>
      </w:r>
      <w:r/>
    </w:p>
    <w:p>
      <w:pPr>
        <w:pStyle w:val="1745"/>
        <w:ind w:firstLine="412"/>
        <w:spacing w:line="400" w:lineRule="exact"/>
        <w:rPr>
          <w:rFonts w:ascii="宋体" w:hAnsi="宋体"/>
          <w:b/>
          <w:bCs/>
          <w:sz w:val="24"/>
        </w:rPr>
      </w:pPr>
      <w:r>
        <w:rPr>
          <w:rFonts w:ascii="宋体" w:hAnsi="宋体"/>
          <w:b/>
          <w:bCs/>
          <w:sz w:val="24"/>
        </w:rPr>
      </w:r>
      <w:r/>
    </w:p>
    <w:p>
      <w:pPr>
        <w:pStyle w:val="1745"/>
        <w:spacing w:line="400" w:lineRule="exact"/>
        <w:rPr>
          <w:rFonts w:hint="eastAsia" w:ascii="宋体" w:hAnsi="宋体"/>
          <w:sz w:val="24"/>
        </w:rPr>
      </w:pPr>
      <w:r>
        <w:rPr>
          <w:rFonts w:hint="eastAsia" w:ascii="宋体" w:hAnsi="宋体"/>
          <w:sz w:val="24"/>
        </w:rPr>
        <w:t xml:space="preserve">按照本条上述分工，联合体成员单位各自所承担的合同工作量比例如下：</w:t>
      </w:r>
      <w:r/>
    </w:p>
    <w:p>
      <w:pPr>
        <w:pStyle w:val="1745"/>
        <w:spacing w:line="400" w:lineRule="exact"/>
        <w:rPr>
          <w:rFonts w:hint="eastAsia" w:ascii="宋体" w:hAnsi="宋体"/>
          <w:sz w:val="24"/>
        </w:rPr>
      </w:pPr>
      <w:r>
        <w:rPr>
          <w:rFonts w:hint="eastAsia" w:ascii="宋体" w:hAnsi="宋体"/>
          <w:sz w:val="24"/>
          <w:u w:val="single"/>
          <w:lang w:val="en-US" w:eastAsia="zh-CN"/>
        </w:rPr>
        <w:t xml:space="preserve">        </w:t>
      </w:r>
      <w:r/>
    </w:p>
    <w:p>
      <w:pPr>
        <w:pStyle w:val="1745"/>
        <w:ind w:firstLine="410"/>
        <w:spacing w:line="400" w:lineRule="exact"/>
        <w:rPr>
          <w:rFonts w:ascii="宋体" w:hAnsi="宋体"/>
          <w:sz w:val="24"/>
        </w:rPr>
      </w:pPr>
      <w:r>
        <w:rPr>
          <w:rFonts w:hint="eastAsia" w:ascii="宋体" w:hAnsi="宋体"/>
          <w:sz w:val="24"/>
        </w:rPr>
        <w:t xml:space="preserve">5.联合体成交后，联合体各成员将共同与采购人签订合同订立。联合体牵头人负责合同实施阶段的主办、组织和协调工作。</w:t>
      </w:r>
      <w:r/>
    </w:p>
    <w:p>
      <w:pPr>
        <w:pStyle w:val="1745"/>
        <w:ind w:firstLine="384"/>
        <w:spacing w:line="400" w:lineRule="exact"/>
        <w:rPr>
          <w:rFonts w:ascii="宋体" w:hAnsi="宋体"/>
          <w:sz w:val="24"/>
        </w:rPr>
      </w:pPr>
      <w:r>
        <w:rPr>
          <w:rFonts w:hint="eastAsia" w:ascii="宋体" w:hAnsi="宋体"/>
          <w:sz w:val="24"/>
        </w:rPr>
        <w:t xml:space="preserve">6.本联合体协议是合同的附件，对联合体各成员单位有合同约束力。</w:t>
      </w:r>
      <w:r/>
    </w:p>
    <w:p>
      <w:pPr>
        <w:pStyle w:val="1745"/>
        <w:ind w:firstLine="384"/>
        <w:spacing w:line="400" w:lineRule="exact"/>
        <w:rPr>
          <w:rFonts w:ascii="宋体" w:hAnsi="宋体"/>
          <w:sz w:val="24"/>
        </w:rPr>
      </w:pPr>
      <w:r>
        <w:rPr>
          <w:rFonts w:hint="eastAsia" w:ascii="宋体" w:hAnsi="宋体"/>
          <w:sz w:val="24"/>
        </w:rPr>
        <w:t xml:space="preserve">7.本协议书自签署之日起生效，联合体未成交或者合同履行完毕后自动失效。</w:t>
      </w:r>
      <w:r/>
    </w:p>
    <w:p>
      <w:pPr>
        <w:pStyle w:val="1745"/>
        <w:ind w:firstLine="384"/>
        <w:spacing w:line="400" w:lineRule="exact"/>
        <w:rPr>
          <w:rFonts w:ascii="宋体" w:hAnsi="宋体"/>
          <w:sz w:val="24"/>
        </w:rPr>
      </w:pPr>
      <w:r>
        <w:rPr>
          <w:rFonts w:hint="eastAsia" w:ascii="宋体" w:hAnsi="宋体"/>
          <w:sz w:val="24"/>
        </w:rPr>
        <w:t xml:space="preserve">8.本协议在执行期间，如有未尽事宜，由采购人、缔约方协商，签订协议，且在法律上与本协议有同等效力。</w:t>
      </w:r>
      <w:r/>
    </w:p>
    <w:p>
      <w:pPr>
        <w:pStyle w:val="1745"/>
        <w:ind w:firstLine="384"/>
        <w:spacing w:line="400" w:lineRule="exact"/>
        <w:rPr>
          <w:rFonts w:ascii="宋体" w:hAnsi="宋体"/>
          <w:sz w:val="24"/>
        </w:rPr>
      </w:pPr>
      <w:r>
        <w:rPr>
          <w:rFonts w:hint="eastAsia" w:ascii="宋体" w:hAnsi="宋体"/>
          <w:sz w:val="24"/>
        </w:rPr>
        <w:t xml:space="preserve">9.本协议书一式份，联合体成员和采购人各执一份。</w:t>
      </w:r>
      <w:r/>
    </w:p>
    <w:p>
      <w:pPr>
        <w:pStyle w:val="1745"/>
        <w:jc w:val="right"/>
        <w:spacing w:line="400" w:lineRule="exact"/>
        <w:rPr>
          <w:rFonts w:ascii="宋体" w:hAnsi="宋体"/>
          <w:sz w:val="24"/>
        </w:rPr>
      </w:pPr>
      <w:r>
        <w:rPr>
          <w:rFonts w:hint="eastAsia" w:ascii="宋体" w:hAnsi="宋体"/>
          <w:sz w:val="24"/>
        </w:rPr>
        <w:t xml:space="preserve">牵头人名称：（盖章）</w:t>
      </w:r>
      <w:r/>
    </w:p>
    <w:p>
      <w:pPr>
        <w:pStyle w:val="1745"/>
        <w:jc w:val="right"/>
        <w:spacing w:line="400" w:lineRule="exact"/>
        <w:rPr>
          <w:rFonts w:ascii="宋体" w:hAnsi="宋体"/>
          <w:sz w:val="24"/>
        </w:rPr>
      </w:pPr>
      <w:r>
        <w:rPr>
          <w:rFonts w:hint="eastAsia" w:ascii="宋体" w:hAnsi="宋体"/>
          <w:sz w:val="24"/>
        </w:rPr>
        <w:t xml:space="preserve">法定代表人：（签章）</w:t>
      </w:r>
      <w:r/>
    </w:p>
    <w:p>
      <w:pPr>
        <w:pStyle w:val="1745"/>
        <w:jc w:val="right"/>
        <w:spacing w:line="400" w:lineRule="exact"/>
        <w:rPr>
          <w:rFonts w:ascii="宋体" w:hAnsi="宋体"/>
          <w:sz w:val="24"/>
        </w:rPr>
      </w:pPr>
      <w:r>
        <w:rPr>
          <w:rFonts w:hint="eastAsia" w:ascii="宋体" w:hAnsi="宋体"/>
          <w:sz w:val="24"/>
        </w:rPr>
        <w:t xml:space="preserve">成员二名称：（盖章）</w:t>
      </w:r>
      <w:r/>
    </w:p>
    <w:p>
      <w:pPr>
        <w:rPr>
          <w:rFonts w:hint="eastAsia" w:ascii="宋体" w:hAnsi="宋体" w:eastAsia="宋体" w:cs="Times New Roman"/>
          <w:sz w:val="24"/>
          <w:szCs w:val="22"/>
          <w:lang w:val="en-US" w:eastAsia="zh-CN" w:bidi="ar-SA"/>
        </w:rPr>
        <w:sectPr>
          <w:footerReference w:type="default" r:id="rId41"/>
          <w:footnotePr/>
          <w:endnotePr/>
          <w:type w:val="nextPage"/>
          <w:pgSz w:w="11907" w:h="16840" w:orient="portrait"/>
          <w:pgMar w:top="1440" w:right="1800" w:bottom="1440" w:left="1800" w:header="851" w:footer="992" w:gutter="0"/>
          <w:cols w:num="1" w:sep="0" w:space="1701" w:equalWidth="1"/>
          <w:docGrid w:linePitch="360"/>
        </w:sectPr>
      </w:pPr>
      <w:r>
        <w:rPr>
          <w:rFonts w:hint="eastAsia"/>
          <w:lang w:val="en-US" w:eastAsia="zh-CN"/>
        </w:rPr>
        <w:t xml:space="preserve">                                         </w:t>
      </w:r>
      <w:r>
        <w:rPr>
          <w:rFonts w:hint="eastAsia" w:ascii="宋体" w:hAnsi="宋体" w:eastAsia="宋体" w:cs="Times New Roman"/>
          <w:sz w:val="24"/>
          <w:szCs w:val="22"/>
          <w:lang w:val="en-US" w:eastAsia="zh-CN" w:bidi="ar-SA"/>
        </w:rPr>
        <w:t xml:space="preserve">       </w:t>
      </w:r>
      <w:r>
        <w:rPr>
          <w:rFonts w:hint="eastAsia" w:ascii="宋体" w:hAnsi="宋体" w:cs="Times New Roman"/>
          <w:sz w:val="24"/>
          <w:szCs w:val="22"/>
          <w:lang w:val="en-US" w:eastAsia="zh-CN" w:bidi="ar-SA"/>
        </w:rPr>
        <w:t xml:space="preserve">     </w:t>
      </w:r>
      <w:r>
        <w:rPr>
          <w:rFonts w:hint="eastAsia" w:ascii="宋体" w:hAnsi="宋体" w:eastAsia="宋体" w:cs="Times New Roman"/>
          <w:sz w:val="24"/>
          <w:szCs w:val="22"/>
          <w:lang w:val="en-US" w:eastAsia="zh-CN" w:bidi="ar-SA"/>
        </w:rPr>
        <w:t xml:space="preserve"> 法定代表人：（签章）</w:t>
      </w:r>
      <w:bookmarkEnd w:id="189"/>
      <w:r/>
      <w:r/>
    </w:p>
    <w:p>
      <w:pPr>
        <w:pStyle w:val="1744"/>
        <w:jc w:val="center"/>
        <w:rPr>
          <w:rFonts w:hint="eastAsia" w:ascii="宋体" w:hAnsi="宋体" w:cs="宋体"/>
          <w:color w:val="000000"/>
          <w:spacing w:val="-4"/>
          <w:sz w:val="24"/>
          <w:highlight w:val="none"/>
        </w:rPr>
        <w:sectPr>
          <w:footnotePr/>
          <w:endnotePr/>
          <w:type w:val="nextPage"/>
          <w:pgSz w:w="11907" w:h="16840" w:orient="portrait"/>
          <w:pgMar w:top="1440" w:right="1800" w:bottom="1440" w:left="1800" w:header="851" w:footer="992" w:gutter="0"/>
          <w:cols w:num="1" w:sep="0" w:space="1701" w:equalWidth="1"/>
          <w:docGrid w:linePitch="360"/>
        </w:sectPr>
        <w:outlineLvl w:val="2"/>
      </w:pPr>
      <w:r>
        <w:rPr>
          <w:rFonts w:hint="eastAsia" w:ascii="宋体" w:hAnsi="宋体" w:cs="宋体"/>
          <w:color w:val="000000"/>
          <w:spacing w:val="-4"/>
          <w:sz w:val="24"/>
          <w:highlight w:val="none"/>
          <w:lang w:val="en-US" w:eastAsia="zh-CN"/>
        </w:rPr>
        <w:t xml:space="preserve">(四)</w:t>
      </w:r>
      <w:r>
        <w:rPr>
          <w:rFonts w:hint="eastAsia" w:ascii="宋体" w:hAnsi="宋体" w:cs="宋体"/>
          <w:color w:val="000000"/>
          <w:spacing w:val="-4"/>
          <w:sz w:val="24"/>
          <w:highlight w:val="none"/>
        </w:rPr>
        <w:t xml:space="preserve">按磋商文件要求供应商所能提供的其他文件</w:t>
      </w:r>
      <w:r/>
    </w:p>
    <w:p>
      <w:pPr>
        <w:jc w:val="center"/>
        <w:rPr>
          <w:rFonts w:ascii="宋体" w:hAnsi="宋体" w:cs="宋体"/>
          <w:sz w:val="24"/>
          <w:highlight w:val="none"/>
        </w:rPr>
      </w:pPr>
      <w:r>
        <w:rPr>
          <w:rFonts w:hint="eastAsia" w:ascii="宋体" w:hAnsi="宋体" w:cs="宋体"/>
          <w:sz w:val="24"/>
          <w:highlight w:val="none"/>
        </w:rPr>
        <w:t xml:space="preserve">告供应商书</w:t>
      </w:r>
      <w:r/>
    </w:p>
    <w:p>
      <w:pPr>
        <w:jc w:val="center"/>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中标（成交）供应商：</w:t>
      </w:r>
      <w:r/>
    </w:p>
    <w:p>
      <w:pPr>
        <w:ind w:firstLine="640"/>
        <w:spacing w:line="360" w:lineRule="auto"/>
        <w:rPr>
          <w:rFonts w:ascii="宋体" w:hAnsi="宋体" w:cs="宋体"/>
          <w:sz w:val="24"/>
          <w:highlight w:val="none"/>
        </w:rPr>
      </w:pPr>
      <w:r>
        <w:rPr>
          <w:rFonts w:hint="eastAsia" w:ascii="宋体" w:hAnsi="宋体" w:cs="宋体"/>
          <w:sz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1"/>
        <w:spacing w:line="360" w:lineRule="auto"/>
        <w:widowControl/>
        <w:rPr>
          <w:rFonts w:ascii="宋体" w:hAnsi="宋体" w:cs="宋体"/>
          <w:sz w:val="24"/>
          <w:highlight w:val="none"/>
        </w:rPr>
      </w:pPr>
      <w:r>
        <w:rPr>
          <w:rFonts w:hint="eastAsia" w:ascii="宋体" w:hAnsi="宋体" w:cs="宋体"/>
          <w:sz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4"/>
          <w:highlight w:val="none"/>
        </w:rPr>
      </w:pPr>
      <w:r>
        <w:rPr>
          <w:rFonts w:hint="eastAsia" w:ascii="宋体" w:hAnsi="宋体" w:cs="宋体"/>
          <w:sz w:val="24"/>
          <w:highlight w:val="none"/>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color w:val="000000"/>
          <w:spacing w:val="-2"/>
          <w:sz w:val="24"/>
          <w:highlight w:val="none"/>
        </w:rPr>
      </w:pPr>
      <w:r>
        <w:rPr>
          <w:rFonts w:hint="eastAsia" w:ascii="宋体" w:hAnsi="宋体" w:cs="宋体"/>
          <w:sz w:val="24"/>
          <w:highlight w:val="none"/>
        </w:rPr>
        <w:t xml:space="preserve">镇江市财政局</w:t>
      </w:r>
      <w:r/>
    </w:p>
    <w:sectPr>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Wingdings 2">
    <w:panose1 w:val="05020102010507070707"/>
  </w:font>
  <w:font w:name="Wingdings">
    <w:panose1 w:val="05000000000000000000"/>
  </w:font>
  <w:font w:name="微软雅黑">
    <w:panose1 w:val="020B0503020204020204"/>
  </w:font>
  <w:font w:name="Calibri">
    <w:panose1 w:val="020F0502020204030204"/>
  </w:font>
  <w:font w:name="Helvetica Neue">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1183416"/>
      <w:rPr/>
    </w:sdtPr>
    <w:sdtContent>
      <w:p>
        <w:pPr>
          <w:pStyle w:val="1453"/>
          <w:jc w:val="center"/>
        </w:pPr>
        <w:r>
          <w:fldChar w:fldCharType="begin"/>
        </w:r>
        <w:r>
          <w:instrText xml:space="preserve">PAGE   \* MERGEFORMAT</w:instrText>
        </w:r>
        <w:r>
          <w:fldChar w:fldCharType="separate"/>
        </w:r>
        <w:r>
          <w:rPr>
            <w:lang w:val="zh-CN"/>
          </w:rPr>
          <w:t xml:space="preserve">43</w:t>
        </w:r>
        <w:r>
          <w:fldChar w:fldCharType="end"/>
        </w:r>
        <w:r/>
      </w:p>
    </w:sdtContent>
  </w:sdt>
  <w:p>
    <w:pPr>
      <w:pStyle w:val="16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57</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59</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69</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82"/>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71</w:t>
                          </w:r>
                          <w: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4"/>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3"/>
                          </w:pPr>
                          <w:r>
                            <w:fldChar w:fldCharType="begin"/>
                          </w:r>
                          <w:r>
                            <w:instrText xml:space="preserve"> PAGE  \* MERGEFORMAT </w:instrText>
                          </w:r>
                          <w:r>
                            <w:fldChar w:fldCharType="separate"/>
                          </w:r>
                          <w:r>
                            <w:t xml:space="preserve">73</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3"/>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84"/>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84"/>
    </w:pPr>
    <w:r/>
    <w:r/>
  </w:p>
  <w:p>
    <w:pPr>
      <w:pStyle w:val="1684"/>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b/>
        <w:bCs/>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sz w:val="28"/>
        <w:szCs w:val="28"/>
      </w:rPr>
    </w:lvl>
    <w:lvl w:ilvl="3">
      <w:start w:val="1"/>
      <w:numFmt w:val="decimal"/>
      <w:isLgl/>
      <w:suff w:val="space"/>
      <w:lvlText w:val="%1.%2.%3.%4"/>
      <w:lvlJc w:val="left"/>
      <w:pPr>
        <w:ind w:left="0" w:firstLine="0"/>
      </w:pPr>
      <w:rPr>
        <w:rFonts w:hint="default"/>
        <w:sz w:val="24"/>
        <w:szCs w:val="24"/>
      </w:rPr>
    </w:lvl>
    <w:lvl w:ilvl="4">
      <w:start w:val="1"/>
      <w:numFmt w:val="decimal"/>
      <w:isLgl/>
      <w:suff w:val="space"/>
      <w:lvlText w:val="%1.%2.%3.%4.%5"/>
      <w:lvlJc w:val="left"/>
      <w:pPr>
        <w:ind w:left="0" w:firstLine="0"/>
      </w:pPr>
      <w:rPr>
        <w:rFonts w:hint="default"/>
        <w:sz w:val="24"/>
        <w:szCs w:val="24"/>
      </w:rPr>
    </w:lvl>
    <w:lvl w:ilvl="5">
      <w:start w:val="1"/>
      <w:numFmt w:val="decimal"/>
      <w:isLgl/>
      <w:suff w:val="space"/>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lvlRestart w:val="1"/>
      <w:pStyle w:val="1736"/>
      <w:isLgl/>
      <w:suff w:val="space"/>
      <w:lvlText w:val="图%1-%8"/>
      <w:lvlJc w:val="left"/>
      <w:pPr>
        <w:ind w:left="0" w:firstLine="0"/>
      </w:pPr>
      <w:rPr>
        <w:rFonts w:hint="default" w:ascii="Times New Roman" w:hAnsi="Times New Roman" w:eastAsia="宋体"/>
        <w:sz w:val="21"/>
        <w:szCs w:val="16"/>
      </w:rPr>
    </w:lvl>
    <w:lvl w:ilvl="8">
      <w:start w:val="1"/>
      <w:numFmt w:val="decimal"/>
      <w:lvlRestart w:val="1"/>
      <w:isLgl/>
      <w:suff w:val="space"/>
      <w:lvlText w:val="表%1.%9"/>
      <w:lvlJc w:val="left"/>
      <w:pPr>
        <w:ind w:left="0" w:firstLine="0"/>
      </w:pPr>
      <w:rPr>
        <w:rFonts w:hint="default" w:ascii="Times New Roman" w:hAnsi="Times New Roman" w:eastAsia="宋体"/>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1428" w:default="1">
    <w:name w:val="Normal"/>
    <w:next w:val="1440"/>
    <w:uiPriority w:val="0"/>
    <w:qFormat/>
    <w:pPr>
      <w:jc w:val="both"/>
      <w:widowControl w:val="off"/>
    </w:pPr>
    <w:rPr>
      <w:rFonts w:ascii="Times New Roman" w:hAnsi="Times New Roman" w:eastAsia="宋体" w:cs="Times New Roman"/>
      <w:sz w:val="21"/>
      <w:szCs w:val="24"/>
      <w:lang w:val="en-US" w:eastAsia="zh-CN" w:bidi="ar-SA"/>
    </w:rPr>
  </w:style>
  <w:style w:type="paragraph" w:styleId="1429">
    <w:name w:val="Heading 1"/>
    <w:basedOn w:val="1428"/>
    <w:next w:val="1428"/>
    <w:link w:val="1514"/>
    <w:uiPriority w:val="9"/>
    <w:qFormat/>
    <w:pPr>
      <w:keepLines/>
      <w:keepNext/>
      <w:spacing w:before="480" w:after="200"/>
      <w:outlineLvl w:val="0"/>
    </w:pPr>
    <w:rPr>
      <w:rFonts w:ascii="Arial" w:hAnsi="Arial" w:eastAsia="Arial" w:cs="Arial"/>
      <w:sz w:val="40"/>
      <w:szCs w:val="40"/>
    </w:rPr>
  </w:style>
  <w:style w:type="paragraph" w:styleId="1430">
    <w:name w:val="Heading 2"/>
    <w:basedOn w:val="1428"/>
    <w:next w:val="1428"/>
    <w:link w:val="1515"/>
    <w:uiPriority w:val="9"/>
    <w:unhideWhenUsed/>
    <w:qFormat/>
    <w:pPr>
      <w:keepLines/>
      <w:keepNext/>
      <w:spacing w:before="360" w:after="200"/>
      <w:outlineLvl w:val="1"/>
    </w:pPr>
    <w:rPr>
      <w:rFonts w:ascii="Arial" w:hAnsi="Arial" w:eastAsia="Arial" w:cs="Arial"/>
      <w:sz w:val="34"/>
    </w:rPr>
  </w:style>
  <w:style w:type="paragraph" w:styleId="1431">
    <w:name w:val="Heading 3"/>
    <w:basedOn w:val="1428"/>
    <w:next w:val="1428"/>
    <w:link w:val="1516"/>
    <w:uiPriority w:val="9"/>
    <w:unhideWhenUsed/>
    <w:qFormat/>
    <w:pPr>
      <w:keepLines/>
      <w:keepNext/>
      <w:spacing w:before="320" w:after="200"/>
      <w:outlineLvl w:val="2"/>
    </w:pPr>
    <w:rPr>
      <w:rFonts w:ascii="Arial" w:hAnsi="Arial" w:eastAsia="Arial" w:cs="Arial"/>
      <w:sz w:val="30"/>
      <w:szCs w:val="30"/>
    </w:rPr>
  </w:style>
  <w:style w:type="paragraph" w:styleId="1432">
    <w:name w:val="Heading 4"/>
    <w:basedOn w:val="1428"/>
    <w:next w:val="1428"/>
    <w:link w:val="1517"/>
    <w:uiPriority w:val="9"/>
    <w:unhideWhenUsed/>
    <w:qFormat/>
    <w:pPr>
      <w:keepLines/>
      <w:keepNext/>
      <w:spacing w:before="320" w:after="200"/>
      <w:outlineLvl w:val="3"/>
    </w:pPr>
    <w:rPr>
      <w:rFonts w:ascii="Arial" w:hAnsi="Arial" w:eastAsia="Arial" w:cs="Arial"/>
      <w:b/>
      <w:bCs/>
      <w:sz w:val="26"/>
      <w:szCs w:val="26"/>
    </w:rPr>
  </w:style>
  <w:style w:type="paragraph" w:styleId="1433">
    <w:name w:val="Heading 5"/>
    <w:basedOn w:val="1428"/>
    <w:next w:val="1428"/>
    <w:link w:val="1518"/>
    <w:uiPriority w:val="9"/>
    <w:unhideWhenUsed/>
    <w:qFormat/>
    <w:pPr>
      <w:keepLines/>
      <w:keepNext/>
      <w:spacing w:before="320" w:after="200"/>
      <w:outlineLvl w:val="4"/>
    </w:pPr>
    <w:rPr>
      <w:rFonts w:ascii="Arial" w:hAnsi="Arial" w:eastAsia="Arial" w:cs="Arial"/>
      <w:b/>
      <w:bCs/>
      <w:sz w:val="24"/>
    </w:rPr>
  </w:style>
  <w:style w:type="paragraph" w:styleId="1434">
    <w:name w:val="Heading 6"/>
    <w:basedOn w:val="1428"/>
    <w:next w:val="1428"/>
    <w:link w:val="1519"/>
    <w:uiPriority w:val="9"/>
    <w:unhideWhenUsed/>
    <w:qFormat/>
    <w:pPr>
      <w:keepLines/>
      <w:keepNext/>
      <w:spacing w:before="320" w:after="200"/>
      <w:outlineLvl w:val="5"/>
    </w:pPr>
    <w:rPr>
      <w:rFonts w:ascii="Arial" w:hAnsi="Arial" w:eastAsia="Arial" w:cs="Arial"/>
      <w:b/>
      <w:bCs/>
      <w:sz w:val="22"/>
      <w:szCs w:val="22"/>
    </w:rPr>
  </w:style>
  <w:style w:type="paragraph" w:styleId="1435">
    <w:name w:val="Heading 7"/>
    <w:basedOn w:val="1428"/>
    <w:next w:val="1428"/>
    <w:link w:val="1520"/>
    <w:uiPriority w:val="9"/>
    <w:unhideWhenUsed/>
    <w:qFormat/>
    <w:pPr>
      <w:keepLines/>
      <w:keepNext/>
      <w:spacing w:before="320" w:after="200"/>
      <w:outlineLvl w:val="6"/>
    </w:pPr>
    <w:rPr>
      <w:rFonts w:ascii="Arial" w:hAnsi="Arial" w:eastAsia="Arial" w:cs="Arial"/>
      <w:b/>
      <w:bCs/>
      <w:i/>
      <w:iCs/>
      <w:sz w:val="22"/>
      <w:szCs w:val="22"/>
    </w:rPr>
  </w:style>
  <w:style w:type="paragraph" w:styleId="1436">
    <w:name w:val="Heading 8"/>
    <w:basedOn w:val="1428"/>
    <w:next w:val="1428"/>
    <w:link w:val="1521"/>
    <w:uiPriority w:val="9"/>
    <w:unhideWhenUsed/>
    <w:qFormat/>
    <w:pPr>
      <w:keepLines/>
      <w:keepNext/>
      <w:spacing w:before="320" w:after="200"/>
      <w:outlineLvl w:val="7"/>
    </w:pPr>
    <w:rPr>
      <w:rFonts w:ascii="Arial" w:hAnsi="Arial" w:eastAsia="Arial" w:cs="Arial"/>
      <w:i/>
      <w:iCs/>
      <w:sz w:val="22"/>
      <w:szCs w:val="22"/>
    </w:rPr>
  </w:style>
  <w:style w:type="paragraph" w:styleId="1437">
    <w:name w:val="Heading 9"/>
    <w:basedOn w:val="1428"/>
    <w:next w:val="1428"/>
    <w:link w:val="1522"/>
    <w:uiPriority w:val="9"/>
    <w:unhideWhenUsed/>
    <w:qFormat/>
    <w:pPr>
      <w:keepLines/>
      <w:keepNext/>
      <w:spacing w:before="320" w:after="200"/>
      <w:outlineLvl w:val="8"/>
    </w:pPr>
    <w:rPr>
      <w:rFonts w:ascii="Arial" w:hAnsi="Arial" w:eastAsia="Arial" w:cs="Arial"/>
      <w:i/>
      <w:iCs/>
      <w:szCs w:val="21"/>
    </w:rPr>
  </w:style>
  <w:style w:type="character" w:styleId="1438" w:default="1">
    <w:name w:val="Default Paragraph Font"/>
    <w:uiPriority w:val="1"/>
    <w:semiHidden/>
    <w:unhideWhenUsed/>
    <w:qFormat/>
  </w:style>
  <w:style w:type="table" w:styleId="1439" w:default="1">
    <w:name w:val="Normal Table"/>
    <w:uiPriority w:val="99"/>
    <w:semiHidden/>
    <w:unhideWhenUsed/>
    <w:qFormat/>
    <w:tblPr>
      <w:tblCellMar>
        <w:left w:w="108" w:type="dxa"/>
        <w:top w:w="0" w:type="dxa"/>
        <w:right w:w="108" w:type="dxa"/>
        <w:bottom w:w="0" w:type="dxa"/>
      </w:tblCellMar>
    </w:tblPr>
  </w:style>
  <w:style w:type="paragraph" w:styleId="1440">
    <w:name w:val="Body Text"/>
    <w:basedOn w:val="1428"/>
    <w:next w:val="1428"/>
    <w:uiPriority w:val="0"/>
    <w:semiHidden/>
    <w:qFormat/>
    <w:rPr>
      <w:rFonts w:ascii="Arial" w:hAnsi="Arial" w:eastAsia="Arial" w:cs="Arial"/>
      <w:szCs w:val="21"/>
      <w:lang w:eastAsia="en-US"/>
    </w:rPr>
  </w:style>
  <w:style w:type="paragraph" w:styleId="1441">
    <w:name w:val="toc 7"/>
    <w:basedOn w:val="1428"/>
    <w:next w:val="1428"/>
    <w:uiPriority w:val="39"/>
    <w:unhideWhenUsed/>
    <w:qFormat/>
    <w:pPr>
      <w:ind w:left="1701"/>
      <w:spacing w:after="57"/>
    </w:pPr>
  </w:style>
  <w:style w:type="paragraph" w:styleId="1442">
    <w:name w:val="Normal Indent"/>
    <w:basedOn w:val="1428"/>
    <w:uiPriority w:val="0"/>
    <w:unhideWhenUsed/>
    <w:qFormat/>
    <w:pPr>
      <w:ind w:firstLine="420"/>
    </w:pPr>
  </w:style>
  <w:style w:type="paragraph" w:styleId="1443">
    <w:name w:val="Caption"/>
    <w:basedOn w:val="1428"/>
    <w:next w:val="14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44">
    <w:name w:val="annotation text"/>
    <w:basedOn w:val="1428"/>
    <w:uiPriority w:val="99"/>
    <w:semiHidden/>
    <w:unhideWhenUsed/>
    <w:qFormat/>
    <w:pPr>
      <w:jc w:val="left"/>
    </w:pPr>
  </w:style>
  <w:style w:type="paragraph" w:styleId="1445">
    <w:name w:val="Body Text Indent"/>
    <w:basedOn w:val="1428"/>
    <w:next w:val="1446"/>
    <w:uiPriority w:val="99"/>
    <w:qFormat/>
    <w:pPr>
      <w:ind w:firstLine="574"/>
      <w:spacing w:line="312" w:lineRule="atLeast"/>
    </w:pPr>
    <w:rPr>
      <w:rFonts w:ascii="宋体"/>
      <w:sz w:val="28"/>
    </w:rPr>
  </w:style>
  <w:style w:type="paragraph" w:styleId="1446">
    <w:name w:val="envelope return"/>
    <w:basedOn w:val="1428"/>
    <w:uiPriority w:val="0"/>
    <w:qFormat/>
    <w:pPr>
      <w:ind w:left="1701"/>
      <w:jc w:val="left"/>
      <w:spacing w:before="160" w:after="160" w:line="240" w:lineRule="atLeast"/>
      <w:widowControl/>
    </w:pPr>
    <w:rPr>
      <w:rFonts w:ascii="Arial" w:hAnsi="Arial" w:cs="Arial"/>
      <w:szCs w:val="21"/>
    </w:rPr>
  </w:style>
  <w:style w:type="paragraph" w:styleId="1447">
    <w:name w:val="Block Text"/>
    <w:basedOn w:val="1428"/>
    <w:uiPriority w:val="99"/>
    <w:unhideWhenUsed/>
    <w:qFormat/>
    <w:pPr>
      <w:ind w:left="1440" w:right="1440"/>
      <w:spacing w:after="120"/>
    </w:pPr>
  </w:style>
  <w:style w:type="paragraph" w:styleId="1448">
    <w:name w:val="toc 5"/>
    <w:basedOn w:val="1428"/>
    <w:next w:val="1428"/>
    <w:uiPriority w:val="39"/>
    <w:unhideWhenUsed/>
    <w:qFormat/>
    <w:pPr>
      <w:ind w:left="1134"/>
      <w:spacing w:after="57"/>
    </w:pPr>
  </w:style>
  <w:style w:type="paragraph" w:styleId="1449">
    <w:name w:val="toc 3"/>
    <w:basedOn w:val="1428"/>
    <w:next w:val="1428"/>
    <w:uiPriority w:val="39"/>
    <w:unhideWhenUsed/>
    <w:qFormat/>
    <w:pPr>
      <w:ind w:left="567"/>
      <w:spacing w:after="57"/>
    </w:pPr>
  </w:style>
  <w:style w:type="paragraph" w:styleId="1450">
    <w:name w:val="toc 8"/>
    <w:basedOn w:val="1428"/>
    <w:next w:val="1428"/>
    <w:uiPriority w:val="39"/>
    <w:unhideWhenUsed/>
    <w:qFormat/>
    <w:pPr>
      <w:ind w:left="1984"/>
      <w:spacing w:after="57"/>
    </w:pPr>
  </w:style>
  <w:style w:type="paragraph" w:styleId="1451">
    <w:name w:val="endnote text"/>
    <w:basedOn w:val="1428"/>
    <w:link w:val="1659"/>
    <w:uiPriority w:val="99"/>
    <w:semiHidden/>
    <w:unhideWhenUsed/>
    <w:qFormat/>
    <w:rPr>
      <w:sz w:val="20"/>
    </w:rPr>
  </w:style>
  <w:style w:type="paragraph" w:styleId="1452">
    <w:name w:val="Balloon Text"/>
    <w:basedOn w:val="1428"/>
    <w:link w:val="1743"/>
    <w:uiPriority w:val="99"/>
    <w:semiHidden/>
    <w:unhideWhenUsed/>
    <w:qFormat/>
    <w:rPr>
      <w:sz w:val="18"/>
      <w:szCs w:val="18"/>
    </w:rPr>
  </w:style>
  <w:style w:type="paragraph" w:styleId="1453">
    <w:name w:val="Footer"/>
    <w:basedOn w:val="1428"/>
    <w:link w:val="1532"/>
    <w:uiPriority w:val="99"/>
    <w:unhideWhenUsed/>
    <w:qFormat/>
    <w:pPr>
      <w:tabs>
        <w:tab w:val="center" w:pos="7143" w:leader="none"/>
        <w:tab w:val="right" w:pos="14287" w:leader="none"/>
      </w:tabs>
    </w:pPr>
  </w:style>
  <w:style w:type="paragraph" w:styleId="1454">
    <w:name w:val="Header"/>
    <w:basedOn w:val="1428"/>
    <w:link w:val="1530"/>
    <w:uiPriority w:val="99"/>
    <w:unhideWhenUsed/>
    <w:qFormat/>
    <w:pPr>
      <w:tabs>
        <w:tab w:val="center" w:pos="7143" w:leader="none"/>
        <w:tab w:val="right" w:pos="14287" w:leader="none"/>
      </w:tabs>
    </w:pPr>
  </w:style>
  <w:style w:type="paragraph" w:styleId="1455">
    <w:name w:val="toc 1"/>
    <w:basedOn w:val="1428"/>
    <w:next w:val="1428"/>
    <w:uiPriority w:val="39"/>
    <w:unhideWhenUsed/>
    <w:qFormat/>
    <w:pPr>
      <w:spacing w:after="57"/>
    </w:pPr>
  </w:style>
  <w:style w:type="paragraph" w:styleId="1456">
    <w:name w:val="toc 4"/>
    <w:basedOn w:val="1428"/>
    <w:next w:val="1428"/>
    <w:uiPriority w:val="39"/>
    <w:unhideWhenUsed/>
    <w:qFormat/>
    <w:pPr>
      <w:ind w:left="850"/>
      <w:spacing w:after="57"/>
    </w:pPr>
  </w:style>
  <w:style w:type="paragraph" w:styleId="1457">
    <w:name w:val="Subtitle"/>
    <w:basedOn w:val="1428"/>
    <w:next w:val="1428"/>
    <w:link w:val="1525"/>
    <w:uiPriority w:val="11"/>
    <w:qFormat/>
    <w:pPr>
      <w:spacing w:before="200" w:after="200"/>
    </w:pPr>
    <w:rPr>
      <w:sz w:val="24"/>
    </w:rPr>
  </w:style>
  <w:style w:type="paragraph" w:styleId="1458">
    <w:name w:val="footnote text"/>
    <w:basedOn w:val="1428"/>
    <w:link w:val="1658"/>
    <w:uiPriority w:val="99"/>
    <w:semiHidden/>
    <w:unhideWhenUsed/>
    <w:qFormat/>
    <w:pPr>
      <w:spacing w:after="40"/>
    </w:pPr>
    <w:rPr>
      <w:sz w:val="18"/>
    </w:rPr>
  </w:style>
  <w:style w:type="paragraph" w:styleId="1459">
    <w:name w:val="toc 6"/>
    <w:basedOn w:val="1428"/>
    <w:next w:val="1428"/>
    <w:uiPriority w:val="39"/>
    <w:unhideWhenUsed/>
    <w:qFormat/>
    <w:pPr>
      <w:ind w:left="1417"/>
      <w:spacing w:after="57"/>
    </w:pPr>
  </w:style>
  <w:style w:type="paragraph" w:styleId="1460">
    <w:name w:val="table of figures"/>
    <w:basedOn w:val="1428"/>
    <w:next w:val="1428"/>
    <w:uiPriority w:val="99"/>
    <w:unhideWhenUsed/>
    <w:qFormat/>
  </w:style>
  <w:style w:type="paragraph" w:styleId="1461">
    <w:name w:val="toc 2"/>
    <w:basedOn w:val="1428"/>
    <w:next w:val="1428"/>
    <w:uiPriority w:val="39"/>
    <w:unhideWhenUsed/>
    <w:qFormat/>
    <w:pPr>
      <w:ind w:left="283"/>
      <w:spacing w:after="57"/>
    </w:pPr>
  </w:style>
  <w:style w:type="paragraph" w:styleId="1462">
    <w:name w:val="toc 9"/>
    <w:basedOn w:val="1428"/>
    <w:next w:val="1428"/>
    <w:uiPriority w:val="39"/>
    <w:unhideWhenUsed/>
    <w:qFormat/>
    <w:pPr>
      <w:ind w:left="2268"/>
      <w:spacing w:after="57"/>
    </w:pPr>
  </w:style>
  <w:style w:type="paragraph" w:styleId="1463">
    <w:name w:val="Body Text 2"/>
    <w:basedOn w:val="1428"/>
    <w:uiPriority w:val="0"/>
    <w:qFormat/>
    <w:pPr>
      <w:spacing w:after="120" w:line="480" w:lineRule="auto"/>
    </w:pPr>
  </w:style>
  <w:style w:type="paragraph" w:styleId="1464">
    <w:name w:val="Normal (Web)"/>
    <w:basedOn w:val="142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465">
    <w:name w:val="Title"/>
    <w:basedOn w:val="1428"/>
    <w:next w:val="1428"/>
    <w:link w:val="1524"/>
    <w:uiPriority w:val="10"/>
    <w:qFormat/>
    <w:pPr>
      <w:contextualSpacing/>
      <w:spacing w:before="300" w:after="200"/>
    </w:pPr>
    <w:rPr>
      <w:sz w:val="48"/>
      <w:szCs w:val="48"/>
    </w:rPr>
  </w:style>
  <w:style w:type="paragraph" w:styleId="1466">
    <w:name w:val="Body Text First Indent"/>
    <w:basedOn w:val="1440"/>
    <w:uiPriority w:val="0"/>
    <w:qFormat/>
    <w:pPr>
      <w:ind w:firstLine="420"/>
      <w:spacing w:line="360" w:lineRule="auto"/>
    </w:pPr>
    <w:rPr>
      <w:sz w:val="20"/>
    </w:rPr>
  </w:style>
  <w:style w:type="paragraph" w:styleId="1467">
    <w:name w:val="Body Text First Indent 2"/>
    <w:basedOn w:val="1445"/>
    <w:uiPriority w:val="99"/>
    <w:unhideWhenUsed/>
    <w:qFormat/>
    <w:pPr>
      <w:ind w:left="420" w:firstLine="420"/>
      <w:spacing w:after="120"/>
    </w:pPr>
    <w:rPr>
      <w:rFonts w:ascii="Times New Roman" w:hAnsi="Times New Roman" w:eastAsia="宋体"/>
      <w:sz w:val="20"/>
      <w:szCs w:val="24"/>
    </w:rPr>
  </w:style>
  <w:style w:type="table" w:styleId="14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69">
    <w:name w:val="Strong"/>
    <w:basedOn w:val="1438"/>
    <w:uiPriority w:val="0"/>
    <w:qFormat/>
    <w:rPr>
      <w:b/>
      <w:bCs/>
    </w:rPr>
  </w:style>
  <w:style w:type="character" w:styleId="1470">
    <w:name w:val="endnote reference"/>
    <w:uiPriority w:val="99"/>
    <w:semiHidden/>
    <w:unhideWhenUsed/>
    <w:qFormat/>
    <w:rPr>
      <w:vertAlign w:val="superscript"/>
    </w:rPr>
  </w:style>
  <w:style w:type="character" w:styleId="1471">
    <w:name w:val="page number"/>
    <w:basedOn w:val="1438"/>
    <w:uiPriority w:val="0"/>
    <w:qFormat/>
  </w:style>
  <w:style w:type="character" w:styleId="1472">
    <w:name w:val="Emphasis"/>
    <w:basedOn w:val="1438"/>
    <w:uiPriority w:val="20"/>
    <w:qFormat/>
    <w:rPr>
      <w:color w:val="cc0000"/>
    </w:rPr>
  </w:style>
  <w:style w:type="character" w:styleId="1473">
    <w:name w:val="Hyperlink"/>
    <w:uiPriority w:val="99"/>
    <w:unhideWhenUsed/>
    <w:qFormat/>
    <w:rPr>
      <w:color w:val="0000ff" w:themeColor="hyperlink"/>
      <w:u w:val="single"/>
      <w14:textFill>
        <w14:solidFill>
          <w14:schemeClr w14:val="hlink"/>
        </w14:solidFill>
      </w14:textFill>
    </w:rPr>
  </w:style>
  <w:style w:type="character" w:styleId="1474">
    <w:name w:val="footnote reference"/>
    <w:uiPriority w:val="99"/>
    <w:unhideWhenUsed/>
    <w:qFormat/>
    <w:rPr>
      <w:vertAlign w:val="superscript"/>
    </w:rPr>
  </w:style>
  <w:style w:type="paragraph" w:styleId="1475" w:customStyle="1">
    <w:name w:val="正文缩进1"/>
    <w:basedOn w:val="1428"/>
    <w:link w:val="1668"/>
    <w:uiPriority w:val="0"/>
    <w:qFormat/>
    <w:pPr>
      <w:ind w:firstLine="420"/>
    </w:pPr>
    <w:rPr>
      <w:rFonts w:ascii="Arial" w:hAnsi="Arial" w:eastAsia="楷体_GB2312"/>
      <w:sz w:val="20"/>
      <w:szCs w:val="20"/>
    </w:rPr>
  </w:style>
  <w:style w:type="character" w:styleId="1476" w:customStyle="1">
    <w:name w:val="Heading 1 Char"/>
    <w:basedOn w:val="1438"/>
    <w:uiPriority w:val="9"/>
    <w:qFormat/>
    <w:rPr>
      <w:rFonts w:ascii="Arial" w:hAnsi="Arial" w:eastAsia="Arial" w:cs="Arial"/>
      <w:sz w:val="40"/>
      <w:szCs w:val="40"/>
    </w:rPr>
  </w:style>
  <w:style w:type="character" w:styleId="1477" w:customStyle="1">
    <w:name w:val="Heading 2 Char"/>
    <w:basedOn w:val="1438"/>
    <w:uiPriority w:val="9"/>
    <w:qFormat/>
    <w:rPr>
      <w:rFonts w:ascii="Arial" w:hAnsi="Arial" w:eastAsia="Arial" w:cs="Arial"/>
      <w:sz w:val="34"/>
    </w:rPr>
  </w:style>
  <w:style w:type="character" w:styleId="1478" w:customStyle="1">
    <w:name w:val="Heading 3 Char"/>
    <w:basedOn w:val="1438"/>
    <w:uiPriority w:val="9"/>
    <w:qFormat/>
    <w:rPr>
      <w:rFonts w:ascii="Arial" w:hAnsi="Arial" w:eastAsia="Arial" w:cs="Arial"/>
      <w:sz w:val="30"/>
      <w:szCs w:val="30"/>
    </w:rPr>
  </w:style>
  <w:style w:type="character" w:styleId="1479" w:customStyle="1">
    <w:name w:val="Heading 4 Char"/>
    <w:basedOn w:val="1438"/>
    <w:uiPriority w:val="9"/>
    <w:qFormat/>
    <w:rPr>
      <w:rFonts w:ascii="Arial" w:hAnsi="Arial" w:eastAsia="Arial" w:cs="Arial"/>
      <w:b/>
      <w:bCs/>
      <w:sz w:val="26"/>
      <w:szCs w:val="26"/>
    </w:rPr>
  </w:style>
  <w:style w:type="character" w:styleId="1480" w:customStyle="1">
    <w:name w:val="Heading 5 Char"/>
    <w:basedOn w:val="1438"/>
    <w:uiPriority w:val="9"/>
    <w:qFormat/>
    <w:rPr>
      <w:rFonts w:ascii="Arial" w:hAnsi="Arial" w:eastAsia="Arial" w:cs="Arial"/>
      <w:b/>
      <w:bCs/>
      <w:sz w:val="24"/>
      <w:szCs w:val="24"/>
    </w:rPr>
  </w:style>
  <w:style w:type="character" w:styleId="1481" w:customStyle="1">
    <w:name w:val="Heading 6 Char"/>
    <w:basedOn w:val="1438"/>
    <w:uiPriority w:val="9"/>
    <w:qFormat/>
    <w:rPr>
      <w:rFonts w:ascii="Arial" w:hAnsi="Arial" w:eastAsia="Arial" w:cs="Arial"/>
      <w:b/>
      <w:bCs/>
      <w:sz w:val="22"/>
      <w:szCs w:val="22"/>
    </w:rPr>
  </w:style>
  <w:style w:type="character" w:styleId="1482" w:customStyle="1">
    <w:name w:val="Heading 7 Char"/>
    <w:basedOn w:val="1438"/>
    <w:uiPriority w:val="9"/>
    <w:qFormat/>
    <w:rPr>
      <w:rFonts w:ascii="Arial" w:hAnsi="Arial" w:eastAsia="Arial" w:cs="Arial"/>
      <w:b/>
      <w:bCs/>
      <w:i/>
      <w:iCs/>
      <w:sz w:val="22"/>
      <w:szCs w:val="22"/>
    </w:rPr>
  </w:style>
  <w:style w:type="character" w:styleId="1483" w:customStyle="1">
    <w:name w:val="Heading 8 Char"/>
    <w:basedOn w:val="1438"/>
    <w:uiPriority w:val="9"/>
    <w:qFormat/>
    <w:rPr>
      <w:rFonts w:ascii="Arial" w:hAnsi="Arial" w:eastAsia="Arial" w:cs="Arial"/>
      <w:i/>
      <w:iCs/>
      <w:sz w:val="22"/>
      <w:szCs w:val="22"/>
    </w:rPr>
  </w:style>
  <w:style w:type="character" w:styleId="1484" w:customStyle="1">
    <w:name w:val="Heading 9 Char"/>
    <w:basedOn w:val="1438"/>
    <w:uiPriority w:val="9"/>
    <w:qFormat/>
    <w:rPr>
      <w:rFonts w:ascii="Arial" w:hAnsi="Arial" w:eastAsia="Arial" w:cs="Arial"/>
      <w:i/>
      <w:iCs/>
      <w:sz w:val="21"/>
      <w:szCs w:val="21"/>
    </w:rPr>
  </w:style>
  <w:style w:type="character" w:styleId="1485" w:customStyle="1">
    <w:name w:val="Title Char"/>
    <w:basedOn w:val="1438"/>
    <w:uiPriority w:val="10"/>
    <w:qFormat/>
    <w:rPr>
      <w:sz w:val="48"/>
      <w:szCs w:val="48"/>
    </w:rPr>
  </w:style>
  <w:style w:type="character" w:styleId="1486" w:customStyle="1">
    <w:name w:val="Subtitle Char"/>
    <w:basedOn w:val="1438"/>
    <w:uiPriority w:val="11"/>
    <w:qFormat/>
    <w:rPr>
      <w:sz w:val="24"/>
      <w:szCs w:val="24"/>
    </w:rPr>
  </w:style>
  <w:style w:type="character" w:styleId="1487" w:customStyle="1">
    <w:name w:val="Quote Char"/>
    <w:uiPriority w:val="29"/>
    <w:qFormat/>
    <w:rPr>
      <w:i/>
    </w:rPr>
  </w:style>
  <w:style w:type="character" w:styleId="1488" w:customStyle="1">
    <w:name w:val="Intense Quote Char"/>
    <w:uiPriority w:val="30"/>
    <w:qFormat/>
    <w:rPr>
      <w:i/>
    </w:rPr>
  </w:style>
  <w:style w:type="character" w:styleId="1489" w:customStyle="1">
    <w:name w:val="Header Char"/>
    <w:basedOn w:val="1438"/>
    <w:uiPriority w:val="99"/>
    <w:qFormat/>
  </w:style>
  <w:style w:type="character" w:styleId="1490" w:customStyle="1">
    <w:name w:val="Caption Char"/>
    <w:uiPriority w:val="99"/>
    <w:qFormat/>
  </w:style>
  <w:style w:type="table" w:styleId="1491" w:customStyle="1">
    <w:name w:val="Plain Table 1"/>
    <w:basedOn w:val="14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92" w:customStyle="1">
    <w:name w:val="Plain Table 2"/>
    <w:basedOn w:val="14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93" w:customStyle="1">
    <w:name w:val="Plain Table 3"/>
    <w:basedOn w:val="14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94" w:customStyle="1">
    <w:name w:val="Plain Table 4"/>
    <w:basedOn w:val="14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95" w:customStyle="1">
    <w:name w:val="Plain Table 5"/>
    <w:basedOn w:val="14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96" w:customStyle="1">
    <w:name w:val="Grid Table 1 Light"/>
    <w:basedOn w:val="14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97" w:customStyle="1">
    <w:name w:val="Grid Table 2"/>
    <w:basedOn w:val="14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98" w:customStyle="1">
    <w:name w:val="Grid Table 3"/>
    <w:basedOn w:val="14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9" w:customStyle="1">
    <w:name w:val="Grid Table 4"/>
    <w:basedOn w:val="14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00" w:customStyle="1">
    <w:name w:val="Grid Table 5 Dark"/>
    <w:basedOn w:val="14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01" w:customStyle="1">
    <w:name w:val="Grid Table 6 Colorful"/>
    <w:basedOn w:val="14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02" w:customStyle="1">
    <w:name w:val="Grid Table 7 Colorful"/>
    <w:basedOn w:val="14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3" w:customStyle="1">
    <w:name w:val="List Table 1 Light"/>
    <w:basedOn w:val="14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4" w:customStyle="1">
    <w:name w:val="List Table 2"/>
    <w:basedOn w:val="14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5" w:customStyle="1">
    <w:name w:val="List Table 3"/>
    <w:basedOn w:val="14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6" w:customStyle="1">
    <w:name w:val="List Table 4"/>
    <w:basedOn w:val="14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7" w:customStyle="1">
    <w:name w:val="List Table 5 Dark"/>
    <w:basedOn w:val="14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8" w:customStyle="1">
    <w:name w:val="List Table 6 Colorful"/>
    <w:basedOn w:val="14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09" w:customStyle="1">
    <w:name w:val="List Table 7 Colorful"/>
    <w:basedOn w:val="14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10" w:customStyle="1">
    <w:name w:val="Footnote Text Char"/>
    <w:uiPriority w:val="99"/>
    <w:qFormat/>
    <w:rPr>
      <w:sz w:val="18"/>
    </w:rPr>
  </w:style>
  <w:style w:type="character" w:styleId="1511" w:customStyle="1">
    <w:name w:val="Endnote Text Char"/>
    <w:uiPriority w:val="99"/>
    <w:qFormat/>
    <w:rPr>
      <w:sz w:val="20"/>
    </w:rPr>
  </w:style>
  <w:style w:type="paragraph" w:styleId="1512" w:customStyle="1">
    <w:name w:val="TOC 标题1"/>
    <w:uiPriority w:val="39"/>
    <w:unhideWhenUsed/>
    <w:qFormat/>
    <w:rPr>
      <w:rFonts w:ascii="Times New Roman" w:hAnsi="Times New Roman" w:eastAsia="宋体" w:cs="Times New Roman"/>
      <w:lang w:val="en-US" w:eastAsia="zh-CN" w:bidi="ar-SA"/>
    </w:rPr>
  </w:style>
  <w:style w:type="paragraph" w:styleId="1513" w:customStyle="1">
    <w:name w:val="正文文本缩进1"/>
    <w:basedOn w:val="1428"/>
    <w:next w:val="1428"/>
    <w:uiPriority w:val="99"/>
    <w:qFormat/>
    <w:pPr>
      <w:ind w:firstLine="645"/>
    </w:pPr>
    <w:rPr>
      <w:rFonts w:ascii="楷体_GB2312" w:eastAsia="楷体_GB2312"/>
      <w:sz w:val="32"/>
      <w:szCs w:val="20"/>
    </w:rPr>
  </w:style>
  <w:style w:type="character" w:styleId="1514" w:customStyle="1">
    <w:name w:val="标题 1 Char"/>
    <w:link w:val="1429"/>
    <w:uiPriority w:val="9"/>
    <w:qFormat/>
    <w:rPr>
      <w:rFonts w:ascii="Arial" w:hAnsi="Arial" w:eastAsia="Arial" w:cs="Arial"/>
      <w:sz w:val="40"/>
      <w:szCs w:val="40"/>
    </w:rPr>
  </w:style>
  <w:style w:type="character" w:styleId="1515" w:customStyle="1">
    <w:name w:val="标题 2 Char"/>
    <w:link w:val="1430"/>
    <w:uiPriority w:val="9"/>
    <w:qFormat/>
    <w:rPr>
      <w:rFonts w:ascii="Arial" w:hAnsi="Arial" w:eastAsia="Arial" w:cs="Arial"/>
      <w:sz w:val="34"/>
    </w:rPr>
  </w:style>
  <w:style w:type="character" w:styleId="1516" w:customStyle="1">
    <w:name w:val="标题 3 Char"/>
    <w:link w:val="1431"/>
    <w:uiPriority w:val="9"/>
    <w:qFormat/>
    <w:rPr>
      <w:rFonts w:ascii="Arial" w:hAnsi="Arial" w:eastAsia="Arial" w:cs="Arial"/>
      <w:sz w:val="30"/>
      <w:szCs w:val="30"/>
    </w:rPr>
  </w:style>
  <w:style w:type="character" w:styleId="1517" w:customStyle="1">
    <w:name w:val="标题 4 Char"/>
    <w:link w:val="1432"/>
    <w:uiPriority w:val="9"/>
    <w:qFormat/>
    <w:rPr>
      <w:rFonts w:ascii="Arial" w:hAnsi="Arial" w:eastAsia="Arial" w:cs="Arial"/>
      <w:b/>
      <w:bCs/>
      <w:sz w:val="26"/>
      <w:szCs w:val="26"/>
    </w:rPr>
  </w:style>
  <w:style w:type="character" w:styleId="1518" w:customStyle="1">
    <w:name w:val="标题 5 Char"/>
    <w:link w:val="1433"/>
    <w:uiPriority w:val="9"/>
    <w:qFormat/>
    <w:rPr>
      <w:rFonts w:ascii="Arial" w:hAnsi="Arial" w:eastAsia="Arial" w:cs="Arial"/>
      <w:b/>
      <w:bCs/>
      <w:sz w:val="24"/>
      <w:szCs w:val="24"/>
    </w:rPr>
  </w:style>
  <w:style w:type="character" w:styleId="1519" w:customStyle="1">
    <w:name w:val="标题 6 Char"/>
    <w:link w:val="1434"/>
    <w:uiPriority w:val="9"/>
    <w:qFormat/>
    <w:rPr>
      <w:rFonts w:ascii="Arial" w:hAnsi="Arial" w:eastAsia="Arial" w:cs="Arial"/>
      <w:b/>
      <w:bCs/>
      <w:sz w:val="22"/>
      <w:szCs w:val="22"/>
    </w:rPr>
  </w:style>
  <w:style w:type="character" w:styleId="1520" w:customStyle="1">
    <w:name w:val="标题 7 Char"/>
    <w:link w:val="1435"/>
    <w:uiPriority w:val="9"/>
    <w:qFormat/>
    <w:rPr>
      <w:rFonts w:ascii="Arial" w:hAnsi="Arial" w:eastAsia="Arial" w:cs="Arial"/>
      <w:b/>
      <w:bCs/>
      <w:i/>
      <w:iCs/>
      <w:sz w:val="22"/>
      <w:szCs w:val="22"/>
    </w:rPr>
  </w:style>
  <w:style w:type="character" w:styleId="1521" w:customStyle="1">
    <w:name w:val="标题 8 Char"/>
    <w:link w:val="1436"/>
    <w:uiPriority w:val="9"/>
    <w:qFormat/>
    <w:rPr>
      <w:rFonts w:ascii="Arial" w:hAnsi="Arial" w:eastAsia="Arial" w:cs="Arial"/>
      <w:i/>
      <w:iCs/>
      <w:sz w:val="22"/>
      <w:szCs w:val="22"/>
    </w:rPr>
  </w:style>
  <w:style w:type="character" w:styleId="1522" w:customStyle="1">
    <w:name w:val="标题 9 Char"/>
    <w:link w:val="1437"/>
    <w:uiPriority w:val="9"/>
    <w:qFormat/>
    <w:rPr>
      <w:rFonts w:ascii="Arial" w:hAnsi="Arial" w:eastAsia="Arial" w:cs="Arial"/>
      <w:i/>
      <w:iCs/>
      <w:sz w:val="21"/>
      <w:szCs w:val="21"/>
    </w:rPr>
  </w:style>
  <w:style w:type="paragraph" w:styleId="1523">
    <w:name w:val="No Spacing"/>
    <w:uiPriority w:val="1"/>
    <w:qFormat/>
    <w:rPr>
      <w:rFonts w:ascii="Times New Roman" w:hAnsi="Times New Roman" w:eastAsia="宋体" w:cs="Times New Roman"/>
      <w:lang w:val="en-US" w:eastAsia="zh-CN" w:bidi="ar-SA"/>
    </w:rPr>
  </w:style>
  <w:style w:type="character" w:styleId="1524" w:customStyle="1">
    <w:name w:val="标题 Char"/>
    <w:link w:val="1465"/>
    <w:uiPriority w:val="10"/>
    <w:qFormat/>
    <w:rPr>
      <w:sz w:val="48"/>
      <w:szCs w:val="48"/>
    </w:rPr>
  </w:style>
  <w:style w:type="character" w:styleId="1525" w:customStyle="1">
    <w:name w:val="副标题 Char"/>
    <w:link w:val="1457"/>
    <w:uiPriority w:val="11"/>
    <w:qFormat/>
    <w:rPr>
      <w:sz w:val="24"/>
      <w:szCs w:val="24"/>
    </w:rPr>
  </w:style>
  <w:style w:type="paragraph" w:styleId="1526">
    <w:name w:val="Quote"/>
    <w:basedOn w:val="1428"/>
    <w:next w:val="1428"/>
    <w:link w:val="1527"/>
    <w:uiPriority w:val="29"/>
    <w:qFormat/>
    <w:pPr>
      <w:ind w:left="720" w:right="720"/>
    </w:pPr>
    <w:rPr>
      <w:i/>
    </w:rPr>
  </w:style>
  <w:style w:type="character" w:styleId="1527" w:customStyle="1">
    <w:name w:val="引用 Char"/>
    <w:link w:val="1526"/>
    <w:uiPriority w:val="29"/>
    <w:qFormat/>
    <w:rPr>
      <w:i/>
    </w:rPr>
  </w:style>
  <w:style w:type="paragraph" w:styleId="1528">
    <w:name w:val="Intense Quote"/>
    <w:basedOn w:val="1428"/>
    <w:next w:val="1428"/>
    <w:link w:val="15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9" w:customStyle="1">
    <w:name w:val="明显引用 Char"/>
    <w:link w:val="1528"/>
    <w:uiPriority w:val="30"/>
    <w:qFormat/>
    <w:rPr>
      <w:i/>
    </w:rPr>
  </w:style>
  <w:style w:type="character" w:styleId="1530" w:customStyle="1">
    <w:name w:val="页眉 Char"/>
    <w:link w:val="1454"/>
    <w:uiPriority w:val="99"/>
    <w:qFormat/>
  </w:style>
  <w:style w:type="character" w:styleId="1531" w:customStyle="1">
    <w:name w:val="Footer Char"/>
    <w:uiPriority w:val="99"/>
    <w:qFormat/>
  </w:style>
  <w:style w:type="character" w:styleId="1532" w:customStyle="1">
    <w:name w:val="页脚 Char"/>
    <w:link w:val="1453"/>
    <w:uiPriority w:val="99"/>
    <w:qFormat/>
  </w:style>
  <w:style w:type="table" w:styleId="15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5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58" w:customStyle="1">
    <w:name w:val="脚注文本 Char"/>
    <w:link w:val="1458"/>
    <w:uiPriority w:val="99"/>
    <w:qFormat/>
    <w:rPr>
      <w:sz w:val="18"/>
    </w:rPr>
  </w:style>
  <w:style w:type="character" w:styleId="1659" w:customStyle="1">
    <w:name w:val="尾注文本 Char"/>
    <w:link w:val="1451"/>
    <w:uiPriority w:val="99"/>
    <w:qFormat/>
    <w:rPr>
      <w:sz w:val="20"/>
    </w:rPr>
  </w:style>
  <w:style w:type="paragraph" w:styleId="1660" w:customStyle="1">
    <w:name w:val="TOC 标题11"/>
    <w:uiPriority w:val="39"/>
    <w:unhideWhenUsed/>
    <w:qFormat/>
    <w:rPr>
      <w:rFonts w:ascii="Times New Roman" w:hAnsi="Times New Roman" w:eastAsia="宋体" w:cs="Times New Roman"/>
      <w:lang w:val="en-US" w:eastAsia="zh-CN" w:bidi="ar-SA"/>
    </w:rPr>
  </w:style>
  <w:style w:type="paragraph" w:styleId="1661" w:customStyle="1">
    <w:name w:val="标题 11"/>
    <w:basedOn w:val="1428"/>
    <w:next w:val="1428"/>
    <w:uiPriority w:val="9"/>
    <w:qFormat/>
    <w:pPr>
      <w:jc w:val="left"/>
      <w:keepNext/>
      <w:spacing w:before="120" w:after="120"/>
      <w:outlineLvl w:val="0"/>
    </w:pPr>
    <w:rPr>
      <w:rFonts w:ascii="楷体_GB2312" w:hAnsi="楷体_GB2312"/>
      <w:sz w:val="28"/>
    </w:rPr>
  </w:style>
  <w:style w:type="paragraph" w:styleId="1662" w:customStyle="1">
    <w:name w:val="标题 21"/>
    <w:basedOn w:val="1428"/>
    <w:next w:val="1475"/>
    <w:link w:val="1667"/>
    <w:uiPriority w:val="9"/>
    <w:qFormat/>
    <w:pPr>
      <w:jc w:val="center"/>
      <w:keepLines/>
      <w:keepNext/>
      <w:spacing w:before="260" w:after="260" w:line="416" w:lineRule="auto"/>
      <w:outlineLvl w:val="1"/>
    </w:pPr>
    <w:rPr>
      <w:rFonts w:ascii="幼圆" w:hAnsi="Arial" w:eastAsia="楷体_GB2312"/>
      <w:b/>
      <w:sz w:val="44"/>
      <w:szCs w:val="20"/>
    </w:rPr>
  </w:style>
  <w:style w:type="paragraph" w:styleId="1663" w:customStyle="1">
    <w:name w:val="标题 31"/>
    <w:basedOn w:val="1428"/>
    <w:next w:val="1475"/>
    <w:link w:val="1669"/>
    <w:uiPriority w:val="9"/>
    <w:qFormat/>
    <w:pPr>
      <w:keepLines/>
      <w:keepNext/>
      <w:spacing w:before="260" w:after="260" w:line="416" w:lineRule="auto"/>
      <w:outlineLvl w:val="2"/>
    </w:pPr>
    <w:rPr>
      <w:b/>
      <w:sz w:val="32"/>
      <w:szCs w:val="20"/>
    </w:rPr>
  </w:style>
  <w:style w:type="paragraph" w:styleId="1664" w:customStyle="1">
    <w:name w:val="标题 41"/>
    <w:basedOn w:val="1428"/>
    <w:next w:val="1428"/>
    <w:uiPriority w:val="1"/>
    <w:qFormat/>
    <w:pPr>
      <w:jc w:val="center"/>
      <w:outlineLvl w:val="3"/>
    </w:pPr>
    <w:rPr>
      <w:rFonts w:ascii="宋体" w:hAnsi="宋体" w:cs="宋体"/>
      <w:b/>
      <w:bCs/>
      <w:sz w:val="31"/>
      <w:szCs w:val="31"/>
      <w:lang w:val="zh-CN" w:bidi="zh-CN"/>
    </w:rPr>
  </w:style>
  <w:style w:type="character" w:styleId="1665" w:customStyle="1">
    <w:name w:val="默认段落字体1"/>
    <w:uiPriority w:val="0"/>
    <w:semiHidden/>
    <w:qFormat/>
  </w:style>
  <w:style w:type="table" w:styleId="1666" w:customStyle="1">
    <w:name w:val="普通表格1"/>
    <w:uiPriority w:val="0"/>
    <w:semiHidden/>
    <w:qFormat/>
    <w:tblPr>
      <w:tblCellMar>
        <w:left w:w="0" w:type="dxa"/>
        <w:top w:w="0" w:type="dxa"/>
        <w:right w:w="0" w:type="dxa"/>
        <w:bottom w:w="0" w:type="dxa"/>
      </w:tblCellMar>
    </w:tblPr>
  </w:style>
  <w:style w:type="character" w:styleId="1667" w:customStyle="1">
    <w:name w:val="标题 2 字符"/>
    <w:link w:val="1662"/>
    <w:uiPriority w:val="9"/>
    <w:qFormat/>
    <w:rPr>
      <w:rFonts w:ascii="幼圆" w:hAnsi="Arial" w:eastAsia="楷体_GB2312"/>
      <w:b/>
      <w:sz w:val="44"/>
      <w:szCs w:val="20"/>
    </w:rPr>
  </w:style>
  <w:style w:type="character" w:styleId="1668" w:customStyle="1">
    <w:name w:val="正文缩进 字符"/>
    <w:link w:val="1475"/>
    <w:uiPriority w:val="0"/>
    <w:qFormat/>
    <w:rPr>
      <w:rFonts w:ascii="Arial" w:hAnsi="Arial" w:eastAsia="楷体_GB2312"/>
    </w:rPr>
  </w:style>
  <w:style w:type="character" w:styleId="1669" w:customStyle="1">
    <w:name w:val="标题 3 字符"/>
    <w:link w:val="1663"/>
    <w:uiPriority w:val="9"/>
    <w:qFormat/>
    <w:rPr>
      <w:b/>
      <w:sz w:val="32"/>
      <w:szCs w:val="20"/>
    </w:rPr>
  </w:style>
  <w:style w:type="paragraph" w:styleId="1670" w:customStyle="1">
    <w:name w:val="目录 71"/>
    <w:basedOn w:val="1428"/>
    <w:next w:val="1428"/>
    <w:uiPriority w:val="39"/>
    <w:unhideWhenUsed/>
    <w:qFormat/>
    <w:pPr>
      <w:ind w:left="2520"/>
    </w:pPr>
    <w:rPr>
      <w:rFonts w:ascii="等线" w:hAnsi="等线" w:eastAsia="等线"/>
      <w:szCs w:val="22"/>
    </w:rPr>
  </w:style>
  <w:style w:type="paragraph" w:styleId="1671" w:customStyle="1">
    <w:name w:val="文档结构图1"/>
    <w:basedOn w:val="1428"/>
    <w:link w:val="1672"/>
    <w:uiPriority w:val="0"/>
    <w:qFormat/>
    <w:rPr>
      <w:rFonts w:ascii="宋体"/>
      <w:sz w:val="18"/>
      <w:szCs w:val="18"/>
    </w:rPr>
  </w:style>
  <w:style w:type="character" w:styleId="1672" w:customStyle="1">
    <w:name w:val="文档结构图 字符"/>
    <w:link w:val="1671"/>
    <w:uiPriority w:val="0"/>
    <w:qFormat/>
    <w:rPr>
      <w:rFonts w:ascii="宋体"/>
      <w:sz w:val="18"/>
      <w:szCs w:val="18"/>
    </w:rPr>
  </w:style>
  <w:style w:type="paragraph" w:styleId="1673" w:customStyle="1">
    <w:name w:val="正文文本 31"/>
    <w:basedOn w:val="1428"/>
    <w:uiPriority w:val="0"/>
    <w:qFormat/>
    <w:rPr>
      <w:rFonts w:ascii="仿宋_GB2312" w:hAnsi="Arial" w:eastAsia="仿宋_GB2312"/>
      <w:sz w:val="32"/>
      <w:szCs w:val="32"/>
    </w:rPr>
  </w:style>
  <w:style w:type="paragraph" w:styleId="1674" w:customStyle="1">
    <w:name w:val="正文文本1"/>
    <w:basedOn w:val="1428"/>
    <w:next w:val="1428"/>
    <w:uiPriority w:val="0"/>
    <w:qFormat/>
    <w:rPr>
      <w:rFonts w:ascii="楷体_GB2312" w:hAnsi="Arial" w:eastAsia="楷体_GB2312"/>
      <w:sz w:val="28"/>
      <w:szCs w:val="20"/>
    </w:rPr>
  </w:style>
  <w:style w:type="paragraph" w:styleId="1675" w:customStyle="1">
    <w:name w:val="目录 51"/>
    <w:basedOn w:val="1428"/>
    <w:next w:val="1428"/>
    <w:uiPriority w:val="39"/>
    <w:unhideWhenUsed/>
    <w:qFormat/>
    <w:pPr>
      <w:ind w:left="1680"/>
    </w:pPr>
    <w:rPr>
      <w:rFonts w:ascii="等线" w:hAnsi="等线" w:eastAsia="等线"/>
      <w:szCs w:val="22"/>
    </w:rPr>
  </w:style>
  <w:style w:type="paragraph" w:styleId="1676" w:customStyle="1">
    <w:name w:val="目录 31"/>
    <w:basedOn w:val="1428"/>
    <w:next w:val="1428"/>
    <w:uiPriority w:val="39"/>
    <w:qFormat/>
    <w:pPr>
      <w:ind w:left="840"/>
    </w:pPr>
  </w:style>
  <w:style w:type="paragraph" w:styleId="1677" w:customStyle="1">
    <w:name w:val="纯文本1"/>
    <w:basedOn w:val="1428"/>
    <w:uiPriority w:val="99"/>
    <w:qFormat/>
    <w:rPr>
      <w:rFonts w:ascii="宋体" w:hAnsi="Courier New" w:cs="Courier New"/>
      <w:szCs w:val="21"/>
    </w:rPr>
  </w:style>
  <w:style w:type="paragraph" w:styleId="1678" w:customStyle="1">
    <w:name w:val="目录 81"/>
    <w:basedOn w:val="1428"/>
    <w:next w:val="1428"/>
    <w:uiPriority w:val="39"/>
    <w:unhideWhenUsed/>
    <w:qFormat/>
    <w:pPr>
      <w:ind w:left="2940"/>
    </w:pPr>
    <w:rPr>
      <w:rFonts w:ascii="等线" w:hAnsi="等线" w:eastAsia="等线"/>
      <w:szCs w:val="22"/>
    </w:rPr>
  </w:style>
  <w:style w:type="paragraph" w:styleId="1679" w:customStyle="1">
    <w:name w:val="日期1"/>
    <w:basedOn w:val="1428"/>
    <w:next w:val="1428"/>
    <w:link w:val="1680"/>
    <w:uiPriority w:val="0"/>
    <w:qFormat/>
    <w:pPr>
      <w:ind w:left="100"/>
    </w:pPr>
  </w:style>
  <w:style w:type="character" w:styleId="1680" w:customStyle="1">
    <w:name w:val="日期 字符"/>
    <w:link w:val="1679"/>
    <w:uiPriority w:val="0"/>
    <w:qFormat/>
    <w:rPr>
      <w:sz w:val="21"/>
      <w:szCs w:val="24"/>
    </w:rPr>
  </w:style>
  <w:style w:type="paragraph" w:styleId="1681" w:customStyle="1">
    <w:name w:val="正文文本缩进 21"/>
    <w:basedOn w:val="1428"/>
    <w:uiPriority w:val="0"/>
    <w:qFormat/>
    <w:pPr>
      <w:ind w:firstLine="480"/>
      <w:spacing w:line="400" w:lineRule="exact"/>
    </w:pPr>
    <w:rPr>
      <w:rFonts w:eastAsia="仿宋_GB2312"/>
      <w:sz w:val="24"/>
    </w:rPr>
  </w:style>
  <w:style w:type="paragraph" w:styleId="1682" w:customStyle="1">
    <w:name w:val="页脚1"/>
    <w:basedOn w:val="1428"/>
    <w:link w:val="1683"/>
    <w:uiPriority w:val="99"/>
    <w:qFormat/>
    <w:pPr>
      <w:jc w:val="left"/>
      <w:tabs>
        <w:tab w:val="center" w:pos="4153" w:leader="none"/>
        <w:tab w:val="right" w:pos="8306" w:leader="none"/>
      </w:tabs>
    </w:pPr>
    <w:rPr>
      <w:sz w:val="18"/>
      <w:szCs w:val="20"/>
    </w:rPr>
  </w:style>
  <w:style w:type="character" w:styleId="1683" w:customStyle="1">
    <w:name w:val="页脚 字符"/>
    <w:link w:val="1682"/>
    <w:uiPriority w:val="99"/>
    <w:qFormat/>
    <w:rPr>
      <w:sz w:val="18"/>
    </w:rPr>
  </w:style>
  <w:style w:type="paragraph" w:styleId="1684" w:customStyle="1">
    <w:name w:val="页眉1"/>
    <w:basedOn w:val="1428"/>
    <w:uiPriority w:val="0"/>
    <w:qFormat/>
    <w:pPr>
      <w:jc w:val="center"/>
      <w:tabs>
        <w:tab w:val="center" w:pos="4153" w:leader="none"/>
        <w:tab w:val="right" w:pos="8306" w:leader="none"/>
      </w:tabs>
      <w:pBdr>
        <w:bottom w:val="single" w:color="000000" w:sz="6" w:space="1"/>
      </w:pBdr>
    </w:pPr>
    <w:rPr>
      <w:sz w:val="18"/>
      <w:szCs w:val="18"/>
    </w:rPr>
  </w:style>
  <w:style w:type="paragraph" w:styleId="1685" w:customStyle="1">
    <w:name w:val="目录 11"/>
    <w:basedOn w:val="1428"/>
    <w:next w:val="1428"/>
    <w:uiPriority w:val="39"/>
    <w:qFormat/>
  </w:style>
  <w:style w:type="paragraph" w:styleId="1686" w:customStyle="1">
    <w:name w:val="目录 41"/>
    <w:basedOn w:val="1428"/>
    <w:next w:val="1428"/>
    <w:uiPriority w:val="39"/>
    <w:unhideWhenUsed/>
    <w:qFormat/>
    <w:pPr>
      <w:ind w:left="1260"/>
    </w:pPr>
    <w:rPr>
      <w:rFonts w:ascii="等线" w:hAnsi="等线" w:eastAsia="等线"/>
      <w:szCs w:val="22"/>
    </w:rPr>
  </w:style>
  <w:style w:type="paragraph" w:styleId="1687" w:customStyle="1">
    <w:name w:val="副标题1"/>
    <w:basedOn w:val="1428"/>
    <w:next w:val="1428"/>
    <w:link w:val="1688"/>
    <w:uiPriority w:val="0"/>
    <w:qFormat/>
    <w:pPr>
      <w:jc w:val="center"/>
      <w:spacing w:before="240" w:after="60" w:line="312" w:lineRule="auto"/>
      <w:outlineLvl w:val="1"/>
    </w:pPr>
    <w:rPr>
      <w:rFonts w:ascii="等线 Light" w:hAnsi="等线 Light"/>
      <w:b/>
      <w:bCs/>
      <w:sz w:val="32"/>
      <w:szCs w:val="32"/>
    </w:rPr>
  </w:style>
  <w:style w:type="character" w:styleId="1688" w:customStyle="1">
    <w:name w:val="副标题 字符"/>
    <w:link w:val="1687"/>
    <w:uiPriority w:val="0"/>
    <w:qFormat/>
    <w:rPr>
      <w:rFonts w:ascii="等线 Light" w:hAnsi="等线 Light" w:cs="Times New Roman"/>
      <w:b/>
      <w:bCs/>
      <w:sz w:val="32"/>
      <w:szCs w:val="32"/>
    </w:rPr>
  </w:style>
  <w:style w:type="paragraph" w:styleId="1689" w:customStyle="1">
    <w:name w:val="目录 61"/>
    <w:basedOn w:val="1428"/>
    <w:next w:val="1428"/>
    <w:uiPriority w:val="39"/>
    <w:unhideWhenUsed/>
    <w:qFormat/>
    <w:pPr>
      <w:ind w:left="2100"/>
    </w:pPr>
    <w:rPr>
      <w:rFonts w:ascii="等线" w:hAnsi="等线" w:eastAsia="等线"/>
      <w:szCs w:val="22"/>
    </w:rPr>
  </w:style>
  <w:style w:type="paragraph" w:styleId="1690" w:customStyle="1">
    <w:name w:val="正文文本缩进 31"/>
    <w:basedOn w:val="1428"/>
    <w:link w:val="1691"/>
    <w:uiPriority w:val="0"/>
    <w:qFormat/>
    <w:pPr>
      <w:ind w:left="520" w:firstLine="425"/>
      <w:jc w:val="center"/>
    </w:pPr>
    <w:rPr>
      <w:rFonts w:ascii="微软雅黑" w:hAnsi="Arial" w:eastAsia="微软雅黑"/>
      <w:sz w:val="36"/>
      <w:szCs w:val="20"/>
    </w:rPr>
  </w:style>
  <w:style w:type="character" w:styleId="1691" w:customStyle="1">
    <w:name w:val="正文文本缩进 3 字符"/>
    <w:link w:val="1690"/>
    <w:uiPriority w:val="0"/>
    <w:qFormat/>
    <w:rPr>
      <w:rFonts w:ascii="微软雅黑" w:hAnsi="Arial" w:eastAsia="微软雅黑"/>
      <w:sz w:val="36"/>
    </w:rPr>
  </w:style>
  <w:style w:type="paragraph" w:styleId="1692" w:customStyle="1">
    <w:name w:val="目录 21"/>
    <w:basedOn w:val="1428"/>
    <w:next w:val="1428"/>
    <w:uiPriority w:val="39"/>
    <w:qFormat/>
    <w:pPr>
      <w:ind w:left="420"/>
    </w:pPr>
  </w:style>
  <w:style w:type="paragraph" w:styleId="1693" w:customStyle="1">
    <w:name w:val="目录 91"/>
    <w:basedOn w:val="1428"/>
    <w:next w:val="1428"/>
    <w:uiPriority w:val="39"/>
    <w:unhideWhenUsed/>
    <w:qFormat/>
    <w:pPr>
      <w:ind w:left="3360"/>
    </w:pPr>
    <w:rPr>
      <w:rFonts w:ascii="等线" w:hAnsi="等线" w:eastAsia="等线"/>
      <w:szCs w:val="22"/>
    </w:rPr>
  </w:style>
  <w:style w:type="paragraph" w:styleId="1694" w:customStyle="1">
    <w:name w:val="正文文本 21"/>
    <w:basedOn w:val="1428"/>
    <w:uiPriority w:val="0"/>
    <w:qFormat/>
    <w:pPr>
      <w:spacing w:after="120" w:line="480" w:lineRule="auto"/>
    </w:pPr>
  </w:style>
  <w:style w:type="paragraph" w:styleId="1695" w:customStyle="1">
    <w:name w:val="普通(网站)11"/>
    <w:basedOn w:val="1428"/>
    <w:uiPriority w:val="99"/>
    <w:qFormat/>
    <w:pPr>
      <w:jc w:val="left"/>
      <w:spacing w:before="100" w:beforeAutospacing="1" w:after="100" w:afterAutospacing="1"/>
      <w:widowControl/>
    </w:pPr>
    <w:rPr>
      <w:rFonts w:ascii="宋体" w:hAnsi="宋体"/>
      <w:color w:val="000000"/>
      <w:sz w:val="24"/>
    </w:rPr>
  </w:style>
  <w:style w:type="paragraph" w:styleId="1696" w:customStyle="1">
    <w:name w:val="正文首行缩进1"/>
    <w:basedOn w:val="1674"/>
    <w:next w:val="1428"/>
    <w:uiPriority w:val="0"/>
    <w:qFormat/>
    <w:pPr>
      <w:ind w:firstLine="420"/>
      <w:spacing w:line="360" w:lineRule="auto"/>
    </w:pPr>
    <w:rPr>
      <w:rFonts w:ascii="Arial"/>
      <w:sz w:val="20"/>
      <w:szCs w:val="21"/>
    </w:rPr>
  </w:style>
  <w:style w:type="table" w:styleId="1697" w:customStyle="1">
    <w:name w:val="网格型1"/>
    <w:basedOn w:val="1666"/>
    <w:uiPriority w:val="39"/>
    <w:unhideWhenUsed/>
    <w:qFormat/>
    <w:tblPr>
      <w:tblCellMar>
        <w:left w:w="0" w:type="dxa"/>
        <w:top w:w="0" w:type="dxa"/>
        <w:right w:w="0" w:type="dxa"/>
        <w:bottom w:w="0" w:type="dxa"/>
      </w:tblCellMar>
    </w:tblPr>
  </w:style>
  <w:style w:type="character" w:styleId="1698" w:customStyle="1">
    <w:name w:val="页码1"/>
    <w:uiPriority w:val="99"/>
    <w:qFormat/>
  </w:style>
  <w:style w:type="character" w:styleId="1699" w:customStyle="1">
    <w:name w:val="已访问的超链接1"/>
    <w:uiPriority w:val="0"/>
    <w:qFormat/>
    <w:rPr>
      <w:color w:val="333333"/>
      <w:u w:val="none"/>
    </w:rPr>
  </w:style>
  <w:style w:type="character" w:styleId="1700" w:customStyle="1">
    <w:name w:val="超链接1"/>
    <w:uiPriority w:val="99"/>
    <w:qFormat/>
    <w:rPr>
      <w:color w:val="0000ff"/>
      <w:u w:val="single"/>
    </w:rPr>
  </w:style>
  <w:style w:type="paragraph" w:styleId="1701" w:customStyle="1">
    <w:name w:val="段"/>
    <w:next w:val="1428"/>
    <w:uiPriority w:val="0"/>
    <w:qFormat/>
    <w:pPr>
      <w:ind w:firstLine="200"/>
      <w:jc w:val="both"/>
    </w:pPr>
    <w:rPr>
      <w:rFonts w:ascii="宋体" w:hAnsi="Times New Roman" w:eastAsia="宋体" w:cs="Times New Roman"/>
      <w:sz w:val="21"/>
      <w:lang w:val="en-US" w:eastAsia="zh-CN" w:bidi="ar-SA"/>
    </w:rPr>
  </w:style>
  <w:style w:type="character" w:styleId="1702" w:customStyle="1">
    <w:name w:val="htd0"/>
    <w:basedOn w:val="1438"/>
    <w:uiPriority w:val="0"/>
    <w:qFormat/>
  </w:style>
  <w:style w:type="paragraph" w:styleId="1703" w:customStyle="1">
    <w:name w:val="技术正文（深信服）"/>
    <w:basedOn w:val="1428"/>
    <w:uiPriority w:val="0"/>
    <w:qFormat/>
    <w:pPr>
      <w:ind w:firstLine="480"/>
      <w:spacing w:line="360" w:lineRule="auto"/>
    </w:pPr>
    <w:rPr>
      <w:sz w:val="24"/>
      <w:szCs w:val="20"/>
    </w:rPr>
  </w:style>
  <w:style w:type="paragraph" w:styleId="1704" w:customStyle="1">
    <w:name w:val="普通(网站)1"/>
    <w:basedOn w:val="1428"/>
    <w:uiPriority w:val="0"/>
    <w:qFormat/>
    <w:pPr>
      <w:jc w:val="left"/>
      <w:spacing w:before="100" w:beforeAutospacing="1" w:after="100" w:afterAutospacing="1"/>
      <w:widowControl/>
    </w:pPr>
    <w:rPr>
      <w:rFonts w:ascii="宋体" w:hAnsi="宋体" w:cs="宋体"/>
      <w:color w:val="000000"/>
      <w:sz w:val="24"/>
    </w:rPr>
  </w:style>
  <w:style w:type="paragraph" w:styleId="1705" w:customStyle="1">
    <w:name w:val="列出段落11"/>
    <w:basedOn w:val="1428"/>
    <w:uiPriority w:val="34"/>
    <w:qFormat/>
    <w:pPr>
      <w:ind w:firstLine="420"/>
    </w:pPr>
  </w:style>
  <w:style w:type="paragraph" w:styleId="1706" w:customStyle="1">
    <w:name w:val="样式 首行缩进:  2 字符"/>
    <w:basedOn w:val="1428"/>
    <w:uiPriority w:val="0"/>
    <w:qFormat/>
    <w:pPr>
      <w:ind w:firstLine="480"/>
    </w:pPr>
    <w:rPr>
      <w:rFonts w:cs="宋体"/>
      <w:szCs w:val="20"/>
    </w:rPr>
  </w:style>
  <w:style w:type="paragraph" w:styleId="1707" w:customStyle="1">
    <w:name w:val="列表段落1"/>
    <w:basedOn w:val="1428"/>
    <w:uiPriority w:val="34"/>
    <w:qFormat/>
    <w:pPr>
      <w:ind w:firstLine="420"/>
    </w:pPr>
    <w:rPr>
      <w:rFonts w:ascii="Calibri" w:hAnsi="Calibri"/>
      <w:szCs w:val="22"/>
    </w:rPr>
  </w:style>
  <w:style w:type="character" w:styleId="1708" w:customStyle="1">
    <w:name w:val="NormalCharacter1"/>
    <w:uiPriority w:val="0"/>
    <w:semiHidden/>
    <w:qFormat/>
  </w:style>
  <w:style w:type="paragraph" w:styleId="1709" w:customStyle="1">
    <w:name w:val="Normal_0"/>
    <w:uiPriority w:val="0"/>
    <w:qFormat/>
    <w:rPr>
      <w:rFonts w:ascii="Times New Roman" w:hAnsi="Times New Roman" w:eastAsia="Times New Roman" w:cs="Times New Roman"/>
      <w:sz w:val="24"/>
      <w:szCs w:val="24"/>
      <w:lang w:val="en-US" w:eastAsia="zh-CN" w:bidi="ar-SA"/>
    </w:rPr>
  </w:style>
  <w:style w:type="paragraph" w:styleId="1710"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1711" w:customStyle="1">
    <w:name w:val="TOC 标题2"/>
    <w:basedOn w:val="1661"/>
    <w:next w:val="1428"/>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712"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paragraph" w:styleId="171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714" w:customStyle="1">
    <w:name w:val="Table Paragraph"/>
    <w:basedOn w:val="1428"/>
    <w:uiPriority w:val="1"/>
    <w:qFormat/>
    <w:rPr>
      <w:rFonts w:ascii="宋体" w:hAnsi="宋体" w:cs="宋体"/>
      <w:lang w:val="zh-CN" w:bidi="zh-CN"/>
    </w:rPr>
  </w:style>
  <w:style w:type="character" w:styleId="1715" w:customStyle="1">
    <w:name w:val="未处理的提及1"/>
    <w:uiPriority w:val="99"/>
    <w:unhideWhenUsed/>
    <w:qFormat/>
    <w:rPr>
      <w:color w:val="605e5c"/>
      <w:shd w:val="clear" w:color="auto" w:fill="e1dfdd"/>
    </w:rPr>
  </w:style>
  <w:style w:type="paragraph" w:styleId="1716" w:customStyle="1">
    <w:name w:val="Normal_1"/>
    <w:uiPriority w:val="0"/>
    <w:qFormat/>
    <w:rPr>
      <w:rFonts w:ascii="Times New Roman" w:hAnsi="Times New Roman" w:eastAsia="Times New Roman" w:cs="Times New Roman"/>
      <w:sz w:val="24"/>
      <w:szCs w:val="24"/>
      <w:lang w:val="en-US" w:eastAsia="zh-CN" w:bidi="ar-SA"/>
    </w:rPr>
  </w:style>
  <w:style w:type="paragraph" w:styleId="1717" w:customStyle="1">
    <w:name w:val="正文-奇安信"/>
    <w:basedOn w:val="1428"/>
    <w:uiPriority w:val="0"/>
    <w:qFormat/>
    <w:pPr>
      <w:ind w:firstLine="420"/>
      <w:spacing w:line="360" w:lineRule="auto"/>
    </w:pPr>
    <w:rPr>
      <w:rFonts w:eastAsia="仿宋"/>
      <w:sz w:val="24"/>
      <w:szCs w:val="20"/>
    </w:rPr>
  </w:style>
  <w:style w:type="paragraph" w:styleId="1718" w:customStyle="1">
    <w:name w:val="Normal_3"/>
    <w:uiPriority w:val="0"/>
    <w:qFormat/>
    <w:rPr>
      <w:rFonts w:ascii="Times New Roman" w:hAnsi="Times New Roman" w:eastAsia="Times New Roman" w:cs="Times New Roman"/>
      <w:sz w:val="24"/>
      <w:szCs w:val="24"/>
      <w:lang w:val="en-US" w:eastAsia="zh-CN" w:bidi="ar-SA"/>
    </w:rPr>
  </w:style>
  <w:style w:type="paragraph" w:styleId="1719" w:customStyle="1">
    <w:name w:val="表格正文2"/>
    <w:basedOn w:val="1428"/>
    <w:uiPriority w:val="0"/>
    <w:qFormat/>
    <w:pPr>
      <w:keepNext/>
      <w:widowControl/>
    </w:pPr>
    <w:rPr>
      <w:rFonts w:cs="宋体"/>
      <w:color w:val="000000"/>
      <w:szCs w:val="21"/>
    </w:rPr>
  </w:style>
  <w:style w:type="paragraph" w:styleId="1720" w:customStyle="1">
    <w:name w:val="首行缩进"/>
    <w:basedOn w:val="1428"/>
    <w:uiPriority w:val="0"/>
    <w:qFormat/>
    <w:pPr>
      <w:ind w:firstLine="480"/>
      <w:jc w:val="left"/>
      <w:spacing w:line="360" w:lineRule="auto"/>
    </w:pPr>
    <w:rPr>
      <w:rFonts w:ascii="宋体" w:hAnsi="宋体" w:cs="宋体"/>
      <w:sz w:val="24"/>
    </w:rPr>
  </w:style>
  <w:style w:type="character" w:styleId="1721" w:customStyle="1">
    <w:name w:val="font51"/>
    <w:uiPriority w:val="0"/>
    <w:qFormat/>
    <w:rPr>
      <w:rFonts w:hint="eastAsia" w:ascii="宋体" w:hAnsi="宋体" w:eastAsia="宋体" w:cs="宋体"/>
      <w:color w:val="000000"/>
      <w:sz w:val="20"/>
      <w:szCs w:val="20"/>
      <w:u w:val="none"/>
      <w:vertAlign w:val="superscript"/>
    </w:rPr>
  </w:style>
  <w:style w:type="paragraph" w:styleId="1722" w:customStyle="1">
    <w:name w:val="样式 首行缩进:  0 字符"/>
    <w:basedOn w:val="1428"/>
    <w:uiPriority w:val="0"/>
    <w:qFormat/>
    <w:pPr>
      <w:ind w:firstLine="200"/>
      <w:spacing w:line="360" w:lineRule="auto"/>
    </w:pPr>
    <w:rPr>
      <w:rFonts w:cs="宋体"/>
      <w:sz w:val="24"/>
      <w:szCs w:val="20"/>
    </w:rPr>
  </w:style>
  <w:style w:type="paragraph" w:styleId="1723" w:customStyle="1">
    <w:name w:val="列出段落3"/>
    <w:basedOn w:val="1428"/>
    <w:uiPriority w:val="99"/>
    <w:qFormat/>
    <w:pPr>
      <w:ind w:firstLine="420"/>
    </w:pPr>
    <w:rPr>
      <w:rFonts w:ascii="Calibri" w:hAnsi="Calibri"/>
      <w:szCs w:val="22"/>
    </w:rPr>
  </w:style>
  <w:style w:type="table" w:styleId="1724" w:customStyle="1">
    <w:name w:val="Table Normal"/>
    <w:uiPriority w:val="0"/>
    <w:unhideWhenUsed/>
    <w:qFormat/>
    <w:tblPr>
      <w:tblCellMar>
        <w:left w:w="0" w:type="dxa"/>
        <w:top w:w="0" w:type="dxa"/>
        <w:right w:w="0" w:type="dxa"/>
        <w:bottom w:w="0" w:type="dxa"/>
      </w:tblCellMar>
    </w:tblPr>
  </w:style>
  <w:style w:type="paragraph" w:styleId="1725" w:customStyle="1">
    <w:name w:val="WPSOffice手动目录 1"/>
    <w:uiPriority w:val="0"/>
    <w:qFormat/>
    <w:rPr>
      <w:rFonts w:ascii="Times New Roman" w:hAnsi="Times New Roman" w:eastAsia="宋体" w:cs="Times New Roman"/>
      <w:lang w:val="en-US" w:eastAsia="zh-CN" w:bidi="ar-SA"/>
    </w:rPr>
  </w:style>
  <w:style w:type="paragraph" w:styleId="1726">
    <w:name w:val="List Paragraph"/>
    <w:basedOn w:val="1428"/>
    <w:uiPriority w:val="0"/>
    <w:qFormat/>
    <w:pPr>
      <w:ind w:firstLine="420"/>
    </w:pPr>
  </w:style>
  <w:style w:type="paragraph" w:styleId="1727" w:customStyle="1">
    <w:name w:val="Normal_6"/>
    <w:uiPriority w:val="0"/>
    <w:qFormat/>
    <w:rPr>
      <w:rFonts w:ascii="Times New Roman" w:hAnsi="Times New Roman" w:eastAsia="Times New Roman" w:cs="Times New Roman"/>
      <w:sz w:val="24"/>
      <w:szCs w:val="24"/>
      <w:lang w:val="en-US" w:eastAsia="zh-CN" w:bidi="ar-SA"/>
    </w:rPr>
  </w:style>
  <w:style w:type="paragraph" w:styleId="1728" w:customStyle="1">
    <w:name w:val="Normal_2"/>
    <w:uiPriority w:val="0"/>
    <w:qFormat/>
    <w:rPr>
      <w:rFonts w:ascii="Times New Roman" w:hAnsi="Times New Roman" w:eastAsia="Times New Roman" w:cs="Times New Roman"/>
      <w:sz w:val="24"/>
      <w:szCs w:val="24"/>
      <w:lang w:val="en-US" w:eastAsia="zh-CN" w:bidi="ar-SA"/>
    </w:rPr>
  </w:style>
  <w:style w:type="paragraph" w:styleId="1729" w:customStyle="1">
    <w:name w:val="Table Text"/>
    <w:basedOn w:val="1428"/>
    <w:uiPriority w:val="0"/>
    <w:semiHidden/>
    <w:qFormat/>
    <w:rPr>
      <w:rFonts w:ascii="宋体" w:hAnsi="宋体" w:cs="宋体"/>
      <w:sz w:val="24"/>
      <w:lang w:eastAsia="en-US"/>
    </w:rPr>
  </w:style>
  <w:style w:type="character" w:styleId="1730" w:customStyle="1">
    <w:name w:val="font21"/>
    <w:basedOn w:val="1438"/>
    <w:uiPriority w:val="0"/>
    <w:qFormat/>
    <w:rPr>
      <w:rFonts w:ascii="宋体" w:hAnsi="宋体" w:eastAsia="宋体" w:cs="宋体"/>
      <w:b/>
      <w:bCs/>
      <w:color w:val="000000"/>
      <w:sz w:val="18"/>
      <w:szCs w:val="18"/>
      <w:u w:val="none"/>
    </w:rPr>
  </w:style>
  <w:style w:type="character" w:styleId="1731" w:customStyle="1">
    <w:name w:val="font31"/>
    <w:basedOn w:val="1438"/>
    <w:uiPriority w:val="0"/>
    <w:qFormat/>
    <w:rPr>
      <w:rFonts w:ascii="宋体" w:hAnsi="宋体" w:eastAsia="宋体" w:cs="宋体"/>
      <w:color w:val="000000"/>
      <w:sz w:val="18"/>
      <w:szCs w:val="18"/>
      <w:u w:val="none"/>
    </w:rPr>
  </w:style>
  <w:style w:type="paragraph" w:styleId="1732" w:customStyle="1">
    <w:name w:val="Normal_8"/>
    <w:uiPriority w:val="0"/>
    <w:qFormat/>
    <w:rPr>
      <w:rFonts w:ascii="Times New Roman" w:hAnsi="Times New Roman" w:eastAsia="Times New Roman" w:cs="Times New Roman"/>
      <w:sz w:val="24"/>
      <w:szCs w:val="24"/>
      <w:lang w:val="en-US" w:eastAsia="zh-CN" w:bidi="ar-SA"/>
    </w:rPr>
  </w:style>
  <w:style w:type="paragraph" w:styleId="1733"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734" w:customStyle="1">
    <w:name w:val="Normal_29"/>
    <w:uiPriority w:val="0"/>
    <w:qFormat/>
    <w:rPr>
      <w:rFonts w:ascii="Times New Roman" w:hAnsi="Times New Roman" w:eastAsia="Times New Roman" w:cs="Times New Roman"/>
      <w:sz w:val="24"/>
      <w:szCs w:val="24"/>
      <w:lang w:val="en-US" w:eastAsia="zh-CN" w:bidi="ar-SA"/>
    </w:rPr>
  </w:style>
  <w:style w:type="paragraph" w:styleId="1735" w:customStyle="1">
    <w:name w:val="0正文"/>
    <w:basedOn w:val="1428"/>
    <w:uiPriority w:val="0"/>
    <w:qFormat/>
    <w:rPr>
      <w:rFonts w:cs="Wingdings"/>
      <w:szCs w:val="20"/>
    </w:rPr>
  </w:style>
  <w:style w:type="paragraph" w:styleId="1736" w:customStyle="1">
    <w:name w:val="图编号"/>
    <w:next w:val="1428"/>
    <w:uiPriority w:val="0"/>
    <w:qFormat/>
    <w:pPr>
      <w:numPr>
        <w:ilvl w:val="7"/>
        <w:numId w:val="1"/>
      </w:numPr>
      <w:jc w:val="center"/>
    </w:pPr>
    <w:rPr>
      <w:rFonts w:ascii="Times New Roman" w:hAnsi="Times New Roman" w:eastAsia="宋体" w:cstheme="majorBidi"/>
      <w:bCs/>
      <w:sz w:val="24"/>
      <w:szCs w:val="32"/>
      <w:lang w:val="en-US" w:eastAsia="zh-CN" w:bidi="ar-SA"/>
    </w:rPr>
  </w:style>
  <w:style w:type="paragraph" w:styleId="1737" w:customStyle="1">
    <w:name w:val="01-标书-标题1"/>
    <w:next w:val="1428"/>
    <w:uiPriority w:val="0"/>
    <w:qFormat/>
    <w:pPr>
      <w:ind w:left="425" w:hanging="425"/>
      <w:spacing w:after="160" w:line="360" w:lineRule="auto"/>
      <w:tabs>
        <w:tab w:val="left" w:pos="425" w:leader="none"/>
      </w:tabs>
      <w:outlineLvl w:val="0"/>
    </w:pPr>
    <w:rPr>
      <w:rFonts w:ascii="黑体" w:hAnsi="宋体" w:eastAsia="黑体" w:cs="Times New Roman"/>
      <w:sz w:val="44"/>
      <w:szCs w:val="32"/>
      <w:lang w:val="en-US" w:eastAsia="zh-CN" w:bidi="ar-SA"/>
    </w:rPr>
  </w:style>
  <w:style w:type="paragraph" w:styleId="1738"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739" w:customStyle="1">
    <w:name w:val="页码11"/>
    <w:uiPriority w:val="0"/>
    <w:qFormat/>
  </w:style>
  <w:style w:type="table" w:styleId="1740" w:customStyle="1">
    <w:name w:val="网格型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4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742" w:customStyle="1">
    <w:name w:val="a0"/>
    <w:basedOn w:val="1428"/>
    <w:uiPriority w:val="0"/>
    <w:qFormat/>
    <w:pPr>
      <w:jc w:val="left"/>
      <w:spacing w:before="100" w:beforeAutospacing="1" w:after="100" w:afterAutospacing="1"/>
      <w:widowControl/>
    </w:pPr>
    <w:rPr>
      <w:rFonts w:ascii="宋体" w:hAnsi="宋体" w:cs="宋体"/>
      <w:sz w:val="24"/>
    </w:rPr>
  </w:style>
  <w:style w:type="character" w:styleId="1743" w:customStyle="1">
    <w:name w:val="批注框文本 Char"/>
    <w:basedOn w:val="1438"/>
    <w:link w:val="1452"/>
    <w:uiPriority w:val="99"/>
    <w:semiHidden/>
    <w:qFormat/>
    <w:rPr>
      <w:sz w:val="18"/>
      <w:szCs w:val="18"/>
    </w:rPr>
  </w:style>
  <w:style w:type="paragraph" w:styleId="1744" w:customStyle="1">
    <w:name w:val="Normal_28"/>
    <w:uiPriority w:val="0"/>
    <w:qFormat/>
    <w:rPr>
      <w:rFonts w:ascii="Times New Roman" w:hAnsi="Times New Roman" w:eastAsia="Times New Roman" w:cs="Times New Roman"/>
      <w:sz w:val="24"/>
      <w:szCs w:val="24"/>
      <w:lang w:val="zh-CN" w:eastAsia="zh-CN" w:bidi="ar-SA"/>
    </w:rPr>
  </w:style>
  <w:style w:type="paragraph" w:styleId="1745" w:customStyle="1">
    <w:name w:val="Normal_31"/>
    <w:uiPriority w:val="0"/>
    <w:qFormat/>
    <w:pPr>
      <w:jc w:val="both"/>
      <w:widowControl w:val="off"/>
    </w:pPr>
    <w:rPr>
      <w:rFonts w:ascii="Calibri" w:hAnsi="Calibri" w:eastAsia="宋体" w:cs="Times New Roman"/>
      <w:sz w:val="21"/>
      <w:szCs w:val="22"/>
      <w:lang w:val="en-US" w:eastAsia="zh-CN" w:bidi="ar-SA"/>
    </w:rPr>
  </w:style>
  <w:style w:type="numbering" w:styleId="10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刘歆雨</cp:lastModifiedBy>
  <cp:revision>40</cp:revision>
  <dcterms:created xsi:type="dcterms:W3CDTF">2023-09-28T01:46:00Z</dcterms:created>
  <dcterms:modified xsi:type="dcterms:W3CDTF">2026-08-26T02:27:49Z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D353E1575A104928B6FABB9335D85187_13</vt:lpwstr>
  </property>
  <property fmtid="{D5CDD505-2E9C-101B-9397-08002B2CF9AE}" pid="4" name="KSOTemplateDocerSaveRecord">
    <vt:lpwstr>eyJoZGlkIjoiOWIwODEwNWEwZjFlZjg2NGYyNDY4NGJjN2QzODQxYTIiLCJ1c2VySWQiOiIxMTYxMjU4NjkyIn0=</vt:lpwstr>
  </property>
</Properties>
</file>