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rPr>
          <w:rFonts w:hint="eastAsia" w:eastAsia="宋体"/>
          <w:b/>
          <w:bCs/>
          <w:color w:val="auto"/>
          <w:spacing w:val="80"/>
          <w:highlight w:val="none"/>
          <w:lang w:eastAsia="zh-CN"/>
        </w:rPr>
      </w:pPr>
      <w:r>
        <w:rPr>
          <w:rFonts w:hint="eastAsia" w:eastAsia="宋体"/>
          <w:b/>
          <w:bCs/>
          <w:color w:val="auto"/>
          <w:spacing w:val="80"/>
          <w:highlight w:val="none"/>
          <w:lang w:eastAsia="zh-CN"/>
        </w:rPr>
      </w:r>
      <w:r/>
    </w:p>
    <w:p>
      <w:pPr>
        <w:ind w:firstLine="0"/>
        <w:spacing w:line="240" w:lineRule="auto"/>
        <w:rPr>
          <w:b/>
          <w:bCs/>
          <w:color w:val="auto"/>
          <w:sz w:val="80"/>
          <w:szCs w:val="80"/>
          <w:highlight w:val="none"/>
        </w:rPr>
      </w:pPr>
      <w:r>
        <w:rPr>
          <w:b/>
          <w:bCs/>
          <w:color w:val="auto"/>
          <w:sz w:val="80"/>
          <w:szCs w:val="80"/>
          <w:highlight w:val="none"/>
        </w:rPr>
      </w:r>
      <w:r/>
    </w:p>
    <w:p>
      <w:pPr>
        <w:ind w:firstLine="0"/>
        <w:jc w:val="center"/>
        <w:spacing w:line="240" w:lineRule="auto"/>
        <w:rPr>
          <w:b/>
          <w:bCs/>
          <w:color w:val="auto"/>
          <w:sz w:val="80"/>
          <w:szCs w:val="80"/>
          <w:highlight w:val="none"/>
        </w:rPr>
      </w:pPr>
      <w:r>
        <w:rPr>
          <w:b/>
          <w:bCs/>
          <w:color w:val="auto"/>
          <w:sz w:val="80"/>
          <w:szCs w:val="80"/>
          <w:highlight w:val="none"/>
        </w:rPr>
        <w:t xml:space="preserve">连云港市政府采购</w:t>
      </w:r>
      <w:r/>
    </w:p>
    <w:p>
      <w:pPr>
        <w:pStyle w:val="1130"/>
        <w:ind w:firstLine="0"/>
        <w:jc w:val="center"/>
        <w:spacing w:before="0" w:beforeAutospacing="0" w:after="0" w:afterAutospacing="0" w:line="240" w:lineRule="auto"/>
        <w:rPr>
          <w:rFonts w:ascii="Times New Roman" w:hAnsi="Times New Roman" w:cs="Times New Roman"/>
          <w:b/>
          <w:bCs/>
          <w:color w:val="auto"/>
          <w:sz w:val="80"/>
          <w:szCs w:val="80"/>
          <w:highlight w:val="none"/>
        </w:rPr>
      </w:pPr>
      <w:r>
        <w:rPr>
          <w:rFonts w:ascii="Times New Roman" w:hAnsi="Times New Roman" w:cs="Times New Roman"/>
          <w:b/>
          <w:bCs/>
          <w:color w:val="auto"/>
          <w:sz w:val="80"/>
          <w:szCs w:val="80"/>
          <w:highlight w:val="none"/>
        </w:rPr>
      </w:r>
      <w:r/>
    </w:p>
    <w:p>
      <w:pPr>
        <w:pStyle w:val="1130"/>
        <w:ind w:firstLine="0"/>
        <w:jc w:val="center"/>
        <w:spacing w:before="0" w:beforeAutospacing="0" w:after="0" w:afterAutospacing="0" w:line="240" w:lineRule="auto"/>
        <w:rPr>
          <w:rFonts w:ascii="Times New Roman" w:hAnsi="Times New Roman" w:cs="Times New Roman"/>
          <w:color w:val="auto"/>
          <w:highlight w:val="none"/>
        </w:rPr>
      </w:pPr>
      <w:r>
        <w:rPr>
          <w:rFonts w:ascii="Times New Roman" w:hAnsi="Times New Roman" w:cs="Times New Roman"/>
          <w:b/>
          <w:bCs/>
          <w:color w:val="auto"/>
          <w:sz w:val="80"/>
          <w:szCs w:val="80"/>
          <w:highlight w:val="none"/>
        </w:rPr>
        <w:t xml:space="preserve">竞争性磋商文件</w:t>
      </w:r>
      <w:r/>
    </w:p>
    <w:p>
      <w:pPr>
        <w:ind w:firstLine="0"/>
        <w:spacing w:line="720" w:lineRule="exact"/>
        <w:rPr>
          <w:rFonts w:eastAsia="华康简楷"/>
          <w:color w:val="auto"/>
          <w:sz w:val="72"/>
          <w:highlight w:val="none"/>
        </w:rPr>
      </w:pPr>
      <w:r>
        <w:rPr>
          <w:rFonts w:eastAsia="华康简楷"/>
          <w:color w:val="auto"/>
          <w:sz w:val="72"/>
          <w:highlight w:val="none"/>
        </w:rPr>
      </w:r>
      <w:r/>
    </w:p>
    <w:p>
      <w:pPr>
        <w:ind w:firstLine="0"/>
        <w:spacing w:line="720" w:lineRule="exact"/>
        <w:rPr>
          <w:rFonts w:eastAsia="华康简楷"/>
          <w:color w:val="auto"/>
          <w:sz w:val="72"/>
          <w:highlight w:val="none"/>
        </w:rPr>
      </w:pPr>
      <w:r>
        <w:rPr>
          <w:rFonts w:eastAsia="华康简楷"/>
          <w:color w:val="auto"/>
          <w:sz w:val="72"/>
          <w:highlight w:val="none"/>
        </w:rPr>
      </w:r>
      <w:r/>
    </w:p>
    <w:p>
      <w:pPr>
        <w:ind w:firstLine="0"/>
        <w:spacing w:line="720" w:lineRule="exact"/>
        <w:rPr>
          <w:rFonts w:eastAsia="华康简楷"/>
          <w:color w:val="auto"/>
          <w:sz w:val="72"/>
          <w:highlight w:val="none"/>
        </w:rPr>
      </w:pPr>
      <w:r>
        <w:rPr>
          <w:rFonts w:eastAsia="华康简楷"/>
          <w:color w:val="auto"/>
          <w:sz w:val="72"/>
          <w:highlight w:val="none"/>
        </w:rPr>
      </w:r>
      <w:r/>
    </w:p>
    <w:p>
      <w:pPr>
        <w:pStyle w:val="939"/>
        <w:rPr>
          <w:color w:val="auto"/>
          <w:highlight w:val="none"/>
        </w:rPr>
      </w:pPr>
      <w:r>
        <w:rPr>
          <w:color w:val="auto"/>
          <w:highlight w:val="none"/>
        </w:rPr>
      </w:r>
      <w:r/>
    </w:p>
    <w:tbl>
      <w:tblPr>
        <w:tblStyle w:val="908"/>
        <w:tblW w:w="0" w:type="auto"/>
        <w:jc w:val="center"/>
        <w:tblLayout w:type="fixed"/>
        <w:tblCellMar>
          <w:left w:w="108" w:type="dxa"/>
          <w:top w:w="0" w:type="dxa"/>
          <w:right w:w="108" w:type="dxa"/>
          <w:bottom w:w="0" w:type="dxa"/>
        </w:tblCellMar>
        <w:tblLook w:val="04A0" w:firstRow="1" w:lastRow="0" w:firstColumn="1" w:lastColumn="0" w:noHBand="0" w:noVBand="1"/>
      </w:tblPr>
      <w:tblGrid>
        <w:gridCol w:w="1951"/>
        <w:gridCol w:w="6323"/>
      </w:tblGrid>
      <w:tr>
        <w:trPr>
          <w:jc w:val="center"/>
          <w:trHeight w:val="781"/>
        </w:trPr>
        <w:tc>
          <w:tcPr>
            <w:tcBorders>
              <w:top w:val="none" w:color="000000" w:sz="4" w:space="0"/>
              <w:left w:val="none" w:color="000000" w:sz="4" w:space="0"/>
              <w:bottom w:val="none" w:color="000000" w:sz="4" w:space="0"/>
              <w:right w:val="none" w:color="000000" w:sz="4" w:space="0"/>
            </w:tcBorders>
            <w:tcW w:w="1951" w:type="dxa"/>
            <w:vAlign w:val="center"/>
            <w:textDirection w:val="lrTb"/>
            <w:noWrap w:val="false"/>
          </w:tcPr>
          <w:p>
            <w:pPr>
              <w:ind w:firstLine="0"/>
              <w:rPr>
                <w:rFonts w:hint="eastAsia" w:ascii="宋体" w:hAnsi="宋体"/>
                <w:b/>
                <w:bCs/>
                <w:color w:val="auto"/>
                <w:sz w:val="32"/>
                <w:highlight w:val="none"/>
              </w:rPr>
            </w:pPr>
            <w:r/>
            <w:bookmarkStart w:id="0" w:name="OLE_LINK27"/>
            <w:r/>
            <w:bookmarkStart w:id="1" w:name="OLE_LINK1"/>
            <w:r/>
            <w:bookmarkStart w:id="2" w:name="OLE_LINK24"/>
            <w:r/>
            <w:bookmarkStart w:id="3" w:name="OLE_LINK3"/>
            <w:r/>
            <w:bookmarkStart w:id="4" w:name="OLE_LINK29"/>
            <w:r/>
            <w:bookmarkStart w:id="5" w:name="OLE_LINK14"/>
            <w:r/>
            <w:bookmarkStart w:id="6" w:name="OLE_LINK17"/>
            <w:r/>
            <w:bookmarkStart w:id="7" w:name="OLE_LINK13"/>
            <w:r>
              <w:rPr>
                <w:rFonts w:hint="eastAsia" w:ascii="宋体" w:hAnsi="宋体"/>
                <w:b/>
                <w:bCs/>
                <w:color w:val="auto"/>
                <w:sz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6323" w:type="dxa"/>
            <w:vAlign w:val="center"/>
            <w:textDirection w:val="lrTb"/>
            <w:noWrap w:val="false"/>
          </w:tcPr>
          <w:p>
            <w:pPr>
              <w:ind w:firstLine="0"/>
              <w:rPr>
                <w:rFonts w:hint="eastAsia" w:ascii="宋体" w:hAnsi="宋体" w:eastAsia="宋体"/>
                <w:b/>
                <w:bCs/>
                <w:color w:val="auto"/>
                <w:sz w:val="32"/>
                <w:highlight w:val="none"/>
                <w:lang w:eastAsia="zh-CN"/>
              </w:rPr>
            </w:pPr>
            <w:r>
              <w:rPr>
                <w:rFonts w:hint="eastAsia" w:ascii="宋体" w:hAnsi="宋体"/>
                <w:b/>
                <w:bCs/>
                <w:color w:val="auto"/>
                <w:sz w:val="32"/>
                <w:highlight w:val="none"/>
                <w:lang w:eastAsia="zh-CN"/>
              </w:rPr>
              <w:t xml:space="preserve">2026年市区道路护栏更换出新项目（专门面向中小企业）</w:t>
            </w:r>
            <w:bookmarkEnd w:id="0"/>
            <w:r/>
            <w:bookmarkEnd w:id="1"/>
            <w:r/>
            <w:bookmarkEnd w:id="2"/>
            <w:r/>
            <w:bookmarkEnd w:id="3"/>
            <w:r/>
            <w:bookmarkEnd w:id="4"/>
            <w:r/>
            <w:bookmarkEnd w:id="5"/>
            <w:r/>
            <w:bookmarkEnd w:id="6"/>
            <w:r/>
            <w:bookmarkEnd w:id="7"/>
            <w:r/>
            <w:r/>
          </w:p>
        </w:tc>
      </w:tr>
      <w:tr>
        <w:trPr>
          <w:jc w:val="center"/>
        </w:trPr>
        <w:tc>
          <w:tcPr>
            <w:tcBorders>
              <w:top w:val="none" w:color="000000" w:sz="4" w:space="0"/>
              <w:left w:val="none" w:color="000000" w:sz="4" w:space="0"/>
              <w:bottom w:val="none" w:color="000000" w:sz="4" w:space="0"/>
              <w:right w:val="none" w:color="000000" w:sz="4" w:space="0"/>
            </w:tcBorders>
            <w:tcW w:w="1951" w:type="dxa"/>
            <w:vAlign w:val="center"/>
            <w:textDirection w:val="lrTb"/>
            <w:noWrap w:val="false"/>
          </w:tcPr>
          <w:p>
            <w:pPr>
              <w:ind w:firstLine="0"/>
              <w:rPr>
                <w:rFonts w:hint="eastAsia" w:ascii="宋体" w:hAnsi="宋体"/>
                <w:b/>
                <w:bCs/>
                <w:color w:val="auto"/>
                <w:sz w:val="32"/>
                <w:highlight w:val="none"/>
              </w:rPr>
            </w:pPr>
            <w:r>
              <w:rPr>
                <w:rFonts w:hint="eastAsia" w:ascii="宋体" w:hAnsi="宋体"/>
                <w:b/>
                <w:bCs/>
                <w:color w:val="auto"/>
                <w:sz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6323" w:type="dxa"/>
            <w:vAlign w:val="center"/>
            <w:textDirection w:val="lrTb"/>
            <w:noWrap w:val="false"/>
          </w:tcPr>
          <w:p>
            <w:pPr>
              <w:ind w:firstLine="0"/>
              <w:rPr>
                <w:rFonts w:hint="eastAsia" w:ascii="宋体" w:hAnsi="宋体" w:eastAsia="宋体"/>
                <w:b/>
                <w:bCs/>
                <w:color w:val="auto"/>
                <w:sz w:val="32"/>
                <w:highlight w:val="none"/>
                <w:lang w:eastAsia="zh-CN"/>
              </w:rPr>
            </w:pPr>
            <w:r>
              <w:rPr>
                <w:rFonts w:hint="eastAsia" w:ascii="宋体" w:hAnsi="宋体"/>
                <w:b/>
                <w:bCs/>
                <w:color w:val="auto"/>
                <w:sz w:val="32"/>
                <w:highlight w:val="none"/>
                <w:lang w:eastAsia="zh-CN"/>
              </w:rPr>
              <w:t xml:space="preserve">JSZC-320700-XHZX-C2026-0019</w:t>
            </w:r>
            <w:r/>
          </w:p>
        </w:tc>
      </w:tr>
    </w:tbl>
    <w:p>
      <w:pPr>
        <w:pStyle w:val="1109"/>
        <w:ind w:firstLine="0"/>
        <w:rPr>
          <w:rFonts w:hint="eastAsia" w:hAnsi="宋体"/>
          <w:b/>
          <w:bCs/>
          <w:color w:val="auto"/>
          <w:sz w:val="32"/>
          <w:szCs w:val="24"/>
          <w:highlight w:val="none"/>
        </w:rPr>
      </w:pPr>
      <w:r>
        <w:rPr>
          <w:rFonts w:hint="eastAsia" w:hAnsi="宋体"/>
          <w:b/>
          <w:bCs/>
          <w:color w:val="auto"/>
          <w:sz w:val="32"/>
          <w:szCs w:val="24"/>
          <w:highlight w:val="none"/>
        </w:rPr>
      </w:r>
      <w:r/>
    </w:p>
    <w:p>
      <w:pPr>
        <w:pStyle w:val="1109"/>
        <w:ind w:firstLine="0"/>
        <w:rPr>
          <w:rFonts w:hint="eastAsia" w:hAnsi="宋体"/>
          <w:b/>
          <w:bCs/>
          <w:color w:val="auto"/>
          <w:sz w:val="32"/>
          <w:szCs w:val="24"/>
          <w:highlight w:val="none"/>
        </w:rPr>
      </w:pPr>
      <w:r>
        <w:rPr>
          <w:rFonts w:hint="eastAsia" w:hAnsi="宋体"/>
          <w:b/>
          <w:bCs/>
          <w:color w:val="auto"/>
          <w:sz w:val="32"/>
          <w:szCs w:val="24"/>
          <w:highlight w:val="none"/>
        </w:rPr>
      </w:r>
      <w:r/>
    </w:p>
    <w:p>
      <w:pPr>
        <w:pStyle w:val="1109"/>
        <w:ind w:firstLine="0"/>
        <w:rPr>
          <w:rFonts w:hint="eastAsia" w:hAnsi="宋体"/>
          <w:b/>
          <w:bCs/>
          <w:color w:val="auto"/>
          <w:sz w:val="32"/>
          <w:szCs w:val="24"/>
          <w:highlight w:val="none"/>
        </w:rPr>
      </w:pPr>
      <w:r>
        <w:rPr>
          <w:rFonts w:hint="eastAsia" w:hAnsi="宋体"/>
          <w:b/>
          <w:bCs/>
          <w:color w:val="auto"/>
          <w:sz w:val="32"/>
          <w:szCs w:val="24"/>
          <w:highlight w:val="none"/>
        </w:rPr>
      </w:r>
      <w:r/>
    </w:p>
    <w:tbl>
      <w:tblPr>
        <w:tblStyle w:val="908"/>
        <w:tblW w:w="9519" w:type="dxa"/>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11"/>
        <w:gridCol w:w="6708"/>
      </w:tblGrid>
      <w:tr>
        <w:trPr>
          <w:trHeight w:val="750"/>
        </w:trPr>
        <w:tc>
          <w:tcPr>
            <w:tcW w:w="2811" w:type="dxa"/>
            <w:vAlign w:val="center"/>
            <w:textDirection w:val="lrTb"/>
            <w:noWrap w:val="false"/>
          </w:tcPr>
          <w:p>
            <w:pPr>
              <w:ind w:firstLine="0"/>
              <w:jc w:val="right"/>
              <w:rPr>
                <w:rFonts w:hint="eastAsia" w:ascii="宋体" w:hAnsi="宋体"/>
                <w:b/>
                <w:bCs/>
                <w:color w:val="auto"/>
                <w:sz w:val="32"/>
                <w:highlight w:val="none"/>
              </w:rPr>
            </w:pPr>
            <w:r/>
            <w:bookmarkStart w:id="8" w:name="OLE_LINK31"/>
            <w:r/>
            <w:bookmarkStart w:id="9" w:name="OLE_LINK4"/>
            <w:r>
              <w:rPr>
                <w:rFonts w:hint="eastAsia" w:ascii="宋体" w:hAnsi="宋体"/>
                <w:b/>
                <w:bCs/>
                <w:color w:val="auto"/>
                <w:sz w:val="32"/>
                <w:highlight w:val="none"/>
              </w:rPr>
              <w:t xml:space="preserve"> 采  购   人：</w:t>
            </w:r>
            <w:r/>
          </w:p>
        </w:tc>
        <w:tc>
          <w:tcPr>
            <w:tcW w:w="6708" w:type="dxa"/>
            <w:vAlign w:val="bottom"/>
            <w:textDirection w:val="lrTb"/>
            <w:noWrap w:val="false"/>
          </w:tcPr>
          <w:p>
            <w:pPr>
              <w:ind w:firstLine="0"/>
              <w:rPr>
                <w:rFonts w:hint="eastAsia" w:ascii="宋体" w:hAnsi="宋体" w:eastAsia="宋体"/>
                <w:b/>
                <w:bCs/>
                <w:color w:val="auto"/>
                <w:sz w:val="32"/>
                <w:highlight w:val="none"/>
                <w:lang w:eastAsia="zh-CN"/>
              </w:rPr>
            </w:pPr>
            <w:r>
              <w:rPr>
                <w:rFonts w:hint="eastAsia" w:ascii="宋体" w:hAnsi="宋体"/>
                <w:b/>
                <w:bCs/>
                <w:color w:val="auto"/>
                <w:sz w:val="32"/>
                <w:highlight w:val="none"/>
                <w:lang w:eastAsia="zh-CN"/>
              </w:rPr>
              <w:t xml:space="preserve">连云港市市政公用事业发展中心</w:t>
            </w:r>
            <w:bookmarkEnd w:id="8"/>
            <w:r/>
            <w:bookmarkEnd w:id="9"/>
            <w:r/>
            <w:r/>
          </w:p>
        </w:tc>
      </w:tr>
      <w:tr>
        <w:trPr>
          <w:trHeight w:val="513"/>
        </w:trPr>
        <w:tc>
          <w:tcPr>
            <w:tcW w:w="2811" w:type="dxa"/>
            <w:vAlign w:val="center"/>
            <w:textDirection w:val="lrTb"/>
            <w:noWrap w:val="false"/>
          </w:tcPr>
          <w:p>
            <w:pPr>
              <w:ind w:firstLine="0"/>
              <w:jc w:val="right"/>
              <w:rPr>
                <w:rFonts w:hint="eastAsia" w:ascii="宋体" w:hAnsi="宋体" w:cs="宋体"/>
                <w:color w:val="auto"/>
                <w:highlight w:val="none"/>
              </w:rPr>
            </w:pPr>
            <w:r>
              <w:rPr>
                <w:rFonts w:hint="eastAsia" w:ascii="宋体" w:hAnsi="宋体" w:cs="宋体"/>
                <w:b/>
                <w:bCs/>
                <w:color w:val="auto"/>
                <w:sz w:val="32"/>
                <w:highlight w:val="none"/>
              </w:rPr>
              <w:t xml:space="preserve">采购代理机构：</w:t>
            </w:r>
            <w:r/>
          </w:p>
        </w:tc>
        <w:tc>
          <w:tcPr>
            <w:tcW w:w="6708" w:type="dxa"/>
            <w:vAlign w:val="center"/>
            <w:textDirection w:val="lrTb"/>
            <w:noWrap w:val="false"/>
          </w:tcPr>
          <w:p>
            <w:pPr>
              <w:pStyle w:val="1109"/>
              <w:ind w:firstLine="0"/>
              <w:rPr>
                <w:rFonts w:hint="eastAsia" w:hAnsi="宋体" w:eastAsia="宋体" w:cs="宋体"/>
                <w:b/>
                <w:bCs/>
                <w:color w:val="auto"/>
                <w:sz w:val="32"/>
                <w:highlight w:val="none"/>
                <w:lang w:eastAsia="zh-CN"/>
              </w:rPr>
            </w:pPr>
            <w:r>
              <w:rPr>
                <w:rFonts w:hint="eastAsia" w:hAnsi="宋体" w:cs="宋体"/>
                <w:b/>
                <w:bCs/>
                <w:color w:val="auto"/>
                <w:sz w:val="32"/>
                <w:highlight w:val="none"/>
                <w:lang w:eastAsia="zh-CN"/>
              </w:rPr>
              <w:t xml:space="preserve">江苏协鸿工程咨询有限公司</w:t>
            </w:r>
            <w:r/>
          </w:p>
        </w:tc>
      </w:tr>
    </w:tbl>
    <w:p>
      <w:pPr>
        <w:ind w:firstLine="0"/>
        <w:jc w:val="center"/>
        <w:rPr>
          <w:b/>
          <w:bCs/>
          <w:color w:val="auto"/>
          <w:sz w:val="32"/>
          <w:szCs w:val="32"/>
          <w:highlight w:val="none"/>
        </w:rPr>
      </w:pPr>
      <w:r>
        <w:rPr>
          <w:b/>
          <w:bCs/>
          <w:color w:val="auto"/>
          <w:sz w:val="32"/>
          <w:szCs w:val="32"/>
          <w:highlight w:val="none"/>
        </w:rPr>
      </w:r>
      <w:r/>
    </w:p>
    <w:p>
      <w:pPr>
        <w:ind w:firstLine="0"/>
        <w:jc w:val="center"/>
        <w:rPr>
          <w:b/>
          <w:bCs/>
          <w:color w:val="auto"/>
          <w:sz w:val="32"/>
          <w:szCs w:val="32"/>
          <w:highlight w:val="none"/>
        </w:rPr>
      </w:pPr>
      <w:r>
        <w:rPr>
          <w:b/>
          <w:bCs/>
          <w:color w:val="auto"/>
          <w:sz w:val="32"/>
          <w:szCs w:val="32"/>
          <w:highlight w:val="none"/>
        </w:rPr>
        <w:t xml:space="preserve">202</w:t>
      </w:r>
      <w:r>
        <w:rPr>
          <w:rFonts w:hint="eastAsia"/>
          <w:b/>
          <w:bCs/>
          <w:color w:val="auto"/>
          <w:sz w:val="32"/>
          <w:szCs w:val="32"/>
          <w:highlight w:val="none"/>
        </w:rPr>
        <w:t xml:space="preserve">6</w:t>
      </w:r>
      <w:r>
        <w:rPr>
          <w:b/>
          <w:bCs/>
          <w:color w:val="auto"/>
          <w:sz w:val="32"/>
          <w:szCs w:val="32"/>
          <w:highlight w:val="none"/>
        </w:rPr>
        <w:t xml:space="preserve">年</w:t>
      </w:r>
      <w:bookmarkStart w:id="10" w:name="_1498658328"/>
      <w:r/>
      <w:bookmarkEnd w:id="10"/>
      <w:r/>
      <w:bookmarkStart w:id="11" w:name="_1526888064"/>
      <w:r/>
      <w:bookmarkEnd w:id="11"/>
      <w:r/>
      <w:bookmarkStart w:id="12" w:name="_1528033681"/>
      <w:r/>
      <w:bookmarkEnd w:id="12"/>
      <w:r/>
      <w:bookmarkStart w:id="13" w:name="_1528091905"/>
      <w:r/>
      <w:bookmarkEnd w:id="13"/>
      <w:r/>
      <w:bookmarkStart w:id="14" w:name="_1525587777"/>
      <w:r/>
      <w:bookmarkEnd w:id="14"/>
      <w:r/>
      <w:bookmarkStart w:id="15" w:name="_1506239732"/>
      <w:r/>
      <w:bookmarkEnd w:id="15"/>
      <w:r/>
      <w:bookmarkStart w:id="16" w:name="_1500710620"/>
      <w:r/>
      <w:bookmarkEnd w:id="16"/>
      <w:r/>
      <w:bookmarkStart w:id="17" w:name="_1506327980"/>
      <w:r/>
      <w:bookmarkEnd w:id="17"/>
      <w:r/>
      <w:bookmarkStart w:id="18" w:name="_1503734218"/>
      <w:r/>
      <w:bookmarkEnd w:id="18"/>
      <w:r/>
      <w:bookmarkStart w:id="19" w:name="_1514183196"/>
      <w:r/>
      <w:bookmarkEnd w:id="19"/>
      <w:r/>
      <w:bookmarkStart w:id="20" w:name="_1499087808"/>
      <w:r/>
      <w:bookmarkEnd w:id="20"/>
      <w:r>
        <w:rPr>
          <w:rFonts w:hint="eastAsia"/>
          <w:b/>
          <w:bCs/>
          <w:color w:val="auto"/>
          <w:sz w:val="32"/>
          <w:szCs w:val="32"/>
          <w:highlight w:val="none"/>
          <w:lang w:val="en-US" w:eastAsia="zh-CN"/>
        </w:rPr>
        <w:t xml:space="preserve">8</w:t>
      </w:r>
      <w:r>
        <w:rPr>
          <w:rFonts w:hint="eastAsia"/>
          <w:b/>
          <w:bCs/>
          <w:color w:val="auto"/>
          <w:sz w:val="32"/>
          <w:szCs w:val="32"/>
          <w:highlight w:val="none"/>
        </w:rPr>
        <w:t xml:space="preserve">月</w:t>
      </w:r>
      <w:r/>
    </w:p>
    <w:p>
      <w:pPr>
        <w:ind w:firstLine="0"/>
        <w:jc w:val="center"/>
        <w:rPr>
          <w:color w:val="auto"/>
          <w:highlight w:val="none"/>
        </w:rPr>
      </w:pPr>
      <w:r>
        <w:rPr>
          <w:b/>
          <w:color w:val="auto"/>
          <w:sz w:val="48"/>
          <w:szCs w:val="48"/>
          <w:highlight w:val="none"/>
        </w:rPr>
        <w:br w:type="page" w:clear="all"/>
      </w:r>
      <w:bookmarkStart w:id="21" w:name="_Toc29956"/>
      <w:r>
        <w:rPr>
          <w:b/>
          <w:color w:val="auto"/>
          <w:sz w:val="48"/>
          <w:szCs w:val="48"/>
          <w:highlight w:val="none"/>
        </w:rPr>
        <w:t xml:space="preserve">目   录</w:t>
      </w:r>
      <w:bookmarkEnd w:id="21"/>
      <w:r>
        <w:rPr>
          <w:rFonts w:eastAsia="隶书"/>
          <w:color w:val="auto"/>
          <w:sz w:val="32"/>
          <w:highlight w:val="none"/>
        </w:rPr>
        <w:fldChar w:fldCharType="begin"/>
      </w:r>
      <w:r>
        <w:rPr>
          <w:rFonts w:eastAsia="隶书"/>
          <w:color w:val="auto"/>
          <w:sz w:val="32"/>
          <w:highlight w:val="none"/>
        </w:rPr>
        <w:instrText xml:space="preserve">TOC \o "1-1" \h \u </w:instrText>
      </w:r>
      <w:r>
        <w:rPr>
          <w:rFonts w:eastAsia="隶书"/>
          <w:color w:val="auto"/>
          <w:sz w:val="32"/>
          <w:highlight w:val="none"/>
        </w:rPr>
        <w:fldChar w:fldCharType="separate"/>
      </w:r>
      <w:r/>
    </w:p>
    <w:p>
      <w:pPr>
        <w:pStyle w:val="1118"/>
        <w:ind w:firstLine="0"/>
        <w:jc w:val="both"/>
        <w:spacing w:before="0" w:line="480" w:lineRule="auto"/>
        <w:tabs>
          <w:tab w:val="right" w:pos="9153" w:leader="middleDot"/>
        </w:tabs>
        <w:rPr>
          <w:rFonts w:ascii="Times New Roman" w:hAnsi="Times New Roman"/>
          <w:b w:val="0"/>
          <w:bCs w:val="0"/>
          <w:color w:val="auto"/>
          <w:sz w:val="28"/>
          <w:szCs w:val="28"/>
          <w:highlight w:val="none"/>
        </w:rPr>
      </w:pPr>
      <w:r>
        <w:rPr>
          <w:color w:val="auto"/>
          <w:highlight w:val="none"/>
        </w:rPr>
        <w:fldChar w:fldCharType="begin"/>
      </w:r>
      <w:r>
        <w:rPr>
          <w:color w:val="auto"/>
          <w:highlight w:val="none"/>
        </w:rPr>
        <w:instrText xml:space="preserve"> HYPERLINK \l "_Toc11290" </w:instrText>
      </w:r>
      <w:r>
        <w:rPr>
          <w:color w:val="auto"/>
          <w:highlight w:val="none"/>
        </w:rPr>
        <w:fldChar w:fldCharType="separate"/>
      </w:r>
      <w:r>
        <w:rPr>
          <w:rFonts w:ascii="Times New Roman" w:hAnsi="Times New Roman"/>
          <w:b w:val="0"/>
          <w:bCs w:val="0"/>
          <w:color w:val="auto"/>
          <w:sz w:val="28"/>
          <w:szCs w:val="28"/>
          <w:highlight w:val="none"/>
        </w:rPr>
        <w:t xml:space="preserve">第一章 </w:t>
      </w:r>
      <w:r>
        <w:rPr>
          <w:rFonts w:hint="eastAsia" w:ascii="Times New Roman" w:hAnsi="Times New Roman"/>
          <w:b w:val="0"/>
          <w:bCs w:val="0"/>
          <w:color w:val="auto"/>
          <w:sz w:val="28"/>
          <w:szCs w:val="28"/>
          <w:highlight w:val="none"/>
          <w:lang w:eastAsia="zh-CN"/>
        </w:rPr>
        <w:t xml:space="preserve">竞争性磋商公告</w:t>
      </w:r>
      <w:r>
        <w:rPr>
          <w:rFonts w:ascii="Times New Roman" w:hAnsi="Times New Roman"/>
          <w:b w:val="0"/>
          <w:bCs w:val="0"/>
          <w:color w:val="auto"/>
          <w:sz w:val="28"/>
          <w:szCs w:val="28"/>
          <w:highlight w:val="none"/>
        </w:rPr>
        <w:tab/>
      </w:r>
      <w:r>
        <w:rPr>
          <w:rFonts w:ascii="Times New Roman" w:hAnsi="Times New Roman"/>
          <w:b w:val="0"/>
          <w:bCs w:val="0"/>
          <w:color w:val="auto"/>
          <w:sz w:val="28"/>
          <w:szCs w:val="28"/>
          <w:highlight w:val="none"/>
        </w:rPr>
        <w:fldChar w:fldCharType="begin"/>
      </w:r>
      <w:r>
        <w:rPr>
          <w:rFonts w:ascii="Times New Roman" w:hAnsi="Times New Roman"/>
          <w:b w:val="0"/>
          <w:bCs w:val="0"/>
          <w:color w:val="auto"/>
          <w:sz w:val="28"/>
          <w:szCs w:val="28"/>
          <w:highlight w:val="none"/>
        </w:rPr>
        <w:instrText xml:space="preserve"> PAGEREF _Toc11290 </w:instrText>
      </w:r>
      <w:r>
        <w:rPr>
          <w:rFonts w:ascii="Times New Roman" w:hAnsi="Times New Roman"/>
          <w:b w:val="0"/>
          <w:bCs w:val="0"/>
          <w:color w:val="auto"/>
          <w:sz w:val="28"/>
          <w:szCs w:val="28"/>
          <w:highlight w:val="none"/>
        </w:rPr>
        <w:fldChar w:fldCharType="separate"/>
      </w:r>
      <w:r>
        <w:rPr>
          <w:rFonts w:ascii="Times New Roman" w:hAnsi="Times New Roman"/>
          <w:b w:val="0"/>
          <w:bCs w:val="0"/>
          <w:color w:val="auto"/>
          <w:sz w:val="28"/>
          <w:szCs w:val="28"/>
          <w:highlight w:val="none"/>
        </w:rPr>
        <w:t xml:space="preserve">1</w:t>
      </w:r>
      <w:r>
        <w:rPr>
          <w:rFonts w:ascii="Times New Roman" w:hAnsi="Times New Roman"/>
          <w:b w:val="0"/>
          <w:bCs w:val="0"/>
          <w:color w:val="auto"/>
          <w:sz w:val="28"/>
          <w:szCs w:val="28"/>
          <w:highlight w:val="none"/>
        </w:rPr>
        <w:fldChar w:fldCharType="end"/>
      </w:r>
      <w:r>
        <w:rPr>
          <w:rFonts w:ascii="Times New Roman" w:hAnsi="Times New Roman"/>
          <w:b w:val="0"/>
          <w:bCs w:val="0"/>
          <w:color w:val="auto"/>
          <w:sz w:val="28"/>
          <w:szCs w:val="28"/>
          <w:highlight w:val="none"/>
        </w:rPr>
        <w:fldChar w:fldCharType="end"/>
      </w:r>
      <w:r/>
    </w:p>
    <w:p>
      <w:pPr>
        <w:pStyle w:val="1118"/>
        <w:ind w:firstLine="0"/>
        <w:jc w:val="both"/>
        <w:spacing w:before="0" w:line="480" w:lineRule="auto"/>
        <w:tabs>
          <w:tab w:val="right" w:pos="9153" w:leader="middleDot"/>
        </w:tabs>
        <w:rPr>
          <w:rFonts w:ascii="Times New Roman" w:hAnsi="Times New Roman"/>
          <w:b w:val="0"/>
          <w:bCs w:val="0"/>
          <w:color w:val="auto"/>
          <w:sz w:val="28"/>
          <w:szCs w:val="28"/>
          <w:highlight w:val="none"/>
        </w:rPr>
      </w:pPr>
      <w:r>
        <w:rPr>
          <w:color w:val="auto"/>
          <w:highlight w:val="none"/>
        </w:rPr>
        <w:fldChar w:fldCharType="begin"/>
      </w:r>
      <w:r>
        <w:rPr>
          <w:color w:val="auto"/>
          <w:highlight w:val="none"/>
        </w:rPr>
        <w:instrText xml:space="preserve"> HYPERLINK \l "_Toc12345" </w:instrText>
      </w:r>
      <w:r>
        <w:rPr>
          <w:color w:val="auto"/>
          <w:highlight w:val="none"/>
        </w:rPr>
        <w:fldChar w:fldCharType="separate"/>
      </w:r>
      <w:r>
        <w:rPr>
          <w:rFonts w:ascii="Times New Roman" w:hAnsi="Times New Roman"/>
          <w:b w:val="0"/>
          <w:bCs w:val="0"/>
          <w:color w:val="auto"/>
          <w:sz w:val="28"/>
          <w:szCs w:val="28"/>
          <w:highlight w:val="none"/>
        </w:rPr>
        <w:t xml:space="preserve">第二章 磋商须知</w:t>
      </w:r>
      <w:r>
        <w:rPr>
          <w:rFonts w:ascii="Times New Roman" w:hAnsi="Times New Roman"/>
          <w:b w:val="0"/>
          <w:bCs w:val="0"/>
          <w:color w:val="auto"/>
          <w:sz w:val="28"/>
          <w:szCs w:val="28"/>
          <w:highlight w:val="none"/>
        </w:rPr>
        <w:tab/>
      </w:r>
      <w:r>
        <w:rPr>
          <w:rFonts w:ascii="Times New Roman" w:hAnsi="Times New Roman"/>
          <w:b w:val="0"/>
          <w:bCs w:val="0"/>
          <w:color w:val="auto"/>
          <w:sz w:val="28"/>
          <w:szCs w:val="28"/>
          <w:highlight w:val="none"/>
        </w:rPr>
        <w:fldChar w:fldCharType="begin"/>
      </w:r>
      <w:r>
        <w:rPr>
          <w:rFonts w:ascii="Times New Roman" w:hAnsi="Times New Roman"/>
          <w:b w:val="0"/>
          <w:bCs w:val="0"/>
          <w:color w:val="auto"/>
          <w:sz w:val="28"/>
          <w:szCs w:val="28"/>
          <w:highlight w:val="none"/>
        </w:rPr>
        <w:instrText xml:space="preserve"> PAGEREF _Toc12345 </w:instrText>
      </w:r>
      <w:r>
        <w:rPr>
          <w:rFonts w:ascii="Times New Roman" w:hAnsi="Times New Roman"/>
          <w:b w:val="0"/>
          <w:bCs w:val="0"/>
          <w:color w:val="auto"/>
          <w:sz w:val="28"/>
          <w:szCs w:val="28"/>
          <w:highlight w:val="none"/>
        </w:rPr>
        <w:fldChar w:fldCharType="separate"/>
      </w:r>
      <w:r>
        <w:rPr>
          <w:rFonts w:ascii="Times New Roman" w:hAnsi="Times New Roman"/>
          <w:b w:val="0"/>
          <w:bCs w:val="0"/>
          <w:color w:val="auto"/>
          <w:sz w:val="28"/>
          <w:szCs w:val="28"/>
          <w:highlight w:val="none"/>
        </w:rPr>
        <w:t xml:space="preserve">6</w:t>
      </w:r>
      <w:r>
        <w:rPr>
          <w:rFonts w:ascii="Times New Roman" w:hAnsi="Times New Roman"/>
          <w:b w:val="0"/>
          <w:bCs w:val="0"/>
          <w:color w:val="auto"/>
          <w:sz w:val="28"/>
          <w:szCs w:val="28"/>
          <w:highlight w:val="none"/>
        </w:rPr>
        <w:fldChar w:fldCharType="end"/>
      </w:r>
      <w:r>
        <w:rPr>
          <w:rFonts w:ascii="Times New Roman" w:hAnsi="Times New Roman"/>
          <w:b w:val="0"/>
          <w:bCs w:val="0"/>
          <w:color w:val="auto"/>
          <w:sz w:val="28"/>
          <w:szCs w:val="28"/>
          <w:highlight w:val="none"/>
        </w:rPr>
        <w:fldChar w:fldCharType="end"/>
      </w:r>
      <w:r/>
    </w:p>
    <w:p>
      <w:pPr>
        <w:pStyle w:val="1118"/>
        <w:ind w:firstLine="0"/>
        <w:jc w:val="both"/>
        <w:spacing w:before="0" w:line="480" w:lineRule="auto"/>
        <w:tabs>
          <w:tab w:val="right" w:pos="9153" w:leader="middleDot"/>
        </w:tabs>
        <w:rPr>
          <w:rFonts w:ascii="Times New Roman" w:hAnsi="Times New Roman"/>
          <w:b w:val="0"/>
          <w:bCs w:val="0"/>
          <w:color w:val="auto"/>
          <w:sz w:val="28"/>
          <w:szCs w:val="28"/>
          <w:highlight w:val="none"/>
        </w:rPr>
      </w:pPr>
      <w:r>
        <w:rPr>
          <w:color w:val="auto"/>
          <w:highlight w:val="none"/>
        </w:rPr>
        <w:fldChar w:fldCharType="begin"/>
      </w:r>
      <w:r>
        <w:rPr>
          <w:color w:val="auto"/>
          <w:highlight w:val="none"/>
        </w:rPr>
        <w:instrText xml:space="preserve"> HYPERLINK \l "_Toc30248" </w:instrText>
      </w:r>
      <w:r>
        <w:rPr>
          <w:color w:val="auto"/>
          <w:highlight w:val="none"/>
        </w:rPr>
        <w:fldChar w:fldCharType="separate"/>
      </w:r>
      <w:r>
        <w:rPr>
          <w:rFonts w:ascii="Times New Roman" w:hAnsi="Times New Roman"/>
          <w:b w:val="0"/>
          <w:bCs w:val="0"/>
          <w:color w:val="auto"/>
          <w:sz w:val="28"/>
          <w:szCs w:val="28"/>
          <w:highlight w:val="none"/>
        </w:rPr>
        <w:t xml:space="preserve">第三章 政府采购合同格式</w:t>
      </w:r>
      <w:r>
        <w:rPr>
          <w:rFonts w:ascii="Times New Roman" w:hAnsi="Times New Roman"/>
          <w:b w:val="0"/>
          <w:bCs w:val="0"/>
          <w:color w:val="auto"/>
          <w:sz w:val="28"/>
          <w:szCs w:val="28"/>
          <w:highlight w:val="none"/>
        </w:rPr>
        <w:tab/>
      </w:r>
      <w:r>
        <w:rPr>
          <w:rFonts w:ascii="Times New Roman" w:hAnsi="Times New Roman"/>
          <w:b w:val="0"/>
          <w:bCs w:val="0"/>
          <w:color w:val="auto"/>
          <w:sz w:val="28"/>
          <w:szCs w:val="28"/>
          <w:highlight w:val="none"/>
        </w:rPr>
        <w:fldChar w:fldCharType="begin"/>
      </w:r>
      <w:r>
        <w:rPr>
          <w:rFonts w:ascii="Times New Roman" w:hAnsi="Times New Roman"/>
          <w:b w:val="0"/>
          <w:bCs w:val="0"/>
          <w:color w:val="auto"/>
          <w:sz w:val="28"/>
          <w:szCs w:val="28"/>
          <w:highlight w:val="none"/>
        </w:rPr>
        <w:instrText xml:space="preserve"> PAGEREF _Toc30248 </w:instrText>
      </w:r>
      <w:r>
        <w:rPr>
          <w:rFonts w:ascii="Times New Roman" w:hAnsi="Times New Roman"/>
          <w:b w:val="0"/>
          <w:bCs w:val="0"/>
          <w:color w:val="auto"/>
          <w:sz w:val="28"/>
          <w:szCs w:val="28"/>
          <w:highlight w:val="none"/>
        </w:rPr>
        <w:fldChar w:fldCharType="separate"/>
      </w:r>
      <w:r>
        <w:rPr>
          <w:rFonts w:ascii="Times New Roman" w:hAnsi="Times New Roman"/>
          <w:b w:val="0"/>
          <w:bCs w:val="0"/>
          <w:color w:val="auto"/>
          <w:sz w:val="28"/>
          <w:szCs w:val="28"/>
          <w:highlight w:val="none"/>
        </w:rPr>
        <w:t xml:space="preserve">22</w:t>
      </w:r>
      <w:r>
        <w:rPr>
          <w:rFonts w:ascii="Times New Roman" w:hAnsi="Times New Roman"/>
          <w:b w:val="0"/>
          <w:bCs w:val="0"/>
          <w:color w:val="auto"/>
          <w:sz w:val="28"/>
          <w:szCs w:val="28"/>
          <w:highlight w:val="none"/>
        </w:rPr>
        <w:fldChar w:fldCharType="end"/>
      </w:r>
      <w:r>
        <w:rPr>
          <w:rFonts w:ascii="Times New Roman" w:hAnsi="Times New Roman"/>
          <w:b w:val="0"/>
          <w:bCs w:val="0"/>
          <w:color w:val="auto"/>
          <w:sz w:val="28"/>
          <w:szCs w:val="28"/>
          <w:highlight w:val="none"/>
        </w:rPr>
        <w:fldChar w:fldCharType="end"/>
      </w:r>
      <w:r/>
    </w:p>
    <w:p>
      <w:pPr>
        <w:pStyle w:val="1118"/>
        <w:ind w:firstLine="0"/>
        <w:jc w:val="both"/>
        <w:spacing w:before="0" w:line="480" w:lineRule="auto"/>
        <w:tabs>
          <w:tab w:val="right" w:pos="9153" w:leader="middleDot"/>
        </w:tabs>
        <w:rPr>
          <w:rFonts w:ascii="Times New Roman" w:hAnsi="Times New Roman"/>
          <w:b w:val="0"/>
          <w:bCs w:val="0"/>
          <w:color w:val="auto"/>
          <w:sz w:val="28"/>
          <w:szCs w:val="28"/>
          <w:highlight w:val="none"/>
        </w:rPr>
      </w:pPr>
      <w:r>
        <w:rPr>
          <w:color w:val="auto"/>
          <w:highlight w:val="none"/>
        </w:rPr>
        <w:fldChar w:fldCharType="begin"/>
      </w:r>
      <w:r>
        <w:rPr>
          <w:color w:val="auto"/>
          <w:highlight w:val="none"/>
        </w:rPr>
        <w:instrText xml:space="preserve"> HYPERLINK \l "_Toc547" </w:instrText>
      </w:r>
      <w:r>
        <w:rPr>
          <w:color w:val="auto"/>
          <w:highlight w:val="none"/>
        </w:rPr>
        <w:fldChar w:fldCharType="separate"/>
      </w:r>
      <w:r>
        <w:rPr>
          <w:rFonts w:ascii="Times New Roman" w:hAnsi="Times New Roman"/>
          <w:b w:val="0"/>
          <w:bCs w:val="0"/>
          <w:color w:val="auto"/>
          <w:sz w:val="28"/>
          <w:szCs w:val="28"/>
          <w:highlight w:val="none"/>
        </w:rPr>
        <w:t xml:space="preserve">第四章 项目需求</w:t>
      </w:r>
      <w:r>
        <w:rPr>
          <w:rFonts w:ascii="Times New Roman" w:hAnsi="Times New Roman"/>
          <w:b w:val="0"/>
          <w:bCs w:val="0"/>
          <w:color w:val="auto"/>
          <w:sz w:val="28"/>
          <w:szCs w:val="28"/>
          <w:highlight w:val="none"/>
        </w:rPr>
        <w:tab/>
      </w:r>
      <w:r>
        <w:rPr>
          <w:rFonts w:ascii="Times New Roman" w:hAnsi="Times New Roman"/>
          <w:b w:val="0"/>
          <w:bCs w:val="0"/>
          <w:color w:val="auto"/>
          <w:sz w:val="28"/>
          <w:szCs w:val="28"/>
          <w:highlight w:val="none"/>
        </w:rPr>
        <w:fldChar w:fldCharType="begin"/>
      </w:r>
      <w:r>
        <w:rPr>
          <w:rFonts w:ascii="Times New Roman" w:hAnsi="Times New Roman"/>
          <w:b w:val="0"/>
          <w:bCs w:val="0"/>
          <w:color w:val="auto"/>
          <w:sz w:val="28"/>
          <w:szCs w:val="28"/>
          <w:highlight w:val="none"/>
        </w:rPr>
        <w:instrText xml:space="preserve"> PAGEREF _Toc547 </w:instrText>
      </w:r>
      <w:r>
        <w:rPr>
          <w:rFonts w:ascii="Times New Roman" w:hAnsi="Times New Roman"/>
          <w:b w:val="0"/>
          <w:bCs w:val="0"/>
          <w:color w:val="auto"/>
          <w:sz w:val="28"/>
          <w:szCs w:val="28"/>
          <w:highlight w:val="none"/>
        </w:rPr>
        <w:fldChar w:fldCharType="separate"/>
      </w:r>
      <w:r>
        <w:rPr>
          <w:rFonts w:ascii="Times New Roman" w:hAnsi="Times New Roman"/>
          <w:b w:val="0"/>
          <w:bCs w:val="0"/>
          <w:color w:val="auto"/>
          <w:sz w:val="28"/>
          <w:szCs w:val="28"/>
          <w:highlight w:val="none"/>
        </w:rPr>
        <w:t xml:space="preserve">59</w:t>
      </w:r>
      <w:r>
        <w:rPr>
          <w:rFonts w:ascii="Times New Roman" w:hAnsi="Times New Roman"/>
          <w:b w:val="0"/>
          <w:bCs w:val="0"/>
          <w:color w:val="auto"/>
          <w:sz w:val="28"/>
          <w:szCs w:val="28"/>
          <w:highlight w:val="none"/>
        </w:rPr>
        <w:fldChar w:fldCharType="end"/>
      </w:r>
      <w:r>
        <w:rPr>
          <w:rFonts w:ascii="Times New Roman" w:hAnsi="Times New Roman"/>
          <w:b w:val="0"/>
          <w:bCs w:val="0"/>
          <w:color w:val="auto"/>
          <w:sz w:val="28"/>
          <w:szCs w:val="28"/>
          <w:highlight w:val="none"/>
        </w:rPr>
        <w:fldChar w:fldCharType="end"/>
      </w:r>
      <w:r/>
    </w:p>
    <w:p>
      <w:pPr>
        <w:pStyle w:val="1118"/>
        <w:ind w:firstLine="0"/>
        <w:jc w:val="both"/>
        <w:spacing w:before="0" w:line="480" w:lineRule="auto"/>
        <w:tabs>
          <w:tab w:val="right" w:pos="9153" w:leader="middleDot"/>
        </w:tabs>
        <w:rPr>
          <w:rFonts w:ascii="Times New Roman" w:hAnsi="Times New Roman"/>
          <w:b w:val="0"/>
          <w:bCs w:val="0"/>
          <w:color w:val="auto"/>
          <w:sz w:val="28"/>
          <w:szCs w:val="28"/>
          <w:highlight w:val="none"/>
        </w:rPr>
      </w:pPr>
      <w:r>
        <w:rPr>
          <w:color w:val="auto"/>
          <w:highlight w:val="none"/>
        </w:rPr>
        <w:fldChar w:fldCharType="begin"/>
      </w:r>
      <w:r>
        <w:rPr>
          <w:color w:val="auto"/>
          <w:highlight w:val="none"/>
        </w:rPr>
        <w:instrText xml:space="preserve"> HYPERLINK \l "_Toc1739" </w:instrText>
      </w:r>
      <w:r>
        <w:rPr>
          <w:color w:val="auto"/>
          <w:highlight w:val="none"/>
        </w:rPr>
        <w:fldChar w:fldCharType="separate"/>
      </w:r>
      <w:r>
        <w:rPr>
          <w:rFonts w:ascii="Times New Roman" w:hAnsi="Times New Roman"/>
          <w:b w:val="0"/>
          <w:bCs w:val="0"/>
          <w:color w:val="auto"/>
          <w:sz w:val="28"/>
          <w:szCs w:val="28"/>
          <w:highlight w:val="none"/>
        </w:rPr>
        <w:t xml:space="preserve">第五章 工程量清单</w:t>
      </w:r>
      <w:r>
        <w:rPr>
          <w:rFonts w:ascii="Times New Roman" w:hAnsi="Times New Roman"/>
          <w:b w:val="0"/>
          <w:bCs w:val="0"/>
          <w:color w:val="auto"/>
          <w:sz w:val="28"/>
          <w:szCs w:val="28"/>
          <w:highlight w:val="none"/>
        </w:rPr>
        <w:tab/>
      </w:r>
      <w:r>
        <w:rPr>
          <w:rFonts w:ascii="Times New Roman" w:hAnsi="Times New Roman"/>
          <w:b w:val="0"/>
          <w:bCs w:val="0"/>
          <w:color w:val="auto"/>
          <w:sz w:val="28"/>
          <w:szCs w:val="28"/>
          <w:highlight w:val="none"/>
        </w:rPr>
        <w:fldChar w:fldCharType="begin"/>
      </w:r>
      <w:r>
        <w:rPr>
          <w:rFonts w:ascii="Times New Roman" w:hAnsi="Times New Roman"/>
          <w:b w:val="0"/>
          <w:bCs w:val="0"/>
          <w:color w:val="auto"/>
          <w:sz w:val="28"/>
          <w:szCs w:val="28"/>
          <w:highlight w:val="none"/>
        </w:rPr>
        <w:instrText xml:space="preserve"> PAGEREF _Toc1739 </w:instrText>
      </w:r>
      <w:r>
        <w:rPr>
          <w:rFonts w:ascii="Times New Roman" w:hAnsi="Times New Roman"/>
          <w:b w:val="0"/>
          <w:bCs w:val="0"/>
          <w:color w:val="auto"/>
          <w:sz w:val="28"/>
          <w:szCs w:val="28"/>
          <w:highlight w:val="none"/>
        </w:rPr>
        <w:fldChar w:fldCharType="separate"/>
      </w:r>
      <w:r>
        <w:rPr>
          <w:rFonts w:ascii="Times New Roman" w:hAnsi="Times New Roman"/>
          <w:b w:val="0"/>
          <w:bCs w:val="0"/>
          <w:color w:val="auto"/>
          <w:sz w:val="28"/>
          <w:szCs w:val="28"/>
          <w:highlight w:val="none"/>
        </w:rPr>
        <w:t xml:space="preserve">62</w:t>
      </w:r>
      <w:r>
        <w:rPr>
          <w:rFonts w:ascii="Times New Roman" w:hAnsi="Times New Roman"/>
          <w:b w:val="0"/>
          <w:bCs w:val="0"/>
          <w:color w:val="auto"/>
          <w:sz w:val="28"/>
          <w:szCs w:val="28"/>
          <w:highlight w:val="none"/>
        </w:rPr>
        <w:fldChar w:fldCharType="end"/>
      </w:r>
      <w:r>
        <w:rPr>
          <w:rFonts w:ascii="Times New Roman" w:hAnsi="Times New Roman"/>
          <w:b w:val="0"/>
          <w:bCs w:val="0"/>
          <w:color w:val="auto"/>
          <w:sz w:val="28"/>
          <w:szCs w:val="28"/>
          <w:highlight w:val="none"/>
        </w:rPr>
        <w:fldChar w:fldCharType="end"/>
      </w:r>
      <w:r/>
    </w:p>
    <w:p>
      <w:pPr>
        <w:pStyle w:val="1118"/>
        <w:ind w:firstLine="0"/>
        <w:jc w:val="both"/>
        <w:spacing w:before="0" w:line="480" w:lineRule="auto"/>
        <w:tabs>
          <w:tab w:val="right" w:pos="9153" w:leader="middleDot"/>
        </w:tabs>
        <w:rPr>
          <w:rFonts w:ascii="Times New Roman" w:hAnsi="Times New Roman"/>
          <w:b w:val="0"/>
          <w:bCs w:val="0"/>
          <w:color w:val="auto"/>
          <w:sz w:val="28"/>
          <w:szCs w:val="28"/>
          <w:highlight w:val="none"/>
        </w:rPr>
      </w:pPr>
      <w:r>
        <w:rPr>
          <w:color w:val="auto"/>
          <w:highlight w:val="none"/>
        </w:rPr>
        <w:fldChar w:fldCharType="begin"/>
      </w:r>
      <w:r>
        <w:rPr>
          <w:color w:val="auto"/>
          <w:highlight w:val="none"/>
        </w:rPr>
        <w:instrText xml:space="preserve"> HYPERLINK \l "_Toc31032" </w:instrText>
      </w:r>
      <w:r>
        <w:rPr>
          <w:color w:val="auto"/>
          <w:highlight w:val="none"/>
        </w:rPr>
        <w:fldChar w:fldCharType="separate"/>
      </w:r>
      <w:r>
        <w:rPr>
          <w:rFonts w:ascii="Times New Roman" w:hAnsi="Times New Roman"/>
          <w:b w:val="0"/>
          <w:bCs w:val="0"/>
          <w:color w:val="auto"/>
          <w:sz w:val="28"/>
          <w:szCs w:val="28"/>
          <w:highlight w:val="none"/>
        </w:rPr>
        <w:t xml:space="preserve">第六章 磋商响应文件格式</w:t>
      </w:r>
      <w:r>
        <w:rPr>
          <w:rFonts w:ascii="Times New Roman" w:hAnsi="Times New Roman"/>
          <w:b w:val="0"/>
          <w:bCs w:val="0"/>
          <w:color w:val="auto"/>
          <w:sz w:val="28"/>
          <w:szCs w:val="28"/>
          <w:highlight w:val="none"/>
        </w:rPr>
        <w:tab/>
      </w:r>
      <w:r>
        <w:rPr>
          <w:rFonts w:ascii="Times New Roman" w:hAnsi="Times New Roman"/>
          <w:b w:val="0"/>
          <w:bCs w:val="0"/>
          <w:color w:val="auto"/>
          <w:sz w:val="28"/>
          <w:szCs w:val="28"/>
          <w:highlight w:val="none"/>
        </w:rPr>
        <w:fldChar w:fldCharType="begin"/>
      </w:r>
      <w:r>
        <w:rPr>
          <w:rFonts w:ascii="Times New Roman" w:hAnsi="Times New Roman"/>
          <w:b w:val="0"/>
          <w:bCs w:val="0"/>
          <w:color w:val="auto"/>
          <w:sz w:val="28"/>
          <w:szCs w:val="28"/>
          <w:highlight w:val="none"/>
        </w:rPr>
        <w:instrText xml:space="preserve"> PAGEREF _Toc31032 </w:instrText>
      </w:r>
      <w:r>
        <w:rPr>
          <w:rFonts w:ascii="Times New Roman" w:hAnsi="Times New Roman"/>
          <w:b w:val="0"/>
          <w:bCs w:val="0"/>
          <w:color w:val="auto"/>
          <w:sz w:val="28"/>
          <w:szCs w:val="28"/>
          <w:highlight w:val="none"/>
        </w:rPr>
        <w:fldChar w:fldCharType="separate"/>
      </w:r>
      <w:r>
        <w:rPr>
          <w:rFonts w:ascii="Times New Roman" w:hAnsi="Times New Roman"/>
          <w:b w:val="0"/>
          <w:bCs w:val="0"/>
          <w:color w:val="auto"/>
          <w:sz w:val="28"/>
          <w:szCs w:val="28"/>
          <w:highlight w:val="none"/>
        </w:rPr>
        <w:t xml:space="preserve">63</w:t>
      </w:r>
      <w:r>
        <w:rPr>
          <w:rFonts w:ascii="Times New Roman" w:hAnsi="Times New Roman"/>
          <w:b w:val="0"/>
          <w:bCs w:val="0"/>
          <w:color w:val="auto"/>
          <w:sz w:val="28"/>
          <w:szCs w:val="28"/>
          <w:highlight w:val="none"/>
        </w:rPr>
        <w:fldChar w:fldCharType="end"/>
      </w:r>
      <w:r>
        <w:rPr>
          <w:rFonts w:ascii="Times New Roman" w:hAnsi="Times New Roman"/>
          <w:b w:val="0"/>
          <w:bCs w:val="0"/>
          <w:color w:val="auto"/>
          <w:sz w:val="28"/>
          <w:szCs w:val="28"/>
          <w:highlight w:val="none"/>
        </w:rPr>
        <w:fldChar w:fldCharType="end"/>
      </w:r>
      <w:r/>
    </w:p>
    <w:p>
      <w:pPr>
        <w:pStyle w:val="1118"/>
        <w:ind w:firstLine="0"/>
        <w:jc w:val="both"/>
        <w:spacing w:before="0" w:line="480" w:lineRule="auto"/>
        <w:tabs>
          <w:tab w:val="right" w:pos="9153" w:leader="middleDot"/>
        </w:tabs>
        <w:rPr>
          <w:rFonts w:ascii="Times New Roman" w:hAnsi="Times New Roman"/>
          <w:color w:val="auto"/>
          <w:highlight w:val="none"/>
        </w:rPr>
      </w:pPr>
      <w:r>
        <w:rPr>
          <w:color w:val="auto"/>
          <w:highlight w:val="none"/>
        </w:rPr>
        <w:fldChar w:fldCharType="begin"/>
      </w:r>
      <w:r>
        <w:rPr>
          <w:color w:val="auto"/>
          <w:highlight w:val="none"/>
        </w:rPr>
        <w:instrText xml:space="preserve"> HYPERLINK \l "_Toc29233" </w:instrText>
      </w:r>
      <w:r>
        <w:rPr>
          <w:color w:val="auto"/>
          <w:highlight w:val="none"/>
        </w:rPr>
        <w:fldChar w:fldCharType="separate"/>
      </w:r>
      <w:r>
        <w:rPr>
          <w:rFonts w:ascii="Times New Roman" w:hAnsi="Times New Roman"/>
          <w:b w:val="0"/>
          <w:bCs w:val="0"/>
          <w:color w:val="auto"/>
          <w:sz w:val="28"/>
          <w:szCs w:val="28"/>
          <w:highlight w:val="none"/>
        </w:rPr>
        <w:t xml:space="preserve">第七章 评审方法和评审标准</w:t>
      </w:r>
      <w:r>
        <w:rPr>
          <w:rFonts w:ascii="Times New Roman" w:hAnsi="Times New Roman"/>
          <w:b w:val="0"/>
          <w:bCs w:val="0"/>
          <w:color w:val="auto"/>
          <w:sz w:val="28"/>
          <w:szCs w:val="28"/>
          <w:highlight w:val="none"/>
        </w:rPr>
        <w:tab/>
      </w:r>
      <w:r>
        <w:rPr>
          <w:rFonts w:ascii="Times New Roman" w:hAnsi="Times New Roman"/>
          <w:b w:val="0"/>
          <w:bCs w:val="0"/>
          <w:color w:val="auto"/>
          <w:sz w:val="28"/>
          <w:szCs w:val="28"/>
          <w:highlight w:val="none"/>
        </w:rPr>
        <w:fldChar w:fldCharType="begin"/>
      </w:r>
      <w:r>
        <w:rPr>
          <w:rFonts w:ascii="Times New Roman" w:hAnsi="Times New Roman"/>
          <w:b w:val="0"/>
          <w:bCs w:val="0"/>
          <w:color w:val="auto"/>
          <w:sz w:val="28"/>
          <w:szCs w:val="28"/>
          <w:highlight w:val="none"/>
        </w:rPr>
        <w:instrText xml:space="preserve"> PAGEREF _Toc29233 </w:instrText>
      </w:r>
      <w:r>
        <w:rPr>
          <w:rFonts w:ascii="Times New Roman" w:hAnsi="Times New Roman"/>
          <w:b w:val="0"/>
          <w:bCs w:val="0"/>
          <w:color w:val="auto"/>
          <w:sz w:val="28"/>
          <w:szCs w:val="28"/>
          <w:highlight w:val="none"/>
        </w:rPr>
        <w:fldChar w:fldCharType="separate"/>
      </w:r>
      <w:r>
        <w:rPr>
          <w:rFonts w:ascii="Times New Roman" w:hAnsi="Times New Roman"/>
          <w:b w:val="0"/>
          <w:bCs w:val="0"/>
          <w:color w:val="auto"/>
          <w:sz w:val="28"/>
          <w:szCs w:val="28"/>
          <w:highlight w:val="none"/>
        </w:rPr>
        <w:t xml:space="preserve">84</w:t>
      </w:r>
      <w:r>
        <w:rPr>
          <w:rFonts w:ascii="Times New Roman" w:hAnsi="Times New Roman"/>
          <w:b w:val="0"/>
          <w:bCs w:val="0"/>
          <w:color w:val="auto"/>
          <w:sz w:val="28"/>
          <w:szCs w:val="28"/>
          <w:highlight w:val="none"/>
        </w:rPr>
        <w:fldChar w:fldCharType="end"/>
      </w:r>
      <w:r>
        <w:rPr>
          <w:rFonts w:ascii="Times New Roman" w:hAnsi="Times New Roman"/>
          <w:b w:val="0"/>
          <w:bCs w:val="0"/>
          <w:color w:val="auto"/>
          <w:sz w:val="28"/>
          <w:szCs w:val="28"/>
          <w:highlight w:val="none"/>
        </w:rPr>
        <w:fldChar w:fldCharType="end"/>
      </w:r>
      <w:r/>
    </w:p>
    <w:p>
      <w:pPr>
        <w:pStyle w:val="1109"/>
        <w:ind w:firstLine="0"/>
        <w:rPr>
          <w:rFonts w:ascii="Times New Roman" w:hAnsi="Times New Roman" w:eastAsia="隶书"/>
          <w:color w:val="auto"/>
          <w:sz w:val="32"/>
          <w:highlight w:val="none"/>
        </w:rPr>
      </w:pPr>
      <w:r>
        <w:rPr>
          <w:rFonts w:ascii="Times New Roman" w:hAnsi="Times New Roman" w:eastAsia="隶书"/>
          <w:color w:val="auto"/>
          <w:highlight w:val="none"/>
        </w:rPr>
        <w:fldChar w:fldCharType="end"/>
      </w:r>
      <w:r/>
    </w:p>
    <w:p>
      <w:pPr>
        <w:pStyle w:val="1109"/>
        <w:ind w:firstLine="0"/>
        <w:rPr>
          <w:rFonts w:ascii="Times New Roman" w:hAnsi="Times New Roman" w:eastAsia="隶书"/>
          <w:color w:val="auto"/>
          <w:sz w:val="36"/>
          <w:szCs w:val="36"/>
          <w:highlight w:val="none"/>
        </w:rPr>
      </w:pPr>
      <w:r>
        <w:rPr>
          <w:rFonts w:ascii="Times New Roman" w:hAnsi="Times New Roman" w:eastAsia="隶书"/>
          <w:color w:val="auto"/>
          <w:sz w:val="36"/>
          <w:szCs w:val="36"/>
          <w:highlight w:val="none"/>
        </w:rPr>
      </w:r>
      <w:r/>
    </w:p>
    <w:p>
      <w:pPr>
        <w:pStyle w:val="1088"/>
        <w:rPr>
          <w:color w:val="auto"/>
          <w:highlight w:val="none"/>
        </w:rPr>
        <w:sectPr>
          <w:footerReference w:type="default" r:id="rId11"/>
          <w:footerReference w:type="first" r:id="rId12"/>
          <w:footnotePr/>
          <w:endnotePr/>
          <w:type w:val="nextPage"/>
          <w:pgSz w:w="11907" w:h="16840" w:orient="portrait"/>
          <w:pgMar w:top="1134" w:right="1134" w:bottom="1134" w:left="1620" w:header="720" w:footer="720" w:gutter="0"/>
          <w:pgNumType w:start="1"/>
          <w:cols w:num="1" w:sep="0" w:space="1701" w:equalWidth="1"/>
          <w:docGrid w:linePitch="360"/>
          <w:titlePg/>
        </w:sectPr>
      </w:pPr>
      <w:r/>
      <w:bookmarkStart w:id="22" w:name="_Toc11290"/>
      <w:r/>
      <w:bookmarkStart w:id="23" w:name="_Toc204595692"/>
      <w:r/>
      <w:bookmarkStart w:id="24" w:name="_Toc482347462"/>
      <w:r/>
      <w:bookmarkStart w:id="25" w:name="_Toc465267852"/>
      <w:r/>
      <w:r/>
    </w:p>
    <w:p>
      <w:pPr>
        <w:pStyle w:val="1088"/>
        <w:rPr>
          <w:rFonts w:hint="eastAsia" w:eastAsia="宋体"/>
          <w:color w:val="auto"/>
          <w:highlight w:val="none"/>
          <w:lang w:eastAsia="zh-CN"/>
        </w:rPr>
      </w:pPr>
      <w:r>
        <w:rPr>
          <w:color w:val="auto"/>
          <w:highlight w:val="none"/>
        </w:rPr>
        <w:t xml:space="preserve">第一章 </w:t>
      </w:r>
      <w:bookmarkEnd w:id="22"/>
      <w:r>
        <w:rPr>
          <w:rFonts w:hint="eastAsia"/>
          <w:color w:val="auto"/>
          <w:highlight w:val="none"/>
          <w:lang w:eastAsia="zh-CN"/>
        </w:rPr>
        <w:t xml:space="preserve">竞争性磋商公告</w:t>
      </w:r>
      <w:r/>
    </w:p>
    <w:p>
      <w:pPr>
        <w:ind w:firstLine="480"/>
        <w:spacing w:line="560" w:lineRule="exact"/>
        <w:rPr>
          <w:color w:val="auto"/>
          <w:sz w:val="20"/>
          <w:szCs w:val="21"/>
          <w:highlight w:val="none"/>
        </w:rPr>
      </w:pPr>
      <w:r>
        <w:rPr>
          <w:rFonts w:hint="eastAsia" w:ascii="宋体" w:hAnsi="宋体" w:cs="宋体"/>
          <w:color w:val="auto"/>
          <w:highlight w:val="none"/>
        </w:rPr>
        <w:t xml:space="preserve">受</w:t>
      </w:r>
      <w:r>
        <w:rPr>
          <w:rFonts w:hint="eastAsia" w:ascii="宋体" w:hAnsi="宋体" w:cs="宋体"/>
          <w:b/>
          <w:bCs/>
          <w:color w:val="auto"/>
          <w:highlight w:val="none"/>
          <w:u w:val="single"/>
          <w:lang w:eastAsia="zh-CN"/>
        </w:rPr>
        <w:t xml:space="preserve">连云港市市政公用事业发展中心</w:t>
      </w:r>
      <w:r>
        <w:rPr>
          <w:rFonts w:hint="eastAsia" w:ascii="宋体" w:hAnsi="宋体" w:cs="宋体"/>
          <w:color w:val="auto"/>
          <w:highlight w:val="none"/>
        </w:rPr>
        <w:t xml:space="preserve">的委托，</w:t>
      </w:r>
      <w:r>
        <w:rPr>
          <w:rFonts w:hint="eastAsia" w:ascii="宋体" w:hAnsi="宋体" w:cs="宋体"/>
          <w:b/>
          <w:bCs/>
          <w:color w:val="auto"/>
          <w:highlight w:val="none"/>
          <w:u w:val="single"/>
          <w:lang w:eastAsia="zh-CN"/>
        </w:rPr>
        <w:t xml:space="preserve">江苏协鸿工程咨询有限公司</w:t>
      </w:r>
      <w:r>
        <w:rPr>
          <w:rFonts w:hint="eastAsia" w:ascii="宋体" w:hAnsi="宋体" w:cs="宋体"/>
          <w:color w:val="auto"/>
          <w:highlight w:val="none"/>
        </w:rPr>
        <w:t xml:space="preserve">就</w:t>
      </w:r>
      <w:r>
        <w:rPr>
          <w:rFonts w:hint="eastAsia" w:ascii="宋体" w:hAnsi="宋体" w:cs="宋体"/>
          <w:b/>
          <w:bCs/>
          <w:color w:val="auto"/>
          <w:highlight w:val="none"/>
          <w:u w:val="single"/>
          <w:lang w:eastAsia="zh-CN"/>
        </w:rPr>
        <w:t xml:space="preserve">2026年市区道路护栏更换出新项目（专门面向中小企业）</w:t>
      </w:r>
      <w:r>
        <w:rPr>
          <w:rFonts w:hint="eastAsia" w:cs="宋体"/>
          <w:b/>
          <w:bCs/>
          <w:color w:val="auto"/>
          <w:highlight w:val="none"/>
          <w:u w:val="single"/>
        </w:rPr>
        <w:t xml:space="preserve">（</w:t>
      </w:r>
      <w:r>
        <w:rPr>
          <w:rFonts w:hint="eastAsia" w:cs="宋体"/>
          <w:b/>
          <w:bCs/>
          <w:color w:val="auto"/>
          <w:highlight w:val="none"/>
          <w:u w:val="single"/>
          <w:lang w:val="en-US" w:eastAsia="zh-CN"/>
        </w:rPr>
        <w:t xml:space="preserve">项目编号：</w:t>
      </w:r>
      <w:r>
        <w:rPr>
          <w:rFonts w:hint="eastAsia" w:cs="宋体"/>
          <w:b/>
          <w:bCs/>
          <w:color w:val="auto"/>
          <w:highlight w:val="none"/>
          <w:u w:val="single"/>
          <w:lang w:eastAsia="zh-CN"/>
        </w:rPr>
        <w:t xml:space="preserve">JSZC-320700-XHZX-C2026-0019</w:t>
      </w:r>
      <w:r>
        <w:rPr>
          <w:rFonts w:hint="eastAsia" w:cs="宋体"/>
          <w:color w:val="auto"/>
          <w:highlight w:val="none"/>
          <w:u w:val="single"/>
        </w:rPr>
        <w:t xml:space="preserve">）</w:t>
      </w:r>
      <w:r>
        <w:rPr>
          <w:rFonts w:hint="eastAsia" w:ascii="宋体" w:hAnsi="宋体" w:cs="宋体"/>
          <w:color w:val="auto"/>
          <w:highlight w:val="none"/>
        </w:rPr>
        <w:t xml:space="preserve">项目进行竞争性磋商采购，欢迎符合条件的供应商参加磋商。</w:t>
      </w:r>
      <w:r/>
    </w:p>
    <w:p>
      <w:pPr>
        <w:ind w:firstLine="480"/>
        <w:spacing w:line="560" w:lineRule="exact"/>
        <w:rPr>
          <w:color w:val="auto"/>
          <w:szCs w:val="28"/>
          <w:highlight w:val="none"/>
        </w:rPr>
        <w:pBdr>
          <w:top w:val="single" w:color="000000" w:sz="4" w:space="1"/>
          <w:left w:val="single" w:color="000000" w:sz="4" w:space="4"/>
          <w:bottom w:val="single" w:color="000000" w:sz="4" w:space="1"/>
          <w:right w:val="single" w:color="000000" w:sz="4" w:space="4"/>
        </w:pBdr>
      </w:pPr>
      <w:r>
        <w:rPr>
          <w:color w:val="auto"/>
          <w:szCs w:val="28"/>
          <w:highlight w:val="none"/>
        </w:rPr>
        <w:t xml:space="preserve">项目概况</w:t>
      </w:r>
      <w:r/>
    </w:p>
    <w:p>
      <w:pPr>
        <w:ind w:firstLine="480"/>
        <w:spacing w:line="560" w:lineRule="exact"/>
        <w:rPr>
          <w:color w:val="auto"/>
          <w:szCs w:val="28"/>
          <w:highlight w:val="none"/>
        </w:rPr>
        <w:pBdr>
          <w:top w:val="single" w:color="000000" w:sz="4" w:space="1"/>
          <w:left w:val="single" w:color="000000" w:sz="4" w:space="4"/>
          <w:bottom w:val="single" w:color="000000" w:sz="4" w:space="1"/>
          <w:right w:val="single" w:color="000000" w:sz="4" w:space="4"/>
        </w:pBdr>
      </w:pPr>
      <w:r>
        <w:rPr>
          <w:rFonts w:hint="eastAsia"/>
          <w:color w:val="auto"/>
          <w:szCs w:val="28"/>
          <w:highlight w:val="none"/>
          <w:u w:val="single"/>
          <w:lang w:eastAsia="zh-CN"/>
        </w:rPr>
        <w:t xml:space="preserve">2026年市区道路护栏更换出新项目（专门面向中小企业）</w:t>
      </w:r>
      <w:r>
        <w:rPr>
          <w:color w:val="auto"/>
          <w:szCs w:val="28"/>
          <w:highlight w:val="none"/>
        </w:rPr>
        <w:t xml:space="preserve">采购项目的潜在供应商应在</w:t>
      </w:r>
      <w:r>
        <w:rPr>
          <w:rFonts w:hint="eastAsia" w:ascii="宋体" w:hAnsi="宋体" w:cs="宋体"/>
          <w:b/>
          <w:bCs/>
          <w:color w:val="auto"/>
          <w:szCs w:val="28"/>
          <w:highlight w:val="none"/>
          <w:u w:val="single"/>
        </w:rPr>
        <w:t xml:space="preserve">江苏政府采购网</w:t>
      </w:r>
      <w:r>
        <w:rPr>
          <w:color w:val="auto"/>
          <w:szCs w:val="28"/>
          <w:highlight w:val="none"/>
        </w:rPr>
        <w:t xml:space="preserve">获取采购文件，并于</w:t>
      </w:r>
      <w:r>
        <w:rPr>
          <w:rFonts w:hint="eastAsia" w:ascii="宋体" w:hAnsi="宋体" w:cs="宋体"/>
          <w:b/>
          <w:bCs/>
          <w:color w:val="auto"/>
          <w:szCs w:val="28"/>
          <w:highlight w:val="none"/>
          <w:u w:val="single"/>
        </w:rPr>
        <w:t xml:space="preserve">2026年</w:t>
      </w:r>
      <w:r>
        <w:rPr>
          <w:rFonts w:hint="eastAsia" w:ascii="宋体" w:hAnsi="宋体" w:cs="宋体"/>
          <w:b/>
          <w:bCs/>
          <w:color w:val="auto"/>
          <w:szCs w:val="28"/>
          <w:highlight w:val="none"/>
          <w:u w:val="single"/>
          <w:lang w:val="en-US" w:eastAsia="zh-CN"/>
        </w:rPr>
        <w:t xml:space="preserve">8</w:t>
      </w:r>
      <w:r>
        <w:rPr>
          <w:rFonts w:hint="eastAsia" w:ascii="宋体" w:hAnsi="宋体" w:cs="宋体"/>
          <w:b/>
          <w:bCs/>
          <w:color w:val="auto"/>
          <w:szCs w:val="28"/>
          <w:highlight w:val="none"/>
          <w:u w:val="single"/>
        </w:rPr>
        <w:t xml:space="preserve">月19日09:00:00</w:t>
      </w:r>
      <w:r>
        <w:rPr>
          <w:bCs/>
          <w:color w:val="auto"/>
          <w:szCs w:val="28"/>
          <w:highlight w:val="none"/>
        </w:rPr>
        <w:t xml:space="preserve">（北京时间）前</w:t>
      </w:r>
      <w:r>
        <w:rPr>
          <w:b/>
          <w:color w:val="auto"/>
          <w:highlight w:val="none"/>
        </w:rPr>
        <w:t xml:space="preserve">上传电子响应文件</w:t>
      </w:r>
      <w:r>
        <w:rPr>
          <w:color w:val="auto"/>
          <w:szCs w:val="28"/>
          <w:highlight w:val="none"/>
        </w:rPr>
        <w:t xml:space="preserve">。</w:t>
      </w:r>
      <w:r/>
    </w:p>
    <w:p>
      <w:pPr>
        <w:ind w:firstLine="0"/>
        <w:rPr>
          <w:rFonts w:hint="eastAsia" w:ascii="宋体" w:hAnsi="宋体"/>
          <w:b/>
          <w:color w:val="auto"/>
          <w:highlight w:val="none"/>
        </w:rPr>
      </w:pPr>
      <w:r>
        <w:rPr>
          <w:rFonts w:hint="eastAsia" w:ascii="宋体" w:hAnsi="宋体"/>
          <w:b/>
          <w:color w:val="auto"/>
          <w:highlight w:val="none"/>
        </w:rPr>
      </w:r>
      <w:r/>
    </w:p>
    <w:p>
      <w:pPr>
        <w:pStyle w:val="1089"/>
        <w:rPr>
          <w:color w:val="auto"/>
          <w:highlight w:val="none"/>
        </w:rPr>
      </w:pPr>
      <w:r/>
      <w:bookmarkStart w:id="26" w:name="_Toc28359089"/>
      <w:r/>
      <w:bookmarkStart w:id="27" w:name="_Toc28359012"/>
      <w:r/>
      <w:bookmarkStart w:id="28" w:name="_Toc35393798"/>
      <w:r/>
      <w:bookmarkStart w:id="29" w:name="_Toc35393629"/>
      <w:r>
        <w:rPr>
          <w:color w:val="auto"/>
          <w:highlight w:val="none"/>
        </w:rPr>
        <w:t xml:space="preserve">一、项目基本情况</w:t>
      </w:r>
      <w:bookmarkEnd w:id="26"/>
      <w:r/>
      <w:bookmarkEnd w:id="27"/>
      <w:r/>
      <w:bookmarkEnd w:id="28"/>
      <w:r/>
      <w:bookmarkEnd w:id="29"/>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JSZC-320700-XHZX-C2026-0019</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2026年市区道路护栏更换出新项目（专门面向中小企业）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3、采购方式：竞争性磋商</w:t>
      </w:r>
      <w:r/>
    </w:p>
    <w:p>
      <w:pPr>
        <w:ind w:firstLine="480"/>
        <w:rPr>
          <w:rFonts w:hint="eastAsia" w:ascii="宋体" w:hAnsi="宋体" w:cs="宋体"/>
          <w:color w:val="auto"/>
          <w:highlight w:val="none"/>
        </w:rPr>
      </w:pPr>
      <w:r>
        <w:rPr>
          <w:rFonts w:hint="eastAsia" w:ascii="宋体" w:hAnsi="宋体" w:cs="宋体"/>
          <w:color w:val="auto"/>
          <w:highlight w:val="none"/>
        </w:rPr>
        <w:t xml:space="preserve">4、预算金额：人民币</w:t>
      </w:r>
      <w:r>
        <w:rPr>
          <w:rFonts w:hint="eastAsia" w:ascii="宋体" w:hAnsi="宋体" w:cs="宋体"/>
          <w:color w:val="auto"/>
          <w:highlight w:val="none"/>
          <w:lang w:val="en-US" w:eastAsia="zh-CN"/>
        </w:rPr>
        <w:t xml:space="preserve">2000000.00</w:t>
      </w:r>
      <w:r>
        <w:rPr>
          <w:rFonts w:hint="eastAsia" w:ascii="宋体" w:hAnsi="宋体" w:cs="宋体"/>
          <w:color w:val="auto"/>
          <w:highlight w:val="none"/>
        </w:rPr>
        <w:t xml:space="preserve">元</w:t>
      </w:r>
      <w:r/>
    </w:p>
    <w:p>
      <w:pPr>
        <w:ind w:firstLine="480"/>
        <w:rPr>
          <w:rFonts w:hint="eastAsia" w:ascii="宋体" w:hAnsi="宋体" w:cs="宋体"/>
          <w:color w:val="auto"/>
          <w:highlight w:val="none"/>
        </w:rPr>
      </w:pPr>
      <w:r>
        <w:rPr>
          <w:rFonts w:hint="eastAsia" w:ascii="宋体" w:hAnsi="宋体" w:cs="宋体"/>
          <w:color w:val="auto"/>
          <w:szCs w:val="28"/>
          <w:highlight w:val="none"/>
        </w:rPr>
        <w:t xml:space="preserve">5、最高限价：</w:t>
      </w:r>
      <w:r>
        <w:rPr>
          <w:rFonts w:hint="eastAsia" w:ascii="宋体" w:hAnsi="宋体" w:cs="宋体"/>
          <w:color w:val="auto"/>
          <w:highlight w:val="none"/>
        </w:rPr>
        <w:t xml:space="preserve">人民币</w:t>
      </w:r>
      <w:r>
        <w:rPr>
          <w:rFonts w:hint="eastAsia" w:ascii="宋体" w:hAnsi="宋体" w:cs="宋体"/>
          <w:color w:val="auto"/>
          <w:highlight w:val="none"/>
          <w:lang w:val="en-US" w:eastAsia="zh-CN"/>
        </w:rPr>
        <w:t xml:space="preserve">1991232.97</w:t>
      </w:r>
      <w:r>
        <w:rPr>
          <w:rFonts w:hint="eastAsia" w:ascii="宋体" w:hAnsi="宋体" w:cs="宋体"/>
          <w:color w:val="auto"/>
          <w:highlight w:val="none"/>
        </w:rPr>
        <w:t xml:space="preserve">元</w:t>
      </w:r>
      <w:r>
        <w:rPr>
          <w:rFonts w:hint="eastAsia" w:ascii="宋体" w:hAnsi="宋体" w:cs="宋体"/>
          <w:color w:val="auto"/>
          <w:highlight w:val="none"/>
        </w:rPr>
        <w:t xml:space="preserve">，报价超过最高限价的按无效标处理。</w:t>
      </w:r>
      <w:r/>
    </w:p>
    <w:p>
      <w:pPr>
        <w:ind w:firstLine="480"/>
        <w:rPr>
          <w:rFonts w:hint="eastAsia" w:ascii="宋体" w:hAnsi="宋体" w:cs="宋体"/>
          <w:color w:val="auto"/>
          <w:highlight w:val="none"/>
        </w:rPr>
      </w:pPr>
      <w:r/>
      <w:bookmarkStart w:id="30" w:name="_Toc35393799"/>
      <w:r/>
      <w:bookmarkStart w:id="31" w:name="_Toc35393630"/>
      <w:r/>
      <w:bookmarkStart w:id="32" w:name="_Toc28359013"/>
      <w:r/>
      <w:bookmarkStart w:id="33" w:name="_Toc28359090"/>
      <w:r>
        <w:rPr>
          <w:rFonts w:hint="eastAsia" w:ascii="宋体" w:hAnsi="宋体" w:cs="宋体"/>
          <w:color w:val="auto"/>
          <w:highlight w:val="none"/>
        </w:rPr>
        <w:t xml:space="preserve">6、建设地点：</w:t>
      </w:r>
      <w:r>
        <w:rPr>
          <w:rFonts w:hint="eastAsia" w:ascii="Times New Roman" w:hAnsi="Times New Roman" w:eastAsia="宋体" w:cs="Times New Roman"/>
          <w:color w:val="auto"/>
          <w:highlight w:val="none"/>
          <w:lang w:eastAsia="zh-CN"/>
        </w:rPr>
        <w:t xml:space="preserve">连云港市海州区</w:t>
      </w:r>
      <w:r/>
    </w:p>
    <w:p>
      <w:pPr>
        <w:ind w:left="0" w:firstLine="480"/>
        <w:jc w:val="left"/>
        <w:keepLines w:val="0"/>
        <w:keepNext w:val="0"/>
        <w:widowControl/>
        <w:rPr>
          <w:rFonts w:hint="eastAsia" w:ascii="宋体" w:hAnsi="宋体" w:cs="宋体"/>
          <w:color w:val="auto"/>
          <w:highlight w:val="none"/>
        </w:rPr>
        <w:suppressLineNumbers w:val="0"/>
      </w:pPr>
      <w:r>
        <w:rPr>
          <w:rFonts w:hint="eastAsia" w:ascii="宋体" w:hAnsi="宋体" w:cs="宋体"/>
          <w:color w:val="auto"/>
          <w:highlight w:val="none"/>
        </w:rPr>
        <w:t xml:space="preserve">7、采购需求：</w:t>
      </w:r>
      <w:r>
        <w:rPr>
          <w:rFonts w:hint="eastAsia" w:ascii="Times New Roman" w:hAnsi="Times New Roman" w:eastAsia="宋体" w:cs="Times New Roman"/>
          <w:color w:val="auto"/>
          <w:highlight w:val="none"/>
          <w:lang w:val="en-US" w:eastAsia="zh-CN"/>
        </w:rPr>
        <w:t xml:space="preserve">对部分主干路锈蚀破损严重的道路护栏进行更换，新增爆闪灯等附属设施</w:t>
      </w:r>
      <w:r>
        <w:rPr>
          <w:rFonts w:hint="eastAsia" w:eastAsia="宋体" w:cs="Times New Roman"/>
          <w:color w:val="auto"/>
          <w:highlight w:val="none"/>
          <w:lang w:val="en-US" w:eastAsia="zh-CN"/>
        </w:rPr>
        <w:t xml:space="preserve">，</w:t>
      </w:r>
      <w:r>
        <w:rPr>
          <w:color w:val="auto"/>
          <w:highlight w:val="none"/>
        </w:rPr>
        <w:t xml:space="preserve">具体详见工程量清单</w:t>
      </w:r>
      <w:r>
        <w:rPr>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8.质量标准：合格</w:t>
      </w:r>
      <w:r/>
    </w:p>
    <w:p>
      <w:pPr>
        <w:ind w:firstLine="480"/>
        <w:rPr>
          <w:rFonts w:hint="eastAsia" w:ascii="宋体" w:hAnsi="宋体" w:cs="宋体"/>
          <w:color w:val="auto"/>
          <w:highlight w:val="none"/>
        </w:rPr>
      </w:pPr>
      <w:r>
        <w:rPr>
          <w:rFonts w:hint="eastAsia" w:ascii="宋体" w:hAnsi="宋体" w:cs="宋体"/>
          <w:color w:val="auto"/>
          <w:highlight w:val="none"/>
        </w:rPr>
        <w:t xml:space="preserve">9.工期：</w:t>
      </w:r>
      <w:r>
        <w:rPr>
          <w:rFonts w:hint="eastAsia" w:ascii="宋体" w:hAnsi="宋体" w:cs="宋体"/>
          <w:b w:val="0"/>
          <w:bCs w:val="0"/>
          <w:color w:val="auto"/>
          <w:highlight w:val="none"/>
          <w:lang w:val="en-US" w:eastAsia="zh-CN"/>
        </w:rPr>
        <w:t xml:space="preserve">20</w:t>
      </w:r>
      <w:r>
        <w:rPr>
          <w:rFonts w:hint="eastAsia" w:ascii="宋体" w:hAnsi="宋体" w:cs="宋体"/>
          <w:b w:val="0"/>
          <w:bCs w:val="0"/>
          <w:color w:val="auto"/>
          <w:highlight w:val="none"/>
          <w:lang w:val="zh-CN"/>
        </w:rPr>
        <w:t xml:space="preserve">日历天（具体开工日期以采购人发出的书面开工令为准）。</w:t>
      </w:r>
      <w:r/>
    </w:p>
    <w:p>
      <w:pPr>
        <w:ind w:firstLine="480"/>
        <w:rPr>
          <w:rFonts w:hint="eastAsia" w:ascii="宋体" w:hAnsi="宋体" w:cs="宋体"/>
          <w:color w:val="auto"/>
          <w:highlight w:val="none"/>
        </w:rPr>
      </w:pPr>
      <w:r>
        <w:rPr>
          <w:rFonts w:hint="eastAsia" w:ascii="宋体" w:hAnsi="宋体" w:cs="宋体"/>
          <w:color w:val="auto"/>
          <w:highlight w:val="none"/>
        </w:rPr>
        <w:t xml:space="preserve">10.本项目不接受联合体参加磋商。</w:t>
      </w:r>
      <w:r/>
    </w:p>
    <w:p>
      <w:pPr>
        <w:pStyle w:val="1089"/>
        <w:rPr>
          <w:color w:val="auto"/>
          <w:highlight w:val="none"/>
        </w:rPr>
      </w:pPr>
      <w:r>
        <w:rPr>
          <w:color w:val="auto"/>
          <w:highlight w:val="none"/>
        </w:rPr>
        <w:t xml:space="preserve">二、申请人的资格要求</w:t>
      </w:r>
      <w:bookmarkEnd w:id="30"/>
      <w:r/>
      <w:bookmarkEnd w:id="31"/>
      <w:r/>
      <w:bookmarkEnd w:id="32"/>
      <w:r/>
      <w:bookmarkEnd w:id="33"/>
      <w:r/>
      <w:r/>
    </w:p>
    <w:p>
      <w:pPr>
        <w:ind w:firstLine="480"/>
        <w:rPr>
          <w:color w:val="auto"/>
          <w:highlight w:val="none"/>
        </w:rPr>
      </w:pPr>
      <w:r>
        <w:rPr>
          <w:rFonts w:hint="eastAsia" w:ascii="宋体" w:hAnsi="宋体" w:cs="宋体"/>
          <w:color w:val="auto"/>
          <w:highlight w:val="none"/>
        </w:rPr>
        <w:t xml:space="preserve">1、满足</w:t>
      </w:r>
      <w:r>
        <w:rPr>
          <w:color w:val="auto"/>
          <w:highlight w:val="none"/>
        </w:rPr>
        <w:t xml:space="preserve">《中华人民共和国政府采购法》第二十二条规定，提供下列材料：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（1）法人或者其他组织的营业执照等证明文件，自然人的身份证明；</w:t>
      </w:r>
      <w:r/>
    </w:p>
    <w:p>
      <w:pPr>
        <w:ind w:firstLine="480"/>
        <w:rPr>
          <w:rFonts w:hint="eastAsia" w:ascii="宋体" w:hAnsi="宋体" w:cs="宋体"/>
          <w:color w:val="auto"/>
          <w:highlight w:val="none"/>
        </w:rPr>
      </w:pPr>
      <w:r>
        <w:rPr>
          <w:rFonts w:hint="eastAsia" w:ascii="宋体" w:hAnsi="宋体" w:cs="宋体"/>
          <w:color w:val="auto"/>
          <w:highlight w:val="none"/>
        </w:rPr>
        <w:t xml:space="preserve">（2）2024或2025年度的财务状况报告（成立不满一年不需提供）；</w:t>
      </w:r>
      <w:r/>
    </w:p>
    <w:p>
      <w:pPr>
        <w:ind w:firstLine="480"/>
        <w:rPr>
          <w:rFonts w:hint="eastAsia" w:ascii="宋体" w:hAnsi="宋体" w:cs="宋体"/>
          <w:color w:val="auto"/>
          <w:highlight w:val="none"/>
        </w:rPr>
      </w:pPr>
      <w:r>
        <w:rPr>
          <w:rFonts w:hint="eastAsia" w:ascii="宋体" w:hAnsi="宋体" w:cs="宋体"/>
          <w:color w:val="auto"/>
          <w:highlight w:val="none"/>
        </w:rPr>
        <w:t xml:space="preserve">（3）依法缴纳税收和社会保障资金的相关材料；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（4）具备履行合同所必需的设备和专业技术能力的书面声明及证明材料；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（5）参加政府采购活动前三年内在经营活动中没有重大违法记录的书面声明。</w:t>
      </w:r>
      <w:r/>
    </w:p>
    <w:p>
      <w:pPr>
        <w:pStyle w:val="1201"/>
        <w:ind w:left="0" w:firstLine="482"/>
        <w:spacing w:after="0"/>
        <w:rPr>
          <w:rFonts w:hint="eastAsia" w:cs="宋体"/>
          <w:b/>
          <w:bCs/>
          <w:color w:val="auto"/>
          <w:sz w:val="24"/>
          <w:highlight w:val="none"/>
        </w:rPr>
      </w:pPr>
      <w:r>
        <w:rPr>
          <w:rFonts w:hint="eastAsia" w:cs="宋体"/>
          <w:b/>
          <w:bCs/>
          <w:color w:val="auto"/>
          <w:sz w:val="24"/>
          <w:highlight w:val="none"/>
        </w:rPr>
        <w:t xml:space="preserve">根据连财购〔2023〕4号文件精神，第（2）、（3）项可以提供《财务状况报告及税收、社会保障资金缴纳情况承诺函》，详见采购文件格式。</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b w:val="0"/>
          <w:bCs w:val="0"/>
          <w:color w:val="auto"/>
          <w:highlight w:val="none"/>
        </w:rPr>
        <w:t xml:space="preserve">落实政府采购政策需满足的资格要求：</w:t>
      </w:r>
      <w:r>
        <w:rPr>
          <w:rFonts w:hint="eastAsia" w:ascii="宋体" w:hAnsi="宋体" w:cs="宋体"/>
          <w:b/>
          <w:bCs/>
          <w:color w:val="auto"/>
          <w:highlight w:val="non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采购文件第六章磋商响应文件格式。</w:t>
      </w:r>
      <w:r/>
    </w:p>
    <w:p>
      <w:pPr>
        <w:ind w:firstLine="480"/>
        <w:rPr>
          <w:color w:val="auto"/>
          <w:highlight w:val="none"/>
        </w:rPr>
      </w:pPr>
      <w:r>
        <w:rPr>
          <w:rFonts w:hint="eastAsia" w:ascii="宋体" w:hAnsi="宋体" w:cs="宋体"/>
          <w:color w:val="auto"/>
          <w:highlight w:val="none"/>
        </w:rPr>
        <w:t xml:space="preserve">3、本</w:t>
      </w:r>
      <w:r>
        <w:rPr>
          <w:color w:val="auto"/>
          <w:highlight w:val="none"/>
        </w:rPr>
        <w:t xml:space="preserve">项目的特定资格要求：</w:t>
      </w:r>
      <w:r/>
    </w:p>
    <w:p>
      <w:pPr>
        <w:pStyle w:val="93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（1）供应商须具备</w:t>
      </w:r>
      <w:r>
        <w:rPr>
          <w:rFonts w:hint="eastAsia" w:ascii="宋体" w:hAnsi="宋体" w:cs="宋体"/>
          <w:color w:val="auto"/>
          <w:sz w:val="24"/>
          <w:szCs w:val="32"/>
          <w:highlight w:val="none"/>
        </w:rPr>
        <w:t xml:space="preserve">建设行政主管部门核发的</w:t>
      </w:r>
      <w:r>
        <w:rPr>
          <w:rFonts w:hint="eastAsia" w:ascii="宋体" w:hAnsi="宋体" w:eastAsia="宋体" w:cs="宋体"/>
          <w:b/>
          <w:bCs/>
          <w:color w:val="auto"/>
          <w:sz w:val="24"/>
          <w:szCs w:val="32"/>
          <w:highlight w:val="none"/>
          <w:lang w:eastAsia="zh-CN"/>
        </w:rPr>
        <w:t xml:space="preserve">市政公用工程施工总承包三级及以上资质或公路交通工程专业承包（公路安全设施分项）二级及以上资质</w:t>
      </w:r>
      <w:r>
        <w:rPr>
          <w:rFonts w:hint="eastAsia"/>
          <w:b/>
          <w:bCs/>
          <w:color w:val="auto"/>
          <w:highlight w:val="none"/>
        </w:rPr>
        <w:t xml:space="preserve">（有效的），且企业具备安全生产许可证（有效的），并在人员、设备、资金等方面具有相应的施工能力。</w:t>
      </w:r>
      <w:r/>
    </w:p>
    <w:p>
      <w:pPr>
        <w:pStyle w:val="93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（2）拟派项目负责人须具备建设行政主管部门颁发的</w:t>
      </w:r>
      <w:r>
        <w:rPr>
          <w:rFonts w:hint="eastAsia"/>
          <w:b/>
          <w:bCs/>
          <w:color w:val="auto"/>
          <w:highlight w:val="none"/>
          <w:lang w:eastAsia="zh-CN"/>
        </w:rPr>
        <w:t xml:space="preserve">市政公用工程</w:t>
      </w:r>
      <w:r>
        <w:rPr>
          <w:rFonts w:hint="eastAsia"/>
          <w:b/>
          <w:bCs/>
          <w:color w:val="auto"/>
          <w:highlight w:val="none"/>
          <w:lang w:val="en-US" w:eastAsia="zh-CN"/>
        </w:rPr>
        <w:t xml:space="preserve">或</w:t>
      </w:r>
      <w:r>
        <w:rPr>
          <w:rFonts w:hint="eastAsia"/>
          <w:b/>
          <w:bCs/>
          <w:color w:val="auto"/>
          <w:highlight w:val="none"/>
          <w:lang w:eastAsia="zh-CN"/>
        </w:rPr>
        <w:t xml:space="preserve">公路工程注册建造师二级及以上证书</w:t>
      </w:r>
      <w:r>
        <w:rPr>
          <w:rFonts w:hint="eastAsia"/>
          <w:b/>
          <w:bCs/>
          <w:color w:val="auto"/>
          <w:highlight w:val="none"/>
        </w:rPr>
        <w:t xml:space="preserve">（有效的），并具备有效的安全生产考核合格证（B类）；</w:t>
      </w:r>
      <w:r/>
    </w:p>
    <w:p>
      <w:pPr>
        <w:pStyle w:val="93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（3）拟派项目负责人必须为供应商的员工，提供202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2</w:t>
      </w:r>
      <w:r>
        <w:rPr>
          <w:rFonts w:hint="eastAsia"/>
          <w:color w:val="auto"/>
          <w:highlight w:val="none"/>
        </w:rPr>
        <w:t xml:space="preserve">月至</w:t>
      </w:r>
      <w:r>
        <w:rPr>
          <w:rFonts w:hint="eastAsia"/>
          <w:color w:val="auto"/>
          <w:highlight w:val="none"/>
          <w:lang w:val="en-US" w:eastAsia="zh-CN"/>
        </w:rPr>
        <w:t xml:space="preserve">今</w:t>
      </w:r>
      <w:r>
        <w:rPr>
          <w:rFonts w:hint="eastAsia"/>
          <w:color w:val="auto"/>
          <w:highlight w:val="none"/>
        </w:rPr>
        <w:t xml:space="preserve">任意一个月由供应商为其缴纳的社保缴纳证明（加盖社保中心章或社保中心参保缴费证明电子专用章）；</w:t>
      </w:r>
      <w:r/>
    </w:p>
    <w:p>
      <w:pPr>
        <w:pStyle w:val="93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4）供应商无不良行为、无借牌挂靠行为；项目负责人无在建工程等承诺，供应商（超过3年）、法定代表人（超过5年）、项目负责人（超过5年）无行贿犯罪记录，具体时间从采购公告发布之日起倒算；供应商及项目负责人未被建设行政主管部门限制在招标项目所在地投标。（见格式“供应商承诺书”）</w:t>
      </w:r>
      <w:r/>
    </w:p>
    <w:p>
      <w:pPr>
        <w:pStyle w:val="93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5）本项目执行江苏省住房和城乡建设厅《关于开展建筑业企业资质动态监管工作的公告》（[2018]第6号）、连建发[2019]182号文，关于企业资质动态核查，由供应商在响应文件中作出书面承诺，若磋商响应有效期内企业资质核查不合格，将主动放弃成交供应商资格。（核查资质指竞争性磋商文件所要求的相应资质）。</w:t>
      </w:r>
      <w:r/>
    </w:p>
    <w:p>
      <w:pPr>
        <w:pStyle w:val="93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（6）资格审查环节现场查询“信用中国”网站（www.creditchina.gov.cn）</w:t>
      </w:r>
      <w:r>
        <w:rPr>
          <w:rFonts w:hint="eastAsia"/>
          <w:color w:val="auto"/>
          <w:highlight w:val="none"/>
          <w:lang w:eastAsia="zh-CN"/>
        </w:rPr>
        <w:t xml:space="preserve">“</w:t>
      </w:r>
      <w:r>
        <w:rPr>
          <w:rFonts w:hint="eastAsia"/>
          <w:color w:val="auto"/>
          <w:highlight w:val="none"/>
          <w:lang w:val="en-US" w:eastAsia="zh-CN"/>
        </w:rPr>
        <w:t xml:space="preserve">中国政府采购网</w:t>
      </w:r>
      <w:r>
        <w:rPr>
          <w:rFonts w:hint="eastAsia"/>
          <w:color w:val="auto"/>
          <w:highlight w:val="none"/>
          <w:lang w:eastAsia="zh-CN"/>
        </w:rPr>
        <w:t xml:space="preserve">”（http://www.ccgp.gov.cn/）</w:t>
      </w:r>
      <w:r>
        <w:rPr>
          <w:rFonts w:hint="eastAsia"/>
          <w:color w:val="auto"/>
          <w:highlight w:val="none"/>
        </w:rPr>
        <w:t xml:space="preserve">，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ind w:firstLine="480"/>
        <w:rPr>
          <w:rFonts w:hint="eastAsia" w:ascii="宋体" w:hAnsi="宋体"/>
          <w:color w:val="auto"/>
          <w:highlight w:val="none"/>
        </w:rPr>
      </w:pPr>
      <w:r>
        <w:rPr>
          <w:rFonts w:hint="eastAsia"/>
          <w:color w:val="auto"/>
          <w:highlight w:val="none"/>
        </w:rPr>
        <w:t xml:space="preserve">（7）法律法规规定的其他条件。</w:t>
      </w:r>
      <w:r/>
    </w:p>
    <w:p>
      <w:pPr>
        <w:ind w:firstLine="480"/>
        <w:rPr>
          <w:rFonts w:hint="eastAsia" w:ascii="宋体" w:hAnsi="宋体" w:cs="宋体"/>
          <w:color w:val="auto"/>
          <w:highlight w:val="none"/>
        </w:rPr>
      </w:pPr>
      <w:r>
        <w:rPr>
          <w:rFonts w:hint="eastAsia" w:ascii="宋体" w:hAnsi="宋体" w:cs="宋体"/>
          <w:color w:val="auto"/>
          <w:highlight w:val="none"/>
        </w:rPr>
        <w:t xml:space="preserve">（8）本项目成交后不允许分包或转包。</w:t>
      </w:r>
      <w:r/>
    </w:p>
    <w:p>
      <w:pPr>
        <w:pStyle w:val="1089"/>
        <w:rPr>
          <w:rFonts w:hint="eastAsia" w:ascii="宋体" w:hAnsi="宋体"/>
          <w:b w:val="0"/>
          <w:bCs w:val="0"/>
          <w:color w:val="auto"/>
          <w:sz w:val="21"/>
          <w:szCs w:val="21"/>
          <w:highlight w:val="none"/>
        </w:rPr>
      </w:pPr>
      <w:r>
        <w:rPr>
          <w:rFonts w:hint="eastAsia" w:ascii="宋体" w:hAnsi="宋体"/>
          <w:color w:val="auto"/>
          <w:sz w:val="28"/>
          <w:szCs w:val="28"/>
          <w:highlight w:val="none"/>
        </w:rPr>
        <w:t xml:space="preserve">三、获取磋商文件</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1、时间：</w:t>
      </w:r>
      <w:r>
        <w:rPr>
          <w:rFonts w:hint="eastAsia" w:ascii="宋体" w:hAnsi="宋体" w:cs="宋体"/>
          <w:b/>
          <w:bCs/>
          <w:color w:val="auto"/>
          <w:highlight w:val="none"/>
          <w:u w:val="single"/>
        </w:rPr>
        <w:t xml:space="preserve">2026年8月5日至2026年8月12日</w:t>
      </w:r>
      <w:r>
        <w:rPr>
          <w:rFonts w:hint="eastAsia" w:ascii="宋体" w:hAnsi="宋体" w:cs="宋体"/>
          <w:color w:val="auto"/>
          <w:highlight w:val="none"/>
        </w:rPr>
        <w:t xml:space="preserve">（北京时间）；</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2、方式：在“江苏政府采购网”自行免费下载磋商文件；</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3、售价：人民币0元。</w:t>
      </w:r>
      <w:r/>
    </w:p>
    <w:p>
      <w:pPr>
        <w:pStyle w:val="1089"/>
        <w:rPr>
          <w:rFonts w:hint="eastAsia" w:ascii="宋体" w:hAnsi="宋体"/>
          <w:b w:val="0"/>
          <w:bCs w:val="0"/>
          <w:color w:val="auto"/>
          <w:sz w:val="21"/>
          <w:szCs w:val="21"/>
          <w:highlight w:val="none"/>
        </w:rPr>
      </w:pPr>
      <w:r>
        <w:rPr>
          <w:rFonts w:hint="eastAsia" w:ascii="宋体" w:hAnsi="宋体"/>
          <w:color w:val="auto"/>
          <w:sz w:val="28"/>
          <w:szCs w:val="28"/>
          <w:highlight w:val="none"/>
        </w:rPr>
        <w:t xml:space="preserve">四、响应文件提交</w:t>
      </w:r>
      <w:r/>
    </w:p>
    <w:p>
      <w:pPr>
        <w:ind w:firstLine="480"/>
        <w:rPr>
          <w:rFonts w:hint="eastAsia" w:ascii="宋体" w:hAnsi="宋体" w:cs="宋体"/>
          <w:color w:val="auto"/>
          <w:highlight w:val="none"/>
        </w:rPr>
      </w:pPr>
      <w:r>
        <w:rPr>
          <w:rFonts w:hint="eastAsia" w:ascii="宋体" w:hAnsi="宋体" w:cs="宋体"/>
          <w:color w:val="auto"/>
          <w:highlight w:val="none"/>
        </w:rPr>
        <w:t xml:space="preserve">1、电子响应文件递交截止时间：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b/>
          <w:bCs/>
          <w:color w:val="auto"/>
          <w:szCs w:val="28"/>
          <w:highlight w:val="none"/>
          <w:u w:val="single"/>
        </w:rPr>
        <w:t xml:space="preserve">2026年8月19日09:00:00</w:t>
      </w:r>
      <w:r>
        <w:rPr>
          <w:rFonts w:hint="eastAsia" w:ascii="宋体" w:hAnsi="宋体" w:cs="宋体"/>
          <w:color w:val="auto"/>
          <w:highlight w:val="none"/>
        </w:rPr>
        <w:t xml:space="preserve">（北京时间）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2、开启时间：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b/>
          <w:bCs/>
          <w:color w:val="auto"/>
          <w:szCs w:val="28"/>
          <w:highlight w:val="none"/>
          <w:u w:val="single"/>
        </w:rPr>
        <w:t xml:space="preserve">2026年8月19日09:00:00</w:t>
      </w:r>
      <w:r>
        <w:rPr>
          <w:rFonts w:hint="eastAsia" w:ascii="宋体" w:hAnsi="宋体" w:cs="宋体"/>
          <w:color w:val="auto"/>
          <w:highlight w:val="none"/>
        </w:rPr>
        <w:t xml:space="preserve">（北京时间）</w:t>
      </w:r>
      <w:r/>
    </w:p>
    <w:p>
      <w:pPr>
        <w:ind w:firstLine="482"/>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各供应商请关注开标大厅交流区，在开标结束后，请勿离开开标大厅，待资格审查和商务技术审查完毕，所有的响应供应商须在磋商小组规定时间内填写并提交最后报价，未在磋商小组规定的时间内完成最后报价的视为放弃磋商，其磋商响应按无效响应处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3、线上开标地点：“苏采云”系统（网址：http://jszfcg.jsczt.cn/）“开标大厅”。</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4、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highlight w:val="none"/>
        </w:rPr>
        <w:t xml:space="preserve">投标供应商解密限定在开标后30分钟之内完成</w:t>
      </w:r>
      <w:r>
        <w:rPr>
          <w:rFonts w:hint="eastAsia" w:ascii="宋体" w:hAnsi="宋体" w:cs="宋体"/>
          <w:color w:val="auto"/>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089"/>
        <w:rPr>
          <w:rFonts w:hint="eastAsia" w:ascii="宋体" w:hAnsi="宋体"/>
          <w:b w:val="0"/>
          <w:bCs w:val="0"/>
          <w:color w:val="auto"/>
          <w:sz w:val="21"/>
          <w:szCs w:val="21"/>
          <w:highlight w:val="none"/>
        </w:rPr>
      </w:pPr>
      <w:r>
        <w:rPr>
          <w:rFonts w:hint="eastAsia" w:ascii="宋体" w:hAnsi="宋体"/>
          <w:color w:val="auto"/>
          <w:sz w:val="28"/>
          <w:szCs w:val="28"/>
          <w:highlight w:val="none"/>
        </w:rPr>
        <w:t xml:space="preserve">五、公告期限</w:t>
      </w:r>
      <w:r/>
    </w:p>
    <w:p>
      <w:pPr>
        <w:ind w:firstLine="480"/>
        <w:rPr>
          <w:color w:val="auto"/>
          <w:highlight w:val="none"/>
        </w:rPr>
      </w:pPr>
      <w:r>
        <w:rPr>
          <w:rFonts w:hint="eastAsia"/>
          <w:color w:val="auto"/>
          <w:highlight w:val="none"/>
        </w:rPr>
        <w:t xml:space="preserve">自本公告发布之日起3个工作日。</w:t>
      </w:r>
      <w:r/>
    </w:p>
    <w:p>
      <w:pPr>
        <w:pStyle w:val="1089"/>
        <w:rPr>
          <w:rFonts w:hint="eastAsia" w:ascii="宋体" w:hAnsi="宋体"/>
          <w:b w:val="0"/>
          <w:bCs w:val="0"/>
          <w:color w:val="auto"/>
          <w:sz w:val="21"/>
          <w:szCs w:val="21"/>
          <w:highlight w:val="none"/>
        </w:rPr>
      </w:pPr>
      <w:r>
        <w:rPr>
          <w:rFonts w:hint="eastAsia" w:ascii="宋体" w:hAnsi="宋体"/>
          <w:color w:val="auto"/>
          <w:sz w:val="28"/>
          <w:szCs w:val="28"/>
          <w:highlight w:val="none"/>
        </w:rPr>
        <w:t xml:space="preserve">六、其他补充事宜</w:t>
      </w:r>
      <w:r/>
    </w:p>
    <w:p>
      <w:pPr>
        <w:ind w:firstLine="480"/>
        <w:rPr>
          <w:rFonts w:hint="eastAsia" w:ascii="宋体" w:hAnsi="宋体" w:cs="宋体"/>
          <w:color w:val="auto"/>
          <w:highlight w:val="none"/>
        </w:rPr>
      </w:pPr>
      <w:r>
        <w:rPr>
          <w:rFonts w:hint="eastAsia" w:ascii="宋体" w:hAnsi="宋体" w:cs="宋体"/>
          <w:color w:val="auto"/>
          <w:highlight w:val="none"/>
        </w:rPr>
        <w:t xml:space="preserve">1、本次磋商不收取磋商保证金。</w:t>
      </w:r>
      <w:r/>
    </w:p>
    <w:p>
      <w:pPr>
        <w:ind w:firstLine="480"/>
        <w:rPr>
          <w:rFonts w:hint="eastAsia" w:ascii="宋体" w:hAnsi="宋体" w:cs="宋体"/>
          <w:color w:val="auto"/>
          <w:highlight w:val="none"/>
        </w:rPr>
      </w:pPr>
      <w:r>
        <w:rPr>
          <w:rFonts w:hint="eastAsia" w:ascii="宋体" w:hAnsi="宋体" w:cs="宋体"/>
          <w:color w:val="auto"/>
          <w:highlight w:val="none"/>
        </w:rPr>
        <w:t xml:space="preserve">2、响应文件有效期：自磋商截止时间后120天内有效。</w:t>
      </w:r>
      <w:r/>
    </w:p>
    <w:p>
      <w:pPr>
        <w:ind w:firstLine="480"/>
        <w:rPr>
          <w:rFonts w:hint="eastAsia" w:ascii="宋体" w:hAnsi="宋体" w:cs="宋体"/>
          <w:color w:val="auto"/>
          <w:highlight w:val="none"/>
        </w:rPr>
      </w:pPr>
      <w:r>
        <w:rPr>
          <w:rFonts w:hint="eastAsia" w:ascii="宋体" w:hAnsi="宋体" w:cs="宋体"/>
          <w:color w:val="auto"/>
          <w:highlight w:val="none"/>
        </w:rPr>
        <w:t xml:space="preserve">3、本磋商文件中标注★的款项为实质性响应要求和条件，如不满足将按无效响应文件处理。</w:t>
      </w:r>
      <w:r/>
    </w:p>
    <w:p>
      <w:pPr>
        <w:ind w:firstLine="480"/>
        <w:rPr>
          <w:rFonts w:hint="eastAsia" w:ascii="宋体" w:hAnsi="宋体" w:cs="宋体"/>
          <w:color w:val="auto"/>
          <w:highlight w:val="none"/>
        </w:rPr>
      </w:pPr>
      <w:r>
        <w:rPr>
          <w:rFonts w:hint="eastAsia" w:ascii="宋体" w:hAnsi="宋体" w:cs="宋体"/>
          <w:color w:val="auto"/>
          <w:highlight w:val="none"/>
        </w:rPr>
        <w:t xml:space="preserve">4、无论出于何种原因，采购人可以对已发出的采购文件进行修改、补充或变更，其内容作为采购文件的重要组成部分，请各供应商关注江苏政府采购网。若因供应商自身原因未及时关注本项目有关修改、补充或变更信息，导致投标文件编制或提交失误，由此造成的一切损失由供应商自行承担。</w:t>
      </w:r>
      <w:r/>
    </w:p>
    <w:p>
      <w:pPr>
        <w:ind w:firstLine="482"/>
        <w:rPr>
          <w:color w:val="auto"/>
          <w:highlight w:val="none"/>
        </w:rPr>
      </w:pPr>
      <w:r>
        <w:rPr>
          <w:rFonts w:hint="eastAsia" w:ascii="宋体" w:hAnsi="宋体" w:cs="宋体"/>
          <w:b/>
          <w:bCs/>
          <w:color w:val="auto"/>
          <w:highlight w:val="none"/>
        </w:rPr>
        <w:t xml:space="preserve">5、</w:t>
      </w:r>
      <w:r>
        <w:rPr>
          <w:rFonts w:hint="eastAsia" w:ascii="宋体" w:hAnsi="宋体" w:cs="宋体"/>
          <w:b/>
          <w:bCs/>
          <w:color w:val="auto"/>
          <w:szCs w:val="28"/>
          <w:highlight w:val="none"/>
          <w:lang w:bidi="ar"/>
        </w:rPr>
        <w:t xml:space="preserve">本项目采购方式为竞争性磋商，评审过程中依次有磋商环节和二次（最后）报价环节，供应商须在开标会议结束后，等待磋商指令；磋商环节结束后，供应商须在报价环节等候报价。评审过程中不再另行通知，如供应商因个人原因错过相应环节，责任自负。</w:t>
      </w:r>
      <w:r/>
    </w:p>
    <w:p>
      <w:pPr>
        <w:pStyle w:val="1089"/>
        <w:rPr>
          <w:rFonts w:hint="eastAsia" w:ascii="宋体" w:hAnsi="宋体"/>
          <w:b w:val="0"/>
          <w:bCs w:val="0"/>
          <w:color w:val="auto"/>
          <w:sz w:val="21"/>
          <w:szCs w:val="21"/>
          <w:highlight w:val="none"/>
        </w:rPr>
      </w:pPr>
      <w:r>
        <w:rPr>
          <w:rFonts w:hint="eastAsia" w:ascii="宋体" w:hAnsi="宋体"/>
          <w:color w:val="auto"/>
          <w:sz w:val="28"/>
          <w:szCs w:val="28"/>
          <w:highlight w:val="none"/>
        </w:rPr>
        <w:t xml:space="preserve">七、凡对本次采购提出询问，请按以下方式联系</w:t>
      </w:r>
      <w:r/>
    </w:p>
    <w:p>
      <w:pPr>
        <w:ind w:firstLine="480"/>
        <w:jc w:val="left"/>
        <w:rPr>
          <w:rFonts w:hint="eastAsia" w:ascii="宋体" w:hAnsi="宋体"/>
          <w:color w:val="auto"/>
          <w:highlight w:val="none"/>
        </w:rPr>
      </w:pPr>
      <w:r>
        <w:rPr>
          <w:rFonts w:hint="eastAsia" w:ascii="宋体" w:hAnsi="宋体"/>
          <w:color w:val="auto"/>
          <w:highlight w:val="none"/>
        </w:rPr>
        <w:t xml:space="preserve">1、采购人信息</w:t>
      </w:r>
      <w:r/>
    </w:p>
    <w:p>
      <w:pPr>
        <w:ind w:firstLine="480"/>
        <w:jc w:val="left"/>
        <w:rPr>
          <w:rFonts w:hint="eastAsia" w:ascii="宋体" w:hAnsi="宋体" w:eastAsia="宋体"/>
          <w:color w:val="auto"/>
          <w:sz w:val="21"/>
          <w:highlight w:val="none"/>
          <w:lang w:eastAsia="zh-CN"/>
        </w:rPr>
      </w:pPr>
      <w:r>
        <w:rPr>
          <w:rFonts w:hint="eastAsia" w:ascii="宋体" w:hAnsi="宋体"/>
          <w:color w:val="auto"/>
          <w:highlight w:val="none"/>
        </w:rPr>
        <w:t xml:space="preserve">名    称：</w:t>
      </w:r>
      <w:r>
        <w:rPr>
          <w:rFonts w:hint="eastAsia" w:ascii="宋体" w:hAnsi="宋体"/>
          <w:color w:val="auto"/>
          <w:highlight w:val="none"/>
          <w:lang w:eastAsia="zh-CN"/>
        </w:rPr>
        <w:t xml:space="preserve">连云港市市政公用事业发展中心</w:t>
      </w:r>
      <w:r/>
    </w:p>
    <w:p>
      <w:pPr>
        <w:ind w:firstLine="480"/>
        <w:jc w:val="left"/>
        <w:rPr>
          <w:rFonts w:hint="eastAsia" w:ascii="宋体" w:hAnsi="宋体"/>
          <w:color w:val="auto"/>
          <w:highlight w:val="none"/>
        </w:rPr>
      </w:pPr>
      <w:r>
        <w:rPr>
          <w:rFonts w:hint="eastAsia" w:ascii="宋体" w:hAnsi="宋体"/>
          <w:color w:val="auto"/>
          <w:highlight w:val="none"/>
        </w:rPr>
        <w:t xml:space="preserve">地    址：</w:t>
      </w:r>
      <w:r>
        <w:rPr>
          <w:rFonts w:hint="eastAsia" w:ascii="宋体" w:hAnsi="宋体"/>
          <w:color w:val="auto"/>
          <w:highlight w:val="none"/>
          <w:lang w:eastAsia="zh-CN"/>
        </w:rPr>
        <w:t xml:space="preserve">连云港市海州区南极南路64号</w:t>
      </w:r>
      <w:r/>
    </w:p>
    <w:p>
      <w:pPr>
        <w:ind w:firstLine="480"/>
        <w:jc w:val="left"/>
        <w:rPr>
          <w:rFonts w:hint="eastAsia" w:ascii="宋体" w:hAnsi="宋体"/>
          <w:color w:val="auto"/>
          <w:highlight w:val="none"/>
        </w:rPr>
      </w:pPr>
      <w:r>
        <w:rPr>
          <w:rFonts w:hint="eastAsia" w:ascii="宋体" w:hAnsi="宋体"/>
          <w:color w:val="auto"/>
          <w:highlight w:val="none"/>
        </w:rPr>
        <w:t xml:space="preserve">项目联系人：</w:t>
      </w:r>
      <w:r>
        <w:rPr>
          <w:rFonts w:hint="eastAsia" w:ascii="宋体" w:hAnsi="宋体"/>
          <w:color w:val="auto"/>
          <w:highlight w:val="none"/>
          <w:lang w:val="en-US" w:eastAsia="zh-CN"/>
        </w:rPr>
        <w:t xml:space="preserve">孙工</w:t>
      </w:r>
      <w:r/>
    </w:p>
    <w:p>
      <w:pPr>
        <w:ind w:firstLine="480"/>
        <w:jc w:val="left"/>
        <w:rPr>
          <w:rFonts w:hint="eastAsia" w:ascii="宋体" w:hAnsi="宋体"/>
          <w:color w:val="auto"/>
          <w:highlight w:val="none"/>
          <w:lang w:val="en-US" w:eastAsia="zh-CN"/>
        </w:rPr>
      </w:pPr>
      <w:r>
        <w:rPr>
          <w:rFonts w:hint="eastAsia" w:ascii="宋体" w:hAnsi="宋体"/>
          <w:color w:val="auto"/>
          <w:highlight w:val="none"/>
        </w:rPr>
        <w:t xml:space="preserve">联系方式： </w:t>
      </w:r>
      <w:r>
        <w:rPr>
          <w:rFonts w:hint="eastAsia" w:ascii="宋体" w:hAnsi="宋体"/>
          <w:color w:val="auto"/>
          <w:highlight w:val="none"/>
          <w:lang w:val="en-US" w:eastAsia="zh-CN"/>
        </w:rPr>
        <w:t xml:space="preserve">0518-83088731</w:t>
      </w:r>
      <w:r/>
    </w:p>
    <w:p>
      <w:pPr>
        <w:ind w:firstLine="480"/>
        <w:jc w:val="left"/>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jc w:val="left"/>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lang w:eastAsia="zh-CN"/>
        </w:rPr>
        <w:t xml:space="preserve">江苏协鸿工程咨询有限公司</w:t>
      </w:r>
      <w:r/>
    </w:p>
    <w:p>
      <w:pPr>
        <w:ind w:firstLine="480"/>
        <w:jc w:val="left"/>
        <w:rPr>
          <w:rFonts w:hint="eastAsia" w:ascii="宋体" w:hAnsi="宋体" w:eastAsia="宋体"/>
          <w:color w:val="auto"/>
          <w:highlight w:val="none"/>
          <w:lang w:eastAsia="zh-CN"/>
        </w:rPr>
      </w:pPr>
      <w:r>
        <w:rPr>
          <w:rFonts w:hint="eastAsia" w:ascii="宋体" w:hAnsi="宋体"/>
          <w:color w:val="auto"/>
          <w:highlight w:val="none"/>
        </w:rPr>
        <w:t xml:space="preserve">地    址：连云港市海州区秦东门大街兴亿达大厦</w:t>
      </w:r>
      <w:r>
        <w:rPr>
          <w:rFonts w:hint="eastAsia" w:ascii="宋体" w:hAnsi="宋体"/>
          <w:color w:val="auto"/>
          <w:highlight w:val="none"/>
          <w:lang w:val="en-US" w:eastAsia="zh-CN"/>
        </w:rPr>
        <w:t xml:space="preserve">西</w:t>
      </w:r>
      <w:r>
        <w:rPr>
          <w:rFonts w:hint="eastAsia" w:ascii="宋体" w:hAnsi="宋体"/>
          <w:color w:val="auto"/>
          <w:highlight w:val="none"/>
          <w:lang w:eastAsia="zh-CN"/>
        </w:rPr>
        <w:t xml:space="preserve">厅14楼</w:t>
      </w:r>
      <w:r/>
    </w:p>
    <w:p>
      <w:pPr>
        <w:ind w:firstLine="480"/>
        <w:jc w:val="left"/>
        <w:rPr>
          <w:rFonts w:hint="eastAsia" w:ascii="宋体" w:hAnsi="宋体" w:eastAsia="宋体"/>
          <w:color w:val="auto"/>
          <w:highlight w:val="none"/>
          <w:lang w:eastAsia="zh-CN"/>
        </w:rPr>
      </w:pPr>
      <w:r>
        <w:rPr>
          <w:rFonts w:hint="eastAsia" w:ascii="宋体" w:hAnsi="宋体"/>
          <w:color w:val="auto"/>
          <w:highlight w:val="none"/>
        </w:rPr>
        <w:t xml:space="preserve">联系方式：</w:t>
      </w:r>
      <w:r>
        <w:rPr>
          <w:rFonts w:hint="eastAsia" w:ascii="宋体" w:hAnsi="宋体" w:cs="宋体"/>
          <w:color w:val="auto"/>
          <w:sz w:val="24"/>
          <w:szCs w:val="28"/>
          <w:highlight w:val="none"/>
        </w:rPr>
        <w:t xml:space="preserve">陈工  </w:t>
      </w:r>
      <w:r>
        <w:rPr>
          <w:rFonts w:hint="eastAsia" w:ascii="宋体" w:hAnsi="宋体" w:eastAsia="宋体" w:cs="宋体"/>
          <w:color w:val="auto"/>
          <w:sz w:val="24"/>
          <w:szCs w:val="28"/>
          <w:highlight w:val="none"/>
          <w:lang w:val="en-US" w:eastAsia="zh-CN"/>
        </w:rPr>
        <w:t xml:space="preserve">0518-82341968</w:t>
      </w:r>
      <w:r/>
    </w:p>
    <w:p>
      <w:pPr>
        <w:ind w:firstLine="480"/>
        <w:jc w:val="left"/>
        <w:rPr>
          <w:rFonts w:hint="eastAsia" w:ascii="宋体" w:hAnsi="宋体"/>
          <w:color w:val="auto"/>
          <w:highlight w:val="none"/>
        </w:rPr>
      </w:pPr>
      <w:r>
        <w:rPr>
          <w:rFonts w:hint="eastAsia" w:ascii="宋体" w:hAnsi="宋体"/>
          <w:color w:val="auto"/>
          <w:highlight w:val="none"/>
        </w:rPr>
        <w:t xml:space="preserve">3、项目联系方式</w:t>
      </w:r>
      <w:r/>
    </w:p>
    <w:p>
      <w:pPr>
        <w:ind w:firstLine="480"/>
        <w:jc w:val="left"/>
        <w:rPr>
          <w:rFonts w:hint="eastAsia" w:ascii="宋体" w:hAnsi="宋体"/>
          <w:color w:val="auto"/>
          <w:highlight w:val="none"/>
        </w:rPr>
      </w:pPr>
      <w:r>
        <w:rPr>
          <w:rFonts w:hint="eastAsia" w:ascii="宋体" w:hAnsi="宋体"/>
          <w:color w:val="auto"/>
          <w:highlight w:val="none"/>
        </w:rPr>
        <w:t xml:space="preserve">项目联系人：</w:t>
      </w:r>
      <w:r>
        <w:rPr>
          <w:rFonts w:hint="eastAsia" w:ascii="宋体" w:hAnsi="宋体" w:cs="宋体"/>
          <w:color w:val="auto"/>
          <w:sz w:val="24"/>
          <w:szCs w:val="28"/>
          <w:highlight w:val="none"/>
        </w:rPr>
        <w:t xml:space="preserve">陈工</w:t>
      </w:r>
      <w:r/>
    </w:p>
    <w:p>
      <w:pPr>
        <w:ind w:firstLine="480"/>
        <w:jc w:val="left"/>
        <w:rPr>
          <w:rFonts w:hint="eastAsia" w:ascii="宋体" w:hAnsi="宋体" w:eastAsia="宋体"/>
          <w:color w:val="auto"/>
          <w:highlight w:val="none"/>
          <w:lang w:eastAsia="zh-CN"/>
        </w:rPr>
      </w:pPr>
      <w:r>
        <w:rPr>
          <w:rFonts w:hint="eastAsia" w:ascii="宋体" w:hAnsi="宋体"/>
          <w:color w:val="auto"/>
          <w:highlight w:val="none"/>
        </w:rPr>
        <w:t xml:space="preserve">联系方式：</w:t>
      </w:r>
      <w:r>
        <w:rPr>
          <w:rFonts w:hint="eastAsia" w:ascii="宋体" w:hAnsi="宋体" w:eastAsia="宋体" w:cs="宋体"/>
          <w:color w:val="auto"/>
          <w:sz w:val="24"/>
          <w:szCs w:val="28"/>
          <w:highlight w:val="none"/>
          <w:lang w:val="en-US" w:eastAsia="zh-CN"/>
        </w:rPr>
        <w:t xml:space="preserve">0518-82341968</w:t>
      </w:r>
      <w:r/>
    </w:p>
    <w:p>
      <w:pPr>
        <w:pStyle w:val="1089"/>
        <w:rPr>
          <w:rFonts w:hint="eastAsia" w:ascii="宋体" w:hAnsi="宋体"/>
          <w:b w:val="0"/>
          <w:bCs w:val="0"/>
          <w:color w:val="auto"/>
          <w:sz w:val="21"/>
          <w:szCs w:val="21"/>
          <w:highlight w:val="none"/>
        </w:rPr>
      </w:pPr>
      <w:r>
        <w:rPr>
          <w:rFonts w:hint="eastAsia" w:ascii="宋体" w:hAnsi="宋体"/>
          <w:color w:val="auto"/>
          <w:sz w:val="28"/>
          <w:szCs w:val="28"/>
          <w:highlight w:val="none"/>
        </w:rPr>
        <w:t xml:space="preserve">八、电子采购说明</w:t>
      </w:r>
      <w:r/>
    </w:p>
    <w:p>
      <w:pPr>
        <w:ind w:firstLine="480"/>
        <w:rPr>
          <w:rFonts w:hint="eastAsia" w:ascii="宋体" w:hAnsi="宋体" w:cs="宋体"/>
          <w:color w:val="auto"/>
          <w:highlight w:val="none"/>
        </w:rPr>
      </w:pPr>
      <w:r>
        <w:rPr>
          <w:rFonts w:hint="eastAsia" w:ascii="宋体" w:hAnsi="宋体" w:cs="宋体"/>
          <w:color w:val="auto"/>
          <w:highlight w:val="none"/>
        </w:rPr>
        <w:t xml:space="preserve">1、根据省财政厅《关</w:t>
      </w:r>
      <w:r>
        <w:rPr>
          <w:rFonts w:hint="eastAsia" w:ascii="宋体" w:hAnsi="宋体" w:cs="宋体"/>
          <w:color w:val="auto"/>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hint="eastAsia" w:ascii="宋体" w:hAnsi="宋体" w:cs="宋体"/>
          <w:color w:val="auto"/>
          <w:highlight w:val="none"/>
        </w:rPr>
      </w:pPr>
      <w:r>
        <w:rPr>
          <w:rFonts w:hint="eastAsia" w:ascii="宋体" w:hAnsi="宋体" w:cs="宋体"/>
          <w:color w:val="auto"/>
          <w:highlight w:val="none"/>
        </w:rPr>
        <w:t xml:space="preserve">领取CA和办理电子签章，具体联系方式见《苏采云系统供应商操作手册》（以下简称《操作手册》）、进行注册并按《操作手册》要求制作、上传电子投标文件。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2、有关本次招标的事项若存在变动或修改，敬请及时关注</w:t>
      </w:r>
      <w:r>
        <w:rPr>
          <w:rFonts w:hint="eastAsia" w:ascii="宋体" w:hAnsi="宋体" w:cs="宋体"/>
          <w:color w:val="auto"/>
          <w:highlight w:val="none"/>
          <w:lang w:eastAsia="zh-CN"/>
        </w:rPr>
        <w:t xml:space="preserve">江苏协鸿工程咨询有限公司</w:t>
      </w:r>
      <w:r>
        <w:rPr>
          <w:rFonts w:hint="eastAsia" w:ascii="宋体" w:hAnsi="宋体" w:cs="宋体"/>
          <w:color w:val="auto"/>
          <w:highlight w:val="none"/>
        </w:rPr>
        <w:t xml:space="preserve">在“江苏政府采购网”发布的更正公告。</w:t>
      </w:r>
      <w:r/>
    </w:p>
    <w:p>
      <w:pPr>
        <w:pStyle w:val="1100"/>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0"/>
        <w:spacing w:after="120" w:line="560" w:lineRule="exact"/>
        <w:rPr>
          <w:rFonts w:hint="eastAsia" w:ascii="宋体" w:hAnsi="宋体" w:cs="宋体"/>
          <w:color w:val="auto"/>
          <w:highlight w:val="none"/>
        </w:rPr>
      </w:pPr>
      <w:r>
        <w:rPr>
          <w:rFonts w:hint="eastAsia" w:ascii="宋体" w:hAnsi="宋体" w:cs="宋体"/>
          <w:color w:val="auto"/>
          <w:highlight w:val="none"/>
        </w:rPr>
      </w:r>
      <w:r/>
    </w:p>
    <w:p>
      <w:pPr>
        <w:pStyle w:val="1088"/>
        <w:rPr>
          <w:rFonts w:hint="eastAsia" w:ascii="宋体" w:hAnsi="宋体" w:cs="宋体"/>
          <w:color w:val="auto"/>
          <w:highlight w:val="none"/>
        </w:rPr>
      </w:pPr>
      <w:r>
        <w:rPr>
          <w:rFonts w:hint="eastAsia" w:ascii="宋体" w:hAnsi="宋体" w:cs="宋体"/>
          <w:color w:val="auto"/>
          <w:highlight w:val="none"/>
        </w:rPr>
        <w:br w:type="page" w:clear="all"/>
      </w:r>
      <w:bookmarkEnd w:id="23"/>
      <w:r/>
      <w:bookmarkEnd w:id="24"/>
      <w:r/>
      <w:bookmarkEnd w:id="25"/>
      <w:r/>
      <w:bookmarkStart w:id="36" w:name="_Toc12345"/>
      <w:r>
        <w:rPr>
          <w:rFonts w:hint="eastAsia" w:ascii="宋体" w:hAnsi="宋体" w:cs="宋体"/>
          <w:color w:val="auto"/>
          <w:highlight w:val="none"/>
        </w:rPr>
        <w:t xml:space="preserve">第二章  磋商须知</w:t>
      </w:r>
      <w:bookmarkEnd w:id="36"/>
      <w:r/>
      <w:r/>
    </w:p>
    <w:p>
      <w:pPr>
        <w:ind w:firstLine="0"/>
        <w:jc w:val="left"/>
        <w:keepLines/>
        <w:keepNext/>
        <w:rPr>
          <w:rFonts w:hint="eastAsia" w:ascii="宋体" w:hAnsi="宋体" w:cs="宋体"/>
          <w:b/>
          <w:bCs/>
          <w:color w:val="auto"/>
          <w:szCs w:val="32"/>
          <w:highlight w:val="none"/>
        </w:rPr>
        <w:outlineLvl w:val="1"/>
      </w:pPr>
      <w:r>
        <w:rPr>
          <w:rFonts w:hint="eastAsia" w:ascii="宋体" w:hAnsi="宋体" w:cs="宋体"/>
          <w:b/>
          <w:bCs/>
          <w:color w:val="auto"/>
          <w:szCs w:val="32"/>
          <w:highlight w:val="none"/>
        </w:rPr>
        <w:t xml:space="preserve">一、总则</w:t>
      </w:r>
      <w:r/>
    </w:p>
    <w:p>
      <w:pPr>
        <w:ind w:firstLine="480"/>
        <w:rPr>
          <w:rFonts w:hint="eastAsia" w:ascii="宋体" w:hAnsi="宋体" w:cs="宋体"/>
          <w:color w:val="auto"/>
          <w:highlight w:val="none"/>
        </w:rPr>
      </w:pPr>
      <w:r>
        <w:rPr>
          <w:rFonts w:hint="eastAsia" w:ascii="宋体" w:hAnsi="宋体" w:cs="宋体"/>
          <w:color w:val="auto"/>
          <w:highlight w:val="none"/>
        </w:rPr>
        <w:t xml:space="preserve">1. 适用</w:t>
      </w:r>
      <w:r>
        <w:rPr>
          <w:rFonts w:hint="eastAsia" w:ascii="宋体" w:hAnsi="宋体" w:cs="宋体"/>
          <w:color w:val="auto"/>
          <w:highlight w:val="none"/>
        </w:rPr>
        <w:t xml:space="preserve">范围</w:t>
      </w:r>
      <w:r/>
    </w:p>
    <w:p>
      <w:pPr>
        <w:ind w:firstLine="480"/>
        <w:rPr>
          <w:rFonts w:hint="eastAsia" w:ascii="宋体" w:hAnsi="宋体" w:cs="宋体"/>
          <w:color w:val="auto"/>
          <w:highlight w:val="none"/>
        </w:rPr>
      </w:pPr>
      <w:r>
        <w:rPr>
          <w:rFonts w:hint="eastAsia" w:ascii="宋体" w:hAnsi="宋体" w:cs="宋体"/>
          <w:color w:val="auto"/>
          <w:highlight w:val="none"/>
        </w:rPr>
        <w:t xml:space="preserve">1.1 本竞争性磋商文件（以下简称磋商文件）仅适用此项目。</w:t>
      </w:r>
      <w:r/>
    </w:p>
    <w:p>
      <w:pPr>
        <w:ind w:firstLine="480"/>
        <w:rPr>
          <w:rFonts w:hint="eastAsia" w:ascii="宋体" w:hAnsi="宋体" w:cs="宋体"/>
          <w:color w:val="auto"/>
          <w:highlight w:val="none"/>
        </w:rPr>
      </w:pPr>
      <w:r>
        <w:rPr>
          <w:rFonts w:hint="eastAsia" w:ascii="宋体" w:hAnsi="宋体" w:cs="宋体"/>
          <w:color w:val="auto"/>
          <w:highlight w:val="none"/>
        </w:rPr>
        <w:t xml:space="preserve">1.2 本项目按照项目分包，分别确定各分包成交供应商。</w:t>
      </w:r>
      <w:r/>
    </w:p>
    <w:p>
      <w:pPr>
        <w:ind w:firstLine="480"/>
        <w:rPr>
          <w:rFonts w:hint="eastAsia" w:ascii="宋体" w:hAnsi="宋体" w:cs="宋体"/>
          <w:color w:val="auto"/>
          <w:highlight w:val="none"/>
        </w:rPr>
      </w:pPr>
      <w:r>
        <w:rPr>
          <w:rFonts w:hint="eastAsia" w:ascii="宋体" w:hAnsi="宋体" w:cs="宋体"/>
          <w:color w:val="auto"/>
          <w:highlight w:val="none"/>
        </w:rPr>
        <w:t xml:space="preserve">2. 项目采购方式</w:t>
      </w:r>
      <w:r/>
    </w:p>
    <w:p>
      <w:pPr>
        <w:ind w:firstLine="480"/>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80"/>
        <w:rPr>
          <w:rFonts w:hint="eastAsia" w:ascii="宋体" w:hAnsi="宋体" w:cs="宋体"/>
          <w:color w:val="auto"/>
          <w:highlight w:val="none"/>
        </w:rPr>
      </w:pPr>
      <w:r>
        <w:rPr>
          <w:rFonts w:hint="eastAsia" w:ascii="宋体" w:hAnsi="宋体" w:cs="宋体"/>
          <w:color w:val="auto"/>
          <w:highlight w:val="none"/>
        </w:rPr>
        <w:t xml:space="preserve">3. 合格的磋商供应商</w:t>
      </w:r>
      <w:r/>
    </w:p>
    <w:p>
      <w:pPr>
        <w:ind w:firstLine="480"/>
        <w:rPr>
          <w:rFonts w:hint="eastAsia" w:ascii="宋体" w:hAnsi="宋体" w:cs="宋体"/>
          <w:color w:val="auto"/>
          <w:highlight w:val="none"/>
        </w:rPr>
      </w:pPr>
      <w:r>
        <w:rPr>
          <w:rFonts w:hint="eastAsia" w:ascii="宋体" w:hAnsi="宋体" w:cs="宋体"/>
          <w:color w:val="auto"/>
          <w:highlight w:val="none"/>
        </w:rPr>
        <w:t xml:space="preserve">3.1 满足本磋商文件“</w:t>
      </w:r>
      <w:r>
        <w:rPr>
          <w:rFonts w:hint="eastAsia" w:ascii="宋体" w:hAnsi="宋体" w:cs="宋体"/>
          <w:color w:val="auto"/>
          <w:highlight w:val="none"/>
          <w:lang w:eastAsia="zh-CN"/>
        </w:rPr>
        <w:t xml:space="preserve">竞争性磋商公告</w:t>
      </w:r>
      <w:r>
        <w:rPr>
          <w:rFonts w:hint="eastAsia" w:ascii="宋体" w:hAnsi="宋体" w:cs="宋体"/>
          <w:color w:val="auto"/>
          <w:highlight w:val="none"/>
        </w:rPr>
        <w:t xml:space="preserve">”中合格磋商供应商资格要求的规定。</w:t>
      </w:r>
      <w:r/>
    </w:p>
    <w:p>
      <w:pPr>
        <w:ind w:firstLine="480"/>
        <w:rPr>
          <w:rFonts w:hint="eastAsia" w:ascii="宋体" w:hAnsi="宋体" w:cs="宋体"/>
          <w:color w:val="auto"/>
          <w:highlight w:val="none"/>
        </w:rPr>
      </w:pPr>
      <w:r>
        <w:rPr>
          <w:rFonts w:hint="eastAsia" w:ascii="宋体" w:hAnsi="宋体" w:cs="宋体"/>
          <w:color w:val="auto"/>
          <w:highlight w:val="none"/>
        </w:rPr>
        <w:t xml:space="preserve">3.2 满足本磋商文件实质性要求和条件的规定。</w:t>
      </w:r>
      <w:r/>
    </w:p>
    <w:p>
      <w:pPr>
        <w:ind w:firstLine="480"/>
        <w:rPr>
          <w:rFonts w:hint="eastAsia" w:ascii="宋体" w:hAnsi="宋体" w:cs="宋体"/>
          <w:color w:val="auto"/>
          <w:highlight w:val="none"/>
        </w:rPr>
      </w:pPr>
      <w:r>
        <w:rPr>
          <w:rFonts w:hint="eastAsia" w:ascii="宋体" w:hAnsi="宋体" w:cs="宋体"/>
          <w:color w:val="auto"/>
          <w:highlight w:val="none"/>
        </w:rPr>
        <w:t xml:space="preserve">4. 参加磋商费用</w:t>
      </w:r>
      <w:r/>
    </w:p>
    <w:p>
      <w:pPr>
        <w:ind w:firstLine="480"/>
        <w:rPr>
          <w:rFonts w:hint="eastAsia" w:ascii="宋体" w:hAnsi="宋体" w:cs="宋体"/>
          <w:color w:val="auto"/>
          <w:highlight w:val="none"/>
        </w:rPr>
      </w:pPr>
      <w:r>
        <w:rPr>
          <w:rFonts w:hint="eastAsia" w:ascii="宋体" w:hAnsi="宋体" w:cs="宋体"/>
          <w:color w:val="auto"/>
          <w:highlight w:val="none"/>
        </w:rPr>
        <w:t xml:space="preserve">4.1 参加磋商供应商应自行承担所有与参加磋商有关的费用。不论最终的成交结果如何，</w:t>
      </w:r>
      <w:r>
        <w:rPr>
          <w:rFonts w:hint="eastAsia" w:ascii="宋体" w:hAnsi="宋体" w:cs="宋体"/>
          <w:color w:val="auto"/>
          <w:highlight w:val="none"/>
          <w:lang w:eastAsia="zh-CN"/>
        </w:rPr>
        <w:t xml:space="preserve">江苏协鸿工程咨询有限公司</w:t>
      </w:r>
      <w:r>
        <w:rPr>
          <w:rFonts w:hint="eastAsia" w:ascii="宋体" w:hAnsi="宋体" w:cs="宋体"/>
          <w:color w:val="auto"/>
          <w:highlight w:val="none"/>
        </w:rPr>
        <w:t xml:space="preserve">（以下简称代理机构）在任何情况下均无义务和责任承担这些费用。</w:t>
      </w:r>
      <w:r/>
    </w:p>
    <w:p>
      <w:pPr>
        <w:ind w:firstLine="480"/>
        <w:rPr>
          <w:rFonts w:hint="eastAsia" w:ascii="宋体" w:hAnsi="宋体" w:cs="宋体"/>
          <w:color w:val="auto"/>
          <w:highlight w:val="none"/>
        </w:rPr>
      </w:pPr>
      <w:r>
        <w:rPr>
          <w:rFonts w:hint="eastAsia" w:ascii="宋体" w:hAnsi="宋体" w:cs="宋体"/>
          <w:color w:val="auto"/>
          <w:highlight w:val="none"/>
        </w:rPr>
        <w:t xml:space="preserve">4.2本项目招标代理服务费根据国家计委关于印发《招标代理服务收费管理暂行办法》的通知(计价格[2002]1980号)收费标准的</w:t>
      </w:r>
      <w:r>
        <w:rPr>
          <w:rFonts w:hint="eastAsia" w:ascii="宋体" w:hAnsi="宋体" w:cs="宋体"/>
          <w:color w:val="auto"/>
          <w:highlight w:val="none"/>
          <w:lang w:val="en-US" w:eastAsia="zh-CN"/>
        </w:rPr>
        <w:t xml:space="preserve">53.6</w:t>
      </w:r>
      <w:r>
        <w:rPr>
          <w:rFonts w:hint="eastAsia" w:ascii="宋体" w:hAnsi="宋体" w:cs="宋体"/>
          <w:color w:val="auto"/>
          <w:highlight w:val="none"/>
        </w:rPr>
        <w:t xml:space="preserve">%收取，</w:t>
      </w:r>
      <w:r>
        <w:rPr>
          <w:rFonts w:hint="eastAsia" w:ascii="宋体" w:hAnsi="宋体" w:cs="宋体"/>
          <w:color w:val="auto"/>
          <w:szCs w:val="21"/>
          <w:highlight w:val="none"/>
          <w:lang w:val="en-US" w:eastAsia="zh-CN"/>
        </w:rPr>
        <w:t xml:space="preserve">最高投标限价编制费按《省物价局省住房和城乡建设厅关于规范工程造价咨询服务收费标准及有关事项的通知》（苏价服</w:t>
      </w:r>
      <w:r>
        <w:rPr>
          <w:rFonts w:hint="eastAsia" w:ascii="宋体" w:hAnsi="宋体" w:cs="宋体"/>
          <w:color w:val="auto"/>
          <w:szCs w:val="21"/>
          <w:highlight w:val="none"/>
          <w:lang w:eastAsia="zh-CN"/>
        </w:rPr>
        <w:t xml:space="preserve">〔20</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383号）</w:t>
      </w:r>
      <w:r>
        <w:rPr>
          <w:rFonts w:hint="eastAsia" w:ascii="宋体" w:hAnsi="宋体" w:cs="宋体"/>
          <w:color w:val="auto"/>
          <w:highlight w:val="none"/>
        </w:rPr>
        <w:t xml:space="preserve">收费标准的</w:t>
      </w:r>
      <w:r>
        <w:rPr>
          <w:rFonts w:hint="eastAsia" w:ascii="宋体" w:hAnsi="宋体" w:cs="宋体"/>
          <w:color w:val="auto"/>
          <w:highlight w:val="none"/>
          <w:lang w:val="en-US" w:eastAsia="zh-CN"/>
        </w:rPr>
        <w:t xml:space="preserve">53.6%计</w:t>
      </w:r>
      <w:r>
        <w:rPr>
          <w:rFonts w:hint="eastAsia" w:ascii="宋体" w:hAnsi="宋体" w:cs="宋体"/>
          <w:color w:val="auto"/>
          <w:highlight w:val="none"/>
        </w:rPr>
        <w:t xml:space="preserve">取</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由成交人支付。</w:t>
      </w:r>
      <w:r/>
    </w:p>
    <w:p>
      <w:pPr>
        <w:ind w:firstLine="480"/>
        <w:rPr>
          <w:rFonts w:hint="eastAsia" w:ascii="宋体" w:hAnsi="宋体" w:cs="宋体"/>
          <w:color w:val="auto"/>
          <w:highlight w:val="none"/>
        </w:rPr>
      </w:pPr>
      <w:r>
        <w:rPr>
          <w:rFonts w:hint="eastAsia" w:ascii="宋体" w:hAnsi="宋体" w:cs="宋体"/>
          <w:color w:val="auto"/>
          <w:highlight w:val="none"/>
        </w:rPr>
        <w:t xml:space="preserve">5. 磋商文件的约束力</w:t>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bookmarkStart w:id="37" w:name="_Toc462564070"/>
      <w:r/>
      <w:bookmarkStart w:id="38" w:name="_Toc20823283"/>
      <w:r/>
      <w:bookmarkStart w:id="39" w:name="_Toc16938527"/>
      <w:r/>
      <w:bookmarkStart w:id="40" w:name="_Toc513029211"/>
      <w:r>
        <w:rPr>
          <w:rFonts w:hint="eastAsia" w:ascii="宋体" w:hAnsi="宋体" w:cs="宋体"/>
          <w:color w:val="auto"/>
          <w:highlight w:val="none"/>
        </w:rPr>
        <w:t xml:space="preserve">. 磋商文件的</w:t>
      </w:r>
      <w:bookmarkEnd w:id="37"/>
      <w:r/>
      <w:bookmarkEnd w:id="38"/>
      <w:r/>
      <w:bookmarkEnd w:id="39"/>
      <w:r/>
      <w:bookmarkEnd w:id="40"/>
      <w:r>
        <w:rPr>
          <w:rFonts w:hint="eastAsia" w:ascii="宋体" w:hAnsi="宋体" w:cs="宋体"/>
          <w:color w:val="auto"/>
          <w:highlight w:val="none"/>
        </w:rPr>
        <w:t xml:space="preserve">询问及修改</w:t>
      </w:r>
      <w:r/>
    </w:p>
    <w:p>
      <w:pPr>
        <w:ind w:firstLine="480"/>
        <w:rPr>
          <w:rFonts w:hint="eastAsia" w:ascii="宋体" w:hAnsi="宋体" w:cs="宋体"/>
          <w:color w:val="auto"/>
          <w:highlight w:val="none"/>
        </w:rPr>
      </w:pPr>
      <w:r>
        <w:rPr>
          <w:rFonts w:hint="eastAsia" w:ascii="宋体" w:hAnsi="宋体" w:cs="宋体"/>
          <w:color w:val="auto"/>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7. 磋商文件的解释</w:t>
      </w:r>
      <w:r/>
    </w:p>
    <w:p>
      <w:pPr>
        <w:ind w:firstLine="480"/>
        <w:rPr>
          <w:rFonts w:hint="eastAsia" w:ascii="宋体" w:hAnsi="宋体" w:cs="宋体"/>
          <w:color w:val="auto"/>
          <w:highlight w:val="none"/>
        </w:rPr>
      </w:pPr>
      <w:r>
        <w:rPr>
          <w:rFonts w:hint="eastAsia" w:ascii="宋体" w:hAnsi="宋体" w:cs="宋体"/>
          <w:color w:val="auto"/>
          <w:highlight w:val="none"/>
        </w:rPr>
        <w:t xml:space="preserve">7.1 本磋商文件由</w:t>
      </w:r>
      <w:r>
        <w:rPr>
          <w:rFonts w:hint="eastAsia" w:ascii="宋体" w:hAnsi="宋体" w:cs="宋体"/>
          <w:color w:val="auto"/>
          <w:highlight w:val="none"/>
          <w:lang w:eastAsia="zh-CN"/>
        </w:rPr>
        <w:t xml:space="preserve">江苏协鸿工程咨询有限公司</w:t>
      </w:r>
      <w:r>
        <w:rPr>
          <w:rFonts w:hint="eastAsia" w:ascii="宋体" w:hAnsi="宋体" w:cs="宋体"/>
          <w:color w:val="auto"/>
          <w:highlight w:val="none"/>
        </w:rPr>
        <w:t xml:space="preserve">负责解释。</w:t>
      </w:r>
      <w:r/>
    </w:p>
    <w:p>
      <w:pPr>
        <w:ind w:firstLine="0"/>
        <w:jc w:val="left"/>
        <w:keepLines/>
        <w:keepNext/>
        <w:rPr>
          <w:rFonts w:hint="eastAsia" w:ascii="宋体" w:hAnsi="宋体" w:cs="宋体"/>
          <w:b/>
          <w:bCs/>
          <w:color w:val="auto"/>
          <w:szCs w:val="32"/>
          <w:highlight w:val="none"/>
        </w:rPr>
        <w:outlineLvl w:val="1"/>
      </w:pPr>
      <w:r/>
      <w:bookmarkStart w:id="41" w:name="_Hlt26668969"/>
      <w:r/>
      <w:bookmarkEnd w:id="41"/>
      <w:r/>
      <w:bookmarkStart w:id="42" w:name="_Hlt26670354"/>
      <w:r/>
      <w:bookmarkEnd w:id="42"/>
      <w:r/>
      <w:bookmarkStart w:id="43" w:name="_Hlt26954832"/>
      <w:r/>
      <w:bookmarkEnd w:id="43"/>
      <w:r/>
      <w:bookmarkStart w:id="44" w:name="_Hlt26954828"/>
      <w:r/>
      <w:bookmarkEnd w:id="44"/>
      <w:r/>
      <w:bookmarkStart w:id="45" w:name="_Hlt26670348"/>
      <w:r/>
      <w:bookmarkEnd w:id="45"/>
      <w:r/>
      <w:bookmarkStart w:id="46" w:name="_Hlt26670345"/>
      <w:r/>
      <w:bookmarkEnd w:id="46"/>
      <w:r/>
      <w:bookmarkStart w:id="47" w:name="_Hlt26954830"/>
      <w:r/>
      <w:bookmarkEnd w:id="47"/>
      <w:r/>
      <w:bookmarkStart w:id="48" w:name="_Toc462564072"/>
      <w:r/>
      <w:bookmarkStart w:id="49" w:name="_Toc61149553"/>
      <w:r/>
      <w:bookmarkStart w:id="50" w:name="_Toc513029213"/>
      <w:r/>
      <w:bookmarkStart w:id="51" w:name="_Toc14577351"/>
      <w:r>
        <w:rPr>
          <w:rFonts w:hint="eastAsia" w:ascii="宋体" w:hAnsi="宋体" w:cs="宋体"/>
          <w:b/>
          <w:bCs/>
          <w:color w:val="auto"/>
          <w:szCs w:val="32"/>
          <w:highlight w:val="none"/>
        </w:rPr>
        <w:t xml:space="preserve">二、响应文件的编制</w:t>
      </w:r>
      <w:bookmarkEnd w:id="48"/>
      <w:r/>
      <w:bookmarkEnd w:id="49"/>
      <w:r/>
      <w:bookmarkEnd w:id="50"/>
      <w:r/>
      <w:bookmarkEnd w:id="51"/>
      <w:r/>
      <w:bookmarkStart w:id="52" w:name="_Toc14577361"/>
      <w:r/>
      <w:bookmarkStart w:id="53" w:name="_Toc61149561"/>
      <w:r/>
      <w:bookmarkStart w:id="54" w:name="_Toc513029223"/>
      <w:r/>
      <w:bookmarkEnd w:id="52"/>
      <w:r/>
      <w:bookmarkEnd w:id="53"/>
      <w:r/>
      <w:bookmarkEnd w:id="54"/>
      <w:r/>
      <w:r/>
    </w:p>
    <w:p>
      <w:pPr>
        <w:ind w:firstLine="480"/>
        <w:rPr>
          <w:rFonts w:hint="eastAsia" w:ascii="宋体" w:hAnsi="宋体" w:cs="宋体"/>
          <w:color w:val="auto"/>
          <w:highlight w:val="none"/>
        </w:rPr>
      </w:pPr>
      <w:r/>
      <w:bookmarkStart w:id="55" w:name="_Hlt26954834"/>
      <w:r/>
      <w:bookmarkEnd w:id="55"/>
      <w:r/>
      <w:bookmarkStart w:id="56" w:name="_Toc14577353"/>
      <w:r/>
      <w:bookmarkStart w:id="57" w:name="_Toc513029215"/>
      <w:r/>
      <w:bookmarkStart w:id="58" w:name="_Toc61149555"/>
      <w:r/>
      <w:bookmarkStart w:id="59" w:name="_Toc462564074"/>
      <w:r/>
      <w:bookmarkStart w:id="60" w:name="_Toc513029214"/>
      <w:r/>
      <w:bookmarkStart w:id="61" w:name="_Toc14577352"/>
      <w:r/>
      <w:bookmarkStart w:id="62" w:name="_Toc61149554"/>
      <w:r/>
      <w:bookmarkStart w:id="63" w:name="_Toc462564073"/>
      <w:r>
        <w:rPr>
          <w:rFonts w:hint="eastAsia" w:ascii="宋体" w:hAnsi="宋体" w:cs="宋体"/>
          <w:color w:val="auto"/>
          <w:highlight w:val="none"/>
        </w:rPr>
        <w:t xml:space="preserve">1. 响应文件</w:t>
      </w:r>
      <w:bookmarkEnd w:id="56"/>
      <w:r/>
      <w:bookmarkEnd w:id="57"/>
      <w:r/>
      <w:bookmarkEnd w:id="58"/>
      <w:r/>
      <w:bookmarkEnd w:id="59"/>
      <w:r>
        <w:rPr>
          <w:rFonts w:hint="eastAsia" w:ascii="宋体" w:hAnsi="宋体" w:cs="宋体"/>
          <w:color w:val="auto"/>
          <w:highlight w:val="none"/>
        </w:rPr>
        <w:t xml:space="preserve">编制要求</w:t>
      </w:r>
      <w:bookmarkEnd w:id="60"/>
      <w:r/>
      <w:bookmarkEnd w:id="61"/>
      <w:r/>
      <w:bookmarkEnd w:id="62"/>
      <w:r/>
      <w:bookmarkEnd w:id="63"/>
      <w:r/>
      <w:r/>
    </w:p>
    <w:p>
      <w:pPr>
        <w:ind w:firstLine="480"/>
        <w:rPr>
          <w:rFonts w:hint="eastAsia" w:ascii="宋体" w:hAnsi="宋体" w:cs="宋体"/>
          <w:color w:val="auto"/>
          <w:highlight w:val="none"/>
        </w:rPr>
      </w:pPr>
      <w:r>
        <w:rPr>
          <w:rFonts w:hint="eastAsia" w:ascii="宋体" w:hAnsi="宋体" w:cs="宋体"/>
          <w:color w:val="auto"/>
          <w:highlight w:val="none"/>
        </w:rPr>
        <w:t xml:space="preserve">1.1 磋商供应商应仔细阅读磋商文件的所有内容，按照磋商文件的要求编制电子响应文件。响应文件应当对磋商文件提出的要求和条件作出明确响应，并保证所提供的全部资料的真实性，</w:t>
      </w:r>
      <w:r>
        <w:rPr>
          <w:rFonts w:hint="eastAsia" w:ascii="宋体" w:hAnsi="宋体" w:cs="宋体"/>
          <w:b/>
          <w:color w:val="auto"/>
          <w:highlight w:val="none"/>
        </w:rPr>
        <w:t xml:space="preserve">否则作无效响应处理</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1.2 电子响应文件不得涂改、行间插字或删除，如出现上述情况应重新编制。</w:t>
      </w:r>
      <w:r/>
    </w:p>
    <w:p>
      <w:pPr>
        <w:ind w:firstLine="480"/>
        <w:rPr>
          <w:rFonts w:hint="eastAsia" w:ascii="宋体" w:hAnsi="宋体" w:cs="宋体"/>
          <w:color w:val="auto"/>
          <w:highlight w:val="none"/>
        </w:rPr>
      </w:pPr>
      <w:r>
        <w:rPr>
          <w:rFonts w:hint="eastAsia" w:ascii="宋体" w:hAnsi="宋体" w:cs="宋体"/>
          <w:color w:val="auto"/>
          <w:highlight w:val="none"/>
        </w:rPr>
        <w:t xml:space="preserve">1.3 磋商供应商提交的响应文件以及磋商供应商与代理机构及采购人就有关磋商的所有来往函电均应使用简体中文。磋商文件中既有中文也有外文的，以中文意义为准。</w:t>
      </w:r>
      <w:r/>
    </w:p>
    <w:p>
      <w:pPr>
        <w:ind w:firstLine="480"/>
        <w:rPr>
          <w:rFonts w:hint="eastAsia" w:ascii="宋体" w:hAnsi="宋体" w:cs="宋体"/>
          <w:color w:val="auto"/>
          <w:highlight w:val="none"/>
        </w:rPr>
      </w:pPr>
      <w:r>
        <w:rPr>
          <w:rFonts w:hint="eastAsia" w:ascii="宋体" w:hAnsi="宋体" w:cs="宋体"/>
          <w:color w:val="auto"/>
          <w:highlight w:val="none"/>
        </w:rPr>
        <w:t xml:space="preserve">1.4 除技术性能另有规定外，响应文件所使用的度量衡单位，均须采用国家法定计量单位。</w:t>
      </w:r>
      <w:r/>
    </w:p>
    <w:p>
      <w:pPr>
        <w:ind w:firstLine="480"/>
        <w:rPr>
          <w:rFonts w:hint="eastAsia" w:ascii="宋体" w:hAnsi="宋体" w:cs="宋体"/>
          <w:color w:val="auto"/>
          <w:highlight w:val="none"/>
        </w:rPr>
      </w:pPr>
      <w:r/>
      <w:bookmarkStart w:id="64" w:name="_Hlt26670357"/>
      <w:r/>
      <w:bookmarkEnd w:id="64"/>
      <w:r/>
      <w:bookmarkStart w:id="65" w:name="_Hlt26954836"/>
      <w:r/>
      <w:bookmarkEnd w:id="65"/>
      <w:r/>
      <w:bookmarkStart w:id="66" w:name="_Toc14577357"/>
      <w:r/>
      <w:bookmarkStart w:id="67" w:name="_Toc513029219"/>
      <w:r/>
      <w:bookmarkStart w:id="68" w:name="_Toc61149558"/>
      <w:r/>
      <w:bookmarkStart w:id="69" w:name="_Toc14577355"/>
      <w:r/>
      <w:bookmarkStart w:id="70" w:name="_Toc513029217"/>
      <w:r/>
      <w:bookmarkStart w:id="71" w:name="_Toc61149557"/>
      <w:r>
        <w:rPr>
          <w:rFonts w:hint="eastAsia" w:ascii="宋体" w:hAnsi="宋体" w:cs="宋体"/>
          <w:color w:val="auto"/>
          <w:highlight w:val="none"/>
        </w:rPr>
        <w:t xml:space="preserve">2. 参加磋商供应商资格的文件</w:t>
      </w:r>
      <w:bookmarkEnd w:id="66"/>
      <w:r/>
      <w:bookmarkEnd w:id="67"/>
      <w:r/>
      <w:bookmarkEnd w:id="68"/>
      <w:r>
        <w:rPr>
          <w:rFonts w:hint="eastAsia" w:ascii="宋体" w:hAnsi="宋体" w:cs="宋体"/>
          <w:color w:val="auto"/>
          <w:highlight w:val="none"/>
        </w:rPr>
        <w:t xml:space="preserve">证明</w:t>
      </w:r>
      <w:r/>
    </w:p>
    <w:p>
      <w:pPr>
        <w:ind w:firstLine="480"/>
        <w:rPr>
          <w:rFonts w:hint="eastAsia" w:ascii="宋体" w:hAnsi="宋体" w:cs="宋体"/>
          <w:color w:val="auto"/>
          <w:highlight w:val="none"/>
        </w:rPr>
      </w:pPr>
      <w:r/>
      <w:bookmarkStart w:id="72" w:name="_Hlt26668999"/>
      <w:r/>
      <w:bookmarkEnd w:id="72"/>
      <w:r>
        <w:rPr>
          <w:rFonts w:hint="eastAsia" w:ascii="宋体" w:hAnsi="宋体" w:cs="宋体"/>
          <w:color w:val="auto"/>
          <w:highlight w:val="none"/>
        </w:rPr>
        <w:t xml:space="preserve">2.1 磋商供应商应提交证明其有资格参加磋商和成交后有能力独立履行合同的文件，并作为其响应文件的一部分。</w:t>
      </w:r>
      <w:r/>
    </w:p>
    <w:p>
      <w:pPr>
        <w:ind w:firstLine="480"/>
        <w:rPr>
          <w:rFonts w:hint="eastAsia" w:ascii="宋体" w:hAnsi="宋体" w:cs="宋体"/>
          <w:color w:val="auto"/>
          <w:highlight w:val="none"/>
        </w:rPr>
      </w:pPr>
      <w:r>
        <w:rPr>
          <w:rFonts w:hint="eastAsia" w:ascii="宋体" w:hAnsi="宋体" w:cs="宋体"/>
          <w:color w:val="auto"/>
          <w:highlight w:val="none"/>
        </w:rPr>
        <w:t xml:space="preserve">2.2 磋商供应商除必须具有履行合同所需提供的设备以及服务的能力外，还必须具备相应的财务、技术方面的能力。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2.3 磋商供应商应填写并提交磋商文件所附的“资格证明文件”。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3. 磋商响应报价</w:t>
      </w:r>
      <w:bookmarkEnd w:id="69"/>
      <w:r/>
      <w:bookmarkEnd w:id="70"/>
      <w:r/>
      <w:bookmarkStart w:id="73" w:name="_Hlt26670373"/>
      <w:r/>
      <w:bookmarkEnd w:id="73"/>
      <w:r>
        <w:rPr>
          <w:rFonts w:hint="eastAsia" w:ascii="宋体" w:hAnsi="宋体" w:cs="宋体"/>
          <w:color w:val="auto"/>
          <w:highlight w:val="none"/>
        </w:rPr>
        <w:t xml:space="preserve">表</w:t>
      </w:r>
      <w:bookmarkEnd w:id="71"/>
      <w:r/>
      <w:r/>
    </w:p>
    <w:p>
      <w:pPr>
        <w:ind w:firstLine="480"/>
        <w:rPr>
          <w:rFonts w:hint="eastAsia" w:ascii="宋体" w:hAnsi="宋体" w:cs="宋体"/>
          <w:color w:val="auto"/>
          <w:highlight w:val="none"/>
        </w:rPr>
      </w:pPr>
      <w:r>
        <w:rPr>
          <w:rFonts w:hint="eastAsia" w:ascii="宋体" w:hAnsi="宋体" w:cs="宋体"/>
          <w:color w:val="auto"/>
          <w:highlight w:val="none"/>
        </w:rPr>
        <w:t xml:space="preserve">3.1 磋商供应商应按照磋商文件规定格式填报磋商响应报价表（含分项报价）。每项产品或服务只允许有一个报价，任何有选择的报价将不予接受，磋商文件中另有规定的按规定执行。</w:t>
      </w:r>
      <w:r/>
    </w:p>
    <w:p>
      <w:pPr>
        <w:ind w:firstLine="480"/>
        <w:rPr>
          <w:rFonts w:hint="eastAsia" w:ascii="宋体" w:hAnsi="宋体" w:cs="宋体"/>
          <w:color w:val="auto"/>
          <w:highlight w:val="none"/>
        </w:rPr>
      </w:pPr>
      <w:r>
        <w:rPr>
          <w:rFonts w:hint="eastAsia" w:ascii="宋体" w:hAnsi="宋体" w:cs="宋体"/>
          <w:color w:val="auto"/>
          <w:highlight w:val="none"/>
        </w:rPr>
        <w:t xml:space="preserve">3.2 标的物</w:t>
      </w:r>
      <w:r/>
    </w:p>
    <w:p>
      <w:pPr>
        <w:ind w:firstLine="480"/>
        <w:rPr>
          <w:rFonts w:hint="eastAsia" w:ascii="宋体" w:hAnsi="宋体" w:cs="宋体"/>
          <w:color w:val="auto"/>
          <w:highlight w:val="none"/>
        </w:rPr>
      </w:pPr>
      <w:r>
        <w:rPr>
          <w:rFonts w:hint="eastAsia" w:ascii="宋体" w:hAnsi="宋体" w:cs="宋体"/>
          <w:color w:val="auto"/>
          <w:highlight w:val="none"/>
        </w:rPr>
        <w:t xml:space="preserve">详见项目需求、工程量清单。</w:t>
      </w:r>
      <w:r/>
    </w:p>
    <w:p>
      <w:pPr>
        <w:ind w:firstLine="480"/>
        <w:rPr>
          <w:rFonts w:hint="eastAsia" w:ascii="宋体" w:hAnsi="宋体" w:cs="宋体"/>
          <w:color w:val="auto"/>
          <w:highlight w:val="none"/>
        </w:rPr>
      </w:pPr>
      <w:r>
        <w:rPr>
          <w:rFonts w:hint="eastAsia" w:ascii="宋体" w:hAnsi="宋体" w:cs="宋体"/>
          <w:color w:val="auto"/>
          <w:highlight w:val="none"/>
        </w:rPr>
        <w:t xml:space="preserve">3.3 有关费用处理</w:t>
      </w:r>
      <w:r/>
    </w:p>
    <w:p>
      <w:pPr>
        <w:ind w:firstLine="480"/>
        <w:rPr>
          <w:rFonts w:hint="eastAsia" w:ascii="宋体" w:hAnsi="宋体" w:cs="宋体"/>
          <w:color w:val="auto"/>
          <w:highlight w:val="none"/>
        </w:rPr>
      </w:pPr>
      <w:r>
        <w:rPr>
          <w:rFonts w:hint="eastAsia" w:ascii="宋体" w:hAnsi="宋体" w:cs="宋体"/>
          <w:color w:val="auto"/>
          <w:highlight w:val="none"/>
        </w:rPr>
        <w:t xml:space="preserve">本次采购磋商供应商的总报价应包括为完成本项目发生的所有费用，本磋商文件中另有规定的除外。</w:t>
      </w:r>
      <w:r/>
    </w:p>
    <w:p>
      <w:pPr>
        <w:ind w:firstLine="480"/>
        <w:rPr>
          <w:rFonts w:hint="eastAsia" w:ascii="宋体" w:hAnsi="宋体" w:cs="宋体"/>
          <w:color w:val="auto"/>
          <w:highlight w:val="none"/>
        </w:rPr>
      </w:pPr>
      <w:r>
        <w:rPr>
          <w:rFonts w:hint="eastAsia" w:ascii="宋体" w:hAnsi="宋体" w:cs="宋体"/>
          <w:color w:val="auto"/>
          <w:highlight w:val="none"/>
        </w:rPr>
        <w:t xml:space="preserve">3.4 其他费用处理</w:t>
      </w:r>
      <w:r/>
    </w:p>
    <w:p>
      <w:pPr>
        <w:ind w:firstLine="480"/>
        <w:rPr>
          <w:rFonts w:hint="eastAsia" w:ascii="宋体" w:hAnsi="宋体" w:cs="宋体"/>
          <w:color w:val="auto"/>
          <w:highlight w:val="none"/>
        </w:rPr>
      </w:pPr>
      <w:r>
        <w:rPr>
          <w:rFonts w:hint="eastAsia" w:ascii="宋体" w:hAnsi="宋体" w:cs="宋体"/>
          <w:color w:val="auto"/>
          <w:highlight w:val="none"/>
        </w:rPr>
        <w:t xml:space="preserve">磋商文件未列明，而磋商供应商认为必需的费用也须列入报价。</w:t>
      </w:r>
      <w:r/>
    </w:p>
    <w:p>
      <w:pPr>
        <w:ind w:firstLine="480"/>
        <w:rPr>
          <w:rFonts w:hint="eastAsia" w:ascii="宋体" w:hAnsi="宋体" w:cs="宋体"/>
          <w:color w:val="auto"/>
          <w:highlight w:val="none"/>
        </w:rPr>
      </w:pPr>
      <w:r>
        <w:rPr>
          <w:rFonts w:hint="eastAsia" w:ascii="宋体" w:hAnsi="宋体" w:cs="宋体"/>
          <w:color w:val="auto"/>
          <w:highlight w:val="none"/>
        </w:rPr>
        <w:t xml:space="preserve">3.5 报价采用的货币</w:t>
      </w:r>
      <w:r/>
    </w:p>
    <w:p>
      <w:pPr>
        <w:ind w:firstLine="480"/>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响应文件中的单价和总价，无特殊规定的采用人民币报价，以元为单位标注。磋商文件中另有规定的按规定执行。</w:t>
      </w:r>
      <w:r/>
    </w:p>
    <w:p>
      <w:pPr>
        <w:ind w:firstLine="480"/>
        <w:rPr>
          <w:rFonts w:hint="eastAsia" w:ascii="宋体" w:hAnsi="宋体" w:cs="宋体"/>
          <w:color w:val="auto"/>
          <w:highlight w:val="none"/>
        </w:rPr>
      </w:pPr>
      <w:r>
        <w:rPr>
          <w:rFonts w:hint="eastAsia" w:ascii="宋体" w:hAnsi="宋体" w:cs="宋体"/>
          <w:color w:val="auto"/>
          <w:highlight w:val="none"/>
        </w:rPr>
        <w:t xml:space="preserve">3.6 磋商响应报价表上的价格应按磋商文件规定填写。</w:t>
      </w:r>
      <w:r/>
    </w:p>
    <w:p>
      <w:pPr>
        <w:ind w:firstLine="480"/>
        <w:rPr>
          <w:rFonts w:hint="eastAsia" w:ascii="宋体" w:hAnsi="宋体" w:cs="宋体"/>
          <w:color w:val="auto"/>
          <w:highlight w:val="none"/>
        </w:rPr>
      </w:pPr>
      <w:r/>
      <w:bookmarkStart w:id="74" w:name="_Hlt26670403"/>
      <w:r/>
      <w:bookmarkEnd w:id="74"/>
      <w:r/>
      <w:bookmarkStart w:id="75" w:name="_Hlt26954731"/>
      <w:r/>
      <w:bookmarkEnd w:id="75"/>
      <w:r/>
      <w:bookmarkStart w:id="76" w:name="_Hlt26670486"/>
      <w:r/>
      <w:bookmarkEnd w:id="76"/>
      <w:r/>
      <w:bookmarkStart w:id="77" w:name="_Hlt26670482"/>
      <w:r/>
      <w:bookmarkEnd w:id="77"/>
      <w:r/>
      <w:bookmarkStart w:id="78" w:name="_Hlt26954844"/>
      <w:r/>
      <w:bookmarkEnd w:id="78"/>
      <w:r/>
      <w:bookmarkStart w:id="79" w:name="_Hlt26954842"/>
      <w:r/>
      <w:bookmarkEnd w:id="79"/>
      <w:r/>
      <w:bookmarkStart w:id="80" w:name="_Hlt26954848"/>
      <w:r/>
      <w:bookmarkEnd w:id="80"/>
      <w:r/>
      <w:bookmarkStart w:id="81" w:name="_Hlt26954846"/>
      <w:r/>
      <w:bookmarkEnd w:id="81"/>
      <w:r/>
      <w:bookmarkStart w:id="82" w:name="_Hlt26668983"/>
      <w:r/>
      <w:bookmarkEnd w:id="82"/>
      <w:r/>
      <w:bookmarkStart w:id="83" w:name="_Hlt26670425"/>
      <w:r/>
      <w:bookmarkEnd w:id="83"/>
      <w:r/>
      <w:bookmarkStart w:id="84" w:name="_Toc14577359"/>
      <w:r/>
      <w:bookmarkStart w:id="85" w:name="_Toc513029221"/>
      <w:r/>
      <w:bookmarkStart w:id="86" w:name="_Toc61149559"/>
      <w:r>
        <w:rPr>
          <w:rFonts w:hint="eastAsia" w:ascii="宋体" w:hAnsi="宋体" w:cs="宋体"/>
          <w:color w:val="auto"/>
          <w:highlight w:val="none"/>
        </w:rPr>
        <w:t xml:space="preserve">4. 项目需求响应方案</w:t>
      </w:r>
      <w:r/>
    </w:p>
    <w:p>
      <w:pPr>
        <w:ind w:firstLine="480"/>
        <w:rPr>
          <w:rFonts w:hint="eastAsia" w:ascii="宋体" w:hAnsi="宋体" w:cs="宋体"/>
          <w:color w:val="auto"/>
          <w:highlight w:val="none"/>
        </w:rPr>
      </w:pPr>
      <w:r>
        <w:rPr>
          <w:rFonts w:hint="eastAsia" w:ascii="宋体" w:hAnsi="宋体" w:cs="宋体"/>
          <w:color w:val="auto"/>
          <w:highlight w:val="none"/>
        </w:rPr>
        <w:t xml:space="preserve">4.1 提供为完成本项目的总体实施方案。</w:t>
      </w:r>
      <w:r/>
    </w:p>
    <w:p>
      <w:pPr>
        <w:ind w:firstLine="480"/>
        <w:rPr>
          <w:rFonts w:hint="eastAsia" w:ascii="宋体" w:hAnsi="宋体" w:cs="宋体"/>
          <w:color w:val="auto"/>
          <w:highlight w:val="none"/>
        </w:rPr>
      </w:pPr>
      <w:r>
        <w:rPr>
          <w:rFonts w:hint="eastAsia" w:ascii="宋体" w:hAnsi="宋体" w:cs="宋体"/>
          <w:color w:val="auto"/>
          <w:highlight w:val="none"/>
        </w:rPr>
        <w:t xml:space="preserve">4.2 对磋商文件中项目需求的技术与商务条款要求逐项作出应答，并提供依据或说明。</w:t>
      </w:r>
      <w:r/>
    </w:p>
    <w:p>
      <w:pPr>
        <w:ind w:firstLine="480"/>
        <w:rPr>
          <w:rFonts w:hint="eastAsia" w:ascii="宋体" w:hAnsi="宋体" w:cs="宋体"/>
          <w:color w:val="auto"/>
          <w:highlight w:val="none"/>
        </w:rPr>
      </w:pPr>
      <w:r>
        <w:rPr>
          <w:rFonts w:hint="eastAsia" w:ascii="宋体" w:hAnsi="宋体" w:cs="宋体"/>
          <w:color w:val="auto"/>
          <w:highlight w:val="none"/>
        </w:rPr>
        <w:t xml:space="preserve">4.3 磋商供应商认为需要的其他技术文件或说明。</w:t>
      </w:r>
      <w:bookmarkEnd w:id="84"/>
      <w:r/>
      <w:bookmarkEnd w:id="85"/>
      <w:r/>
      <w:bookmarkEnd w:id="86"/>
      <w:r/>
      <w:r/>
    </w:p>
    <w:p>
      <w:pPr>
        <w:ind w:firstLine="480"/>
        <w:rPr>
          <w:rFonts w:hint="eastAsia" w:ascii="宋体" w:hAnsi="宋体" w:cs="宋体"/>
          <w:color w:val="auto"/>
          <w:highlight w:val="none"/>
        </w:rPr>
      </w:pPr>
      <w:r>
        <w:rPr>
          <w:rFonts w:hint="eastAsia" w:ascii="宋体" w:hAnsi="宋体" w:cs="宋体"/>
          <w:color w:val="auto"/>
          <w:highlight w:val="none"/>
        </w:rPr>
        <w:t xml:space="preserve">5. 磋商响应文件签署</w:t>
      </w:r>
      <w:r/>
    </w:p>
    <w:p>
      <w:pPr>
        <w:ind w:firstLine="480"/>
        <w:rPr>
          <w:rFonts w:hint="eastAsia" w:ascii="宋体" w:hAnsi="宋体" w:cs="宋体"/>
          <w:color w:val="auto"/>
          <w:highlight w:val="none"/>
        </w:rPr>
      </w:pPr>
      <w:r>
        <w:rPr>
          <w:rFonts w:hint="eastAsia" w:ascii="宋体" w:hAnsi="宋体" w:cs="宋体"/>
          <w:color w:val="auto"/>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rPr>
          <w:rFonts w:hint="eastAsia" w:ascii="宋体" w:hAnsi="宋体" w:cs="宋体"/>
          <w:color w:val="auto"/>
          <w:highlight w:val="none"/>
        </w:rPr>
      </w:pPr>
      <w:r>
        <w:rPr>
          <w:rFonts w:hint="eastAsia" w:ascii="宋体" w:hAnsi="宋体" w:cs="宋体"/>
          <w:color w:val="auto"/>
          <w:highlight w:val="none"/>
        </w:rPr>
        <w:t xml:space="preserve">6. 生成响应文件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6.1 响应文件制作工具生成内容相同、加密与未加密两个版本电子响应文件，加密版本用于提交上传，未加密版本用于特殊情况处理。</w:t>
      </w:r>
      <w:r/>
    </w:p>
    <w:p>
      <w:pPr>
        <w:ind w:firstLine="0"/>
        <w:keepLines/>
        <w:keepNext/>
        <w:rPr>
          <w:rFonts w:hint="eastAsia" w:ascii="宋体" w:hAnsi="宋体" w:cs="宋体"/>
          <w:b/>
          <w:bCs/>
          <w:color w:val="auto"/>
          <w:szCs w:val="32"/>
          <w:highlight w:val="none"/>
        </w:rPr>
        <w:outlineLvl w:val="1"/>
      </w:pPr>
      <w:r/>
      <w:bookmarkStart w:id="87" w:name="_Hlt26954739"/>
      <w:r/>
      <w:bookmarkEnd w:id="87"/>
      <w:r/>
      <w:bookmarkStart w:id="88" w:name="_Hlt26954854"/>
      <w:r/>
      <w:bookmarkEnd w:id="88"/>
      <w:r/>
      <w:bookmarkStart w:id="89" w:name="_Hlt26670489"/>
      <w:r/>
      <w:bookmarkEnd w:id="89"/>
      <w:r/>
      <w:bookmarkStart w:id="90" w:name="_Hlt26954749"/>
      <w:r/>
      <w:bookmarkEnd w:id="90"/>
      <w:r/>
      <w:bookmarkStart w:id="91" w:name="_Hlt26670493"/>
      <w:r/>
      <w:bookmarkEnd w:id="91"/>
      <w:r/>
      <w:bookmarkStart w:id="92" w:name="_Hlt26954734"/>
      <w:r/>
      <w:bookmarkEnd w:id="92"/>
      <w:r/>
      <w:bookmarkStart w:id="93" w:name="_Hlt26954852"/>
      <w:r/>
      <w:bookmarkEnd w:id="93"/>
      <w:r/>
      <w:bookmarkStart w:id="94" w:name="_Hlt26954850"/>
      <w:r/>
      <w:bookmarkEnd w:id="94"/>
      <w:r>
        <w:rPr>
          <w:rFonts w:hint="eastAsia" w:ascii="宋体" w:hAnsi="宋体" w:cs="宋体"/>
          <w:b/>
          <w:bCs/>
          <w:color w:val="auto"/>
          <w:szCs w:val="32"/>
          <w:highlight w:val="none"/>
        </w:rPr>
        <w:t xml:space="preserve">三、响应文件的提交</w:t>
      </w:r>
      <w:r/>
    </w:p>
    <w:p>
      <w:pPr>
        <w:ind w:firstLine="480"/>
        <w:rPr>
          <w:rFonts w:hint="eastAsia" w:ascii="宋体" w:hAnsi="宋体" w:cs="宋体"/>
          <w:color w:val="auto"/>
          <w:highlight w:val="none"/>
        </w:rPr>
      </w:pPr>
      <w:r>
        <w:rPr>
          <w:rFonts w:hint="eastAsia" w:ascii="宋体" w:hAnsi="宋体" w:cs="宋体"/>
          <w:color w:val="auto"/>
          <w:highlight w:val="none"/>
        </w:rPr>
        <w:t xml:space="preserve">1. 响应文件的上传、修改和撤回</w:t>
      </w:r>
      <w:r/>
    </w:p>
    <w:p>
      <w:pPr>
        <w:ind w:firstLine="480"/>
        <w:rPr>
          <w:rFonts w:hint="eastAsia" w:ascii="宋体" w:hAnsi="宋体" w:cs="宋体"/>
          <w:color w:val="auto"/>
          <w:highlight w:val="none"/>
        </w:rPr>
      </w:pPr>
      <w:r>
        <w:rPr>
          <w:rFonts w:hint="eastAsia" w:ascii="宋体" w:hAnsi="宋体" w:cs="宋体"/>
          <w:color w:val="auto"/>
          <w:highlight w:val="none"/>
        </w:rPr>
        <w:t xml:space="preserve">1.1 磋商供应商应当使用响应文件制作工具，生成加密电子响应文件一份，并在规定的截止时间前上传。</w:t>
      </w:r>
      <w:r/>
    </w:p>
    <w:p>
      <w:pPr>
        <w:ind w:firstLine="480"/>
        <w:rPr>
          <w:rFonts w:hint="eastAsia" w:ascii="宋体" w:hAnsi="宋体" w:cs="宋体"/>
          <w:color w:val="auto"/>
          <w:highlight w:val="none"/>
        </w:rPr>
      </w:pPr>
      <w:r>
        <w:rPr>
          <w:rFonts w:hint="eastAsia" w:ascii="宋体" w:hAnsi="宋体" w:cs="宋体"/>
          <w:color w:val="auto"/>
          <w:highlight w:val="none"/>
        </w:rPr>
        <w:t xml:space="preserve">1.2 磋商供应商在上传响应文件后可以对其修改或撤回，但修改或撤回必须在规定的接收截止时间前。</w:t>
      </w:r>
      <w:r/>
    </w:p>
    <w:p>
      <w:pPr>
        <w:ind w:firstLine="480"/>
        <w:rPr>
          <w:rFonts w:hint="eastAsia" w:ascii="宋体" w:hAnsi="宋体" w:cs="宋体"/>
          <w:color w:val="auto"/>
          <w:highlight w:val="none"/>
        </w:rPr>
      </w:pPr>
      <w:r>
        <w:rPr>
          <w:rFonts w:hint="eastAsia" w:ascii="宋体" w:hAnsi="宋体" w:cs="宋体"/>
          <w:color w:val="auto"/>
          <w:highlight w:val="none"/>
        </w:rPr>
        <w:t xml:space="preserve">1.3 对电子响应文件的修改，磋商供应商可以在接收截止时间前登录电子交易平台撤回文件，并上传新的响应文件，响应文件以最终完成上传的为准。</w:t>
      </w:r>
      <w:r/>
    </w:p>
    <w:p>
      <w:pPr>
        <w:ind w:firstLine="480"/>
        <w:rPr>
          <w:rFonts w:hint="eastAsia" w:ascii="宋体" w:hAnsi="宋体" w:cs="宋体"/>
          <w:color w:val="auto"/>
          <w:highlight w:val="none"/>
        </w:rPr>
      </w:pPr>
      <w:r>
        <w:rPr>
          <w:rFonts w:hint="eastAsia" w:ascii="宋体" w:hAnsi="宋体" w:cs="宋体"/>
          <w:color w:val="auto"/>
          <w:highlight w:val="none"/>
        </w:rPr>
        <w:t xml:space="preserve">1.4 磋商供应商不得在接收截止时间后修改响应文件，也不得在接收截止时间起至磋商有效期满前撤回响应文件。</w:t>
      </w:r>
      <w:r/>
    </w:p>
    <w:p>
      <w:pPr>
        <w:ind w:firstLine="482"/>
        <w:rPr>
          <w:rFonts w:hint="eastAsia" w:ascii="宋体" w:hAnsi="宋体" w:cs="宋体"/>
          <w:b/>
          <w:color w:val="auto"/>
          <w:highlight w:val="none"/>
        </w:rPr>
      </w:pPr>
      <w:r>
        <w:rPr>
          <w:rFonts w:hint="eastAsia" w:ascii="宋体" w:hAnsi="宋体" w:cs="宋体"/>
          <w:b/>
          <w:color w:val="auto"/>
          <w:highlight w:val="none"/>
        </w:rPr>
        <w:t xml:space="preserve">2. 递交响应文件的截止时间：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2.1 所有响应文件都必须按规定的接收截止时间之前上传，迟于截止时间的</w:t>
      </w:r>
      <w:r>
        <w:rPr>
          <w:rFonts w:hint="eastAsia" w:ascii="宋体" w:hAnsi="宋体" w:cs="宋体"/>
          <w:b/>
          <w:color w:val="auto"/>
          <w:highlight w:val="none"/>
        </w:rPr>
        <w:t xml:space="preserve">不予接收。</w:t>
      </w:r>
      <w:r/>
    </w:p>
    <w:p>
      <w:pPr>
        <w:ind w:firstLine="482"/>
        <w:rPr>
          <w:rFonts w:hint="eastAsia" w:ascii="宋体" w:hAnsi="宋体" w:cs="宋体"/>
          <w:color w:val="auto"/>
          <w:highlight w:val="none"/>
        </w:rPr>
      </w:pPr>
      <w:r>
        <w:rPr>
          <w:rFonts w:hint="eastAsia" w:ascii="宋体" w:hAnsi="宋体" w:cs="宋体"/>
          <w:b/>
          <w:color w:val="auto"/>
          <w:highlight w:val="none"/>
        </w:rPr>
        <w:t xml:space="preserve">3. 电报、电话、传真以及纸质响应文件形式的磋商概不接受。</w:t>
      </w:r>
      <w:r/>
    </w:p>
    <w:p>
      <w:pPr>
        <w:ind w:firstLine="480"/>
        <w:rPr>
          <w:rFonts w:hint="eastAsia" w:ascii="宋体" w:hAnsi="宋体" w:cs="宋体"/>
          <w:color w:val="auto"/>
          <w:highlight w:val="none"/>
        </w:rPr>
      </w:pPr>
      <w:r>
        <w:rPr>
          <w:rFonts w:hint="eastAsia" w:ascii="宋体" w:hAnsi="宋体" w:cs="宋体"/>
          <w:color w:val="auto"/>
          <w:highlight w:val="none"/>
        </w:rPr>
        <w:t xml:space="preserve">4. 磋商响应有效期</w:t>
      </w:r>
      <w:r/>
    </w:p>
    <w:p>
      <w:pPr>
        <w:ind w:firstLine="480"/>
        <w:rPr>
          <w:rFonts w:hint="eastAsia" w:ascii="宋体" w:hAnsi="宋体" w:cs="宋体"/>
          <w:color w:val="auto"/>
          <w:highlight w:val="none"/>
        </w:rPr>
      </w:pPr>
      <w:r>
        <w:rPr>
          <w:rFonts w:hint="eastAsia" w:ascii="宋体" w:hAnsi="宋体" w:cs="宋体"/>
          <w:color w:val="auto"/>
          <w:highlight w:val="none"/>
        </w:rPr>
        <w:t xml:space="preserve">4.1 磋商响应有效期为代理机构规定的响应文件接收截止时间后一百二十（120）天。磋商响应有效期比规定短的将被视为非实质性响应而予以拒绝。</w:t>
      </w:r>
      <w:r/>
    </w:p>
    <w:p>
      <w:pPr>
        <w:ind w:firstLine="480"/>
        <w:rPr>
          <w:rFonts w:hint="eastAsia" w:ascii="宋体" w:hAnsi="宋体" w:cs="宋体"/>
          <w:color w:val="auto"/>
          <w:highlight w:val="none"/>
        </w:rPr>
      </w:pPr>
      <w:r>
        <w:rPr>
          <w:rFonts w:hint="eastAsia" w:ascii="宋体" w:hAnsi="宋体" w:cs="宋体"/>
          <w:color w:val="auto"/>
          <w:highlight w:val="none"/>
        </w:rPr>
        <w:t xml:space="preserve">4.2 在特殊情况下，代理机构于原磋商响应有效期满之前，可向磋商供应商提出延长磋商响应有效期的要求。这种要求与答复均应采用书面形式。磋商供应商可以拒绝代理机构的这一要求而放弃磋商响应。同意延长磋商响应有效期的磋商供应商既不能要求也不允许修改其响应文件，同时受磋商响应有效期约束的所有权利与义务均延长至新的有效期。</w:t>
      </w:r>
      <w:r/>
    </w:p>
    <w:p>
      <w:pPr>
        <w:ind w:firstLine="0"/>
        <w:keepLines/>
        <w:keepNext/>
        <w:rPr>
          <w:rFonts w:hint="eastAsia" w:ascii="宋体" w:hAnsi="宋体" w:cs="宋体"/>
          <w:b/>
          <w:bCs/>
          <w:color w:val="auto"/>
          <w:szCs w:val="32"/>
          <w:highlight w:val="none"/>
        </w:rPr>
        <w:outlineLvl w:val="1"/>
      </w:pPr>
      <w:r/>
      <w:bookmarkStart w:id="95" w:name="_Hlt26954864"/>
      <w:r/>
      <w:bookmarkEnd w:id="95"/>
      <w:r/>
      <w:bookmarkStart w:id="96" w:name="_Hlt26670523"/>
      <w:r/>
      <w:bookmarkEnd w:id="96"/>
      <w:r>
        <w:rPr>
          <w:rFonts w:hint="eastAsia" w:ascii="宋体" w:hAnsi="宋体" w:cs="宋体"/>
          <w:b/>
          <w:bCs/>
          <w:color w:val="auto"/>
          <w:szCs w:val="32"/>
          <w:highlight w:val="none"/>
        </w:rPr>
        <w:t xml:space="preserve">四、磋商报价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磋商报价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磋商报价应是磋商文件所确定的采购范围内的全部工作内容的价格体现。其应包括施工设备、劳务、管理、材料、安装、维护、利润、</w:t>
      </w:r>
      <w:r>
        <w:rPr>
          <w:rFonts w:hint="eastAsia" w:ascii="宋体" w:hAnsi="宋体" w:cs="宋体"/>
          <w:color w:val="auto"/>
          <w:sz w:val="24"/>
          <w:highlight w:val="none"/>
          <w:lang w:val="en-US" w:eastAsia="zh-CN"/>
        </w:rPr>
        <w:t xml:space="preserve">增值税</w:t>
      </w:r>
      <w:r>
        <w:rPr>
          <w:rFonts w:hint="eastAsia" w:ascii="宋体" w:hAnsi="宋体" w:eastAsia="宋体" w:cs="宋体"/>
          <w:color w:val="auto"/>
          <w:sz w:val="24"/>
          <w:highlight w:val="none"/>
        </w:rPr>
        <w:t xml:space="preserve">及政策性</w:t>
      </w:r>
      <w:r>
        <w:rPr>
          <w:rFonts w:hint="eastAsia" w:ascii="宋体" w:hAnsi="宋体" w:eastAsia="宋体" w:cs="宋体"/>
          <w:color w:val="auto"/>
          <w:sz w:val="24"/>
          <w:highlight w:val="none"/>
        </w:rPr>
        <w:t xml:space="preserve">文件规定的各项应有费用等。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磋商报价方式：本工程采用下列第</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 固定单价报价：磋商供应</w:t>
      </w:r>
      <w:r>
        <w:rPr>
          <w:rFonts w:hint="eastAsia" w:ascii="宋体" w:hAnsi="宋体" w:eastAsia="宋体" w:cs="宋体"/>
          <w:bCs/>
          <w:color w:val="auto"/>
          <w:sz w:val="24"/>
          <w:highlight w:val="none"/>
        </w:rPr>
        <w:t xml:space="preserve">商应充分考虑施工期间各类建材的市场风险和政策性调整确定风险系数计入总报价，今后不作调整。设计变更和采购人要求变动的内容除外。结算方式在合同专用条款中明确。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可调价格报价：磋商供应商的磋商报价可根据合同实施期间的市场变化和政策</w:t>
      </w:r>
      <w:r>
        <w:rPr>
          <w:rFonts w:hint="eastAsia" w:ascii="宋体" w:hAnsi="宋体" w:eastAsia="宋体" w:cs="宋体"/>
          <w:color w:val="auto"/>
          <w:sz w:val="24"/>
          <w:highlight w:val="none"/>
        </w:rPr>
        <w:t xml:space="preserve">性调整而变动。</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磋商</w:t>
      </w:r>
      <w:r>
        <w:rPr>
          <w:rFonts w:hint="eastAsia" w:ascii="宋体" w:hAnsi="宋体" w:eastAsia="宋体" w:cs="宋体"/>
          <w:color w:val="auto"/>
          <w:sz w:val="24"/>
          <w:highlight w:val="none"/>
        </w:rPr>
        <w:t xml:space="preserve">报价的计价方法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 本工程项目采用</w:t>
      </w:r>
      <w:r>
        <w:rPr>
          <w:rFonts w:hint="eastAsia" w:ascii="宋体" w:hAnsi="宋体" w:eastAsia="宋体" w:cs="宋体"/>
          <w:bCs/>
          <w:color w:val="auto"/>
          <w:sz w:val="24"/>
          <w:highlight w:val="none"/>
          <w:u w:val="single"/>
        </w:rPr>
        <w:t xml:space="preserve">  </w:t>
      </w:r>
      <w:r>
        <w:rPr>
          <w:rFonts w:hint="eastAsia" w:ascii="宋体" w:hAnsi="宋体" w:eastAsia="宋体" w:cs="宋体"/>
          <w:b/>
          <w:bCs/>
          <w:color w:val="auto"/>
          <w:sz w:val="24"/>
          <w:highlight w:val="none"/>
          <w:u w:val="single"/>
        </w:rPr>
        <w:t xml:space="preserve">工程量清单  </w:t>
      </w:r>
      <w:r>
        <w:rPr>
          <w:rFonts w:hint="eastAsia" w:ascii="宋体" w:hAnsi="宋体" w:eastAsia="宋体" w:cs="宋体"/>
          <w:bCs/>
          <w:color w:val="auto"/>
          <w:sz w:val="24"/>
          <w:highlight w:val="none"/>
        </w:rPr>
        <w:t xml:space="preserve">计价方法。磋商供应商应根据采购人提供的工程量清单计算单价、合价以及各种政策性费用。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除非合同中另有规定，磋商供应商在报价中所报的单价和合价，以及磋商报价汇总表中的价格均包括完成该工程项目的成本、利润、</w:t>
      </w:r>
      <w:r>
        <w:rPr>
          <w:rFonts w:hint="eastAsia" w:ascii="宋体" w:hAnsi="宋体" w:cs="宋体"/>
          <w:color w:val="auto"/>
          <w:sz w:val="24"/>
          <w:highlight w:val="none"/>
          <w:lang w:val="en-US" w:eastAsia="zh-CN"/>
        </w:rPr>
        <w:t xml:space="preserve">增值税</w:t>
      </w:r>
      <w:r>
        <w:rPr>
          <w:rFonts w:hint="eastAsia" w:ascii="宋体" w:hAnsi="宋体" w:eastAsia="宋体" w:cs="宋体"/>
          <w:color w:val="auto"/>
          <w:sz w:val="24"/>
          <w:highlight w:val="none"/>
        </w:rPr>
        <w:t xml:space="preserve">、开办费、技术措施费、大型机械进退场费、风险费、政策性文件规定费用等所有费用。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 </w:t>
      </w:r>
      <w:r>
        <w:rPr>
          <w:rFonts w:hint="eastAsia" w:ascii="宋体" w:hAnsi="宋体" w:eastAsia="宋体" w:cs="宋体"/>
          <w:color w:val="auto"/>
          <w:sz w:val="24"/>
          <w:highlight w:val="none"/>
        </w:rPr>
        <w:t xml:space="preserve">施工用水电差价进报价，采购人不再另行支付。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w:t>
      </w:r>
      <w:r>
        <w:rPr>
          <w:rFonts w:hint="eastAsia" w:ascii="宋体" w:hAnsi="宋体" w:eastAsia="宋体" w:cs="宋体"/>
          <w:b/>
          <w:bCs/>
          <w:color w:val="auto"/>
          <w:sz w:val="24"/>
          <w:highlight w:val="none"/>
        </w:rPr>
        <w:t xml:space="preserve">本项目采用营改增后的一般计税方法计算报价</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可选用的工程预算、费用</w:t>
      </w:r>
      <w:r>
        <w:rPr>
          <w:rFonts w:hint="eastAsia" w:ascii="宋体" w:hAnsi="宋体" w:eastAsia="宋体" w:cs="宋体"/>
          <w:color w:val="auto"/>
          <w:sz w:val="24"/>
          <w:highlight w:val="none"/>
          <w:lang w:val="en-US" w:eastAsia="zh-CN"/>
        </w:rPr>
        <w:t xml:space="preserve">参考</w:t>
      </w:r>
      <w:r>
        <w:rPr>
          <w:rFonts w:hint="eastAsia" w:ascii="宋体" w:hAnsi="宋体" w:eastAsia="宋体" w:cs="宋体"/>
          <w:color w:val="auto"/>
          <w:sz w:val="24"/>
          <w:highlight w:val="none"/>
        </w:rPr>
        <w:t xml:space="preserve">和政策性文件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用于磋商报价可参考的依据为：《建设工程工程量清单计价</w:t>
      </w:r>
      <w:r>
        <w:rPr>
          <w:rFonts w:hint="eastAsia" w:ascii="宋体" w:hAnsi="宋体" w:eastAsia="宋体" w:cs="宋体"/>
          <w:color w:val="auto"/>
          <w:sz w:val="24"/>
          <w:highlight w:val="none"/>
          <w:lang w:val="en-US" w:eastAsia="zh-CN"/>
        </w:rPr>
        <w:t xml:space="preserve">标准GB/T50500-2024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《江苏省</w:t>
      </w:r>
      <w:r>
        <w:rPr>
          <w:rFonts w:hint="eastAsia" w:ascii="宋体" w:hAnsi="宋体" w:eastAsia="宋体" w:cs="宋体"/>
          <w:color w:val="auto"/>
          <w:sz w:val="24"/>
          <w:highlight w:val="none"/>
          <w:lang w:val="en-US" w:eastAsia="zh-CN"/>
        </w:rPr>
        <w:t xml:space="preserve">建设工程费用参考</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《江苏省建筑与装饰工程消耗量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2026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《江苏省市政工程消耗量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2026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《江苏省通用安装工程消耗量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2026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》、近期的《连云港市工程建设</w:t>
      </w:r>
      <w:r>
        <w:rPr>
          <w:rFonts w:hint="eastAsia" w:ascii="宋体" w:hAnsi="宋体" w:eastAsia="宋体" w:cs="宋体"/>
          <w:color w:val="auto"/>
          <w:sz w:val="24"/>
          <w:highlight w:val="none"/>
          <w:lang w:val="en-US" w:eastAsia="zh-CN"/>
        </w:rPr>
        <w:t xml:space="preserve">经济信息</w:t>
      </w:r>
      <w:r>
        <w:rPr>
          <w:rFonts w:hint="eastAsia" w:ascii="宋体" w:hAnsi="宋体" w:eastAsia="宋体" w:cs="宋体"/>
          <w:color w:val="auto"/>
          <w:sz w:val="24"/>
          <w:highlight w:val="none"/>
        </w:rPr>
        <w:t xml:space="preserve">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政策性文件按照现行江苏省建设厅、连云港市建设局颁发的相关文件规定执行。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经磋商后，</w:t>
      </w:r>
      <w:r>
        <w:rPr>
          <w:rFonts w:hint="eastAsia" w:ascii="宋体" w:hAnsi="宋体" w:eastAsia="宋体" w:cs="宋体"/>
          <w:b/>
          <w:bCs/>
          <w:color w:val="auto"/>
          <w:sz w:val="24"/>
          <w:highlight w:val="none"/>
        </w:rPr>
        <w:t xml:space="preserve">如果最后报价高于或低于磋商供应商在响应文件首次报价的，分项报价同比例调整</w:t>
      </w:r>
      <w:r>
        <w:rPr>
          <w:rFonts w:hint="eastAsia" w:ascii="宋体" w:hAnsi="宋体" w:eastAsia="宋体" w:cs="宋体"/>
          <w:color w:val="auto"/>
          <w:sz w:val="24"/>
          <w:highlight w:val="none"/>
        </w:rPr>
        <w:t xml:space="preserve">。最低报价不能作为成交的保证。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报价货币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磋商应以人民币报价。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磋商报价的编制要求。</w:t>
      </w:r>
      <w:r/>
    </w:p>
    <w:p>
      <w:pPr>
        <w:ind w:firstLine="480"/>
        <w:spacing w:line="360" w:lineRule="auto"/>
        <w:rPr>
          <w:rFonts w:ascii="Times New Roman" w:hAnsi="Times New Roman" w:eastAsia="宋体" w:cs="Times New Roman"/>
          <w:bCs/>
          <w:color w:val="auto"/>
          <w:sz w:val="24"/>
          <w:highlight w:val="none"/>
        </w:rPr>
      </w:pPr>
      <w:r>
        <w:rPr>
          <w:rFonts w:hint="eastAsia" w:ascii="宋体" w:hAnsi="宋体" w:eastAsia="宋体" w:cs="宋体"/>
          <w:color w:val="auto"/>
          <w:sz w:val="24"/>
          <w:highlight w:val="none"/>
        </w:rPr>
        <w:t xml:space="preserve">3.1 磋商供应商必须按工程量清单，用综合单价法编制磋商预算。工程量清单数量、</w:t>
      </w:r>
      <w:r>
        <w:rPr>
          <w:rFonts w:ascii="Times New Roman" w:hAnsi="Times New Roman" w:eastAsia="宋体" w:cs="Times New Roman"/>
          <w:color w:val="auto"/>
          <w:sz w:val="24"/>
          <w:highlight w:val="none"/>
        </w:rPr>
        <w:t xml:space="preserve">暂定价、暂估价、独立费不得变更、不得优惠</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否则视为重大偏差</w:t>
      </w:r>
      <w:r>
        <w:rPr>
          <w:rFonts w:ascii="Times New Roman" w:hAnsi="Times New Roman" w:eastAsia="宋体" w:cs="Times New Roman"/>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 下列费用为不可竞争费用，不可竞争费用应严格执行有关费用标准，不得降低标准进行磋商，</w:t>
      </w:r>
      <w:r>
        <w:rPr>
          <w:rFonts w:hint="eastAsia" w:ascii="宋体" w:hAnsi="宋体" w:eastAsia="宋体" w:cs="宋体"/>
          <w:b/>
          <w:bCs/>
          <w:color w:val="auto"/>
          <w:sz w:val="24"/>
          <w:highlight w:val="none"/>
        </w:rPr>
        <w:t xml:space="preserve">否则作无效响应处理</w:t>
      </w:r>
      <w:r>
        <w:rPr>
          <w:rFonts w:hint="eastAsia" w:ascii="宋体" w:hAnsi="宋体" w:eastAsia="宋体" w:cs="宋体"/>
          <w:bCs/>
          <w:color w:val="auto"/>
          <w:sz w:val="24"/>
          <w:highlight w:val="none"/>
        </w:rPr>
        <w:t xml:space="preserve">。</w:t>
      </w:r>
      <w:r/>
    </w:p>
    <w:p>
      <w:pPr>
        <w:ind w:firstLine="480"/>
        <w:rPr>
          <w:rFonts w:hint="eastAsia" w:ascii="宋体" w:hAnsi="宋体" w:eastAsia="宋体" w:cs="宋体"/>
          <w:bCs/>
          <w:color w:val="auto"/>
          <w:sz w:val="24"/>
          <w:highlight w:val="none"/>
        </w:rPr>
      </w:pPr>
      <w:r>
        <w:rPr>
          <w:rFonts w:eastAsia="宋体"/>
          <w:bCs/>
          <w:color w:val="auto"/>
          <w:highlight w:val="none"/>
        </w:rPr>
      </w:r>
      <w:r>
        <w:rPr>
          <w:rFonts w:hint="eastAsia" w:eastAsia="宋体"/>
          <w:bCs/>
          <w:color w:val="auto"/>
          <w:highlight w:val="none"/>
        </w:rPr>
        <w:t xml:space="preserve"> </w:t>
      </w:r>
      <w:r>
        <w:rPr>
          <w:rFonts w:eastAsia="宋体"/>
          <w:b w:val="0"/>
          <w:bCs w:val="0"/>
          <w:color w:val="auto"/>
          <w:highlight w:val="none"/>
        </w:rPr>
        <w:t xml:space="preserve">安全生产措施费</w:t>
      </w:r>
      <w:r>
        <w:rPr>
          <w:rFonts w:eastAsia="宋体"/>
          <w:b w:val="0"/>
          <w:bCs w:val="0"/>
          <w:color w:val="auto"/>
          <w:highlight w:val="none"/>
        </w:rPr>
        <w:t xml:space="preserve">：</w:t>
      </w:r>
      <w:r>
        <w:rPr>
          <w:rFonts w:eastAsia="宋体"/>
          <w:bCs/>
          <w:color w:val="auto"/>
          <w:highlight w:val="none"/>
        </w:rPr>
        <w:t xml:space="preserve">包括安全文明施工基本费、省级标化增加费、扬尘费，应按照有权部门规定计取。</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3.3</w:t>
      </w:r>
      <w:r>
        <w:rPr>
          <w:rFonts w:hint="eastAsia" w:ascii="宋体" w:hAnsi="宋体" w:eastAsia="宋体" w:cs="宋体"/>
          <w:bCs/>
          <w:color w:val="auto"/>
          <w:sz w:val="24"/>
          <w:highlight w:val="none"/>
        </w:rPr>
        <w:t xml:space="preserve"> </w:t>
      </w:r>
      <w:r>
        <w:rPr>
          <w:rFonts w:hint="eastAsia" w:ascii="宋体" w:hAnsi="宋体" w:cs="宋体"/>
          <w:b/>
          <w:bCs/>
          <w:color w:val="auto"/>
          <w:sz w:val="24"/>
          <w:highlight w:val="none"/>
          <w:lang w:eastAsia="zh-CN"/>
        </w:rPr>
        <w:t xml:space="preserve">安全生产费</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szCs w:val="24"/>
          <w:highlight w:val="none"/>
          <w:lang w:val="en-US" w:eastAsia="zh-CN" w:bidi="ar"/>
        </w:rPr>
        <w:t xml:space="preserve">措施项目清单中的安全生产费的报价应满足国家及省相关部门规定，</w:t>
      </w:r>
      <w:r>
        <w:rPr>
          <w:rFonts w:hint="eastAsia" w:ascii="宋体" w:hAnsi="宋体" w:cs="宋体"/>
          <w:b/>
          <w:bCs/>
          <w:color w:val="auto"/>
          <w:sz w:val="24"/>
          <w:szCs w:val="24"/>
          <w:highlight w:val="none"/>
          <w:lang w:val="en-US" w:eastAsia="zh-CN" w:bidi="ar"/>
        </w:rPr>
        <w:t xml:space="preserve">投标人投标时的费率必须大于等于</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cs="宋体"/>
          <w:b/>
          <w:bCs/>
          <w:color w:val="auto"/>
          <w:sz w:val="24"/>
          <w:szCs w:val="24"/>
          <w:highlight w:val="none"/>
          <w:lang w:val="en-US" w:eastAsia="zh-CN" w:bidi="ar"/>
        </w:rPr>
        <w:t xml:space="preserve">江苏省建设工程费用参考</w:t>
      </w:r>
      <w:r>
        <w:rPr>
          <w:rFonts w:hint="eastAsia" w:ascii="宋体" w:hAnsi="宋体" w:eastAsia="宋体" w:cs="宋体"/>
          <w:b/>
          <w:bCs/>
          <w:color w:val="auto"/>
          <w:sz w:val="24"/>
          <w:szCs w:val="24"/>
          <w:highlight w:val="none"/>
          <w:lang w:val="en-US" w:eastAsia="zh-CN" w:bidi="ar"/>
        </w:rPr>
        <w:t xml:space="preserve">》所对应的费率</w:t>
      </w:r>
      <w:r>
        <w:rPr>
          <w:rFonts w:hint="eastAsia" w:ascii="宋体" w:hAnsi="宋体" w:eastAsia="宋体" w:cs="宋体"/>
          <w:b w:val="0"/>
          <w:bCs w:val="0"/>
          <w:color w:val="auto"/>
          <w:sz w:val="24"/>
          <w:szCs w:val="24"/>
          <w:highlight w:val="none"/>
          <w:lang w:val="en-US" w:eastAsia="zh-CN" w:bidi="ar"/>
        </w:rPr>
        <w:t xml:space="preserve">，否则，投标将被否决</w:t>
      </w:r>
      <w:r>
        <w:rPr>
          <w:rFonts w:hint="eastAsia" w:ascii="宋体" w:hAnsi="宋体" w:eastAsia="宋体" w:cs="宋体"/>
          <w:bCs/>
          <w:color w:val="auto"/>
          <w:sz w:val="24"/>
          <w:highlight w:val="none"/>
        </w:rPr>
        <w:t xml:space="preserve">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本工程由磋商供应商自购的材料，磋商供应商须编制自购主要材料一览表，注明品牌、规格、型号、产地、数量、单价和合价。报价中含材料价差，结算时不予调整。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 工</w:t>
      </w:r>
      <w:r>
        <w:rPr>
          <w:rFonts w:hint="eastAsia" w:ascii="宋体" w:hAnsi="宋体" w:eastAsia="宋体" w:cs="宋体"/>
          <w:color w:val="auto"/>
          <w:sz w:val="24"/>
          <w:highlight w:val="none"/>
        </w:rPr>
        <w:t xml:space="preserve">程中产生的垃圾均需由成交供应商自行负责清运，费用由成交供应商承担。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 磋商供应商可自行对施工现场和周围环境进行</w:t>
      </w:r>
      <w:r>
        <w:rPr>
          <w:rFonts w:hint="eastAsia" w:ascii="宋体" w:hAnsi="宋体" w:eastAsia="宋体" w:cs="宋体"/>
          <w:color w:val="auto"/>
          <w:sz w:val="24"/>
          <w:highlight w:val="none"/>
        </w:rPr>
        <w:t xml:space="preserve">勘察，以充分了解工地位置、环境、道路、储存空间、装卸限制及任何其他足以影响报价之情况，任何因忽视或误解工地情况而导致的成本增加或工期延长等情况一律不予认可。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 采购人向磋商供应商提供的有关施工现场的资料和数据是采购人现有的能使磋商供应商利用的资料。采购人对磋商供应商由此做出的推论、理解和结论概不负责。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 因有工程变更造成的工程量清单增减，按采购人设计变更通知单和现场监理</w:t>
      </w:r>
      <w:r>
        <w:rPr>
          <w:rFonts w:hint="eastAsia" w:ascii="宋体" w:hAnsi="宋体" w:eastAsia="宋体" w:cs="宋体"/>
          <w:color w:val="auto"/>
          <w:sz w:val="24"/>
          <w:highlight w:val="none"/>
          <w:lang w:val="en-US" w:eastAsia="zh-CN"/>
        </w:rPr>
        <w:t xml:space="preserve">通知</w:t>
      </w:r>
      <w:r>
        <w:rPr>
          <w:rFonts w:hint="eastAsia" w:ascii="宋体" w:hAnsi="宋体" w:eastAsia="宋体" w:cs="宋体"/>
          <w:color w:val="auto"/>
          <w:sz w:val="24"/>
          <w:highlight w:val="none"/>
        </w:rPr>
        <w:t xml:space="preserve">，竣工结算时进行调整。工程变更调整的原则为：（1）报价中原有的子项，按磋商报价的单价计算；（2）新增加的近似子项参照相近的子项单价计算；（3）无相同或近似的子项，由成交供应商报价并经监理及采购人审核确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 磋商供应商应当在响应文件中详细、定量地列出优惠让利的理由及所采取的技术措施。</w:t>
      </w:r>
      <w:r/>
    </w:p>
    <w:p>
      <w:pPr>
        <w:ind w:firstLine="0"/>
        <w:keepLines/>
        <w:keepNext/>
        <w:rPr>
          <w:b/>
          <w:bCs/>
          <w:color w:val="auto"/>
          <w:szCs w:val="32"/>
          <w:highlight w:val="none"/>
        </w:rPr>
        <w:outlineLvl w:val="1"/>
      </w:pPr>
      <w:r>
        <w:rPr>
          <w:b/>
          <w:bCs/>
          <w:color w:val="auto"/>
          <w:szCs w:val="32"/>
          <w:highlight w:val="none"/>
        </w:rPr>
        <w:t xml:space="preserve">五、磋商与评审</w:t>
      </w:r>
      <w:r/>
    </w:p>
    <w:p>
      <w:pPr>
        <w:ind w:firstLine="480"/>
        <w:jc w:val="left"/>
        <w:tabs>
          <w:tab w:val="left" w:pos="900" w:leader="none"/>
        </w:tabs>
        <w:rPr>
          <w:rFonts w:hint="eastAsia" w:ascii="宋体" w:hAnsi="宋体"/>
          <w:color w:val="auto"/>
          <w:highlight w:val="none"/>
        </w:rPr>
      </w:pPr>
      <w:r/>
      <w:bookmarkStart w:id="97" w:name="_Toc16938553"/>
      <w:r/>
      <w:bookmarkStart w:id="98" w:name="_Toc513029237"/>
      <w:r/>
      <w:bookmarkStart w:id="99" w:name="_Toc20823309"/>
      <w:r>
        <w:rPr>
          <w:rFonts w:hint="eastAsia" w:ascii="宋体" w:hAnsi="宋体"/>
          <w:color w:val="auto"/>
          <w:highlight w:val="none"/>
        </w:rPr>
        <w:t xml:space="preserve">1、磋商开始仪式</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1.1 采购代理机构将在本磋商文件第一章“</w:t>
      </w:r>
      <w:r>
        <w:rPr>
          <w:rFonts w:hint="eastAsia" w:ascii="宋体" w:hAnsi="宋体"/>
          <w:color w:val="auto"/>
          <w:highlight w:val="none"/>
          <w:lang w:eastAsia="zh-CN"/>
        </w:rPr>
        <w:t xml:space="preserve">竞争性磋商采购</w:t>
      </w:r>
      <w:r>
        <w:rPr>
          <w:rFonts w:hint="eastAsia" w:ascii="宋体" w:hAnsi="宋体"/>
          <w:color w:val="auto"/>
          <w:highlight w:val="none"/>
        </w:rPr>
        <w:t xml:space="preserve">”规定的时间和地点组织磋商开始仪式。</w:t>
      </w:r>
      <w:r/>
    </w:p>
    <w:p>
      <w:pPr>
        <w:ind w:firstLine="482"/>
        <w:jc w:val="left"/>
        <w:tabs>
          <w:tab w:val="left" w:pos="900" w:leader="none"/>
        </w:tabs>
        <w:rPr>
          <w:rFonts w:hint="eastAsia" w:ascii="宋体" w:hAnsi="宋体"/>
          <w:color w:val="auto"/>
          <w:highlight w:val="none"/>
        </w:rPr>
      </w:pPr>
      <w:r>
        <w:rPr>
          <w:rFonts w:hint="eastAsia" w:ascii="宋体" w:hAnsi="宋体"/>
          <w:b/>
          <w:bCs/>
          <w:color w:val="auto"/>
          <w:highlight w:val="none"/>
        </w:rPr>
        <w:t xml:space="preserve">开标当天各供应商及时登录不见面开标大厅，响应文件递交截止时间后，系统内将公布投标</w:t>
      </w:r>
      <w:r>
        <w:rPr>
          <w:rFonts w:hint="eastAsia" w:ascii="宋体" w:hAnsi="宋体"/>
          <w:b/>
          <w:bCs/>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线下开启的，供应商必须按规定时间递交CA数字证书，</w:t>
      </w:r>
      <w:r>
        <w:rPr>
          <w:rFonts w:hint="eastAsia" w:ascii="宋体" w:hAnsi="宋体"/>
          <w:b/>
          <w:color w:val="auto"/>
          <w:highlight w:val="none"/>
        </w:rPr>
        <w:t xml:space="preserve">超过截止时间的采购代理机构有权拒收，视为放弃响应和放弃对开启全过程提出疑义的权利，并承担由此导致的一切后果。</w:t>
      </w:r>
      <w:r/>
    </w:p>
    <w:p>
      <w:pPr>
        <w:ind w:firstLine="480"/>
        <w:jc w:val="left"/>
        <w:tabs>
          <w:tab w:val="left" w:pos="900" w:leader="none"/>
        </w:tabs>
        <w:rPr>
          <w:rFonts w:hint="eastAsia" w:ascii="宋体" w:hAnsi="宋体"/>
          <w:b/>
          <w:color w:val="auto"/>
          <w:highlight w:val="none"/>
        </w:rPr>
      </w:pPr>
      <w:r>
        <w:rPr>
          <w:rFonts w:hint="eastAsia" w:ascii="宋体" w:hAnsi="宋体"/>
          <w:color w:val="auto"/>
          <w:highlight w:val="none"/>
        </w:rPr>
        <w:t xml:space="preserve">不见面交易的，供应商必须提前登录不见面开标大厅并在响应文件递交截止时间之前完成签到，</w:t>
      </w:r>
      <w:r>
        <w:rPr>
          <w:rFonts w:hint="eastAsia" w:ascii="宋体" w:hAnsi="宋体"/>
          <w:b/>
          <w:color w:val="auto"/>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供应商未参加的，视同认可磋商结果。</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1.2 供应商解密响应文件后，苏采云系统将自动对项目进行开标，并宣布各供应商名称和投标价格。</w:t>
      </w:r>
      <w:r/>
    </w:p>
    <w:p>
      <w:pPr>
        <w:ind w:firstLine="482"/>
        <w:jc w:val="left"/>
        <w:tabs>
          <w:tab w:val="left" w:pos="900" w:leader="none"/>
        </w:tabs>
        <w:rPr>
          <w:rFonts w:hint="eastAsia" w:ascii="宋体" w:hAnsi="宋体"/>
          <w:b/>
          <w:bCs/>
          <w:color w:val="auto"/>
          <w:highlight w:val="none"/>
        </w:rPr>
      </w:pPr>
      <w:r>
        <w:rPr>
          <w:rFonts w:hint="eastAsia" w:ascii="宋体" w:hAnsi="宋体"/>
          <w:b/>
          <w:bCs/>
          <w:color w:val="auto"/>
          <w:highlight w:val="none"/>
        </w:rPr>
        <w:t xml:space="preserve">注：各供应商请关注开标大厅交流区，在开标结束后，请勿离开开标大厅，待资格审查和符合性审查完毕，采购人或采购代理机构通知最后报价填报后，所有的响应供应商须在系统规定的时间内填写并提交最后报价，未在规定的时间内完成最后报价的视为放弃最终的磋商报价。</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2、磋商小组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2.1 磋商开始仪式结束后，采购代理机构将立即组织磋商小组进行评审、磋商。</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2.2 磋商小组由评审专家和采购人代表组成，且人员构成符合政府采购相关规定。</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3、磋商评审过程的保密与公正</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3.1 磋商小组应当遵守评审工作纪律，不得泄露评审情况和评审中获悉的商业秘密。</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3.2 在磋商评审过程中，磋商供应商不得以任何行为影响磋商评审过程，否则其响应文件将被作为无效响应文件。</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4、评审过程的澄清、说明和更正</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4.2 磋商小组要求磋商供应商澄清、说明或更正响应文件应当以书面形式作出（从评标系统发起）。</w:t>
      </w:r>
      <w:r>
        <w:rPr>
          <w:rFonts w:hint="eastAsia" w:ascii="宋体" w:hAnsi="宋体"/>
          <w:b/>
          <w:color w:val="auto"/>
          <w:highlight w:val="none"/>
        </w:rPr>
        <w:t xml:space="preserve">磋商供应商的澄清、说明或者更正采用书面形式，通过“苏采云”系统作出，并不得超出响应文件的范围或者改变响应文件的实质性内容。</w:t>
      </w:r>
      <w:r>
        <w:rPr>
          <w:rFonts w:hint="eastAsia" w:ascii="宋体" w:hAnsi="宋体"/>
          <w:color w:val="auto"/>
          <w:highlight w:val="none"/>
        </w:rPr>
        <w:t xml:space="preserve">磋商供应商的澄清文件是响应文件的组成部分。</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4.3 接到磋商小组澄清、说明或者更正要求的磋商供应商如未按规定作出，其风险由磋商供应商自行承担。</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5、对响应文件的初审</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5.1 响应文件初审分为资格性审查和符合性审查。</w:t>
      </w:r>
      <w:r/>
    </w:p>
    <w:p>
      <w:pPr>
        <w:ind w:firstLine="482"/>
        <w:jc w:val="left"/>
        <w:tabs>
          <w:tab w:val="left" w:pos="900" w:leader="none"/>
        </w:tabs>
        <w:rPr>
          <w:rFonts w:hint="eastAsia" w:ascii="宋体" w:hAnsi="宋体"/>
          <w:color w:val="auto"/>
          <w:highlight w:val="none"/>
        </w:rPr>
      </w:pPr>
      <w:r>
        <w:rPr>
          <w:rFonts w:hint="eastAsia" w:ascii="宋体" w:hAnsi="宋体"/>
          <w:b/>
          <w:color w:val="auto"/>
          <w:highlight w:val="none"/>
        </w:rPr>
        <w:t xml:space="preserve">资格性审查：</w:t>
      </w:r>
      <w:r>
        <w:rPr>
          <w:rFonts w:hint="eastAsia" w:ascii="宋体" w:hAnsi="宋体"/>
          <w:color w:val="auto"/>
          <w:highlight w:val="none"/>
        </w:rPr>
        <w:t xml:space="preserve">由磋商小组依据法律法规和磋商文件的规定，对响应文件中的资格证明文件进行审查，以确定供应商是否具备参加磋商的资格。</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hint="eastAsia" w:ascii="宋体" w:hAnsi="宋体"/>
          <w:color w:val="auto"/>
          <w:highlight w:val="none"/>
        </w:rPr>
      </w:pPr>
      <w:r>
        <w:rPr>
          <w:rFonts w:hint="eastAsia" w:ascii="宋体" w:hAnsi="宋体"/>
          <w:b/>
          <w:color w:val="auto"/>
          <w:highlight w:val="none"/>
        </w:rPr>
        <w:t xml:space="preserve">符合性审查：</w:t>
      </w:r>
      <w:r>
        <w:rPr>
          <w:rFonts w:hint="eastAsia" w:ascii="宋体" w:hAnsi="宋体" w:cs="宋体"/>
          <w:color w:val="auto"/>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color w:val="auto"/>
          <w:highlight w:val="none"/>
        </w:rPr>
        <w:t xml:space="preserve">。</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5.2 </w:t>
      </w:r>
      <w:r>
        <w:rPr>
          <w:rFonts w:hint="eastAsia" w:ascii="宋体" w:hAnsi="宋体" w:cs="宋体"/>
          <w:color w:val="auto"/>
          <w:highlight w:val="none"/>
        </w:rPr>
        <w:t xml:space="preserve">未通过资格审查或符合性审查的供应商，磋商小组将在苏采云系统中告知未通</w:t>
      </w:r>
      <w:r>
        <w:rPr>
          <w:rFonts w:hint="eastAsia" w:ascii="宋体" w:hAnsi="宋体"/>
          <w:color w:val="auto"/>
          <w:highlight w:val="none"/>
        </w:rPr>
        <w:t xml:space="preserve">过资格审查或符合性审查的原因，评审结束后，磋商小组将不再告知未通过资格审查或符合性审查的原因。</w:t>
      </w:r>
      <w:r/>
    </w:p>
    <w:p>
      <w:pPr>
        <w:ind w:firstLine="480"/>
        <w:jc w:val="left"/>
        <w:tabs>
          <w:tab w:val="left" w:pos="900" w:leader="none"/>
        </w:tabs>
        <w:rPr>
          <w:color w:val="auto"/>
          <w:highlight w:val="none"/>
        </w:rPr>
      </w:pPr>
      <w:r>
        <w:rPr>
          <w:rFonts w:hint="eastAsia" w:ascii="宋体" w:hAnsi="宋体"/>
          <w:color w:val="auto"/>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tabs>
          <w:tab w:val="left" w:pos="900" w:leader="none"/>
        </w:tabs>
        <w:rPr>
          <w:rFonts w:hint="eastAsia" w:ascii="宋体" w:hAnsi="宋体"/>
          <w:color w:val="auto"/>
          <w:highlight w:val="none"/>
        </w:rPr>
      </w:pPr>
      <w:r>
        <w:rPr>
          <w:rFonts w:hint="eastAsia" w:ascii="宋体" w:hAnsi="宋体" w:cs="宋体"/>
          <w:b/>
          <w:bCs/>
          <w:color w:val="auto"/>
          <w:highlight w:val="none"/>
        </w:rPr>
        <w:t xml:space="preserve">所谓重大偏离或保留</w:t>
      </w:r>
      <w:r>
        <w:rPr>
          <w:rFonts w:hint="eastAsia" w:ascii="宋体" w:hAnsi="宋体" w:cs="宋体"/>
          <w:color w:val="auto"/>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5.3 被认定为未实质性响应磋商文件的响应文件的情形：</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s="宋体"/>
          <w:color w:val="auto"/>
          <w:highlight w:val="none"/>
        </w:rPr>
        <w:t xml:space="preserve">供应商在苏采云系统规定的时间内未成功解密电子响应文件的</w:t>
      </w:r>
      <w:r>
        <w:rPr>
          <w:rFonts w:hint="eastAsia" w:ascii="宋体" w:hAnsi="宋体"/>
          <w:color w:val="auto"/>
          <w:highlight w:val="none"/>
        </w:rPr>
        <w:t xml:space="preserve">；</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（2）未按照磋商文件规定要求签署、盖章的；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（3）供应商在报价时采用选择性报价的；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（4）供应商不具备磋商文件中规定资格要求的；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（5）不符合法律、法规和磋商文件中规定的其他实质性要求和条件的（本磋商文件中标注★的款项为实质性要求和条件）；</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cs="宋体"/>
          <w:color w:val="auto"/>
          <w:highlight w:val="none"/>
          <w:lang w:bidi="ar"/>
        </w:rPr>
        <w:t xml:space="preserve">未按磋商文件要求提供电子响应文件或者电子响应文件未能解密（指磋商供应商自身原因）且按照磋商文件明确的响应文件解密失败后补救方案（仅响应文件现场开启适用）补救不成功的</w:t>
      </w:r>
      <w:r>
        <w:rPr>
          <w:rFonts w:hint="eastAsia" w:ascii="宋体" w:hAnsi="宋体" w:cs="宋体"/>
          <w:color w:val="auto"/>
          <w:highlight w:val="none"/>
        </w:rPr>
        <w:t xml:space="preserve">；</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（7）磋商供应商提交的电子响应文件、响应文件备份U盘（仅响应文件现场开启适用）均因其自身原因出现问题导致无法电子评审的；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（8）同一供应商提交两个（含两个）以上不同的响应报价的。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（9）响应报价超过了采购预算或最高限价的。 </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（10）未通过符合性检查的。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（11）不符合法律、法规和磋商文件中规定的其他实质性要求的。</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（13）响应文件含有采购人不能接受的附加条件的。</w:t>
      </w:r>
      <w:r/>
    </w:p>
    <w:p>
      <w:pPr>
        <w:ind w:firstLine="480"/>
        <w:jc w:val="left"/>
        <w:tabs>
          <w:tab w:val="left" w:pos="900" w:leader="none"/>
        </w:tabs>
        <w:rPr>
          <w:rFonts w:hint="eastAsia" w:ascii="宋体" w:hAnsi="宋体"/>
          <w:b/>
          <w:bCs/>
          <w:color w:val="auto"/>
          <w:highlight w:val="none"/>
        </w:rPr>
      </w:pPr>
      <w:r>
        <w:rPr>
          <w:rFonts w:hint="eastAsia" w:ascii="宋体" w:hAnsi="宋体"/>
          <w:color w:val="auto"/>
          <w:highlight w:val="none"/>
        </w:rPr>
        <w:t xml:space="preserve">（14）</w:t>
      </w:r>
      <w:r>
        <w:rPr>
          <w:rFonts w:hint="eastAsia" w:ascii="宋体" w:hAnsi="宋体"/>
          <w:b/>
          <w:bCs/>
          <w:color w:val="auto"/>
          <w:highlight w:val="none"/>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tabs>
          <w:tab w:val="left" w:pos="900" w:leader="none"/>
        </w:tabs>
        <w:rPr>
          <w:rFonts w:hint="eastAsia" w:ascii="宋体" w:hAnsi="宋体"/>
          <w:color w:val="auto"/>
          <w:highlight w:val="none"/>
        </w:rPr>
      </w:pPr>
      <w:r>
        <w:rPr>
          <w:rFonts w:hint="eastAsia" w:ascii="宋体" w:hAnsi="宋体"/>
          <w:color w:val="auto"/>
          <w:highlight w:val="none"/>
        </w:rPr>
        <w:t xml:space="preserve">（16）响应文件未按照磋商文件要求加盖电子签章。</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（17）供应商的商务技术部分得分相差悬殊，评标委员会认为得分畸低者没有实质性响应的。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（18）供应商在系统规定的时间内未成功解密电子响应文件的。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（19）未完整上传响应文件电子文档的，或上传的文件打不开的。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（20）</w:t>
      </w:r>
      <w:r>
        <w:rPr>
          <w:rFonts w:hint="eastAsia" w:ascii="宋体" w:hAnsi="宋体" w:eastAsia="宋体" w:cs="宋体"/>
          <w:color w:val="auto"/>
          <w:highlight w:val="none"/>
        </w:rPr>
        <w:t xml:space="preserve">不同的供应商响应文件制作机器码、文件创建标识码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IP地址</w:t>
      </w:r>
      <w:r>
        <w:rPr>
          <w:rFonts w:hint="eastAsia" w:ascii="宋体" w:hAnsi="宋体" w:eastAsia="宋体" w:cs="宋体"/>
          <w:color w:val="auto"/>
          <w:highlight w:val="none"/>
        </w:rPr>
        <w:t xml:space="preserve">一致的</w:t>
      </w:r>
      <w:r>
        <w:rPr>
          <w:rFonts w:hint="eastAsia" w:ascii="宋体" w:hAnsi="宋体" w:cs="宋体"/>
          <w:color w:val="auto"/>
          <w:highlight w:val="none"/>
        </w:rPr>
        <w:t xml:space="preserve">。</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（21）其他法律、法规及本磋商文件规定的属于未实质性响应的情形。</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5.4 </w:t>
      </w:r>
      <w:r>
        <w:rPr>
          <w:rFonts w:hint="eastAsia" w:ascii="宋体" w:hAnsi="宋体" w:cs="宋体"/>
          <w:b/>
          <w:color w:val="auto"/>
          <w:highlight w:val="none"/>
        </w:rPr>
        <w:t xml:space="preserve">未实质性响应磋商文件的响应文件按无效响应处理</w:t>
      </w:r>
      <w:r>
        <w:rPr>
          <w:rFonts w:hint="eastAsia" w:ascii="宋体" w:hAnsi="宋体" w:cs="宋体"/>
          <w:color w:val="auto"/>
          <w:highlight w:val="none"/>
        </w:rPr>
        <w:t xml:space="preserve">，磋商小组应当告知提交响应文件的磋商供应商。磋商供应商不得通过修改或撤销不符合要求的偏离或保留而使其响应文件成为实质性响应的文件。</w:t>
      </w:r>
      <w:r/>
    </w:p>
    <w:p>
      <w:pPr>
        <w:ind w:firstLine="480"/>
        <w:jc w:val="left"/>
        <w:spacing w:line="560" w:lineRule="exact"/>
        <w:rPr>
          <w:rFonts w:hint="eastAsia" w:ascii="宋体" w:hAnsi="宋体"/>
          <w:color w:val="auto"/>
          <w:szCs w:val="22"/>
          <w:highlight w:val="none"/>
        </w:rPr>
      </w:pPr>
      <w:r>
        <w:rPr>
          <w:rFonts w:hint="eastAsia" w:ascii="宋体" w:hAnsi="宋体"/>
          <w:color w:val="auto"/>
          <w:szCs w:val="22"/>
          <w:highlight w:val="none"/>
        </w:rPr>
        <w:t xml:space="preserve">5.5响应文件报价出现前后不一致的，按照下列规定修正：</w:t>
      </w:r>
      <w:r/>
    </w:p>
    <w:p>
      <w:pPr>
        <w:ind w:firstLine="480"/>
        <w:jc w:val="left"/>
        <w:spacing w:line="560" w:lineRule="exact"/>
        <w:rPr>
          <w:rFonts w:hint="eastAsia" w:ascii="宋体" w:hAnsi="宋体"/>
          <w:color w:val="auto"/>
          <w:szCs w:val="22"/>
          <w:highlight w:val="none"/>
        </w:rPr>
      </w:pPr>
      <w:r>
        <w:rPr>
          <w:rFonts w:hint="eastAsia" w:ascii="宋体" w:hAnsi="宋体"/>
          <w:color w:val="auto"/>
          <w:szCs w:val="22"/>
          <w:highlight w:val="none"/>
        </w:rPr>
        <w:t xml:space="preserve">（1）响应文件中开标一览表（首次磋商报价表）内容与响应文件中相应内容不一致的，以开标一览表（首次磋商报价表）为准；</w:t>
      </w:r>
      <w:r/>
    </w:p>
    <w:p>
      <w:pPr>
        <w:ind w:firstLine="480"/>
        <w:jc w:val="left"/>
        <w:spacing w:line="560" w:lineRule="exact"/>
        <w:rPr>
          <w:rFonts w:hint="eastAsia" w:ascii="宋体" w:hAnsi="宋体"/>
          <w:color w:val="auto"/>
          <w:szCs w:val="22"/>
          <w:highlight w:val="none"/>
        </w:rPr>
      </w:pPr>
      <w:r>
        <w:rPr>
          <w:rFonts w:hint="eastAsia" w:ascii="宋体" w:hAnsi="宋体"/>
          <w:color w:val="auto"/>
          <w:szCs w:val="22"/>
          <w:highlight w:val="none"/>
        </w:rPr>
        <w:t xml:space="preserve">（2）大写金额和小写金额不一致的，以大写金额为准；</w:t>
      </w:r>
      <w:r/>
    </w:p>
    <w:p>
      <w:pPr>
        <w:ind w:firstLine="480"/>
        <w:jc w:val="left"/>
        <w:spacing w:line="560" w:lineRule="exact"/>
        <w:rPr>
          <w:rFonts w:hint="eastAsia" w:ascii="宋体" w:hAnsi="宋体"/>
          <w:color w:val="auto"/>
          <w:szCs w:val="22"/>
          <w:highlight w:val="none"/>
        </w:rPr>
      </w:pPr>
      <w:r>
        <w:rPr>
          <w:rFonts w:hint="eastAsia" w:ascii="宋体" w:hAnsi="宋体"/>
          <w:color w:val="auto"/>
          <w:szCs w:val="22"/>
          <w:highlight w:val="none"/>
        </w:rPr>
        <w:t xml:space="preserve">（3）单价金额小数点或者百分比有明显错位的，以开标一览表的总价为准，并修改单价；</w:t>
      </w:r>
      <w:r/>
    </w:p>
    <w:p>
      <w:pPr>
        <w:ind w:firstLine="480"/>
        <w:jc w:val="left"/>
        <w:spacing w:line="560" w:lineRule="exact"/>
        <w:rPr>
          <w:rFonts w:hint="eastAsia" w:ascii="宋体" w:hAnsi="宋体"/>
          <w:color w:val="auto"/>
          <w:szCs w:val="22"/>
          <w:highlight w:val="none"/>
        </w:rPr>
      </w:pPr>
      <w:r>
        <w:rPr>
          <w:rFonts w:hint="eastAsia" w:ascii="宋体" w:hAnsi="宋体"/>
          <w:color w:val="auto"/>
          <w:szCs w:val="22"/>
          <w:highlight w:val="none"/>
        </w:rPr>
        <w:t xml:space="preserve">（4）总价金额与按单价汇总金额不一致的，以单价金额计算结果为准。</w:t>
      </w:r>
      <w:r/>
    </w:p>
    <w:p>
      <w:pPr>
        <w:ind w:firstLine="480"/>
        <w:jc w:val="left"/>
        <w:spacing w:line="560" w:lineRule="exact"/>
        <w:rPr>
          <w:color w:val="auto"/>
          <w:sz w:val="21"/>
          <w:szCs w:val="22"/>
          <w:highlight w:val="none"/>
        </w:rPr>
      </w:pPr>
      <w:r>
        <w:rPr>
          <w:rFonts w:hint="eastAsia" w:ascii="宋体" w:hAnsi="宋体"/>
          <w:color w:val="auto"/>
          <w:szCs w:val="22"/>
          <w:highlight w:val="none"/>
        </w:rPr>
        <w:t xml:space="preserve">同时出现两种以上不一致的，按照前款规定的顺序修正。修正后的报价按政府采购有关规定经供应商确认后产生约束力，供应商不确认的，其投标无效。</w:t>
      </w:r>
      <w:r/>
    </w:p>
    <w:p>
      <w:pPr>
        <w:ind w:firstLine="480"/>
        <w:jc w:val="left"/>
        <w:spacing w:line="500" w:lineRule="exact"/>
        <w:rPr>
          <w:color w:val="auto"/>
          <w:highlight w:val="none"/>
        </w:rPr>
      </w:pPr>
      <w:r>
        <w:rPr>
          <w:rFonts w:hint="eastAsia" w:ascii="宋体" w:hAnsi="宋体"/>
          <w:color w:val="auto"/>
          <w:szCs w:val="22"/>
          <w:highlight w:val="none"/>
        </w:rPr>
        <w:t xml:space="preserve">(5)</w:t>
      </w:r>
      <w:r>
        <w:rPr>
          <w:rFonts w:hint="eastAsia"/>
          <w:color w:val="auto"/>
          <w:highlight w:val="none"/>
        </w:rPr>
        <w:t xml:space="preserve">政府采购异常低价审查：</w:t>
      </w:r>
      <w:r/>
    </w:p>
    <w:p>
      <w:pPr>
        <w:ind w:firstLine="480"/>
        <w:jc w:val="left"/>
        <w:spacing w:line="500" w:lineRule="exact"/>
        <w:rPr>
          <w:color w:val="auto"/>
          <w:highlight w:val="none"/>
        </w:rPr>
      </w:pPr>
      <w:r>
        <w:rPr>
          <w:rFonts w:hint="eastAsia"/>
          <w:color w:val="auto"/>
          <w:highlight w:val="none"/>
        </w:rPr>
        <w:t xml:space="preserve">（1）评审过程中出现下列情形之一的，评标委员会应当启动异常低价投标（响应）审查程序：</w:t>
      </w:r>
      <w:r/>
    </w:p>
    <w:p>
      <w:pPr>
        <w:ind w:firstLine="480"/>
        <w:jc w:val="left"/>
        <w:spacing w:line="500" w:lineRule="exact"/>
        <w:rPr>
          <w:color w:val="auto"/>
          <w:highlight w:val="none"/>
        </w:rPr>
      </w:pPr>
      <w:r>
        <w:rPr>
          <w:rFonts w:hint="eastAsia"/>
          <w:color w:val="auto"/>
          <w:highlight w:val="none"/>
        </w:rPr>
        <w:t xml:space="preserve">①投标（响应）报价低于全部通过符合性审查供应商投标（响应）报价平均值</w:t>
      </w:r>
      <w:r>
        <w:rPr>
          <w:rFonts w:hint="eastAsia"/>
          <w:color w:val="auto"/>
          <w:highlight w:val="none"/>
          <w:lang w:val="en-US" w:eastAsia="zh-CN"/>
        </w:rPr>
        <w:t xml:space="preserve">65</w:t>
      </w:r>
      <w:r>
        <w:rPr>
          <w:rFonts w:hint="eastAsia"/>
          <w:color w:val="auto"/>
          <w:highlight w:val="none"/>
        </w:rPr>
        <w:t xml:space="preserve">%的，即投标（响应）报价&lt;全部通过符合性审查供应商投标（响应）报价平均值×</w:t>
      </w:r>
      <w:r>
        <w:rPr>
          <w:rFonts w:hint="eastAsia"/>
          <w:color w:val="auto"/>
          <w:highlight w:val="none"/>
          <w:lang w:val="en-US" w:eastAsia="zh-CN"/>
        </w:rPr>
        <w:t xml:space="preserve">65</w:t>
      </w:r>
      <w:r>
        <w:rPr>
          <w:rFonts w:hint="eastAsia"/>
          <w:color w:val="auto"/>
          <w:highlight w:val="none"/>
        </w:rPr>
        <w:t xml:space="preserve">%</w:t>
      </w:r>
      <w:r>
        <w:rPr>
          <w:rFonts w:hint="eastAsia"/>
          <w:color w:val="auto"/>
          <w:highlight w:val="none"/>
        </w:rPr>
        <w:t xml:space="preserve">；</w:t>
      </w:r>
      <w:r/>
    </w:p>
    <w:p>
      <w:pPr>
        <w:ind w:firstLine="480"/>
        <w:jc w:val="left"/>
        <w:spacing w:line="500" w:lineRule="exact"/>
        <w:rPr>
          <w:color w:val="auto"/>
          <w:highlight w:val="none"/>
        </w:rPr>
      </w:pPr>
      <w:r>
        <w:rPr>
          <w:rFonts w:hint="eastAsia"/>
          <w:color w:val="auto"/>
          <w:highlight w:val="none"/>
        </w:rPr>
        <w:t xml:space="preserve">②投标（响应）报价低于通过符合性审查的次低报价供应商投标（响应）报价</w:t>
      </w:r>
      <w:r>
        <w:rPr>
          <w:rFonts w:hint="eastAsia"/>
          <w:color w:val="auto"/>
          <w:highlight w:val="none"/>
          <w:lang w:val="en-US" w:eastAsia="zh-CN"/>
        </w:rPr>
        <w:t xml:space="preserve">65</w:t>
      </w:r>
      <w:r>
        <w:rPr>
          <w:rFonts w:hint="eastAsia"/>
          <w:color w:val="auto"/>
          <w:highlight w:val="none"/>
        </w:rPr>
        <w:t xml:space="preserve">%</w:t>
      </w:r>
      <w:r>
        <w:rPr>
          <w:rFonts w:hint="eastAsia"/>
          <w:color w:val="auto"/>
          <w:highlight w:val="none"/>
        </w:rPr>
        <w:t xml:space="preserve">的，即投标（响应）报价&lt;通过符合性审查的次低报价供应商投标（响应）报价×</w:t>
      </w:r>
      <w:r>
        <w:rPr>
          <w:rFonts w:hint="eastAsia"/>
          <w:color w:val="auto"/>
          <w:highlight w:val="none"/>
          <w:lang w:val="en-US" w:eastAsia="zh-CN"/>
        </w:rPr>
        <w:t xml:space="preserve">65</w:t>
      </w:r>
      <w:r>
        <w:rPr>
          <w:rFonts w:hint="eastAsia"/>
          <w:color w:val="auto"/>
          <w:highlight w:val="none"/>
        </w:rPr>
        <w:t xml:space="preserve">%</w:t>
      </w:r>
      <w:r>
        <w:rPr>
          <w:rFonts w:hint="eastAsia"/>
          <w:color w:val="auto"/>
          <w:highlight w:val="none"/>
        </w:rPr>
        <w:t xml:space="preserve">；</w:t>
      </w:r>
      <w:r/>
    </w:p>
    <w:p>
      <w:pPr>
        <w:ind w:firstLine="480"/>
        <w:jc w:val="left"/>
        <w:spacing w:line="500" w:lineRule="exact"/>
        <w:rPr>
          <w:color w:val="auto"/>
          <w:highlight w:val="none"/>
        </w:rPr>
      </w:pPr>
      <w:r>
        <w:rPr>
          <w:rFonts w:hint="eastAsia"/>
          <w:color w:val="auto"/>
          <w:highlight w:val="none"/>
        </w:rPr>
        <w:t xml:space="preserve">③投标（响应）报价低于采购项目最高限价</w:t>
      </w:r>
      <w:r>
        <w:rPr>
          <w:rFonts w:hint="eastAsia"/>
          <w:color w:val="auto"/>
          <w:highlight w:val="none"/>
          <w:lang w:val="en-US" w:eastAsia="zh-CN"/>
        </w:rPr>
        <w:t xml:space="preserve">65</w:t>
      </w:r>
      <w:r>
        <w:rPr>
          <w:rFonts w:hint="eastAsia"/>
          <w:color w:val="auto"/>
          <w:highlight w:val="none"/>
        </w:rPr>
        <w:t xml:space="preserve">%</w:t>
      </w:r>
      <w:r>
        <w:rPr>
          <w:rFonts w:hint="eastAsia"/>
          <w:color w:val="auto"/>
          <w:highlight w:val="none"/>
        </w:rPr>
        <w:t xml:space="preserve">的，即投标（响应）报价&lt;采购项目最高限价×</w:t>
      </w:r>
      <w:r>
        <w:rPr>
          <w:rFonts w:hint="eastAsia"/>
          <w:color w:val="auto"/>
          <w:highlight w:val="none"/>
          <w:lang w:val="en-US" w:eastAsia="zh-CN"/>
        </w:rPr>
        <w:t xml:space="preserve">65</w:t>
      </w:r>
      <w:r>
        <w:rPr>
          <w:rFonts w:hint="eastAsia"/>
          <w:color w:val="auto"/>
          <w:highlight w:val="none"/>
        </w:rPr>
        <w:t xml:space="preserve">%</w:t>
      </w:r>
      <w:r>
        <w:rPr>
          <w:rFonts w:hint="eastAsia"/>
          <w:color w:val="auto"/>
          <w:highlight w:val="none"/>
        </w:rPr>
        <w:t xml:space="preserve">；</w:t>
      </w:r>
      <w:r>
        <w:rPr>
          <w:rFonts w:hint="eastAsia"/>
          <w:color w:val="auto"/>
          <w:highlight w:val="none"/>
        </w:rPr>
      </w:r>
      <w:r/>
    </w:p>
    <w:p>
      <w:pPr>
        <w:ind w:firstLine="480"/>
        <w:jc w:val="left"/>
        <w:spacing w:line="500" w:lineRule="exact"/>
        <w:rPr>
          <w:color w:val="auto"/>
          <w:highlight w:val="none"/>
        </w:rPr>
      </w:pPr>
      <w:r>
        <w:rPr>
          <w:rFonts w:hint="eastAsia"/>
          <w:color w:val="auto"/>
          <w:highlight w:val="none"/>
        </w:rPr>
        <w:t xml:space="preserve">④评审委员会基于专业判断，认为供应商报价过低，有可能影响产品质量或者不能诚信履约的其他情形。</w:t>
      </w:r>
      <w:r/>
    </w:p>
    <w:p>
      <w:pPr>
        <w:ind w:firstLine="480"/>
        <w:jc w:val="left"/>
        <w:spacing w:line="500" w:lineRule="exact"/>
        <w:rPr>
          <w:color w:val="auto"/>
          <w:highlight w:val="none"/>
        </w:rPr>
      </w:pPr>
      <w:r>
        <w:rPr>
          <w:rFonts w:hint="eastAsia"/>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auto"/>
          <w:highlight w:val="none"/>
        </w:rPr>
      </w:pPr>
      <w:r>
        <w:rPr>
          <w:rFonts w:hint="eastAsia"/>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cs="宋体"/>
          <w:color w:val="auto"/>
          <w:highlight w:val="none"/>
        </w:rPr>
      </w:pPr>
      <w:r>
        <w:rPr>
          <w:rFonts w:hint="eastAsia"/>
          <w:color w:val="auto"/>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6、磋商程序及成交原则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6.1 磋商程序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6.1.1 对于通过资格性和符合性审查的供应商，磋商小组所有成员将集中与单一供应商分别进行磋商。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从评标系统发起）同时通知所有参加磋商的供应商。</w:t>
      </w:r>
      <w:r>
        <w:rPr>
          <w:rFonts w:hint="eastAsia" w:ascii="宋体" w:hAnsi="宋体" w:cs="宋体"/>
          <w:b/>
          <w:bCs/>
          <w:color w:val="auto"/>
          <w:highlight w:val="none"/>
          <w:lang w:bidi="ar"/>
        </w:rPr>
        <w:t xml:space="preserve">供应商应当按照磋商文件的变动情况和磋商小组的要求，通过江苏政府采购网苏采云系统重新提交响应文件，并使用CA数字证书签章后提交。</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6.1.2 磋商文件能够详细列明采购标的的技术、服务要求的，磋商结束后，磋商小组将要求所有实质性响应的供应商在规定时间内提交最后报价，提交最后报价的供应商不得少于3 家。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磋商文件不能详细列明采购标的的技术、服务要求，需经磋商由供应商提供最终设计方案或解决方案的，磋商结束后，磋商小组将按照少数服从多数的原则投票推荐 3 家以上供应商的设计方案或者解决方案，并要求其在规定时间内提交最后报价。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最后报价是供应商响应文件的有效组成部分。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6.1.3 磋商供应商未在磋商小组规定的时间内完成最后报价的视为放弃磋商，其磋商响应按无效响应处理。</w:t>
      </w:r>
      <w:r>
        <w:rPr>
          <w:rFonts w:hint="eastAsia" w:ascii="宋体" w:hAnsi="宋体" w:cs="宋体"/>
          <w:b/>
          <w:bCs/>
          <w:color w:val="auto"/>
          <w:highlight w:val="none"/>
          <w:lang w:bidi="ar"/>
        </w:rPr>
        <w:t xml:space="preserve">最后报价须江苏政府采购网苏采云系统作出，并使用 CA 数字证书签章后提交。</w:t>
      </w:r>
      <w:r>
        <w:rPr>
          <w:rFonts w:hint="eastAsia" w:ascii="宋体" w:hAnsi="宋体" w:cs="宋体"/>
          <w:color w:val="auto"/>
          <w:highlight w:val="none"/>
          <w:lang w:bidi="ar"/>
        </w:rPr>
        <w:t xml:space="preserve">已提交响应文件的供应商，在提交最后报价之前，可以根据磋商情况退出磋商。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6.2 成交原则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6.2.1 磋商小组从质量和服务均能满足磋商文件实质性响应要求的供应商中，按照最后报价由低到高的顺序提出3名成交候选人，并编写评审报告。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除落实政府采购政策需进行的价格扣除外，不对磋商供应商的最后报价进行任何调整，详见“八、政策功能”。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6.2.2 供应商的最后报价如相同，根据项目属性按如下顺序确定成交供应商： </w:t>
      </w:r>
      <w:r/>
    </w:p>
    <w:p>
      <w:pPr>
        <w:ind w:firstLine="482"/>
        <w:jc w:val="left"/>
        <w:widowControl/>
        <w:rPr>
          <w:rFonts w:hint="eastAsia" w:ascii="宋体" w:hAnsi="宋体" w:cs="宋体"/>
          <w:color w:val="auto"/>
          <w:highlight w:val="none"/>
        </w:rPr>
      </w:pPr>
      <w:r>
        <w:rPr>
          <w:rFonts w:hint="eastAsia" w:ascii="宋体" w:hAnsi="宋体" w:cs="宋体"/>
          <w:color w:val="auto"/>
          <w:highlight w:val="none"/>
          <w:lang w:bidi="ar"/>
        </w:rPr>
        <w:t xml:space="preserve">项目属性为货物则优先采购“环境标志产品”或“节能产品”；若均非“环境标志产品” 或“节能产品”，则将优先采购质保期长者；若质保期均一致，则优先采购交货期短者；若交货期（工期）均一致，则采取抽签方式确定成交供应商。 </w:t>
      </w:r>
      <w:r/>
    </w:p>
    <w:p>
      <w:pPr>
        <w:ind w:firstLine="480"/>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环境标志产品是指列入财政部、环境保护部《环境标志产品政府采购品目清单》，具有国家确定的认证机构出具的、处于有效期之内的环境标志产品认证证书的产品；节能产品是指 列入财政部、发展改革委《节能产品政府采购品目清单》，具有国家确定的认证机构出具的、 处于有效期之内的节能产品认证证书的产品。 </w:t>
      </w:r>
      <w:r/>
    </w:p>
    <w:p>
      <w:pPr>
        <w:ind w:firstLine="482"/>
        <w:jc w:val="left"/>
        <w:widowControl/>
        <w:rPr>
          <w:rFonts w:hint="eastAsia" w:ascii="宋体" w:hAnsi="宋体" w:cs="宋体"/>
          <w:color w:val="auto"/>
          <w:highlight w:val="none"/>
        </w:rPr>
      </w:pPr>
      <w:r>
        <w:rPr>
          <w:rFonts w:hint="eastAsia" w:ascii="宋体" w:hAnsi="宋体" w:cs="宋体"/>
          <w:color w:val="auto"/>
          <w:highlight w:val="none"/>
          <w:lang w:bidi="ar"/>
        </w:rPr>
        <w:t xml:space="preserve">项目属性为施工服务如最终报价相同及工期一致则直接采取抽签方式确定成交供应商。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6.2.3 本项目各分项最终结算价按照磋商首次报价与最后报价同比例变动。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6.3 采购活动终止的情况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出现下列情形之一的，本次竞争性磋商采购活动将被终止：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（1）因情况变化，不再符合规定的竞争性磋商采购方式适用情形的；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（2）出现影响采购公正的违法、违规行为的；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（3）在磋商过程中符合竞争要求的供应商或者报价未超过采购预算（最高限价）的供应商不足 3 家的；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（4）因重大变故，采购任务取消的。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7、响应文件现场开启特殊情况处理（采用不见面交易方式采购的本条款不适用）</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7.1 因“开评标系统”自身故障，开标活动无法正常进行时，将使用响应文件备份 U 盘继续进行响应文件开启。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“开评标系统”自身故障是指非供应商原因造成所有供应商电子响应文件均无法解密的情形，部分响应文件无法解密的，不适用该条款。 </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bidi="ar"/>
        </w:rPr>
        <w:t xml:space="preserve">对于不同载体的响应文件，开启、评审及认定顺序为电子响应文件、备份 U 盘，前项不能读取的可按后项评审。 </w:t>
      </w:r>
      <w:r/>
    </w:p>
    <w:p>
      <w:pPr>
        <w:pStyle w:val="1205"/>
        <w:rPr>
          <w:rFonts w:hint="eastAsia" w:ascii="宋体" w:hAnsi="宋体" w:cs="宋体"/>
          <w:color w:val="auto"/>
          <w:highlight w:val="none"/>
        </w:rPr>
      </w:pPr>
      <w:r>
        <w:rPr>
          <w:rFonts w:hint="eastAsia" w:ascii="宋体" w:hAnsi="宋体" w:cs="宋体"/>
          <w:color w:val="auto"/>
          <w:highlight w:val="none"/>
        </w:rPr>
        <w:t xml:space="preserve">六、成交</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80"/>
        <w:jc w:val="left"/>
        <w:tabs>
          <w:tab w:val="left" w:pos="900" w:leader="none"/>
        </w:tabs>
        <w:rPr>
          <w:rFonts w:hint="eastAsia" w:ascii="宋体" w:hAnsi="宋体" w:cs="宋体"/>
          <w:b/>
          <w:bCs/>
          <w:color w:val="auto"/>
          <w:highlight w:val="none"/>
          <w:lang w:bidi="ar"/>
        </w:rPr>
      </w:pPr>
      <w:r>
        <w:rPr>
          <w:rFonts w:hint="eastAsia" w:ascii="宋体" w:hAnsi="宋体" w:cs="宋体"/>
          <w:color w:val="auto"/>
          <w:highlight w:val="none"/>
        </w:rPr>
        <w:t xml:space="preserve">1.1 </w:t>
      </w:r>
      <w:r>
        <w:rPr>
          <w:rFonts w:hint="eastAsia" w:ascii="宋体" w:hAnsi="宋体" w:cs="宋体"/>
          <w:color w:val="auto"/>
          <w:highlight w:val="none"/>
          <w:lang w:bidi="ar"/>
        </w:rPr>
        <w:t xml:space="preserve">根据采购人授权，磋商小组直接确定第一成交候选人为成交供应商。采购代理机构将在江苏省政府采购网公告成交结果，成交公告期限为1个工作日，同时向成交供应商发出成交通知书。</w:t>
      </w:r>
      <w:r>
        <w:rPr>
          <w:rFonts w:hint="eastAsia" w:ascii="宋体" w:hAnsi="宋体" w:cs="宋体"/>
          <w:b/>
          <w:bCs/>
          <w:color w:val="auto"/>
          <w:highlight w:val="none"/>
          <w:lang w:bidi="ar"/>
        </w:rPr>
        <w:t xml:space="preserve">成交供应商在领取成交通知书时，必须提供五份与电子响应文件一致的纸质打印文件。</w:t>
      </w:r>
      <w:r/>
    </w:p>
    <w:p>
      <w:pPr>
        <w:ind w:firstLine="480"/>
        <w:jc w:val="left"/>
        <w:tabs>
          <w:tab w:val="left" w:pos="900" w:leader="none"/>
        </w:tabs>
        <w:rPr>
          <w:rFonts w:hint="eastAsia" w:ascii="宋体" w:hAnsi="宋体" w:cs="宋体"/>
          <w:b/>
          <w:bCs/>
          <w:color w:val="auto"/>
          <w:highlight w:val="none"/>
          <w:lang w:bidi="ar"/>
        </w:rPr>
      </w:pPr>
      <w:r>
        <w:rPr>
          <w:rFonts w:hint="eastAsia" w:ascii="宋体" w:hAnsi="宋体"/>
          <w:color w:val="auto"/>
          <w:highlight w:val="none"/>
        </w:rPr>
        <w:t xml:space="preserve">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2、成交供应商有下列情形之一的，将取消其成交资格：</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（1）提供虚假材料谋取成交的；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（2）与评审专家、采购人、其他供应商或者采购代理机构工作人员恶意串通的；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（3）向评审专家、采购人或采购代理机构工作人员行贿或者提供其他不正当利益的；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（4）恶意竞争，最终总报价明显低于其自身合理成本且又无法提供证明的；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（5）属于本文件规定的无效条件，但在评审过程中又未被磋商小组发现的；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（6）采取不正当手段诋毁、排挤其他供应商的；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（7）成交后无正当理由拒不与采购人签订政府采购合同或者未按照磋商文件确定的事项签订政府采购合同的；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（8）将政府采购合同转包的；</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（9）法律、法规、规章规定的属于成交无效的其他情形。</w:t>
      </w:r>
      <w:r/>
    </w:p>
    <w:p>
      <w:pPr>
        <w:pStyle w:val="1205"/>
        <w:rPr>
          <w:rFonts w:hint="eastAsia" w:ascii="宋体" w:hAnsi="宋体" w:cs="宋体"/>
          <w:color w:val="auto"/>
          <w:highlight w:val="none"/>
        </w:rPr>
      </w:pPr>
      <w:r>
        <w:rPr>
          <w:rFonts w:hint="eastAsia" w:ascii="宋体" w:hAnsi="宋体" w:cs="宋体"/>
          <w:color w:val="auto"/>
          <w:highlight w:val="none"/>
        </w:rPr>
        <w:t xml:space="preserve">七、合同签订相关事项</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1、签订合同</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 磋商文件、成交供应商的响应文件及磋商采购过程中有关澄清、承诺文件均作为合同附件。</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1.3 </w:t>
      </w:r>
      <w:r>
        <w:rPr>
          <w:rFonts w:hint="eastAsia" w:ascii="宋体" w:hAnsi="宋体" w:cs="宋体"/>
          <w:b/>
          <w:color w:val="auto"/>
          <w:highlight w:val="none"/>
        </w:rPr>
        <w:t xml:space="preserve">签订合同后，成交供应商不得将成交产品或服务进行转包。</w:t>
      </w:r>
      <w:r>
        <w:rPr>
          <w:rFonts w:hint="eastAsia" w:ascii="宋体" w:hAnsi="宋体" w:cs="宋体"/>
          <w:color w:val="auto"/>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2、履约保证金（本项目不收取履约保证金）</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 履约保证金自合同生效之日起至合同约定的成交供应商主要义务履行完毕止，采购人按合同约定退还履约保证金。</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hint="eastAsia" w:ascii="宋体" w:hAnsi="宋体" w:cs="宋体"/>
          <w:color w:val="auto"/>
          <w:szCs w:val="21"/>
          <w:highlight w:val="none"/>
        </w:rPr>
      </w:pPr>
      <w:r>
        <w:rPr>
          <w:rFonts w:hint="eastAsia" w:ascii="宋体" w:hAnsi="宋体" w:cs="宋体"/>
          <w:color w:val="auto"/>
          <w:highlight w:val="none"/>
        </w:rPr>
        <w:t xml:space="preserve">2.4 本项目履约保证金要求详见第四章“项目需求”。</w:t>
      </w:r>
      <w:r/>
    </w:p>
    <w:p>
      <w:pPr>
        <w:ind w:firstLine="0"/>
        <w:keepLines/>
        <w:keepNext/>
        <w:rPr>
          <w:rFonts w:hint="eastAsia" w:ascii="宋体" w:hAnsi="宋体" w:cs="宋体"/>
          <w:b/>
          <w:bCs/>
          <w:color w:val="auto"/>
          <w:szCs w:val="32"/>
          <w:highlight w:val="none"/>
        </w:rPr>
        <w:outlineLvl w:val="1"/>
      </w:pPr>
      <w:r>
        <w:rPr>
          <w:rFonts w:hint="eastAsia" w:ascii="宋体" w:hAnsi="宋体" w:cs="宋体"/>
          <w:b/>
          <w:bCs/>
          <w:color w:val="auto"/>
          <w:szCs w:val="32"/>
          <w:highlight w:val="none"/>
        </w:rPr>
        <w:t xml:space="preserve">八、政策功能</w:t>
      </w:r>
      <w:bookmarkEnd w:id="97"/>
      <w:r/>
      <w:bookmarkEnd w:id="98"/>
      <w:r/>
      <w:bookmarkEnd w:id="99"/>
      <w:r/>
      <w:r/>
    </w:p>
    <w:p>
      <w:pPr>
        <w:ind w:firstLine="480"/>
        <w:rPr>
          <w:color w:val="auto"/>
          <w:highlight w:val="none"/>
        </w:rPr>
      </w:pPr>
      <w:r>
        <w:rPr>
          <w:rFonts w:hint="eastAsia" w:ascii="宋体" w:hAnsi="宋体" w:cs="宋体"/>
          <w:color w:val="auto"/>
          <w:highlight w:val="none"/>
        </w:rPr>
        <w:t xml:space="preserve">1、</w:t>
      </w:r>
      <w:r>
        <w:rPr>
          <w:rFonts w:hint="eastAsia"/>
          <w:color w:val="auto"/>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rPr>
          <w:color w:val="auto"/>
          <w:highlight w:val="none"/>
        </w:rPr>
      </w:pPr>
      <w:r>
        <w:rPr>
          <w:rFonts w:hint="eastAsia"/>
          <w:color w:val="auto"/>
          <w:highlight w:val="none"/>
        </w:rPr>
        <w:t xml:space="preserve">2、参加本项目政府采购活动的供应商应当提供的材料： </w:t>
      </w:r>
      <w:r/>
    </w:p>
    <w:p>
      <w:pPr>
        <w:ind w:firstLine="480"/>
        <w:jc w:val="left"/>
        <w:spacing w:line="500" w:lineRule="exact"/>
        <w:rPr>
          <w:color w:val="auto"/>
          <w:highlight w:val="none"/>
        </w:rPr>
      </w:pPr>
      <w:r>
        <w:rPr>
          <w:rFonts w:hint="eastAsia"/>
          <w:color w:val="auto"/>
          <w:highlight w:val="none"/>
        </w:rPr>
        <w:t xml:space="preserve">2.1供应商为小型企业、微型企业的，提供《中小企业声明函》（第六章 磋商响应文件格式）。</w:t>
      </w:r>
      <w:r/>
    </w:p>
    <w:p>
      <w:pPr>
        <w:ind w:firstLine="480"/>
        <w:jc w:val="left"/>
        <w:spacing w:line="500" w:lineRule="exact"/>
        <w:rPr>
          <w:color w:val="auto"/>
          <w:highlight w:val="none"/>
        </w:rPr>
      </w:pPr>
      <w:r>
        <w:rPr>
          <w:rFonts w:hint="eastAsia"/>
          <w:color w:val="auto"/>
          <w:highlight w:val="none"/>
        </w:rPr>
        <w:t xml:space="preserve">2.2符合《关于促进残疾人就业政府采购政策的通知》（财库〔2017〕141号）规定的条件并提供《残疾人福利性单位声明函》（第六章 </w:t>
      </w:r>
      <w:r>
        <w:rPr>
          <w:color w:val="auto"/>
          <w:highlight w:val="none"/>
        </w:rPr>
        <w:t xml:space="preserve">磋商响应文件格式</w:t>
      </w:r>
      <w:r>
        <w:rPr>
          <w:rFonts w:hint="eastAsia"/>
          <w:color w:val="auto"/>
          <w:highlight w:val="none"/>
        </w:rPr>
        <w:t xml:space="preserve">）的残疾人福利性单位视同小型、微型企业。</w:t>
      </w:r>
      <w:r/>
    </w:p>
    <w:p>
      <w:pPr>
        <w:ind w:firstLine="480"/>
        <w:jc w:val="left"/>
        <w:spacing w:line="500" w:lineRule="exact"/>
        <w:rPr>
          <w:color w:val="auto"/>
          <w:highlight w:val="none"/>
        </w:rPr>
      </w:pPr>
      <w:r>
        <w:rPr>
          <w:rFonts w:hint="eastAsia"/>
          <w:color w:val="auto"/>
          <w:highlight w:val="none"/>
        </w:rPr>
        <w:t xml:space="preserve">2.3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highlight w:val="none"/>
        </w:rPr>
      </w:pPr>
      <w:r>
        <w:rPr>
          <w:rFonts w:hint="eastAsia"/>
          <w:color w:val="auto"/>
          <w:highlight w:val="none"/>
        </w:rPr>
        <w:t xml:space="preserve">3、残疾人福利单位、监狱企业属于小型、微型企业的，不重复享受政策。</w:t>
      </w:r>
      <w:r/>
    </w:p>
    <w:p>
      <w:pPr>
        <w:ind w:firstLine="480"/>
        <w:jc w:val="left"/>
        <w:spacing w:line="500" w:lineRule="exact"/>
        <w:rPr>
          <w:rFonts w:hint="eastAsia" w:ascii="宋体" w:hAnsi="宋体" w:cs="宋体"/>
          <w:color w:val="auto"/>
          <w:highlight w:val="none"/>
        </w:rPr>
      </w:pPr>
      <w:r>
        <w:rPr>
          <w:rFonts w:hint="eastAsia"/>
          <w:color w:val="auto"/>
          <w:highlight w:val="none"/>
        </w:rPr>
        <w:t xml:space="preserve">4、享受扶持政策获得政府采购合同的，小微型企业不得将合同分包给大中型企业，中型企业不得将合同分包给大型企业。</w:t>
      </w:r>
      <w:r/>
    </w:p>
    <w:p>
      <w:pPr>
        <w:ind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5、政府采购项目执行《关于印发环境标志产品政府采购品目清单的通知》（财库〔2019〕18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6、坚持绿色发展：</w:t>
      </w:r>
      <w:r/>
    </w:p>
    <w:p>
      <w:pPr>
        <w:ind w:firstLine="480"/>
        <w:jc w:val="left"/>
        <w:spacing w:line="500" w:lineRule="exact"/>
        <w:rPr>
          <w:rFonts w:hint="eastAsia" w:ascii="宋体" w:hAnsi="宋体" w:cs="宋体"/>
          <w:b/>
          <w:bCs/>
          <w:color w:val="auto"/>
          <w:szCs w:val="32"/>
          <w:highlight w:val="none"/>
        </w:rPr>
      </w:pPr>
      <w:r>
        <w:rPr>
          <w:rFonts w:hint="eastAsia" w:ascii="宋体" w:hAnsi="宋体" w:cs="宋体"/>
          <w:color w:val="auto"/>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0"/>
        <w:keepLines/>
        <w:keepNext/>
        <w:rPr>
          <w:rFonts w:hint="eastAsia" w:ascii="宋体" w:hAnsi="宋体" w:cs="宋体"/>
          <w:b/>
          <w:bCs/>
          <w:color w:val="auto"/>
          <w:szCs w:val="32"/>
          <w:highlight w:val="none"/>
        </w:rPr>
        <w:outlineLvl w:val="1"/>
      </w:pPr>
      <w:r>
        <w:rPr>
          <w:rFonts w:hint="eastAsia" w:ascii="宋体" w:hAnsi="宋体" w:cs="宋体"/>
          <w:b/>
          <w:bCs/>
          <w:color w:val="auto"/>
          <w:szCs w:val="32"/>
          <w:highlight w:val="none"/>
        </w:rPr>
      </w:r>
      <w:r/>
    </w:p>
    <w:p>
      <w:pPr>
        <w:ind w:firstLine="0"/>
        <w:keepLines/>
        <w:keepNext/>
        <w:rPr>
          <w:rFonts w:hint="eastAsia" w:ascii="宋体" w:hAnsi="宋体" w:cs="宋体"/>
          <w:b/>
          <w:bCs/>
          <w:color w:val="auto"/>
          <w:szCs w:val="32"/>
          <w:highlight w:val="none"/>
        </w:rPr>
        <w:outlineLvl w:val="1"/>
      </w:pPr>
      <w:r>
        <w:rPr>
          <w:rFonts w:hint="eastAsia" w:ascii="宋体" w:hAnsi="宋体" w:cs="宋体"/>
          <w:b/>
          <w:bCs/>
          <w:color w:val="auto"/>
          <w:szCs w:val="32"/>
          <w:highlight w:val="none"/>
        </w:rPr>
        <w:t xml:space="preserve">九、质疑和投诉</w:t>
      </w:r>
      <w:r/>
    </w:p>
    <w:p>
      <w:pPr>
        <w:ind w:firstLine="360"/>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b/>
          <w:bCs/>
          <w:color w:val="auto"/>
          <w:highlight w:val="none"/>
        </w:rPr>
        <w:t xml:space="preserve">质疑</w:t>
      </w:r>
      <w:r/>
    </w:p>
    <w:p>
      <w:pPr>
        <w:ind w:firstLine="360"/>
        <w:rPr>
          <w:rFonts w:hint="eastAsia" w:ascii="宋体" w:hAnsi="宋体" w:cs="宋体"/>
          <w:b/>
          <w:bCs/>
          <w:color w:val="auto"/>
          <w:highlight w:val="none"/>
        </w:rPr>
      </w:pPr>
      <w:r>
        <w:rPr>
          <w:rFonts w:hint="eastAsia" w:ascii="宋体" w:hAnsi="宋体" w:cs="宋体"/>
          <w:color w:val="auto"/>
          <w:highlight w:val="none"/>
        </w:rPr>
        <w:t xml:space="preserve">1.1 </w:t>
      </w:r>
      <w:r>
        <w:rPr>
          <w:rFonts w:hint="eastAsia" w:ascii="宋体" w:hAnsi="宋体" w:cs="宋体"/>
          <w:b/>
          <w:bCs/>
          <w:color w:val="auto"/>
          <w:highlight w:val="none"/>
        </w:rPr>
        <w:t xml:space="preserve">质疑的提出</w:t>
      </w:r>
      <w:r/>
    </w:p>
    <w:p>
      <w:pPr>
        <w:ind w:firstLine="360"/>
        <w:rPr>
          <w:rFonts w:hint="eastAsia" w:ascii="宋体" w:hAnsi="宋体" w:cs="宋体"/>
          <w:color w:val="auto"/>
          <w:highlight w:val="none"/>
        </w:rPr>
      </w:pPr>
      <w:r>
        <w:rPr>
          <w:rFonts w:hint="eastAsia" w:ascii="宋体" w:hAnsi="宋体" w:cs="宋体"/>
          <w:color w:val="auto"/>
          <w:highlight w:val="none"/>
        </w:rPr>
        <w:t xml:space="preserve">1.1.1 提出质疑的供应商应当是参与所质疑项目采购活动的供应商。</w:t>
      </w:r>
      <w:r/>
    </w:p>
    <w:p>
      <w:pPr>
        <w:ind w:firstLine="360"/>
        <w:rPr>
          <w:rFonts w:hint="eastAsia" w:ascii="宋体" w:hAnsi="宋体" w:cs="宋体"/>
          <w:color w:val="auto"/>
          <w:highlight w:val="none"/>
        </w:rPr>
      </w:pPr>
      <w:r>
        <w:rPr>
          <w:rFonts w:hint="eastAsia" w:ascii="宋体" w:hAnsi="宋体" w:cs="宋体"/>
          <w:color w:val="auto"/>
          <w:highlight w:val="none"/>
        </w:rPr>
        <w:t xml:space="preserve">1.1.2 供应商认为采购文件、采购过程、成交结果使自己的权益受到损害的，可以在知道或者应知其权益受到损害之日（获取采购文件之日起、成交公告发布之日起）起七个工作日内，以书面形式向采购人或代理机构提出质疑。</w:t>
      </w:r>
      <w:r/>
    </w:p>
    <w:p>
      <w:pPr>
        <w:ind w:firstLine="360"/>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w:t>
      </w:r>
      <w:r>
        <w:rPr>
          <w:rFonts w:hint="eastAsia" w:ascii="宋体" w:hAnsi="宋体" w:cs="宋体"/>
          <w:b/>
          <w:bCs/>
          <w:color w:val="auto"/>
          <w:highlight w:val="none"/>
        </w:rPr>
        <w:t xml:space="preserve">未依照采购公告要求获取采购文件的供应商，视为未参与该项目的采购活动，不具备对该采购文件提出质疑的法定权利。</w:t>
      </w:r>
      <w:r/>
    </w:p>
    <w:p>
      <w:pPr>
        <w:ind w:firstLine="360"/>
        <w:rPr>
          <w:rFonts w:hint="eastAsia" w:ascii="宋体" w:hAnsi="宋体" w:cs="宋体"/>
          <w:color w:val="auto"/>
          <w:highlight w:val="none"/>
        </w:rPr>
      </w:pPr>
      <w:r>
        <w:rPr>
          <w:rFonts w:hint="eastAsia" w:ascii="宋体" w:hAnsi="宋体" w:cs="宋体"/>
          <w:color w:val="auto"/>
          <w:highlight w:val="none"/>
        </w:rPr>
        <w:t xml:space="preserve">1.1.3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360"/>
        <w:rPr>
          <w:rFonts w:hint="eastAsia" w:ascii="宋体" w:hAnsi="宋体" w:cs="宋体"/>
          <w:color w:val="auto"/>
          <w:highlight w:val="none"/>
        </w:rPr>
      </w:pPr>
      <w:r>
        <w:rPr>
          <w:rFonts w:hint="eastAsia" w:ascii="宋体" w:hAnsi="宋体" w:cs="宋体"/>
          <w:color w:val="auto"/>
          <w:highlight w:val="none"/>
        </w:rPr>
        <w:t xml:space="preserve">1.1.4 </w:t>
      </w:r>
      <w:r>
        <w:rPr>
          <w:rFonts w:hint="eastAsia" w:ascii="宋体" w:hAnsi="宋体" w:cs="宋体"/>
          <w:b/>
          <w:bCs/>
          <w:color w:val="auto"/>
          <w:highlight w:val="none"/>
        </w:rPr>
        <w:t xml:space="preserve">质疑函的接收方式为供应商书面原件提交</w:t>
      </w:r>
      <w:r>
        <w:rPr>
          <w:rFonts w:hint="eastAsia" w:ascii="宋体" w:hAnsi="宋体" w:cs="宋体"/>
          <w:color w:val="auto"/>
          <w:highlight w:val="none"/>
        </w:rPr>
        <w:t xml:space="preserve">。联系部门、联系电话和通讯地址详见本采购文件第一章。质疑实行实名制，不得进行虚假、恶意质疑。</w:t>
      </w:r>
      <w:r/>
    </w:p>
    <w:p>
      <w:pPr>
        <w:ind w:firstLine="360"/>
        <w:rPr>
          <w:rFonts w:hint="eastAsia" w:ascii="宋体" w:hAnsi="宋体" w:cs="宋体"/>
          <w:color w:val="auto"/>
          <w:highlight w:val="none"/>
        </w:rPr>
      </w:pPr>
      <w:r>
        <w:rPr>
          <w:rFonts w:hint="eastAsia" w:ascii="宋体" w:hAnsi="宋体" w:cs="宋体"/>
          <w:color w:val="auto"/>
          <w:highlight w:val="none"/>
        </w:rPr>
        <w:t xml:space="preserve">1.1.5 </w:t>
      </w:r>
      <w:r>
        <w:rPr>
          <w:rFonts w:hint="eastAsia" w:ascii="宋体" w:hAnsi="宋体" w:cs="宋体"/>
          <w:b/>
          <w:bCs/>
          <w:color w:val="auto"/>
          <w:highlight w:val="none"/>
        </w:rPr>
        <w:t xml:space="preserve">质疑函应当使用范本</w:t>
      </w:r>
      <w:r/>
    </w:p>
    <w:p>
      <w:pPr>
        <w:ind w:firstLine="360"/>
        <w:rPr>
          <w:rFonts w:hint="eastAsia" w:ascii="宋体" w:hAnsi="宋体" w:cs="宋体"/>
          <w:color w:val="auto"/>
          <w:highlight w:val="none"/>
        </w:rPr>
      </w:pPr>
      <w:r>
        <w:rPr>
          <w:rFonts w:hint="eastAsia" w:ascii="宋体" w:hAnsi="宋体" w:cs="宋体"/>
          <w:color w:val="auto"/>
          <w:highlight w:val="none"/>
        </w:rPr>
        <w:t xml:space="preserve">供应商提出质疑应当提交</w:t>
      </w:r>
      <w:r>
        <w:rPr>
          <w:rFonts w:hint="eastAsia" w:ascii="宋体" w:hAnsi="宋体" w:cs="宋体"/>
          <w:b/>
          <w:bCs/>
          <w:color w:val="auto"/>
          <w:highlight w:val="none"/>
        </w:rPr>
        <w:t xml:space="preserve">质疑函</w:t>
      </w:r>
      <w:r>
        <w:rPr>
          <w:rFonts w:hint="eastAsia" w:ascii="宋体" w:hAnsi="宋体" w:cs="宋体"/>
          <w:color w:val="auto"/>
          <w:highlight w:val="none"/>
        </w:rPr>
        <w:t xml:space="preserve">和</w:t>
      </w:r>
      <w:r>
        <w:rPr>
          <w:rFonts w:hint="eastAsia" w:ascii="宋体" w:hAnsi="宋体" w:cs="宋体"/>
          <w:b/>
          <w:bCs/>
          <w:color w:val="auto"/>
          <w:highlight w:val="none"/>
        </w:rPr>
        <w:t xml:space="preserve">必要的证明材料</w:t>
      </w:r>
      <w:r>
        <w:rPr>
          <w:rFonts w:hint="eastAsia" w:ascii="宋体" w:hAnsi="宋体" w:cs="宋体"/>
          <w:color w:val="auto"/>
          <w:highlight w:val="none"/>
        </w:rPr>
        <w:t xml:space="preserve">。应当包括下列内容：</w:t>
      </w:r>
      <w:r/>
    </w:p>
    <w:p>
      <w:pPr>
        <w:ind w:firstLine="360"/>
        <w:rPr>
          <w:rFonts w:hint="eastAsia" w:ascii="宋体" w:hAnsi="宋体" w:cs="宋体"/>
          <w:color w:val="auto"/>
          <w:highlight w:val="none"/>
        </w:rPr>
      </w:pPr>
      <w:r>
        <w:rPr>
          <w:rFonts w:hint="eastAsia" w:ascii="宋体" w:hAnsi="宋体" w:cs="宋体"/>
          <w:color w:val="auto"/>
          <w:highlight w:val="none"/>
        </w:rPr>
        <w:t xml:space="preserve">（1）供应商的姓名或者名称、地址、邮编、联系人及联系电话；</w:t>
      </w:r>
      <w:r/>
    </w:p>
    <w:p>
      <w:pPr>
        <w:ind w:firstLine="360"/>
        <w:rPr>
          <w:rFonts w:hint="eastAsia" w:ascii="宋体" w:hAnsi="宋体" w:cs="宋体"/>
          <w:color w:val="auto"/>
          <w:highlight w:val="none"/>
        </w:rPr>
      </w:pPr>
      <w:r>
        <w:rPr>
          <w:rFonts w:hint="eastAsia" w:ascii="宋体" w:hAnsi="宋体" w:cs="宋体"/>
          <w:color w:val="auto"/>
          <w:highlight w:val="none"/>
        </w:rPr>
        <w:t xml:space="preserve">（2）质疑项目的名称、编号；</w:t>
      </w:r>
      <w:r/>
    </w:p>
    <w:p>
      <w:pPr>
        <w:ind w:firstLine="360"/>
        <w:rPr>
          <w:rFonts w:hint="eastAsia" w:ascii="宋体" w:hAnsi="宋体" w:cs="宋体"/>
          <w:color w:val="auto"/>
          <w:highlight w:val="none"/>
        </w:rPr>
      </w:pPr>
      <w:r>
        <w:rPr>
          <w:rFonts w:hint="eastAsia" w:ascii="宋体" w:hAnsi="宋体" w:cs="宋体"/>
          <w:color w:val="auto"/>
          <w:highlight w:val="none"/>
        </w:rPr>
        <w:t xml:space="preserve">（3）具体、明确的质疑事项和与质疑事项相关的请求；</w:t>
      </w:r>
      <w:r/>
    </w:p>
    <w:p>
      <w:pPr>
        <w:ind w:firstLine="360"/>
        <w:rPr>
          <w:rFonts w:hint="eastAsia" w:ascii="宋体" w:hAnsi="宋体" w:cs="宋体"/>
          <w:color w:val="auto"/>
          <w:highlight w:val="none"/>
        </w:rPr>
      </w:pPr>
      <w:r>
        <w:rPr>
          <w:rFonts w:hint="eastAsia" w:ascii="宋体" w:hAnsi="宋体" w:cs="宋体"/>
          <w:color w:val="auto"/>
          <w:highlight w:val="none"/>
        </w:rPr>
        <w:t xml:space="preserve">（4）事实依据；</w:t>
      </w:r>
      <w:r/>
    </w:p>
    <w:p>
      <w:pPr>
        <w:ind w:firstLine="360"/>
        <w:rPr>
          <w:rFonts w:hint="eastAsia" w:ascii="宋体" w:hAnsi="宋体" w:cs="宋体"/>
          <w:color w:val="auto"/>
          <w:highlight w:val="none"/>
        </w:rPr>
      </w:pPr>
      <w:r>
        <w:rPr>
          <w:rFonts w:hint="eastAsia" w:ascii="宋体" w:hAnsi="宋体" w:cs="宋体"/>
          <w:color w:val="auto"/>
          <w:highlight w:val="none"/>
        </w:rPr>
        <w:t xml:space="preserve">（5）必要的法律依据；</w:t>
      </w:r>
      <w:r/>
    </w:p>
    <w:p>
      <w:pPr>
        <w:ind w:firstLine="360"/>
        <w:rPr>
          <w:rFonts w:hint="eastAsia" w:ascii="宋体" w:hAnsi="宋体" w:cs="宋体"/>
          <w:color w:val="auto"/>
          <w:highlight w:val="none"/>
        </w:rPr>
      </w:pPr>
      <w:r>
        <w:rPr>
          <w:rFonts w:hint="eastAsia" w:ascii="宋体" w:hAnsi="宋体" w:cs="宋体"/>
          <w:color w:val="auto"/>
          <w:highlight w:val="none"/>
        </w:rPr>
        <w:t xml:space="preserve">（6）提出质疑的日期。</w:t>
      </w:r>
      <w:r/>
    </w:p>
    <w:p>
      <w:pPr>
        <w:ind w:firstLine="360"/>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必要的证明材料</w:t>
      </w:r>
      <w:r/>
    </w:p>
    <w:p>
      <w:pPr>
        <w:ind w:firstLine="360"/>
        <w:rPr>
          <w:rFonts w:hint="eastAsia" w:ascii="宋体" w:hAnsi="宋体" w:cs="宋体"/>
          <w:color w:val="auto"/>
          <w:highlight w:val="none"/>
        </w:rPr>
      </w:pPr>
      <w:r>
        <w:rPr>
          <w:rFonts w:hint="eastAsia" w:ascii="宋体" w:hAnsi="宋体" w:cs="宋体"/>
          <w:color w:val="auto"/>
          <w:highlight w:val="none"/>
        </w:rPr>
        <w:t xml:space="preserve">（8）营业执照复印件及法定代表人授权委托书、法定代表人身份证复印件、委托代理人身份证复印件</w:t>
      </w:r>
      <w:r>
        <w:rPr>
          <w:rFonts w:hint="eastAsia" w:ascii="宋体" w:hAnsi="宋体" w:cs="宋体"/>
          <w:color w:val="auto"/>
          <w:szCs w:val="20"/>
          <w:highlight w:val="none"/>
        </w:rPr>
        <w:t xml:space="preserve">、</w:t>
      </w:r>
      <w:r>
        <w:rPr>
          <w:rFonts w:hint="eastAsia" w:ascii="宋体" w:hAnsi="宋体" w:cs="宋体"/>
          <w:color w:val="auto"/>
          <w:highlight w:val="none"/>
        </w:rPr>
        <w:t xml:space="preserve">采购文件（交易文件）下载回执函。</w:t>
      </w:r>
      <w:r/>
    </w:p>
    <w:p>
      <w:pPr>
        <w:ind w:firstLine="360"/>
        <w:rPr>
          <w:rFonts w:hint="eastAsia" w:ascii="宋体" w:hAnsi="宋体" w:cs="宋体"/>
          <w:color w:val="auto"/>
          <w:highlight w:val="none"/>
        </w:rPr>
      </w:pPr>
      <w:r>
        <w:rPr>
          <w:rFonts w:hint="eastAsia" w:ascii="宋体" w:hAnsi="宋体" w:cs="宋体"/>
          <w:color w:val="auto"/>
          <w:highlight w:val="none"/>
        </w:rPr>
        <w:t xml:space="preserve">供应商为自然人的，应当由本人签字；供应商为法人或者其他组织的，应当由法定代表人、主要负责人，或者其授权代表签字或者盖章，并加盖单位公章。</w:t>
      </w:r>
      <w:r/>
    </w:p>
    <w:p>
      <w:pPr>
        <w:ind w:firstLine="360"/>
        <w:rPr>
          <w:rFonts w:hint="eastAsia" w:ascii="宋体" w:hAnsi="宋体" w:cs="宋体"/>
          <w:color w:val="auto"/>
          <w:highlight w:val="none"/>
        </w:rPr>
      </w:pPr>
      <w:r>
        <w:rPr>
          <w:rFonts w:hint="eastAsia" w:ascii="宋体" w:hAnsi="宋体" w:cs="宋体"/>
          <w:color w:val="auto"/>
          <w:highlight w:val="none"/>
        </w:rPr>
        <w:t xml:space="preserve">2.2 </w:t>
      </w:r>
      <w:r>
        <w:rPr>
          <w:rFonts w:hint="eastAsia" w:ascii="宋体" w:hAnsi="宋体" w:cs="宋体"/>
          <w:b/>
          <w:bCs/>
          <w:color w:val="auto"/>
          <w:highlight w:val="none"/>
        </w:rPr>
        <w:t xml:space="preserve">质疑函的受理和答复</w:t>
      </w:r>
      <w:r/>
    </w:p>
    <w:p>
      <w:pPr>
        <w:ind w:firstLine="360"/>
        <w:rPr>
          <w:rFonts w:hint="eastAsia" w:ascii="宋体" w:hAnsi="宋体" w:cs="宋体"/>
          <w:color w:val="auto"/>
          <w:highlight w:val="none"/>
        </w:rPr>
      </w:pPr>
      <w:r>
        <w:rPr>
          <w:rFonts w:hint="eastAsia" w:ascii="宋体" w:hAnsi="宋体" w:cs="宋体"/>
          <w:color w:val="auto"/>
          <w:highlight w:val="none"/>
        </w:rPr>
        <w:t xml:space="preserve">2.2.1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360"/>
        <w:rPr>
          <w:rFonts w:hint="eastAsia" w:ascii="宋体" w:hAnsi="宋体" w:cs="宋体"/>
          <w:color w:val="auto"/>
          <w:highlight w:val="none"/>
        </w:rPr>
      </w:pPr>
      <w:r>
        <w:rPr>
          <w:rFonts w:hint="eastAsia" w:ascii="宋体" w:hAnsi="宋体" w:cs="宋体"/>
          <w:color w:val="auto"/>
          <w:highlight w:val="none"/>
        </w:rPr>
        <w:t xml:space="preserve">2.2.2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360"/>
        <w:rPr>
          <w:rFonts w:hint="eastAsia" w:ascii="宋体" w:hAnsi="宋体" w:cs="宋体"/>
          <w:color w:val="auto"/>
          <w:highlight w:val="none"/>
        </w:rPr>
      </w:pPr>
      <w:r>
        <w:rPr>
          <w:rFonts w:hint="eastAsia" w:ascii="宋体" w:hAnsi="宋体" w:cs="宋体"/>
          <w:color w:val="auto"/>
          <w:highlight w:val="none"/>
        </w:rPr>
        <w:t xml:space="preserve">2.2.3 对不符合质疑要求的，采购人、采购代理机构有权要求其补充必要的证明材料，质疑供应商未在法定的时间内提供补充必要的证明材料的，视同放弃质疑。</w:t>
      </w:r>
      <w:r/>
    </w:p>
    <w:p>
      <w:pPr>
        <w:ind w:firstLine="360"/>
        <w:rPr>
          <w:rFonts w:hint="eastAsia" w:ascii="宋体" w:hAnsi="宋体" w:cs="宋体"/>
          <w:color w:val="auto"/>
          <w:highlight w:val="none"/>
        </w:rPr>
      </w:pPr>
      <w:r>
        <w:rPr>
          <w:rFonts w:hint="eastAsia" w:ascii="宋体" w:hAnsi="宋体" w:cs="宋体"/>
          <w:color w:val="auto"/>
          <w:highlight w:val="none"/>
        </w:rPr>
        <w:t xml:space="preserve">2.2.4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360"/>
        <w:rPr>
          <w:rFonts w:hint="eastAsia" w:ascii="宋体" w:hAnsi="宋体" w:cs="宋体"/>
          <w:b/>
          <w:bCs/>
          <w:color w:val="auto"/>
          <w:highlight w:val="none"/>
        </w:rPr>
      </w:pPr>
      <w:r>
        <w:rPr>
          <w:rFonts w:hint="eastAsia" w:ascii="宋体" w:hAnsi="宋体" w:cs="宋体"/>
          <w:color w:val="auto"/>
          <w:highlight w:val="none"/>
        </w:rPr>
        <w:t xml:space="preserve">2.3 </w:t>
      </w:r>
      <w:r>
        <w:rPr>
          <w:rFonts w:hint="eastAsia" w:ascii="宋体" w:hAnsi="宋体" w:cs="宋体"/>
          <w:b/>
          <w:bCs/>
          <w:color w:val="auto"/>
          <w:highlight w:val="none"/>
        </w:rPr>
        <w:t xml:space="preserve">质疑处理</w:t>
      </w:r>
      <w:r/>
    </w:p>
    <w:p>
      <w:pPr>
        <w:ind w:firstLine="360"/>
        <w:rPr>
          <w:rFonts w:hint="eastAsia" w:ascii="宋体" w:hAnsi="宋体" w:cs="宋体"/>
          <w:color w:val="auto"/>
          <w:highlight w:val="none"/>
        </w:rPr>
      </w:pPr>
      <w:r>
        <w:rPr>
          <w:rFonts w:hint="eastAsia" w:ascii="宋体" w:hAnsi="宋体" w:cs="宋体"/>
          <w:color w:val="auto"/>
          <w:highlight w:val="none"/>
        </w:rPr>
        <w:t xml:space="preserve">2.3.1 质疑供应商不按照法定程序进行质疑投诉的，视为一般失信行为。</w:t>
      </w:r>
      <w:r/>
    </w:p>
    <w:p>
      <w:pPr>
        <w:ind w:firstLine="360"/>
        <w:rPr>
          <w:rFonts w:hint="eastAsia" w:ascii="宋体" w:hAnsi="宋体" w:cs="宋体"/>
          <w:color w:val="auto"/>
          <w:highlight w:val="none"/>
        </w:rPr>
      </w:pPr>
      <w:r>
        <w:rPr>
          <w:rFonts w:hint="eastAsia" w:ascii="宋体" w:hAnsi="宋体" w:cs="宋体"/>
          <w:color w:val="auto"/>
          <w:highlight w:val="none"/>
        </w:rPr>
        <w:t xml:space="preserve">2.3.2 质疑供应商不配合或者采用不正当手段干扰政府采购质疑、投诉处理工作的，视为一般失信行为。</w:t>
      </w:r>
      <w:r/>
    </w:p>
    <w:p>
      <w:pPr>
        <w:ind w:firstLine="360"/>
        <w:rPr>
          <w:rFonts w:hint="eastAsia" w:ascii="宋体" w:hAnsi="宋体" w:cs="宋体"/>
          <w:color w:val="auto"/>
          <w:highlight w:val="none"/>
        </w:rPr>
      </w:pPr>
      <w:r>
        <w:rPr>
          <w:rFonts w:hint="eastAsia" w:ascii="宋体" w:hAnsi="宋体" w:cs="宋体"/>
          <w:color w:val="auto"/>
          <w:highlight w:val="none"/>
        </w:rPr>
        <w:t xml:space="preserve">2.3.3 质疑供应商投诉受理期间，就同一事项多头举报，干扰财政部门投诉处理的，视为一般失信行为。</w:t>
      </w:r>
      <w:r/>
    </w:p>
    <w:p>
      <w:pPr>
        <w:ind w:firstLine="360"/>
        <w:rPr>
          <w:rFonts w:hint="eastAsia" w:ascii="宋体" w:hAnsi="宋体" w:cs="宋体"/>
          <w:color w:val="auto"/>
          <w:highlight w:val="none"/>
        </w:rPr>
      </w:pPr>
      <w:r>
        <w:rPr>
          <w:rFonts w:hint="eastAsia" w:ascii="宋体" w:hAnsi="宋体" w:cs="宋体"/>
          <w:color w:val="auto"/>
          <w:highlight w:val="none"/>
        </w:rPr>
        <w:t xml:space="preserve">2.3.4 质疑供应商在全国范围12个月内三次以上质疑查无实据的，视为一般失信行为。</w:t>
      </w:r>
      <w:r/>
    </w:p>
    <w:p>
      <w:pPr>
        <w:ind w:firstLine="360"/>
        <w:rPr>
          <w:rFonts w:hint="eastAsia" w:ascii="宋体" w:hAnsi="宋体" w:cs="宋体"/>
          <w:color w:val="auto"/>
          <w:highlight w:val="none"/>
        </w:rPr>
      </w:pPr>
      <w:r>
        <w:rPr>
          <w:rFonts w:hint="eastAsia" w:ascii="宋体" w:hAnsi="宋体" w:cs="宋体"/>
          <w:color w:val="auto"/>
          <w:highlight w:val="none"/>
        </w:rPr>
        <w:t xml:space="preserve">2.3.5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360"/>
        <w:rPr>
          <w:rFonts w:hint="eastAsia" w:ascii="宋体" w:hAnsi="宋体" w:cs="宋体"/>
          <w:color w:val="auto"/>
          <w:highlight w:val="none"/>
        </w:rPr>
      </w:pPr>
      <w:r>
        <w:rPr>
          <w:rFonts w:hint="eastAsia" w:ascii="宋体" w:hAnsi="宋体" w:cs="宋体"/>
          <w:color w:val="auto"/>
          <w:highlight w:val="none"/>
        </w:rPr>
        <w:t xml:space="preserve">2.3.6 质疑供应商在全国范围12个月内三次以上投诉查无实据的，视为严重失信行为。</w:t>
      </w:r>
      <w:r/>
    </w:p>
    <w:p>
      <w:pPr>
        <w:ind w:firstLine="360"/>
        <w:rPr>
          <w:rFonts w:hint="eastAsia" w:ascii="宋体" w:hAnsi="宋体" w:cs="宋体"/>
          <w:color w:val="auto"/>
          <w:highlight w:val="none"/>
        </w:rPr>
      </w:pPr>
      <w:r>
        <w:rPr>
          <w:rFonts w:hint="eastAsia" w:ascii="宋体" w:hAnsi="宋体" w:cs="宋体"/>
          <w:color w:val="auto"/>
          <w:highlight w:val="none"/>
        </w:rPr>
        <w:t xml:space="preserve">2.4   未尽事宜，参照相关法律法规。</w:t>
      </w:r>
      <w:r/>
    </w:p>
    <w:p>
      <w:pPr>
        <w:ind w:firstLine="360"/>
        <w:rPr>
          <w:rFonts w:hint="eastAsia" w:ascii="宋体" w:hAnsi="宋体" w:cs="宋体"/>
          <w:color w:val="auto"/>
          <w:highlight w:val="none"/>
        </w:rPr>
      </w:pPr>
      <w:r>
        <w:rPr>
          <w:rFonts w:hint="eastAsia" w:ascii="宋体" w:hAnsi="宋体" w:cs="宋体"/>
          <w:color w:val="auto"/>
          <w:highlight w:val="none"/>
        </w:rPr>
        <w:t xml:space="preserve">3. </w:t>
      </w:r>
      <w:r>
        <w:rPr>
          <w:rFonts w:hint="eastAsia" w:ascii="宋体" w:hAnsi="宋体" w:cs="宋体"/>
          <w:b/>
          <w:bCs/>
          <w:color w:val="auto"/>
          <w:highlight w:val="none"/>
        </w:rPr>
        <w:t xml:space="preserve">投诉</w:t>
      </w:r>
      <w:r/>
    </w:p>
    <w:p>
      <w:pPr>
        <w:ind w:firstLine="360"/>
        <w:rPr>
          <w:rFonts w:hint="eastAsia" w:ascii="宋体" w:hAnsi="宋体" w:cs="宋体"/>
          <w:color w:val="auto"/>
          <w:highlight w:val="none"/>
        </w:rPr>
      </w:pPr>
      <w:r>
        <w:rPr>
          <w:rFonts w:hint="eastAsia" w:ascii="宋体" w:hAnsi="宋体" w:cs="宋体"/>
          <w:color w:val="auto"/>
          <w:highlight w:val="none"/>
        </w:rPr>
        <w:t xml:space="preserve">投诉事项按有关法律法规执行。</w:t>
      </w:r>
      <w:r/>
    </w:p>
    <w:p>
      <w:pPr>
        <w:pStyle w:val="1088"/>
        <w:rPr>
          <w:color w:val="auto"/>
          <w:szCs w:val="21"/>
          <w:highlight w:val="none"/>
        </w:rPr>
      </w:pPr>
      <w:r>
        <w:rPr>
          <w:color w:val="auto"/>
          <w:szCs w:val="21"/>
          <w:highlight w:val="none"/>
        </w:rPr>
      </w:r>
      <w:r/>
    </w:p>
    <w:p>
      <w:pPr>
        <w:pStyle w:val="1088"/>
        <w:rPr>
          <w:color w:val="auto"/>
          <w:highlight w:val="none"/>
        </w:rPr>
      </w:pPr>
      <w:r/>
      <w:bookmarkStart w:id="100" w:name="_Toc204595693"/>
      <w:r/>
      <w:bookmarkStart w:id="101" w:name="_Toc465267862"/>
      <w:r/>
      <w:bookmarkStart w:id="102" w:name="_Toc482347463"/>
      <w:r>
        <w:rPr>
          <w:color w:val="auto"/>
          <w:highlight w:val="none"/>
        </w:rPr>
        <w:br w:type="page" w:clear="all"/>
      </w:r>
      <w:bookmarkStart w:id="103" w:name="_Toc30248"/>
      <w:r>
        <w:rPr>
          <w:color w:val="auto"/>
          <w:highlight w:val="none"/>
        </w:rPr>
        <w:t xml:space="preserve">第三章  政府采购合同格式</w:t>
      </w:r>
      <w:bookmarkEnd w:id="100"/>
      <w:r/>
      <w:bookmarkEnd w:id="101"/>
      <w:r/>
      <w:bookmarkEnd w:id="102"/>
      <w:r/>
      <w:bookmarkEnd w:id="103"/>
      <w:r/>
      <w:r/>
    </w:p>
    <w:p>
      <w:pPr>
        <w:ind w:firstLine="880"/>
        <w:rPr>
          <w:color w:val="auto"/>
          <w:sz w:val="44"/>
          <w:highlight w:val="none"/>
        </w:rPr>
      </w:pPr>
      <w:r>
        <w:rPr>
          <w:color w:val="auto"/>
          <w:sz w:val="44"/>
          <w:highlight w:val="none"/>
        </w:rPr>
      </w:r>
      <w:r/>
    </w:p>
    <w:p>
      <w:pPr>
        <w:ind w:firstLine="880"/>
        <w:rPr>
          <w:color w:val="auto"/>
          <w:sz w:val="44"/>
          <w:highlight w:val="none"/>
        </w:rPr>
      </w:pPr>
      <w:r>
        <w:rPr>
          <w:color w:val="auto"/>
          <w:sz w:val="44"/>
          <w:highlight w:val="none"/>
        </w:rPr>
      </w:r>
      <w:r/>
    </w:p>
    <w:p>
      <w:pPr>
        <w:ind w:firstLine="0"/>
        <w:jc w:val="center"/>
        <w:rPr>
          <w:rFonts w:hint="eastAsia" w:ascii="宋体" w:hAnsi="宋体"/>
          <w:b/>
          <w:bCs/>
          <w:color w:val="auto"/>
          <w:sz w:val="52"/>
          <w:highlight w:val="none"/>
        </w:rPr>
      </w:pPr>
      <w:r/>
      <w:bookmarkStart w:id="104" w:name="_Toc142708870"/>
      <w:r/>
      <w:bookmarkStart w:id="105" w:name="_Toc153678433"/>
      <w:r/>
      <w:bookmarkStart w:id="106" w:name="OLE_LINK6"/>
      <w:r>
        <w:rPr>
          <w:rFonts w:ascii="宋体" w:hAnsi="宋体"/>
          <w:b/>
          <w:bCs/>
          <w:color w:val="auto"/>
          <w:sz w:val="52"/>
          <w:highlight w:val="none"/>
        </w:rPr>
        <w:t xml:space="preserve">连 云 港 市 政 府 采 购</w:t>
      </w:r>
      <w:r/>
    </w:p>
    <w:p>
      <w:pPr>
        <w:ind w:firstLine="0"/>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r>
      <w:r/>
    </w:p>
    <w:p>
      <w:pPr>
        <w:ind w:firstLine="0"/>
        <w:jc w:val="center"/>
        <w:rPr>
          <w:rFonts w:hint="eastAsia" w:ascii="宋体" w:hAnsi="宋体"/>
          <w:b/>
          <w:bCs/>
          <w:color w:val="auto"/>
          <w:sz w:val="44"/>
          <w:highlight w:val="none"/>
        </w:rPr>
      </w:pPr>
      <w:r>
        <w:rPr>
          <w:rFonts w:ascii="宋体" w:hAnsi="宋体"/>
          <w:b/>
          <w:bCs/>
          <w:color w:val="auto"/>
          <w:sz w:val="44"/>
          <w:highlight w:val="none"/>
        </w:rPr>
        <w:t xml:space="preserve">合同</w:t>
      </w:r>
      <w:r/>
    </w:p>
    <w:p>
      <w:pPr>
        <w:ind w:firstLine="480"/>
        <w:rPr>
          <w:rFonts w:hint="eastAsia" w:ascii="宋体" w:hAnsi="宋体"/>
          <w:color w:val="auto"/>
          <w:highlight w:val="none"/>
        </w:rPr>
      </w:pPr>
      <w:r>
        <w:rPr>
          <w:rFonts w:hint="eastAsia" w:ascii="宋体" w:hAnsi="宋体"/>
          <w:color w:val="auto"/>
          <w:highlight w:val="none"/>
        </w:rPr>
      </w:r>
      <w:r/>
    </w:p>
    <w:p>
      <w:pPr>
        <w:ind w:firstLine="3070"/>
        <w:rPr>
          <w:rFonts w:hint="eastAsia" w:ascii="宋体" w:hAnsi="宋体"/>
          <w:b/>
          <w:bCs/>
          <w:color w:val="auto"/>
          <w:sz w:val="44"/>
          <w:szCs w:val="44"/>
          <w:highlight w:val="none"/>
        </w:rPr>
      </w:pPr>
      <w:r>
        <w:rPr>
          <w:rFonts w:hint="eastAsia" w:ascii="宋体" w:hAnsi="宋体"/>
          <w:b/>
          <w:bCs/>
          <w:color w:val="auto"/>
          <w:sz w:val="44"/>
          <w:szCs w:val="44"/>
          <w:highlight w:val="none"/>
        </w:rPr>
      </w:r>
      <w:r/>
    </w:p>
    <w:p>
      <w:pPr>
        <w:ind w:firstLine="880"/>
        <w:rPr>
          <w:rFonts w:hint="eastAsia" w:ascii="宋体" w:hAnsi="宋体"/>
          <w:color w:val="auto"/>
          <w:sz w:val="44"/>
          <w:szCs w:val="44"/>
          <w:highlight w:val="none"/>
        </w:rPr>
      </w:pPr>
      <w:r>
        <w:rPr>
          <w:rFonts w:hint="eastAsia" w:ascii="宋体" w:hAnsi="宋体"/>
          <w:color w:val="auto"/>
          <w:sz w:val="44"/>
          <w:szCs w:val="44"/>
          <w:highlight w:val="none"/>
        </w:rPr>
      </w:r>
      <w:r/>
    </w:p>
    <w:p>
      <w:pPr>
        <w:ind w:firstLine="0"/>
        <w:jc w:val="center"/>
        <w:rPr>
          <w:rFonts w:hint="eastAsia" w:ascii="宋体" w:hAnsi="宋体"/>
          <w:b/>
          <w:bCs/>
          <w:color w:val="auto"/>
          <w:sz w:val="44"/>
          <w:szCs w:val="44"/>
          <w:highlight w:val="none"/>
        </w:rPr>
      </w:pPr>
      <w:r>
        <w:rPr>
          <w:rFonts w:ascii="宋体" w:hAnsi="宋体"/>
          <w:b/>
          <w:bCs/>
          <w:color w:val="auto"/>
          <w:sz w:val="44"/>
          <w:szCs w:val="44"/>
          <w:highlight w:val="none"/>
        </w:rPr>
        <w:t xml:space="preserve">合同编号：</w:t>
      </w:r>
      <w:r/>
    </w:p>
    <w:p>
      <w:pPr>
        <w:ind w:firstLine="880"/>
        <w:rPr>
          <w:rFonts w:hint="eastAsia" w:ascii="宋体" w:hAnsi="宋体"/>
          <w:color w:val="auto"/>
          <w:sz w:val="44"/>
          <w:highlight w:val="none"/>
        </w:rPr>
      </w:pPr>
      <w:r>
        <w:rPr>
          <w:rFonts w:hint="eastAsia" w:ascii="宋体" w:hAnsi="宋体"/>
          <w:color w:val="auto"/>
          <w:sz w:val="44"/>
          <w:highlight w:val="none"/>
        </w:rPr>
      </w:r>
      <w:r/>
    </w:p>
    <w:p>
      <w:pPr>
        <w:ind w:firstLine="880"/>
        <w:rPr>
          <w:rFonts w:hint="eastAsia" w:ascii="宋体" w:hAnsi="宋体"/>
          <w:color w:val="auto"/>
          <w:sz w:val="44"/>
          <w:highlight w:val="none"/>
        </w:rPr>
      </w:pPr>
      <w:r>
        <w:rPr>
          <w:rFonts w:hint="eastAsia" w:ascii="宋体" w:hAnsi="宋体"/>
          <w:color w:val="auto"/>
          <w:sz w:val="44"/>
          <w:highlight w:val="none"/>
        </w:rPr>
      </w:r>
      <w:r/>
    </w:p>
    <w:p>
      <w:pPr>
        <w:rPr>
          <w:rFonts w:ascii="Times New Roman" w:hAnsi="Times New Roman" w:cs="Times New Roman"/>
          <w:b/>
          <w:bCs/>
          <w:color w:val="auto"/>
          <w:sz w:val="44"/>
          <w:highlight w:val="none"/>
        </w:rPr>
      </w:pPr>
      <w:r>
        <w:rPr>
          <w:rFonts w:ascii="Times New Roman" w:hAnsi="Times New Roman" w:cs="Times New Roman"/>
          <w:b/>
          <w:bCs/>
          <w:color w:val="auto"/>
          <w:sz w:val="44"/>
          <w:highlight w:val="none"/>
        </w:rPr>
      </w:r>
      <w:r/>
    </w:p>
    <w:p>
      <w:pPr>
        <w:rPr>
          <w:rFonts w:ascii="Times New Roman" w:hAnsi="Times New Roman" w:cs="Times New Roman"/>
          <w:b/>
          <w:bCs/>
          <w:color w:val="auto"/>
          <w:sz w:val="44"/>
          <w:highlight w:val="none"/>
        </w:rPr>
      </w:pPr>
      <w:r>
        <w:rPr>
          <w:rFonts w:ascii="Times New Roman" w:hAnsi="Times New Roman" w:cs="Times New Roman"/>
          <w:b/>
          <w:bCs/>
          <w:color w:val="auto"/>
          <w:sz w:val="44"/>
          <w:highlight w:val="none"/>
        </w:rPr>
      </w:r>
      <w:r/>
    </w:p>
    <w:p>
      <w:pPr>
        <w:rPr>
          <w:rFonts w:ascii="Times New Roman" w:hAnsi="Times New Roman" w:cs="Times New Roman"/>
          <w:b/>
          <w:bCs/>
          <w:color w:val="auto"/>
          <w:sz w:val="44"/>
          <w:highlight w:val="none"/>
        </w:rPr>
      </w:pPr>
      <w:r>
        <w:rPr>
          <w:rFonts w:ascii="Times New Roman" w:hAnsi="Times New Roman" w:cs="Times New Roman"/>
          <w:b/>
          <w:bCs/>
          <w:color w:val="auto"/>
          <w:sz w:val="44"/>
          <w:highlight w:val="none"/>
        </w:rPr>
        <w:t xml:space="preserve">采购人：</w:t>
      </w:r>
      <w:r/>
    </w:p>
    <w:p>
      <w:pPr>
        <w:ind w:firstLine="880"/>
        <w:rPr>
          <w:rFonts w:hint="eastAsia" w:ascii="宋体" w:hAnsi="宋体"/>
          <w:color w:val="auto"/>
          <w:sz w:val="32"/>
          <w:szCs w:val="40"/>
          <w:highlight w:val="none"/>
        </w:rPr>
        <w:sectPr>
          <w:footerReference w:type="default" r:id="rId13"/>
          <w:footerReference w:type="first" r:id="rId14"/>
          <w:footnotePr/>
          <w:endnotePr/>
          <w:type w:val="nextPage"/>
          <w:pgSz w:w="11907" w:h="16840" w:orient="portrait"/>
          <w:pgMar w:top="1134" w:right="1134" w:bottom="1134" w:left="1620" w:header="720" w:footer="720" w:gutter="0"/>
          <w:pgNumType w:start="1"/>
          <w:cols w:num="1" w:sep="0" w:space="1701" w:equalWidth="1"/>
          <w:docGrid w:linePitch="360"/>
          <w:titlePg/>
        </w:sectPr>
      </w:pPr>
      <w:r>
        <w:rPr>
          <w:rFonts w:ascii="Times New Roman" w:hAnsi="Times New Roman" w:cs="Times New Roman"/>
          <w:b/>
          <w:bCs/>
          <w:color w:val="auto"/>
          <w:sz w:val="44"/>
          <w:highlight w:val="none"/>
        </w:rPr>
        <w:t xml:space="preserve">成交供应商：</w:t>
      </w:r>
      <w:r/>
    </w:p>
    <w:p>
      <w:pPr>
        <w:ind w:left="0" w:firstLine="0"/>
        <w:rPr>
          <w:rFonts w:hint="eastAsia" w:ascii="宋体" w:hAnsi="宋体"/>
          <w:b/>
          <w:color w:val="auto"/>
          <w:szCs w:val="30"/>
          <w:highlight w:val="none"/>
        </w:rPr>
      </w:pPr>
      <w:r>
        <w:rPr>
          <w:rFonts w:hint="eastAsia" w:ascii="宋体" w:hAnsi="宋体"/>
          <w:b/>
          <w:color w:val="auto"/>
          <w:szCs w:val="30"/>
          <w:highlight w:val="none"/>
        </w:rPr>
      </w:r>
      <w:r/>
    </w:p>
    <w:p>
      <w:pPr>
        <w:numPr>
          <w:ilvl w:val="0"/>
          <w:numId w:val="1"/>
        </w:numPr>
        <w:ind w:firstLine="0"/>
        <w:jc w:val="center"/>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协议书格式</w:t>
      </w:r>
      <w:r/>
    </w:p>
    <w:p>
      <w:pPr>
        <w:ind w:firstLine="0"/>
        <w:jc w:val="both"/>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firstLine="0"/>
        <w:jc w:val="both"/>
        <w:pageBreakBefore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发包人：</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 xml:space="preserve">(简称甲方)</w:t>
      </w:r>
      <w:r/>
    </w:p>
    <w:p>
      <w:pPr>
        <w:ind w:left="0" w:firstLine="0"/>
        <w:jc w:val="both"/>
        <w:pageBreakBefore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承包人：</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 xml:space="preserve">(简称乙方)</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eastAsia="zh-Hans"/>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及有关事项协商一致，共同达成如下协议：</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一、工程概况</w:t>
      </w:r>
      <w:r/>
    </w:p>
    <w:p>
      <w:pPr>
        <w:ind w:firstLine="411"/>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p>
    <w:p>
      <w:pPr>
        <w:ind w:firstLine="411"/>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项目编号</w:t>
      </w:r>
      <w:r>
        <w:rPr>
          <w:rFonts w:hint="eastAsia" w:ascii="宋体" w:hAnsi="宋体" w:eastAsia="宋体" w:cs="宋体"/>
          <w:bCs/>
          <w:color w:val="auto"/>
          <w:sz w:val="21"/>
          <w:szCs w:val="21"/>
          <w:highlight w:val="none"/>
        </w:rPr>
        <w:t xml:space="preserve">：</w:t>
      </w:r>
      <w:r/>
    </w:p>
    <w:p>
      <w:pPr>
        <w:ind w:firstLine="411"/>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3.工程地点：</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 </w:t>
      </w:r>
      <w:r/>
    </w:p>
    <w:p>
      <w:pPr>
        <w:ind w:firstLine="420"/>
        <w:jc w:val="left"/>
        <w:pageBreakBefore w:val="0"/>
        <w:spacing w:beforeAutospacing="0" w:afterAutospacing="0" w:line="36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.工程内容：</w:t>
      </w:r>
      <w:r/>
    </w:p>
    <w:p>
      <w:pPr>
        <w:ind w:firstLine="411"/>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.工程承包范围：</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二、合同工期</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日（具体日期以开工令为准）。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三、质量标准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要求工程质量达到</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lang w:eastAsia="zh-CN"/>
        </w:rPr>
        <w:t xml:space="preserve">质量标准。质量标准的评定以国家或行业的现行质量检验评定标准为依据</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四、签约合同价与合同价格形式</w:t>
      </w:r>
      <w:r>
        <w:rPr>
          <w:rFonts w:hint="eastAsia" w:ascii="宋体" w:hAnsi="宋体" w:eastAsia="宋体" w:cs="宋体"/>
          <w:b w:val="0"/>
          <w:bCs/>
          <w:color w:val="auto"/>
          <w:sz w:val="21"/>
          <w:szCs w:val="21"/>
          <w:highlight w:val="none"/>
          <w:lang w:val="en-US" w:eastAsia="zh-CN" w:bidi="ar-SA"/>
        </w:rPr>
        <w:tab/>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1.签约合同价为含税价：</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计税方式为： □简易计税  ☑一般计税</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本合同签订时约定增值税税率为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合同履行期间，因国家税务政策变化或纳税主体类型变更等原因，导致增值税税率发生变动的，按照相关具体规定执行。</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其中：</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（1）安全</w:t>
      </w:r>
      <w:r>
        <w:rPr>
          <w:rFonts w:hint="eastAsia" w:ascii="宋体" w:hAnsi="宋体" w:eastAsia="宋体" w:cs="宋体"/>
          <w:color w:val="auto"/>
          <w:sz w:val="21"/>
          <w:szCs w:val="21"/>
          <w:highlight w:val="none"/>
          <w:lang w:val="en-US" w:eastAsia="zh-CN"/>
        </w:rPr>
        <w:t xml:space="preserve">生产措施费</w:t>
      </w:r>
      <w:r>
        <w:rPr>
          <w:rFonts w:hint="eastAsia" w:ascii="宋体" w:hAnsi="宋体" w:eastAsia="宋体" w:cs="宋体"/>
          <w:color w:val="auto"/>
          <w:sz w:val="21"/>
          <w:szCs w:val="21"/>
          <w:highlight w:val="none"/>
          <w:lang w:eastAsia="zh-CN"/>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（2）材料和工程设备暂估价金额：</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（3）专业工程暂估价金额：</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（4）其他暂估价金额：</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暂列金额</w:t>
      </w:r>
      <w:r>
        <w:rPr>
          <w:rFonts w:hint="eastAsia" w:ascii="宋体" w:hAnsi="宋体" w:eastAsia="宋体" w:cs="宋体"/>
          <w:color w:val="auto"/>
          <w:sz w:val="21"/>
          <w:szCs w:val="21"/>
          <w:highlight w:val="none"/>
          <w:lang w:eastAsia="zh-CN"/>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合同价格形式：</w:t>
      </w:r>
      <w:r/>
    </w:p>
    <w:p>
      <w:pPr>
        <w:ind w:firstLine="42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□总价合同  ☑单价合同  □其他价格形式       。</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五、项目经理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六、合同文件构成</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（2）专用合同条款及其附件；</w:t>
      </w:r>
      <w:r/>
    </w:p>
    <w:p>
      <w:pPr>
        <w:ind w:left="0" w:firstLine="420"/>
        <w:jc w:val="left"/>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w:t>
      </w:r>
      <w:r>
        <w:rPr>
          <w:rFonts w:hint="eastAsia" w:ascii="宋体" w:hAnsi="宋体" w:cs="宋体"/>
          <w:color w:val="auto"/>
          <w:sz w:val="21"/>
          <w:szCs w:val="21"/>
          <w:highlight w:val="none"/>
          <w:lang w:eastAsia="zh-CN"/>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）通用合同条款；</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）技术标准和要求；</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）图纸（如果有）；</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）投标文件及其附录（如果有）；</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）经修正的已标价工程量清单或预算书；</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（9）其他合同文件。</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七、承诺</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1.发包人承诺按照法律规定履行职责。</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firstLine="420"/>
        <w:pageBreakBefore w:val="0"/>
        <w:spacing w:beforeAutospacing="0" w:afterAutospacing="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4.发包人和承包人承诺计算合同价格与结算时，应当按照税法规定和实际纳税税率计取税费。</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八、词语含义</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九、签订时间</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十、签订地点</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十一、补充协议</w:t>
      </w:r>
      <w:r/>
    </w:p>
    <w:p>
      <w:pPr>
        <w:ind w:firstLine="42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十二、合同生效</w:t>
      </w:r>
      <w:r/>
    </w:p>
    <w:p>
      <w:pPr>
        <w:ind w:firstLine="42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双方签字盖章后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生效。</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十三、合同份数</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份。</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承包人：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                                 （签字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                                 组织机构代码：</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                                     电子信箱：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日期：</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80" w:firstLine="0"/>
        <w:jc w:val="both"/>
        <w:keepLines w:val="0"/>
        <w:keepNext/>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outlineLvl w:val="2"/>
      </w:pPr>
      <w:r>
        <w:rPr>
          <w:rFonts w:hint="eastAsia" w:ascii="宋体" w:hAnsi="宋体" w:eastAsia="宋体" w:cs="宋体"/>
          <w:b/>
          <w:bCs/>
          <w:color w:val="auto"/>
          <w:sz w:val="21"/>
          <w:szCs w:val="21"/>
          <w:highlight w:val="none"/>
          <w:lang w:val="en-US" w:eastAsia="zh-CN" w:bidi="ar-SA"/>
        </w:rPr>
        <w:br w:type="page" w:clear="all"/>
      </w:r>
      <w:bookmarkStart w:id="107" w:name="_Toc404776711"/>
      <w:r/>
      <w:bookmarkStart w:id="108" w:name="_Toc351203494"/>
      <w:r>
        <w:rPr>
          <w:rFonts w:hint="eastAsia" w:ascii="宋体" w:hAnsi="宋体" w:eastAsia="宋体" w:cs="宋体"/>
          <w:b/>
          <w:bCs/>
          <w:color w:val="auto"/>
          <w:sz w:val="21"/>
          <w:szCs w:val="21"/>
          <w:highlight w:val="none"/>
          <w:lang w:val="en-US" w:eastAsia="zh-CN" w:bidi="ar-SA"/>
        </w:rPr>
        <w:t xml:space="preserve">                             </w:t>
      </w:r>
      <w:bookmarkEnd w:id="107"/>
      <w:r/>
      <w:bookmarkEnd w:id="108"/>
      <w:r/>
      <w:bookmarkStart w:id="109" w:name="_Toc8479"/>
      <w:r/>
      <w:bookmarkStart w:id="110" w:name="_Toc5324"/>
      <w:r/>
      <w:bookmarkStart w:id="111" w:name="_Toc3153"/>
      <w:r/>
      <w:bookmarkStart w:id="112" w:name="_Toc17631"/>
      <w:r/>
      <w:bookmarkStart w:id="113" w:name="_Toc23079"/>
      <w:r/>
      <w:bookmarkStart w:id="114" w:name="_Toc10555"/>
      <w:r>
        <w:rPr>
          <w:rFonts w:hint="eastAsia" w:ascii="宋体" w:hAnsi="宋体" w:eastAsia="宋体" w:cs="宋体"/>
          <w:b/>
          <w:bCs/>
          <w:color w:val="auto"/>
          <w:sz w:val="21"/>
          <w:szCs w:val="21"/>
          <w:highlight w:val="none"/>
          <w:lang w:val="en-US" w:eastAsia="zh-CN" w:bidi="ar-SA"/>
        </w:rPr>
        <w:t xml:space="preserve">第二部分 通用合同条款</w:t>
      </w:r>
      <w:bookmarkEnd w:id="109"/>
      <w:r/>
      <w:bookmarkEnd w:id="110"/>
      <w:r/>
      <w:bookmarkEnd w:id="111"/>
      <w:r/>
      <w:bookmarkEnd w:id="112"/>
      <w:r/>
      <w:bookmarkEnd w:id="113"/>
      <w:r/>
      <w:bookmarkEnd w:id="114"/>
      <w:r/>
      <w:bookmarkStart w:id="115" w:name="_Toc337558727"/>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（除专用合同条款另有约定外，其余执行GF—2017—0201建设工程施工合同（示范文本）通用条款）</w:t>
      </w:r>
      <w:bookmarkEnd w:id="115"/>
      <w:r/>
      <w:r/>
    </w:p>
    <w:p>
      <w:pPr>
        <w:ind w:left="480" w:firstLine="0"/>
        <w:jc w:val="both"/>
        <w:keepLines w:val="0"/>
        <w:keepNext/>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outlineLvl w:val="2"/>
      </w:pPr>
      <w:r/>
      <w:bookmarkStart w:id="116" w:name="_Toc351203632"/>
      <w:r>
        <w:rPr>
          <w:rFonts w:hint="eastAsia" w:ascii="宋体" w:hAnsi="宋体" w:eastAsia="宋体" w:cs="宋体"/>
          <w:b/>
          <w:bCs/>
          <w:color w:val="auto"/>
          <w:sz w:val="21"/>
          <w:szCs w:val="21"/>
          <w:highlight w:val="none"/>
          <w:lang w:val="en-US" w:eastAsia="zh-CN" w:bidi="ar-SA"/>
        </w:rPr>
        <w:br w:type="page" w:clear="all"/>
      </w:r>
      <w:r>
        <w:rPr>
          <w:rFonts w:hint="eastAsia" w:ascii="宋体" w:hAnsi="宋体" w:eastAsia="宋体" w:cs="宋体"/>
          <w:b/>
          <w:bCs/>
          <w:color w:val="auto"/>
          <w:sz w:val="21"/>
          <w:szCs w:val="21"/>
          <w:highlight w:val="none"/>
          <w:lang w:val="en-US" w:eastAsia="zh-CN" w:bidi="ar-SA"/>
        </w:rPr>
        <w:t xml:space="preserve">                           </w:t>
      </w:r>
      <w:bookmarkStart w:id="117" w:name="_Toc19001"/>
      <w:r/>
      <w:bookmarkStart w:id="118" w:name="_Toc91"/>
      <w:r/>
      <w:bookmarkStart w:id="119" w:name="_Toc14482"/>
      <w:r/>
      <w:bookmarkStart w:id="120" w:name="_Toc29928"/>
      <w:r/>
      <w:bookmarkStart w:id="121" w:name="_Toc4876"/>
      <w:r/>
      <w:bookmarkStart w:id="122" w:name="_Toc25806"/>
      <w:r>
        <w:rPr>
          <w:rFonts w:hint="eastAsia" w:ascii="宋体" w:hAnsi="宋体" w:eastAsia="宋体" w:cs="宋体"/>
          <w:b/>
          <w:bCs/>
          <w:color w:val="auto"/>
          <w:sz w:val="21"/>
          <w:szCs w:val="21"/>
          <w:highlight w:val="none"/>
          <w:lang w:val="en-US" w:eastAsia="zh-CN" w:bidi="ar-SA"/>
        </w:rPr>
        <w:t xml:space="preserve">第三部分 专用合同条款</w:t>
      </w:r>
      <w:bookmarkEnd w:id="116"/>
      <w:r/>
      <w:bookmarkEnd w:id="117"/>
      <w:r/>
      <w:bookmarkEnd w:id="118"/>
      <w:r/>
      <w:bookmarkEnd w:id="119"/>
      <w:r/>
      <w:bookmarkEnd w:id="120"/>
      <w:r/>
      <w:bookmarkEnd w:id="121"/>
      <w:r/>
      <w:bookmarkEnd w:id="122"/>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123" w:name="_Toc351203633"/>
      <w:r>
        <w:rPr>
          <w:rFonts w:hint="eastAsia" w:ascii="宋体" w:hAnsi="宋体" w:eastAsia="宋体" w:cs="宋体"/>
          <w:b/>
          <w:bCs w:val="0"/>
          <w:color w:val="auto"/>
          <w:sz w:val="21"/>
          <w:szCs w:val="21"/>
          <w:highlight w:val="none"/>
          <w:lang w:val="en-US" w:eastAsia="zh-CN" w:bidi="ar-SA"/>
        </w:rPr>
        <w:t xml:space="preserve">1</w:t>
      </w:r>
      <w:bookmarkStart w:id="124" w:name="_Toc296891196"/>
      <w:r/>
      <w:bookmarkStart w:id="125" w:name="_Toc296347155"/>
      <w:r/>
      <w:bookmarkStart w:id="126" w:name="_Toc292559866"/>
      <w:r/>
      <w:bookmarkStart w:id="127" w:name="_Toc297048342"/>
      <w:r/>
      <w:bookmarkStart w:id="128" w:name="_Toc296944495"/>
      <w:r/>
      <w:bookmarkStart w:id="129" w:name="_Toc296890984"/>
      <w:r/>
      <w:bookmarkStart w:id="130" w:name="_Toc296503156"/>
      <w:r/>
      <w:bookmarkStart w:id="131" w:name="_Toc296346657"/>
      <w:r/>
      <w:bookmarkStart w:id="132" w:name="_Toc292559361"/>
      <w:r/>
      <w:bookmarkStart w:id="133" w:name="_Toc297120456"/>
      <w:r>
        <w:rPr>
          <w:rFonts w:hint="eastAsia" w:ascii="宋体" w:hAnsi="宋体" w:eastAsia="宋体" w:cs="宋体"/>
          <w:b/>
          <w:bCs w:val="0"/>
          <w:color w:val="auto"/>
          <w:sz w:val="21"/>
          <w:szCs w:val="21"/>
          <w:highlight w:val="none"/>
          <w:lang w:val="en-US" w:eastAsia="zh-CN" w:bidi="ar-SA"/>
        </w:rPr>
        <w:t xml:space="preserve">. 一般约定</w:t>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34" w:name="_Toc24170"/>
      <w:r/>
      <w:bookmarkStart w:id="135" w:name="_Toc18116"/>
      <w:r/>
      <w:bookmarkStart w:id="136" w:name="_Toc25345"/>
      <w:r/>
      <w:bookmarkStart w:id="137" w:name="_Toc19380"/>
      <w:r/>
      <w:bookmarkStart w:id="138" w:name="_Toc31546"/>
      <w:r/>
      <w:bookmarkStart w:id="139" w:name="_Toc20639"/>
      <w:r>
        <w:rPr>
          <w:rFonts w:hint="eastAsia" w:ascii="宋体" w:hAnsi="宋体" w:eastAsia="宋体" w:cs="宋体"/>
          <w:color w:val="auto"/>
          <w:sz w:val="21"/>
          <w:szCs w:val="21"/>
          <w:highlight w:val="none"/>
        </w:rPr>
        <w:t xml:space="preserve">1.1 词语定义</w:t>
      </w:r>
      <w:bookmarkEnd w:id="134"/>
      <w:r/>
      <w:bookmarkEnd w:id="135"/>
      <w:r/>
      <w:bookmarkEnd w:id="136"/>
      <w:r/>
      <w:bookmarkEnd w:id="137"/>
      <w:r/>
      <w:bookmarkEnd w:id="138"/>
      <w:r/>
      <w:bookmarkEnd w:id="139"/>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招标文件、标准、规范及有关技术资料，合同履行中，发包人、承包人有关工程的洽商、变更等书面协议或文件视为本合同的组成部分。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临时设施及永久占地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中华人民共和国法律、行政法规、部门规章，以及工程所在地的地方法规、自治条例、单行条例和地方政府规章、行业规定建设单位相关规定</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国家现行标准规范。</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outlineLvl w:val="0"/>
      </w:pPr>
      <w:r/>
      <w:bookmarkStart w:id="140" w:name="_Toc1253"/>
      <w:r/>
      <w:bookmarkStart w:id="141" w:name="_Toc28857"/>
      <w:r/>
      <w:bookmarkStart w:id="142" w:name="_Toc28293"/>
      <w:r/>
      <w:bookmarkStart w:id="143" w:name="_Toc5137"/>
      <w:r/>
      <w:bookmarkStart w:id="144" w:name="_Toc16906"/>
      <w:r/>
      <w:bookmarkStart w:id="145" w:name="_Toc9565"/>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140"/>
      <w:r/>
      <w:bookmarkEnd w:id="141"/>
      <w:r/>
      <w:bookmarkEnd w:id="142"/>
      <w:r/>
      <w:bookmarkEnd w:id="143"/>
      <w:r/>
      <w:bookmarkEnd w:id="144"/>
      <w:r/>
      <w:bookmarkEnd w:id="145"/>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按国家标准同时符合强制性规范验收标准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46" w:name="_Toc28625"/>
      <w:r/>
      <w:bookmarkStart w:id="147" w:name="_Toc23720"/>
      <w:r/>
      <w:bookmarkStart w:id="148" w:name="_Toc31305"/>
      <w:r/>
      <w:bookmarkStart w:id="149" w:name="_Toc8322"/>
      <w:r/>
      <w:bookmarkStart w:id="150" w:name="_Toc11081"/>
      <w:r/>
      <w:bookmarkStart w:id="151" w:name="_Toc20609"/>
      <w:r>
        <w:rPr>
          <w:rFonts w:hint="eastAsia" w:ascii="宋体" w:hAnsi="宋体" w:eastAsia="宋体" w:cs="宋体"/>
          <w:color w:val="auto"/>
          <w:sz w:val="21"/>
          <w:szCs w:val="21"/>
          <w:highlight w:val="none"/>
        </w:rPr>
        <w:t xml:space="preserve">1.5 合同文件的优先顺序</w:t>
      </w:r>
      <w:bookmarkEnd w:id="146"/>
      <w:r/>
      <w:bookmarkEnd w:id="147"/>
      <w:r/>
      <w:bookmarkEnd w:id="148"/>
      <w:r/>
      <w:bookmarkEnd w:id="149"/>
      <w:r/>
      <w:bookmarkEnd w:id="150"/>
      <w:r/>
      <w:bookmarkEnd w:id="151"/>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）中标通知书（如果有）；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）专用合同条款及其附件；</w:t>
      </w:r>
      <w:r/>
    </w:p>
    <w:p>
      <w:pPr>
        <w:ind w:left="0" w:firstLine="420"/>
        <w:jc w:val="left"/>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w:t>
      </w:r>
      <w:r>
        <w:rPr>
          <w:rFonts w:hint="eastAsia" w:ascii="宋体" w:hAnsi="宋体" w:cs="宋体"/>
          <w:color w:val="auto"/>
          <w:sz w:val="21"/>
          <w:szCs w:val="21"/>
          <w:highlight w:val="none"/>
          <w:lang w:eastAsia="zh-CN"/>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）通用合同条款；</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）技术标准和要求；</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）图纸（如果有）；</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）投标文件及其附录（如果有）；</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）经修正的已标价工程量清单或预算书；</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）其他合同文件。</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w:t>
      </w:r>
      <w:r>
        <w:rPr>
          <w:rFonts w:hint="eastAsia" w:ascii="宋体" w:hAnsi="宋体" w:eastAsia="宋体" w:cs="宋体"/>
          <w:color w:val="auto"/>
          <w:sz w:val="21"/>
          <w:szCs w:val="21"/>
          <w:highlight w:val="none"/>
          <w:u w:val="single"/>
        </w:rPr>
        <w:t xml:space="preserve">（含工程变更及签证预算）、承包人购材料清单、劳动力及用款计划等及发包人要求提供的其他资料。</w:t>
      </w:r>
      <w:r/>
    </w:p>
    <w:p>
      <w:pPr>
        <w:ind w:firstLine="63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1"/>
          <w:szCs w:val="21"/>
          <w:highlight w:val="none"/>
          <w:u w:val="single"/>
        </w:rPr>
        <w:t xml:space="preserve">（含工程变更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新增工程等</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52" w:name="_Toc29447"/>
      <w:r/>
      <w:bookmarkStart w:id="153" w:name="_Toc6883"/>
      <w:r/>
      <w:bookmarkStart w:id="154" w:name="_Toc1737"/>
      <w:r/>
      <w:bookmarkStart w:id="155" w:name="_Toc3738"/>
      <w:r/>
      <w:bookmarkStart w:id="156" w:name="_Toc16835"/>
      <w:r/>
      <w:bookmarkStart w:id="157" w:name="_Toc28638"/>
      <w:r>
        <w:rPr>
          <w:rFonts w:hint="eastAsia" w:ascii="宋体" w:hAnsi="宋体" w:eastAsia="宋体" w:cs="宋体"/>
          <w:color w:val="auto"/>
          <w:sz w:val="21"/>
          <w:szCs w:val="21"/>
          <w:highlight w:val="none"/>
        </w:rPr>
        <w:t xml:space="preserve">1.7 联络</w:t>
      </w:r>
      <w:bookmarkEnd w:id="152"/>
      <w:r/>
      <w:bookmarkEnd w:id="153"/>
      <w:r/>
      <w:bookmarkEnd w:id="154"/>
      <w:r/>
      <w:bookmarkEnd w:id="155"/>
      <w:r/>
      <w:bookmarkEnd w:id="156"/>
      <w:r/>
      <w:bookmarkEnd w:id="157"/>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项目部项目经理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58" w:name="_Toc27548"/>
      <w:r/>
      <w:bookmarkStart w:id="159" w:name="_Toc19434"/>
      <w:r/>
      <w:bookmarkStart w:id="160" w:name="_Toc32259"/>
      <w:r/>
      <w:bookmarkStart w:id="161" w:name="_Toc11565"/>
      <w:r/>
      <w:bookmarkStart w:id="162" w:name="_Toc26049"/>
      <w:r/>
      <w:bookmarkStart w:id="163" w:name="_Toc2327"/>
      <w:r>
        <w:rPr>
          <w:rFonts w:hint="eastAsia" w:ascii="宋体" w:hAnsi="宋体" w:eastAsia="宋体" w:cs="宋体"/>
          <w:color w:val="auto"/>
          <w:sz w:val="21"/>
          <w:szCs w:val="21"/>
          <w:highlight w:val="none"/>
        </w:rPr>
        <w:t xml:space="preserve">1.10 交通运输</w:t>
      </w:r>
      <w:bookmarkEnd w:id="158"/>
      <w:r/>
      <w:bookmarkEnd w:id="159"/>
      <w:r/>
      <w:bookmarkEnd w:id="160"/>
      <w:r/>
      <w:bookmarkEnd w:id="161"/>
      <w:r/>
      <w:bookmarkEnd w:id="162"/>
      <w:r/>
      <w:bookmarkEnd w:id="163"/>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64" w:name="_Toc16424"/>
      <w:r/>
      <w:bookmarkStart w:id="165" w:name="_Toc4068"/>
      <w:r/>
      <w:bookmarkStart w:id="166" w:name="_Toc6762"/>
      <w:r/>
      <w:bookmarkStart w:id="167" w:name="_Toc2670"/>
      <w:r/>
      <w:bookmarkStart w:id="168" w:name="_Toc13727"/>
      <w:r/>
      <w:bookmarkStart w:id="169" w:name="_Toc20065"/>
      <w:r>
        <w:rPr>
          <w:rFonts w:hint="eastAsia" w:ascii="宋体" w:hAnsi="宋体" w:eastAsia="宋体" w:cs="宋体"/>
          <w:color w:val="auto"/>
          <w:sz w:val="21"/>
          <w:szCs w:val="21"/>
          <w:highlight w:val="none"/>
        </w:rPr>
        <w:t xml:space="preserve">1</w:t>
      </w:r>
      <w:bookmarkStart w:id="170" w:name="_Toc318581155"/>
      <w:r/>
      <w:bookmarkStart w:id="171" w:name="_Toc304295521"/>
      <w:r/>
      <w:bookmarkStart w:id="172" w:name="_Toc300934943"/>
      <w:r/>
      <w:bookmarkStart w:id="173" w:name="_Toc312677986"/>
      <w:r/>
      <w:bookmarkStart w:id="174" w:name="_Toc303539100"/>
      <w:r>
        <w:rPr>
          <w:rFonts w:hint="eastAsia" w:ascii="宋体" w:hAnsi="宋体" w:eastAsia="宋体" w:cs="宋体"/>
          <w:color w:val="auto"/>
          <w:sz w:val="21"/>
          <w:szCs w:val="21"/>
          <w:highlight w:val="none"/>
        </w:rPr>
        <w:t xml:space="preserve">.10.1 出入现场的权利</w:t>
      </w:r>
      <w:bookmarkEnd w:id="164"/>
      <w:r/>
      <w:bookmarkEnd w:id="165"/>
      <w:r/>
      <w:bookmarkEnd w:id="166"/>
      <w:r/>
      <w:bookmarkEnd w:id="167"/>
      <w:r/>
      <w:bookmarkEnd w:id="168"/>
      <w:r/>
      <w:bookmarkEnd w:id="169"/>
      <w:r/>
      <w:r/>
    </w:p>
    <w:p>
      <w:pPr>
        <w:ind w:left="682" w:firstLine="6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bookmarkEnd w:id="170"/>
      <w:r/>
      <w:bookmarkEnd w:id="171"/>
      <w:r/>
      <w:bookmarkEnd w:id="172"/>
      <w:r/>
      <w:bookmarkEnd w:id="173"/>
      <w:r/>
      <w:bookmarkEnd w:id="174"/>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75" w:name="_Toc20558"/>
      <w:r/>
      <w:bookmarkStart w:id="176" w:name="_Toc1330"/>
      <w:r/>
      <w:bookmarkStart w:id="177" w:name="_Toc18072"/>
      <w:r/>
      <w:bookmarkStart w:id="178" w:name="_Toc16781"/>
      <w:r/>
      <w:bookmarkStart w:id="179" w:name="_Toc20772"/>
      <w:r/>
      <w:bookmarkStart w:id="180" w:name="_Toc10208"/>
      <w:r>
        <w:rPr>
          <w:rFonts w:hint="eastAsia" w:ascii="宋体" w:hAnsi="宋体" w:eastAsia="宋体" w:cs="宋体"/>
          <w:color w:val="auto"/>
          <w:sz w:val="21"/>
          <w:szCs w:val="21"/>
          <w:highlight w:val="none"/>
        </w:rPr>
        <w:t xml:space="preserve">1</w:t>
      </w:r>
      <w:bookmarkStart w:id="181" w:name="_Toc318581156"/>
      <w:r/>
      <w:bookmarkStart w:id="182" w:name="_Toc303539101"/>
      <w:r/>
      <w:bookmarkStart w:id="183" w:name="_Toc312677987"/>
      <w:r/>
      <w:bookmarkStart w:id="184" w:name="_Toc300934944"/>
      <w:r/>
      <w:bookmarkStart w:id="185" w:name="_Toc304295522"/>
      <w:r>
        <w:rPr>
          <w:rFonts w:hint="eastAsia" w:ascii="宋体" w:hAnsi="宋体" w:eastAsia="宋体" w:cs="宋体"/>
          <w:color w:val="auto"/>
          <w:sz w:val="21"/>
          <w:szCs w:val="21"/>
          <w:highlight w:val="none"/>
        </w:rPr>
        <w:t xml:space="preserve">.10.3 场内交通</w:t>
      </w:r>
      <w:bookmarkEnd w:id="175"/>
      <w:r/>
      <w:bookmarkEnd w:id="176"/>
      <w:r/>
      <w:bookmarkEnd w:id="177"/>
      <w:r/>
      <w:bookmarkEnd w:id="178"/>
      <w:r/>
      <w:bookmarkEnd w:id="179"/>
      <w:r/>
      <w:bookmarkEnd w:id="180"/>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w:t>
      </w:r>
      <w:bookmarkEnd w:id="181"/>
      <w:r/>
      <w:bookmarkEnd w:id="182"/>
      <w:r/>
      <w:bookmarkEnd w:id="183"/>
      <w:r/>
      <w:bookmarkEnd w:id="184"/>
      <w:r/>
      <w:bookmarkEnd w:id="185"/>
      <w:r>
        <w:rPr>
          <w:rFonts w:hint="eastAsia" w:ascii="宋体" w:hAnsi="宋体" w:eastAsia="宋体" w:cs="宋体"/>
          <w:color w:val="auto"/>
          <w:sz w:val="21"/>
          <w:szCs w:val="21"/>
          <w:highlight w:val="none"/>
        </w:rPr>
        <w:t xml:space="preserve">  </w:t>
      </w:r>
      <w:bookmarkStart w:id="186" w:name="_Toc318581157"/>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bookmarkEnd w:id="186"/>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87" w:name="_Toc10898"/>
      <w:r/>
      <w:bookmarkStart w:id="188" w:name="_Toc10471"/>
      <w:r/>
      <w:bookmarkStart w:id="189" w:name="_Toc14561"/>
      <w:r/>
      <w:bookmarkStart w:id="190" w:name="_Toc7162"/>
      <w:r/>
      <w:bookmarkStart w:id="191" w:name="_Toc21126"/>
      <w:r/>
      <w:bookmarkStart w:id="192" w:name="_Toc17677"/>
      <w:r>
        <w:rPr>
          <w:rFonts w:hint="eastAsia" w:ascii="宋体" w:hAnsi="宋体" w:eastAsia="宋体" w:cs="宋体"/>
          <w:color w:val="auto"/>
          <w:sz w:val="21"/>
          <w:szCs w:val="21"/>
          <w:highlight w:val="none"/>
        </w:rPr>
        <w:t xml:space="preserve">1.11 知识产权</w:t>
      </w:r>
      <w:bookmarkEnd w:id="187"/>
      <w:r/>
      <w:bookmarkEnd w:id="188"/>
      <w:r/>
      <w:bookmarkEnd w:id="189"/>
      <w:r/>
      <w:bookmarkEnd w:id="190"/>
      <w:r/>
      <w:bookmarkEnd w:id="191"/>
      <w:r/>
      <w:bookmarkEnd w:id="192"/>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193" w:name="_Toc32662"/>
      <w:r/>
      <w:bookmarkStart w:id="194" w:name="_Toc20925"/>
      <w:r/>
      <w:bookmarkStart w:id="195" w:name="_Toc24292"/>
      <w:r/>
      <w:bookmarkStart w:id="196" w:name="_Toc4496"/>
      <w:r/>
      <w:bookmarkStart w:id="197" w:name="_Toc1195"/>
      <w:r/>
      <w:bookmarkStart w:id="198" w:name="_Toc15473"/>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193"/>
      <w:r/>
      <w:bookmarkEnd w:id="194"/>
      <w:r/>
      <w:bookmarkEnd w:id="195"/>
      <w:r/>
      <w:bookmarkEnd w:id="196"/>
      <w:r/>
      <w:bookmarkEnd w:id="197"/>
      <w:r/>
      <w:bookmarkEnd w:id="198"/>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beforeAutospacing="0" w:afterAutospacing="0" w:line="360" w:lineRule="auto"/>
        <w:rPr>
          <w:rFonts w:hint="eastAsia" w:ascii="宋体" w:hAnsi="宋体" w:eastAsia="宋体" w:cs="宋体"/>
          <w:color w:val="auto"/>
          <w:sz w:val="21"/>
          <w:szCs w:val="21"/>
          <w:highlight w:val="none"/>
          <w:lang w:val="en-US" w:eastAsia="zh-CN"/>
        </w:rPr>
        <w:outlineLvl w:val="0"/>
      </w:pPr>
      <w:r/>
      <w:bookmarkStart w:id="199" w:name="_Toc351203634"/>
      <w:r>
        <w:rPr>
          <w:rFonts w:hint="eastAsia" w:ascii="宋体" w:hAnsi="宋体" w:eastAsia="宋体" w:cs="宋体"/>
          <w:color w:val="auto"/>
          <w:sz w:val="21"/>
          <w:szCs w:val="21"/>
          <w:highlight w:val="none"/>
          <w:lang w:val="en-US" w:eastAsia="zh-CN"/>
        </w:rPr>
        <w:t xml:space="preserve">1.13.1出现工程量清单缺陷时，是否调整合同价格：</w:t>
      </w:r>
      <w:r>
        <w:rPr>
          <w:rFonts w:hint="eastAsia" w:ascii="宋体" w:hAnsi="宋体" w:eastAsia="宋体" w:cs="宋体"/>
          <w:color w:val="auto"/>
          <w:sz w:val="21"/>
          <w:szCs w:val="21"/>
          <w:highlight w:val="none"/>
          <w:u w:val="single"/>
          <w:lang w:val="en-US" w:eastAsia="zh-CN"/>
        </w:rPr>
        <w:t xml:space="preserve">   调整   </w:t>
      </w:r>
      <w:r>
        <w:rPr>
          <w:rFonts w:hint="eastAsia" w:ascii="宋体" w:hAnsi="宋体" w:eastAsia="宋体" w:cs="宋体"/>
          <w:color w:val="auto"/>
          <w:sz w:val="21"/>
          <w:szCs w:val="21"/>
          <w:highlight w:val="none"/>
          <w:lang w:val="en-US" w:eastAsia="zh-CN"/>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lang w:val="en-US" w:eastAsia="zh-CN"/>
        </w:rPr>
        <w:outlineLvl w:val="0"/>
      </w:pPr>
      <w:r>
        <w:rPr>
          <w:rFonts w:hint="eastAsia" w:ascii="宋体" w:hAnsi="宋体" w:eastAsia="宋体" w:cs="宋体"/>
          <w:color w:val="auto"/>
          <w:sz w:val="21"/>
          <w:szCs w:val="21"/>
          <w:highlight w:val="none"/>
          <w:lang w:val="en-US" w:eastAsia="zh-CN"/>
        </w:rPr>
        <w:t xml:space="preserve">1.13.2出现工程量清单缺陷时调整合同价格的方式：</w:t>
      </w:r>
      <w:r>
        <w:rPr>
          <w:rFonts w:hint="eastAsia" w:ascii="宋体" w:hAnsi="宋体" w:eastAsia="宋体" w:cs="宋体"/>
          <w:color w:val="auto"/>
          <w:sz w:val="21"/>
          <w:szCs w:val="21"/>
          <w:highlight w:val="none"/>
          <w:u w:val="single"/>
          <w:lang w:val="en-US" w:eastAsia="zh-CN"/>
        </w:rPr>
        <w:t xml:space="preserve">（1）工程量清单缺陷引起清单项目变化(项目增减)，按《建设工程工程量清单计价标准》（GB/T 50500-2024）第8.9.1条的规定计算调整合同价格；</w:t>
      </w:r>
      <w:r/>
    </w:p>
    <w:p>
      <w:pPr>
        <w:ind w:firstLine="420"/>
        <w:pageBreakBefore w:val="0"/>
        <w:spacing w:beforeAutospacing="0" w:afterAutospacing="0"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u w:val="single"/>
          <w:lang w:val="en-US" w:eastAsia="zh-CN"/>
        </w:rPr>
        <w:t xml:space="preserve">（2）工程量清单缺陷引起清单工程量增加或减少，且增减工程量超过相应清单项目合同清单所含工程量的15%(不含15%)的，不调整经修正的已标价工程量清单中综合单价；</w:t>
      </w:r>
      <w:r/>
    </w:p>
    <w:p>
      <w:pPr>
        <w:ind w:firstLine="420"/>
        <w:pageBreakBefore w:val="0"/>
        <w:spacing w:beforeAutospacing="0" w:afterAutospacing="0"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u w:val="single"/>
          <w:lang w:val="en-US" w:eastAsia="zh-CN"/>
        </w:rPr>
        <w:t xml:space="preserve">采用单价合同的工程，除安全生产措施项目及《建设工程工程量清单计价标准》（GB/T 50500-2024）第7.2.1条第2款规定的措施项目外，合同清单的措施项目清单及合同工期均不予调整。</w:t>
      </w:r>
      <w:r/>
    </w:p>
    <w:p>
      <w:pPr>
        <w:ind w:firstLine="420"/>
        <w:pageBreakBefore w:val="0"/>
        <w:spacing w:beforeAutospacing="0" w:afterAutospacing="0"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u w:val="single"/>
          <w:lang w:val="en-US" w:eastAsia="zh-CN"/>
        </w:rPr>
        <w:t xml:space="preserve">允许调整合同价格的工程量偏差范围：/   。</w:t>
      </w:r>
      <w:r/>
    </w:p>
    <w:p>
      <w:pPr>
        <w:ind w:firstLine="420"/>
        <w:pageBreakBefore w:val="0"/>
        <w:spacing w:beforeAutospacing="0" w:afterAutospacing="0"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1.13.2、招标文件中的工程量清单标明的工程量是投标人投标报价的共同基础，竣工结算的工程量按发承包双方在合同中约定应予计量且实际完成并经甲方确认的工程量确定。工程计量时若发现清单中漏项、工程量计算偏差，以及工程变更引起工程量的增减，应按承包人在履行合同义务中实际完成量进行及时计量。</w:t>
      </w:r>
      <w:r/>
    </w:p>
    <w:p>
      <w:pPr>
        <w:ind w:firstLine="420"/>
        <w:pageBreakBefore w:val="0"/>
        <w:spacing w:beforeAutospacing="0" w:afterAutospacing="0"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1.13.3、若施工中出现施工图纸（含设计变更）与工程量清单项目特征描述不符，应及时上报发包人，按照发包人书面确认的最终方案进行施工。</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2</w:t>
      </w:r>
      <w:bookmarkStart w:id="200" w:name="_Toc296346658"/>
      <w:r/>
      <w:bookmarkStart w:id="201" w:name="_Toc292559867"/>
      <w:r/>
      <w:bookmarkStart w:id="202" w:name="_Toc296347156"/>
      <w:r/>
      <w:bookmarkStart w:id="203" w:name="_Toc297048343"/>
      <w:r/>
      <w:bookmarkStart w:id="204" w:name="_Toc292559362"/>
      <w:r/>
      <w:bookmarkStart w:id="205" w:name="_Toc296891197"/>
      <w:r/>
      <w:bookmarkStart w:id="206" w:name="_Toc297120457"/>
      <w:r/>
      <w:bookmarkStart w:id="207" w:name="_Toc296503157"/>
      <w:r/>
      <w:bookmarkStart w:id="208" w:name="_Toc296890985"/>
      <w:r/>
      <w:bookmarkStart w:id="209" w:name="_Toc296944496"/>
      <w:r>
        <w:rPr>
          <w:rFonts w:hint="eastAsia" w:ascii="宋体" w:hAnsi="宋体" w:eastAsia="宋体" w:cs="宋体"/>
          <w:b/>
          <w:bCs w:val="0"/>
          <w:color w:val="auto"/>
          <w:sz w:val="21"/>
          <w:szCs w:val="21"/>
          <w:highlight w:val="none"/>
          <w:lang w:val="en-US" w:eastAsia="zh-CN" w:bidi="ar-SA"/>
        </w:rPr>
        <w:t xml:space="preserve">. 发包人</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210" w:name="_Toc17871"/>
      <w:r/>
      <w:bookmarkStart w:id="211" w:name="_Toc18395"/>
      <w:r/>
      <w:bookmarkStart w:id="212" w:name="_Toc2768"/>
      <w:r/>
      <w:bookmarkStart w:id="213" w:name="_Toc10814"/>
      <w:r/>
      <w:bookmarkStart w:id="214" w:name="_Toc27370"/>
      <w:r/>
      <w:bookmarkStart w:id="215" w:name="_Toc32013"/>
      <w:r>
        <w:rPr>
          <w:rFonts w:hint="eastAsia" w:ascii="宋体" w:hAnsi="宋体" w:eastAsia="宋体" w:cs="宋体"/>
          <w:color w:val="auto"/>
          <w:sz w:val="21"/>
          <w:szCs w:val="21"/>
          <w:highlight w:val="none"/>
        </w:rPr>
        <w:t xml:space="preserve">2.2 发包人代表</w:t>
      </w:r>
      <w:bookmarkEnd w:id="210"/>
      <w:r/>
      <w:bookmarkEnd w:id="211"/>
      <w:r/>
      <w:bookmarkEnd w:id="212"/>
      <w:r/>
      <w:bookmarkEnd w:id="213"/>
      <w:r/>
      <w:bookmarkEnd w:id="214"/>
      <w:r/>
      <w:bookmarkEnd w:id="215"/>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216" w:name="_Toc11964"/>
      <w:r/>
      <w:bookmarkStart w:id="217" w:name="_Toc18882"/>
      <w:r/>
      <w:bookmarkStart w:id="218" w:name="_Toc25046"/>
      <w:r/>
      <w:bookmarkStart w:id="219" w:name="_Toc32705"/>
      <w:r/>
      <w:bookmarkStart w:id="220" w:name="_Toc7109"/>
      <w:r/>
      <w:bookmarkStart w:id="221" w:name="_Toc9365"/>
      <w:r>
        <w:rPr>
          <w:rFonts w:hint="eastAsia" w:ascii="宋体" w:hAnsi="宋体" w:eastAsia="宋体" w:cs="宋体"/>
          <w:color w:val="auto"/>
          <w:sz w:val="21"/>
          <w:szCs w:val="21"/>
          <w:highlight w:val="none"/>
        </w:rPr>
        <w:t xml:space="preserve">2.4 施工现场、施工条件和基础资料的提供</w:t>
      </w:r>
      <w:bookmarkEnd w:id="216"/>
      <w:r/>
      <w:bookmarkEnd w:id="217"/>
      <w:r/>
      <w:bookmarkEnd w:id="218"/>
      <w:r/>
      <w:bookmarkEnd w:id="219"/>
      <w:r/>
      <w:bookmarkEnd w:id="220"/>
      <w:r/>
      <w:bookmarkEnd w:id="221"/>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发包人不提供水源、电源到施工现场，由承包人自行提供材料、设备接水、接电，并自备合格计量表计量，供水、供电费用（含接水、接电费用）由承包人支付，通讯工具自备。</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222" w:name="_Toc19906"/>
      <w:r/>
      <w:bookmarkStart w:id="223" w:name="_Toc9138"/>
      <w:r/>
      <w:bookmarkStart w:id="224" w:name="_Toc7597"/>
      <w:r/>
      <w:bookmarkStart w:id="225" w:name="_Toc14599"/>
      <w:r/>
      <w:bookmarkStart w:id="226" w:name="_Toc20916"/>
      <w:r/>
      <w:bookmarkStart w:id="227" w:name="_Toc20423"/>
      <w:r>
        <w:rPr>
          <w:rFonts w:hint="eastAsia" w:ascii="宋体" w:hAnsi="宋体" w:eastAsia="宋体" w:cs="宋体"/>
          <w:color w:val="auto"/>
          <w:sz w:val="21"/>
          <w:szCs w:val="21"/>
          <w:highlight w:val="none"/>
        </w:rPr>
        <w:t xml:space="preserve">2.5 资金来源证明及支付担保</w:t>
      </w:r>
      <w:bookmarkEnd w:id="222"/>
      <w:r/>
      <w:bookmarkEnd w:id="223"/>
      <w:r/>
      <w:bookmarkEnd w:id="224"/>
      <w:r/>
      <w:bookmarkEnd w:id="225"/>
      <w:r/>
      <w:bookmarkEnd w:id="226"/>
      <w:r/>
      <w:bookmarkEnd w:id="227"/>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228" w:name="_Toc351203635"/>
      <w:r>
        <w:rPr>
          <w:rFonts w:hint="eastAsia" w:ascii="宋体" w:hAnsi="宋体" w:eastAsia="宋体" w:cs="宋体"/>
          <w:b/>
          <w:bCs w:val="0"/>
          <w:color w:val="auto"/>
          <w:sz w:val="21"/>
          <w:szCs w:val="21"/>
          <w:highlight w:val="none"/>
          <w:lang w:val="en-US" w:eastAsia="zh-CN" w:bidi="ar-SA"/>
        </w:rPr>
        <w:t xml:space="preserve">3</w:t>
      </w:r>
      <w:bookmarkStart w:id="229" w:name="_Toc296346659"/>
      <w:r/>
      <w:bookmarkStart w:id="230" w:name="_Toc296891198"/>
      <w:r/>
      <w:bookmarkStart w:id="231" w:name="_Toc296503158"/>
      <w:r/>
      <w:bookmarkStart w:id="232" w:name="_Toc296347157"/>
      <w:r/>
      <w:bookmarkStart w:id="233" w:name="_Toc292559363"/>
      <w:r/>
      <w:bookmarkStart w:id="234" w:name="_Toc296944497"/>
      <w:r/>
      <w:bookmarkStart w:id="235" w:name="_Toc296890986"/>
      <w:r/>
      <w:bookmarkStart w:id="236" w:name="_Toc297120458"/>
      <w:r/>
      <w:bookmarkStart w:id="237" w:name="_Toc297048344"/>
      <w:r/>
      <w:bookmarkStart w:id="238" w:name="_Toc292559868"/>
      <w:r>
        <w:rPr>
          <w:rFonts w:hint="eastAsia" w:ascii="宋体" w:hAnsi="宋体" w:eastAsia="宋体" w:cs="宋体"/>
          <w:b/>
          <w:bCs w:val="0"/>
          <w:color w:val="auto"/>
          <w:sz w:val="21"/>
          <w:szCs w:val="21"/>
          <w:highlight w:val="none"/>
          <w:lang w:val="en-US" w:eastAsia="zh-CN" w:bidi="ar-SA"/>
        </w:rPr>
        <w:t xml:space="preserve">. 承包人</w:t>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承包人在履行合同过程中应遵守法律和工程建设标准规范，并履行以下义务：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（1）办理法律规定应由承包人办理的许可和批准，并将办理结果书面报送发包人留存；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（2）按法律规定和合同约定完成工程，并在保修期内承担保修义务；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（3）按法律规定和合同约定采取施工安全和环境保护措施，办理工伤保险，确保工程及人员、材料、设备和设施的安全；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（4）按合同约定的工作内容和施工进度要求，编制施工组织设计和施工措施计划，并对所有施工作业和施工方法的完备性和安全可靠性负责；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按照通用条款第6.3款〔环境保护〕约定负责施工场地及其周边环境与生态的保护工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（7）按通用条款第6.1款约定采取施工安全措施，确保工程及其人员、材料、设备和设施的安全，防止因工程施工造成的人身伤害和财产损失，并由承包人承担发生的一切费用，发包人不承担任何费用；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将发包人按合同约定支付的各项价款专用于合同工程，且应及时支付其雇用人员工资，并及时向分包人支付合同价款；若不及时支付的，发包人有权代为支付，因此发生的费用发包人有权从工程款中直接扣除，不足部分承包人有义务予以补足，并承担清理逾期付款的违约责任，按照合同总价款的3%做为违约金。</w:t>
      </w:r>
      <w:r/>
    </w:p>
    <w:p>
      <w:pPr>
        <w:ind w:firstLine="315"/>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承包人提交的竣工资料的内容：</w:t>
      </w:r>
      <w:r>
        <w:rPr>
          <w:rFonts w:hint="eastAsia" w:ascii="宋体" w:hAnsi="宋体" w:eastAsia="宋体" w:cs="宋体"/>
          <w:color w:val="auto"/>
          <w:sz w:val="21"/>
          <w:szCs w:val="21"/>
          <w:highlight w:val="none"/>
          <w:u w:val="single"/>
        </w:rPr>
        <w:t xml:space="preserve">承包人应按国家工程竣工验收标准向发包人提供完整的竣工验收资料、竣工图、完整的竣工结算资料和竣工结算书（含电子文档）。</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叁套。</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由承包人承担</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工程具备竣工验收条件后45天内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书面文件和电子文件。</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承担施工安全保卫工作及非夜间施工照明的责任和要</w:t>
      </w:r>
      <w:r>
        <w:rPr>
          <w:rFonts w:hint="eastAsia" w:ascii="宋体" w:hAnsi="宋体" w:eastAsia="宋体" w:cs="宋体"/>
          <w:color w:val="auto"/>
          <w:sz w:val="21"/>
          <w:szCs w:val="21"/>
          <w:highlight w:val="non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315"/>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向发包人提供的办公和生活房屋及设施的要求：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,3)</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需承包人办理的有关施工场地交通、环卫和施工噪音管理等手续:承包人应遵守政府有关主管部门对施工场地及城市道路、周边建筑排污、渣土、环保（含施工噪声、施工粉尘）、环卫、市容、城建、治安、交管、人口管理以及安全生产等的管理规定，由承包人办理相关手续，并由承包人承担发生的一切费用。</w:t>
      </w:r>
      <w:r/>
    </w:p>
    <w:p>
      <w:pPr>
        <w:ind w:firstLine="21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,4)</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已完工程成品保护的特殊要求及费用承担：由承包人负责成品保护并承担费用。</w:t>
      </w:r>
      <w:r/>
    </w:p>
    <w:p>
      <w:pPr>
        <w:ind w:firstLine="21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,5)</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因承包人原因造成破坏的，承包人必须无条件及时修复，并承担由此发生的全部费用和责任。</w:t>
      </w:r>
      <w:r/>
    </w:p>
    <w:p>
      <w:pPr>
        <w:ind w:firstLine="21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,6)</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施工场地清洁卫生的要求：按标准化施工现场管理，保持现场清洁，符合环境要求；交工前清理现场，因施工产生的垃圾外运，费用由承包人自理。</w:t>
      </w:r>
      <w:r/>
    </w:p>
    <w:p>
      <w:pPr>
        <w:ind w:firstLine="21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,7)</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firstLine="21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,8)</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双方约定承包人应做的其它工作：（包括但不限于）</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 在施工中，由承包人自身原因造成的停工、返工、材料、物件的倒运、机械二次进场等损失，均由承包人承担。</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c.严格按施工图纸、国家现行的施工及技术验收规范进行施工，做好自检工作，并按规定程序进行检测和报验，确保工程质量和工期。</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d.严格按施工安全规范要求采取预防事故的措施，确保施工安全和第三者安全。</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f.施工中承包人应做好施工原始记录，隐蔽工程记录，按照国家验收规范的要求，整理、检查、编制工程验收竣工资料。并在竣工时按规定移交发包人。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g.承包人采购设备、材料前须得到发包人和监理工程师的认可。材料的规格、技术指标、质量等级详见施工图, 同时应满足相关技术规范要求。</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i.承包人项目经理、项目技术负责人、安全负责人及发包人或监理单位临时指定的</w:t>
      </w:r>
      <w:r>
        <w:rPr>
          <w:rFonts w:hint="eastAsia" w:ascii="宋体" w:hAnsi="宋体" w:eastAsia="宋体" w:cs="宋体"/>
          <w:color w:val="auto"/>
          <w:sz w:val="21"/>
          <w:szCs w:val="21"/>
          <w:highlight w:val="none"/>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w:t>
      </w:r>
      <w:r>
        <w:rPr>
          <w:rFonts w:hint="eastAsia" w:ascii="宋体" w:hAnsi="宋体" w:eastAsia="宋体" w:cs="宋体"/>
          <w:color w:val="auto"/>
          <w:sz w:val="21"/>
          <w:szCs w:val="21"/>
          <w:highlight w:val="none"/>
          <w:lang w:val="en-US" w:eastAsia="zh-CN"/>
        </w:rPr>
        <w:t xml:space="preserve">长</w:t>
      </w:r>
      <w:r>
        <w:rPr>
          <w:rFonts w:hint="eastAsia" w:ascii="宋体" w:hAnsi="宋体" w:eastAsia="宋体" w:cs="宋体"/>
          <w:color w:val="auto"/>
          <w:sz w:val="21"/>
          <w:szCs w:val="21"/>
          <w:highlight w:val="none"/>
        </w:rPr>
        <w:t xml:space="preserve">驻工地主管人员。有关主管人员名单及履历，需呈交监理和发包人工程师评审和认可。</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s="宋体"/>
          <w:color w:val="auto"/>
          <w:sz w:val="21"/>
          <w:szCs w:val="21"/>
          <w:highlight w:val="none"/>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n.材料设备要报批送检，竣工资料须经发包人</w:t>
      </w:r>
      <w:r>
        <w:rPr>
          <w:rFonts w:hint="eastAsia" w:ascii="宋体" w:hAnsi="宋体" w:eastAsia="宋体" w:cs="宋体"/>
          <w:color w:val="auto"/>
          <w:sz w:val="21"/>
          <w:szCs w:val="21"/>
          <w:highlight w:val="none"/>
          <w:lang w:val="en-US" w:eastAsia="zh-CN"/>
        </w:rPr>
        <w:t xml:space="preserve">主</w:t>
      </w:r>
      <w:r>
        <w:rPr>
          <w:rFonts w:hint="eastAsia" w:ascii="宋体" w:hAnsi="宋体" w:eastAsia="宋体" w:cs="宋体"/>
          <w:color w:val="auto"/>
          <w:sz w:val="21"/>
          <w:szCs w:val="21"/>
          <w:highlight w:val="none"/>
        </w:rPr>
        <w:t xml:space="preserve">管部门验收合格并备案，同时经城建档案验收合格并移交备案等全部工作内容，并承担由此而产生的所有费用。</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承包人未能按要求履行以上各项义务，造成发包人损失的，承包人应赔偿发包人有关损失。</w:t>
      </w:r>
      <w:r/>
    </w:p>
    <w:p>
      <w:pPr>
        <w:ind w:firstLine="21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,9)</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承包人应履行的其他义务： 做好邻近建筑物、道路、广场、绿化、地下管线的保护工作，其费用由承包人在投标报价中自行考虑。因承包人的责任造成的财产和人身损失，由承包人承担费用。</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开工之日起到竣工结束，项目经理(包含项目技术负责人)每周至少5日，每天必须保证8小时以上在现场组织施工，离开现场需征得发包人的负责人书面同意。发包人每天实行签到制度</w:t>
      </w:r>
      <w:r>
        <w:rPr>
          <w:rFonts w:hint="eastAsia" w:ascii="宋体" w:hAnsi="宋体" w:eastAsia="宋体" w:cs="宋体"/>
          <w:color w:val="auto"/>
          <w:sz w:val="21"/>
          <w:szCs w:val="21"/>
          <w:highlight w:val="none"/>
          <w:u w:val="singl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甲方有权暂停支付当期工程款，并要求乙方更换项目经理，且更换后的项目经理资质等级、业绩不低于原项目经理，否则解除施工合同。乙方还需向甲方支付合同总价10% 违约金，该违约金甲方可直接从应付工程款中抵扣</w:t>
      </w:r>
      <w:r>
        <w:rPr>
          <w:rFonts w:hint="eastAsia" w:ascii="宋体" w:hAnsi="宋体" w:eastAsia="宋体" w:cs="宋体"/>
          <w:color w:val="auto"/>
          <w:sz w:val="21"/>
          <w:szCs w:val="21"/>
          <w:highlight w:val="none"/>
          <w:u w:val="single"/>
        </w:rPr>
        <w:t xml:space="preserve">，同时要求发包人更换项目经理，且更换后的项目经理资质等级、业绩不低于原项目经理，否则解除施工合同。</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承包人在本工程承建过程中，项目经理、质检员、安全员等项目组主要成员必须全部到场且每月不得少于</w:t>
      </w:r>
      <w:r>
        <w:rPr>
          <w:rFonts w:hint="eastAsia" w:ascii="宋体" w:hAnsi="宋体" w:eastAsia="宋体" w:cs="宋体"/>
          <w:color w:val="auto"/>
          <w:sz w:val="21"/>
          <w:szCs w:val="21"/>
          <w:highlight w:val="none"/>
          <w:u w:val="single"/>
        </w:rPr>
        <w:t xml:space="preserve">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若承包人擅自更换项目经理，甲方有权暂停支付全部未付款项，乙方须更换同等及以上资质人员，并向甲方支付 10 万元违约金，违约金从工程款直接扣除，同时要求承包人更换后的项目经理资质等级、业绩不低于原项目经理，否则解除施工合同。</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承包人无正当理由拒绝更换项目经理，甲方有权单方解除本合同，乙方需向甲方支付合同总价 10% 违约金，甲方可从已完工程结算款中抵扣，不足以弥补甲方损失的，乙方另行赔偿。</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spacing w:line="440" w:lineRule="exact"/>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3.3.1 承包人提交项目管理机构及施工现场管理人员安排报告的期限：承包人应在合同签订后 7 日内，向发包人提交项目管理机构及施工现场人员安排报告，并经发包人书面同意确认后，方可办理合同备案手续。</w:t>
      </w:r>
      <w:r/>
    </w:p>
    <w:p>
      <w:pPr>
        <w:ind w:firstLine="420"/>
        <w:spacing w:line="440" w:lineRule="exact"/>
        <w:rPr>
          <w:rFonts w:hint="default" w:ascii="宋体" w:hAnsi="宋体" w:eastAsia="宋体" w:cs="宋体"/>
          <w:color w:val="auto"/>
          <w:sz w:val="21"/>
          <w:szCs w:val="21"/>
          <w:highlight w:val="none"/>
          <w:u w:val="none"/>
          <w:lang w:val="en-US" w:eastAsia="zh-CN"/>
        </w:rPr>
        <w:outlineLvl w:val="0"/>
      </w:pPr>
      <w:r>
        <w:rPr>
          <w:rFonts w:hint="eastAsia" w:ascii="宋体" w:hAnsi="宋体" w:eastAsia="宋体" w:cs="宋体"/>
          <w:color w:val="auto"/>
          <w:sz w:val="21"/>
          <w:szCs w:val="21"/>
          <w:highlight w:val="none"/>
          <w:u w:val="none"/>
        </w:rPr>
        <w:t xml:space="preserve">技术负责人：</w:t>
      </w:r>
      <w:r>
        <w:rPr>
          <w:rFonts w:hint="eastAsia" w:ascii="宋体" w:hAnsi="宋体" w:eastAsia="宋体" w:cs="宋体"/>
          <w:color w:val="auto"/>
          <w:sz w:val="21"/>
          <w:szCs w:val="21"/>
          <w:highlight w:val="none"/>
          <w:u w:val="none"/>
          <w:lang w:val="en-US" w:eastAsia="zh-CN"/>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施工员：</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质量员：</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安全员：</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u w:val="single"/>
        </w:rPr>
        <w:t xml:space="preserve">大中型项目，开工前承包人应在施工现场安装生物识别网络管理系统，发包人依据合同约定条款对项目负责人及项目组成员加强履约管理。</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接到开工令3天内  。</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应提前1天书面通知监理人及发包人，并征得发包人书面同意。</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如果承包人未经发包人</w:t>
      </w:r>
      <w:r>
        <w:rPr>
          <w:rFonts w:hint="eastAsia" w:ascii="宋体" w:hAnsi="宋体" w:eastAsia="宋体" w:cs="宋体"/>
          <w:color w:val="auto"/>
          <w:sz w:val="21"/>
          <w:szCs w:val="21"/>
          <w:highlight w:val="none"/>
          <w:u w:val="single"/>
        </w:rPr>
        <w:t xml:space="preserve">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合同总价10% 违约金，违约金优先从已完工程价款中抵扣，不足以弥补甲方损失的，乙方另行全额赔偿。承包人同时按3.2.1约定缴纳变更手续费用。</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239" w:name="_Toc296944498"/>
      <w:r/>
      <w:bookmarkStart w:id="240" w:name="_Toc304295523"/>
      <w:r/>
      <w:bookmarkStart w:id="241" w:name="_Toc297120459"/>
      <w:r/>
      <w:bookmarkStart w:id="242" w:name="_Toc297216151"/>
      <w:r/>
      <w:bookmarkStart w:id="243" w:name="_Toc297123492"/>
      <w:r/>
      <w:bookmarkStart w:id="244" w:name="_Toc312677988"/>
      <w:r/>
      <w:bookmarkStart w:id="245" w:name="_Toc296503159"/>
      <w:r/>
      <w:bookmarkStart w:id="246" w:name="_Toc296890987"/>
      <w:r/>
      <w:bookmarkStart w:id="247" w:name="_Toc296891199"/>
      <w:r/>
      <w:bookmarkStart w:id="248" w:name="_Toc296346660"/>
      <w:r/>
      <w:bookmarkStart w:id="249" w:name="_Toc296347158"/>
      <w:r/>
      <w:bookmarkStart w:id="250" w:name="_Toc297048345"/>
      <w:r/>
      <w:bookmarkStart w:id="251" w:name="_Toc292559364"/>
      <w:r/>
      <w:bookmarkStart w:id="252" w:name="_Toc303539102"/>
      <w:r/>
      <w:bookmarkStart w:id="253" w:name="_Toc300934945"/>
      <w:r/>
      <w:bookmarkStart w:id="254" w:name="_Toc292559869"/>
      <w:r>
        <w:rPr>
          <w:rFonts w:hint="eastAsia" w:ascii="宋体" w:hAnsi="宋体" w:eastAsia="宋体" w:cs="宋体"/>
          <w:color w:val="auto"/>
          <w:sz w:val="21"/>
          <w:szCs w:val="21"/>
          <w:highlight w:val="none"/>
        </w:rPr>
        <w:t xml:space="preserve">.5 分包</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255" w:name="_Toc292559870"/>
      <w:r/>
      <w:bookmarkStart w:id="256" w:name="_Toc296891200"/>
      <w:r/>
      <w:bookmarkStart w:id="257" w:name="_Toc296503160"/>
      <w:r/>
      <w:bookmarkStart w:id="258" w:name="_Toc297123493"/>
      <w:r/>
      <w:bookmarkStart w:id="259" w:name="_Toc303539103"/>
      <w:r/>
      <w:bookmarkStart w:id="260" w:name="_Toc296944499"/>
      <w:r/>
      <w:bookmarkStart w:id="261" w:name="_Toc297048346"/>
      <w:r/>
      <w:bookmarkStart w:id="262" w:name="_Toc297120460"/>
      <w:r/>
      <w:bookmarkStart w:id="263" w:name="_Toc292559365"/>
      <w:r/>
      <w:bookmarkStart w:id="264" w:name="_Toc304295524"/>
      <w:r/>
      <w:bookmarkStart w:id="265" w:name="_Toc296346661"/>
      <w:r/>
      <w:bookmarkStart w:id="266" w:name="_Toc300934946"/>
      <w:r/>
      <w:bookmarkStart w:id="267" w:name="_Toc296347159"/>
      <w:r/>
      <w:bookmarkStart w:id="268" w:name="_Toc297216152"/>
      <w:r/>
      <w:bookmarkStart w:id="269" w:name="_Toc296890988"/>
      <w:r/>
      <w:bookmarkStart w:id="270" w:name="_Toc312677989"/>
      <w:r/>
      <w:bookmarkStart w:id="271" w:name="_Toc318581158"/>
      <w:r>
        <w:rPr>
          <w:rFonts w:hint="eastAsia" w:ascii="宋体" w:hAnsi="宋体" w:eastAsia="宋体" w:cs="宋体"/>
          <w:color w:val="auto"/>
          <w:sz w:val="21"/>
          <w:szCs w:val="21"/>
          <w:highlight w:val="none"/>
        </w:rPr>
        <w:t xml:space="preserve">.5.1 分包的一般约定</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未经发包人同意本工程不允许分包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2" w:name="_Toc297123494"/>
      <w:r/>
      <w:bookmarkStart w:id="273" w:name="_Toc304295525"/>
      <w:r/>
      <w:bookmarkStart w:id="274" w:name="_Toc296503161"/>
      <w:r/>
      <w:bookmarkStart w:id="275" w:name="_Toc297216153"/>
      <w:r/>
      <w:bookmarkStart w:id="276" w:name="_Toc296347160"/>
      <w:r/>
      <w:bookmarkStart w:id="277" w:name="_Toc297120461"/>
      <w:r/>
      <w:bookmarkStart w:id="278" w:name="_Toc303539104"/>
      <w:r/>
      <w:bookmarkStart w:id="279" w:name="_Toc296944500"/>
      <w:r/>
      <w:bookmarkStart w:id="280" w:name="_Toc297048347"/>
      <w:r/>
      <w:bookmarkStart w:id="281" w:name="_Toc296346662"/>
      <w:r/>
      <w:bookmarkStart w:id="282" w:name="_Toc296891201"/>
      <w:r/>
      <w:bookmarkStart w:id="283" w:name="_Toc300934947"/>
      <w:r/>
      <w:bookmarkStart w:id="284" w:name="_Toc29689098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285" w:name="_Toc318581159"/>
      <w:r/>
      <w:bookmarkStart w:id="286" w:name="_Toc312677990"/>
      <w:r>
        <w:rPr>
          <w:rFonts w:hint="eastAsia" w:ascii="宋体" w:hAnsi="宋体" w:eastAsia="宋体" w:cs="宋体"/>
          <w:color w:val="auto"/>
          <w:sz w:val="21"/>
          <w:szCs w:val="21"/>
          <w:highlight w:val="none"/>
        </w:rPr>
        <w:t xml:space="preserve">.5.2分包的确定</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未经发包人同意本工程不允许分包。</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285"/>
      <w:r/>
      <w:bookmarkEnd w:id="286"/>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自发包人向承包人移交施工现场之日起，承包人应负责照管工程及工程相关的材料、工程设备，直到颁发工程接收证书之日止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承包人是否提供履约担保： 否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承包人提供履约担保的形式、金额及期限的：</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形式：</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w:t>
      </w:r>
      <w:r/>
    </w:p>
    <w:p>
      <w:pPr>
        <w:ind w:firstLine="420"/>
        <w:jc w:val="left"/>
        <w:pageBreakBefore w:val="0"/>
        <w:spacing w:beforeAutospacing="0" w:afterAutospacing="0" w:line="360" w:lineRule="auto"/>
        <w:rPr>
          <w:rFonts w:hint="default"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u w:val="single"/>
        </w:rPr>
        <w:t xml:space="preserve">金额：</w:t>
      </w:r>
      <w:r>
        <w:rPr>
          <w:rFonts w:hint="eastAsia" w:ascii="宋体" w:hAnsi="宋体" w:eastAsia="宋体" w:cs="宋体"/>
          <w:color w:val="auto"/>
          <w:sz w:val="21"/>
          <w:szCs w:val="21"/>
          <w:highlight w:val="none"/>
          <w:u w:val="single"/>
          <w:lang w:val="en-US" w:eastAsia="zh-CN"/>
        </w:rPr>
        <w:t xml:space="preserve">   /    ；</w:t>
      </w:r>
      <w:r/>
    </w:p>
    <w:p>
      <w:pPr>
        <w:ind w:firstLine="420"/>
        <w:jc w:val="left"/>
        <w:pageBreakBefore w:val="0"/>
        <w:spacing w:beforeAutospacing="0" w:afterAutospacing="0"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u w:val="single"/>
        </w:rPr>
        <w:t xml:space="preserve">期限：</w:t>
      </w:r>
      <w:bookmarkStart w:id="287" w:name="_Toc351203636"/>
      <w:r>
        <w:rPr>
          <w:rFonts w:hint="eastAsia" w:ascii="宋体" w:hAnsi="宋体" w:eastAsia="宋体" w:cs="宋体"/>
          <w:color w:val="auto"/>
          <w:sz w:val="21"/>
          <w:szCs w:val="21"/>
          <w:highlight w:val="none"/>
          <w:u w:val="single"/>
          <w:lang w:val="en-US" w:eastAsia="zh-CN"/>
        </w:rPr>
        <w:t xml:space="preserve">/      ；</w:t>
      </w:r>
      <w:r/>
    </w:p>
    <w:p>
      <w:pPr>
        <w:ind w:firstLine="422"/>
        <w:jc w:val="left"/>
        <w:pageBreakBefore w:val="0"/>
        <w:spacing w:beforeAutospacing="0" w:afterAutospacing="0"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4</w:t>
      </w:r>
      <w:bookmarkStart w:id="288" w:name="_Toc296503162"/>
      <w:r/>
      <w:bookmarkStart w:id="289" w:name="_Toc292559366"/>
      <w:r/>
      <w:bookmarkStart w:id="290" w:name="_Toc296944501"/>
      <w:r/>
      <w:bookmarkStart w:id="291" w:name="_Toc296346663"/>
      <w:r/>
      <w:bookmarkStart w:id="292" w:name="_Toc297120462"/>
      <w:r/>
      <w:bookmarkStart w:id="293" w:name="_Toc292559871"/>
      <w:r/>
      <w:bookmarkStart w:id="294" w:name="_Toc296347161"/>
      <w:r/>
      <w:bookmarkStart w:id="295" w:name="_Toc297048348"/>
      <w:r/>
      <w:bookmarkStart w:id="296" w:name="_Toc267251413"/>
      <w:r/>
      <w:bookmarkStart w:id="297" w:name="_Toc296890990"/>
      <w:r/>
      <w:bookmarkStart w:id="298" w:name="_Toc296891202"/>
      <w:r>
        <w:rPr>
          <w:rFonts w:hint="eastAsia" w:ascii="宋体" w:hAnsi="宋体" w:eastAsia="宋体" w:cs="宋体"/>
          <w:b/>
          <w:color w:val="auto"/>
          <w:sz w:val="21"/>
          <w:szCs w:val="21"/>
          <w:highlight w:val="none"/>
        </w:rPr>
        <w:t xml:space="preserve">. 监</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eastAsia="宋体" w:cs="宋体"/>
          <w:b/>
          <w:color w:val="auto"/>
          <w:sz w:val="21"/>
          <w:szCs w:val="21"/>
          <w:highlight w:val="none"/>
        </w:rPr>
        <w:t xml:space="preserve">理</w:t>
      </w:r>
      <w:bookmarkEnd w:id="287"/>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  </w:t>
      </w:r>
      <w:bookmarkStart w:id="299" w:name="_Toc267251418"/>
      <w:r/>
      <w:bookmarkStart w:id="300" w:name="_Toc351203637"/>
      <w:r/>
      <w:r/>
    </w:p>
    <w:p>
      <w:pPr>
        <w:ind w:firstLine="422"/>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bookmarkEnd w:id="299"/>
      <w:r/>
      <w:bookmarkStart w:id="301" w:name="_Toc297048349"/>
      <w:r/>
      <w:bookmarkStart w:id="302" w:name="_Toc297120463"/>
      <w:r/>
      <w:bookmarkStart w:id="303" w:name="_Toc296944502"/>
      <w:r/>
      <w:bookmarkStart w:id="304" w:name="_Toc292559872"/>
      <w:r/>
      <w:bookmarkStart w:id="305" w:name="_Toc296890991"/>
      <w:r/>
      <w:bookmarkStart w:id="306" w:name="_Toc296346664"/>
      <w:r/>
      <w:bookmarkStart w:id="307" w:name="_Toc292559367"/>
      <w:r/>
      <w:bookmarkStart w:id="308" w:name="_Toc296503163"/>
      <w:r/>
      <w:bookmarkStart w:id="309" w:name="_Toc296347162"/>
      <w:r/>
      <w:bookmarkStart w:id="310" w:name="_Toc296891203"/>
      <w:r>
        <w:rPr>
          <w:rFonts w:hint="eastAsia" w:ascii="宋体" w:hAnsi="宋体" w:eastAsia="宋体" w:cs="宋体"/>
          <w:b/>
          <w:color w:val="auto"/>
          <w:sz w:val="21"/>
          <w:szCs w:val="21"/>
          <w:highlight w:val="none"/>
        </w:rPr>
        <w:t xml:space="preserve">. 工程质量</w:t>
      </w:r>
      <w:bookmarkEnd w:id="300"/>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311" w:name="_Toc25260"/>
      <w:r/>
      <w:bookmarkStart w:id="312" w:name="_Toc12431"/>
      <w:r/>
      <w:bookmarkStart w:id="313" w:name="_Toc15129"/>
      <w:r/>
      <w:bookmarkStart w:id="314" w:name="_Toc16233"/>
      <w:r/>
      <w:bookmarkStart w:id="315" w:name="_Toc24158"/>
      <w:r/>
      <w:bookmarkStart w:id="316" w:name="_Toc14570"/>
      <w:r>
        <w:rPr>
          <w:rFonts w:hint="eastAsia" w:ascii="宋体" w:hAnsi="宋体" w:eastAsia="宋体" w:cs="宋体"/>
          <w:color w:val="auto"/>
          <w:sz w:val="21"/>
          <w:szCs w:val="21"/>
          <w:highlight w:val="none"/>
        </w:rPr>
        <w:t xml:space="preserve">5.1 质量要求</w:t>
      </w:r>
      <w:bookmarkEnd w:id="311"/>
      <w:r/>
      <w:bookmarkEnd w:id="312"/>
      <w:r/>
      <w:bookmarkEnd w:id="313"/>
      <w:r/>
      <w:bookmarkEnd w:id="314"/>
      <w:r/>
      <w:bookmarkEnd w:id="315"/>
      <w:r/>
      <w:bookmarkEnd w:id="31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w:t>
      </w:r>
      <w:bookmarkStart w:id="317" w:name="_Toc297216155"/>
      <w:r/>
      <w:bookmarkStart w:id="318" w:name="_Toc300934949"/>
      <w:r/>
      <w:bookmarkStart w:id="319" w:name="_Toc297123496"/>
      <w:r/>
      <w:bookmarkStart w:id="320" w:name="_Toc318581164"/>
      <w:r/>
      <w:bookmarkStart w:id="321" w:name="_Toc303539106"/>
      <w:r/>
      <w:bookmarkStart w:id="322" w:name="_Toc312677997"/>
      <w:r/>
      <w:bookmarkStart w:id="323" w:name="_Toc30429552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324" w:name="_Toc18029"/>
      <w:r/>
      <w:bookmarkStart w:id="325" w:name="_Toc18635"/>
      <w:r/>
      <w:bookmarkStart w:id="326" w:name="_Toc28454"/>
      <w:r/>
      <w:bookmarkStart w:id="327" w:name="_Toc22277"/>
      <w:r/>
      <w:bookmarkStart w:id="328" w:name="_Toc1489"/>
      <w:r/>
      <w:bookmarkStart w:id="329" w:name="_Toc22100"/>
      <w:r>
        <w:rPr>
          <w:rFonts w:hint="eastAsia" w:ascii="宋体" w:hAnsi="宋体" w:eastAsia="宋体" w:cs="宋体"/>
          <w:color w:val="auto"/>
          <w:sz w:val="21"/>
          <w:szCs w:val="21"/>
          <w:highlight w:val="none"/>
        </w:rPr>
        <w:t xml:space="preserve">5.3 隐蔽工程检查</w:t>
      </w:r>
      <w:bookmarkEnd w:id="324"/>
      <w:r/>
      <w:bookmarkEnd w:id="325"/>
      <w:r/>
      <w:bookmarkEnd w:id="326"/>
      <w:r/>
      <w:bookmarkEnd w:id="327"/>
      <w:r/>
      <w:bookmarkEnd w:id="328"/>
      <w:r/>
      <w:bookmarkEnd w:id="329"/>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330" w:name="_Toc351203638"/>
      <w:r>
        <w:rPr>
          <w:rFonts w:hint="eastAsia" w:ascii="宋体" w:hAnsi="宋体" w:eastAsia="宋体" w:cs="宋体"/>
          <w:b/>
          <w:bCs w:val="0"/>
          <w:color w:val="auto"/>
          <w:sz w:val="21"/>
          <w:szCs w:val="21"/>
          <w:highlight w:val="none"/>
          <w:lang w:val="en-US" w:eastAsia="zh-CN" w:bidi="ar-SA"/>
        </w:rPr>
        <w:t xml:space="preserve">6. 安全文明施工与环境保护</w:t>
      </w:r>
      <w:bookmarkEnd w:id="330"/>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right="278" w:firstLine="420"/>
        <w:jc w:val="both"/>
        <w:spacing w:line="440" w:lineRule="exact"/>
        <w:widowControl w:val="off"/>
        <w:tabs>
          <w:tab w:val="left" w:pos="647"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6.1.1 项目安全生产的达标目标及相应事项的约定：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1"/>
          <w:szCs w:val="21"/>
          <w:highlight w:val="none"/>
          <w:u w:val="single"/>
          <w:lang w:val="en-US" w:eastAsia="zh-CN" w:bidi="ar"/>
        </w:rPr>
        <w:t xml:space="preserve">承包方应配合相邻标段共同做好现场有组织排水、排污工作，不得因此影响施工进度</w:t>
      </w:r>
      <w:r>
        <w:rPr>
          <w:rFonts w:hint="eastAsia" w:ascii="宋体" w:hAnsi="宋体" w:eastAsia="宋体" w:cs="宋体"/>
          <w:color w:val="auto"/>
          <w:sz w:val="21"/>
          <w:szCs w:val="21"/>
          <w:highlight w:val="none"/>
          <w:lang w:val="en-US" w:eastAsia="zh-CN" w:bidi="ar"/>
        </w:rPr>
        <w:t xml:space="preserve">。</w:t>
      </w:r>
      <w:r/>
    </w:p>
    <w:p>
      <w:pPr>
        <w:ind w:right="319" w:firstLine="420"/>
        <w:jc w:val="both"/>
        <w:spacing w:line="440" w:lineRule="exact"/>
        <w:widowControl w:val="off"/>
        <w:tabs>
          <w:tab w:val="left" w:pos="647"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6.1.2 关于治安保卫的特别约定：</w:t>
      </w:r>
      <w:r>
        <w:rPr>
          <w:rFonts w:hint="eastAsia" w:ascii="宋体" w:hAnsi="宋体" w:eastAsia="宋体" w:cs="宋体"/>
          <w:color w:val="auto"/>
          <w:sz w:val="21"/>
          <w:szCs w:val="21"/>
          <w:highlight w:val="none"/>
          <w:u w:val="single"/>
          <w:lang w:val="en-US" w:eastAsia="zh-CN" w:bidi="ar-SA"/>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63" w:right="63"/>
        <w:jc w:val="left"/>
        <w:spacing w:line="44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   关于编制施工场地治安管理计划的约定：</w:t>
      </w:r>
      <w:r>
        <w:rPr>
          <w:rFonts w:hint="eastAsia" w:ascii="宋体" w:hAnsi="宋体" w:eastAsia="宋体" w:cs="宋体"/>
          <w:color w:val="auto"/>
          <w:sz w:val="21"/>
          <w:szCs w:val="21"/>
          <w:highlight w:val="none"/>
          <w:u w:val="single"/>
          <w:lang w:val="en-US" w:eastAsia="zh-CN" w:bidi="ar-SA"/>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文明施工</w:t>
      </w:r>
      <w:r/>
    </w:p>
    <w:p>
      <w:pPr>
        <w:ind w:firstLine="420"/>
        <w:jc w:val="left"/>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p>
    <w:p>
      <w:pPr>
        <w:ind w:firstLine="420"/>
        <w:jc w:val="left"/>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none"/>
        </w:rPr>
        <w:t xml:space="preserve">关于安全生产措施费支付比例和支付期限的约定：</w:t>
      </w:r>
      <w:r>
        <w:rPr>
          <w:rFonts w:hint="eastAsia" w:ascii="宋体" w:hAnsi="宋体" w:eastAsia="宋体" w:cs="宋体"/>
          <w:color w:val="auto"/>
          <w:sz w:val="21"/>
          <w:szCs w:val="21"/>
          <w:highlight w:val="none"/>
          <w:u w:val="single"/>
        </w:rPr>
        <w:t xml:space="preserve">发包人应在工程开工后28天内预付不低于安全生产措施费总额的50%给承包人，并与工程进度款同期支付。对跨年度实施的重大工程，预付的安全生产措施费总额可按年度工程进度计划分解计算。发承包双方在计算应付工程进度款时，不应扣回预付的安全生产措施费。</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6.1.5承包人履行本条合同义务造成发包人、承包人、任何第三方损害的，参照本合同第三条</w:t>
      </w: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none"/>
        </w:rPr>
        <w:t xml:space="preserve">。</w:t>
      </w:r>
      <w:bookmarkEnd w:id="317"/>
      <w:r/>
      <w:bookmarkEnd w:id="318"/>
      <w:r/>
      <w:bookmarkEnd w:id="319"/>
      <w:r/>
      <w:bookmarkEnd w:id="320"/>
      <w:r/>
      <w:bookmarkEnd w:id="321"/>
      <w:r/>
      <w:bookmarkEnd w:id="322"/>
      <w:r/>
      <w:bookmarkEnd w:id="323"/>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bookmarkStart w:id="331" w:name="_Toc351203639"/>
      <w:r>
        <w:rPr>
          <w:rFonts w:hint="eastAsia" w:ascii="宋体" w:hAnsi="宋体" w:eastAsia="宋体" w:cs="宋体"/>
          <w:b/>
          <w:bCs w:val="0"/>
          <w:color w:val="auto"/>
          <w:sz w:val="21"/>
          <w:szCs w:val="21"/>
          <w:highlight w:val="none"/>
          <w:lang w:val="en-US" w:eastAsia="zh-CN" w:bidi="ar-SA"/>
        </w:rPr>
        <w:t xml:space="preserve">7. 工期和进度</w:t>
      </w:r>
      <w:bookmarkEnd w:id="331"/>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（1）施工组织总体设想、方案针对性及施工段划分；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（2）充分考虑现场施工场地条件，做出合理的现场平面布置；</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（3）施工进度计划和各阶段进度的保证措施；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（4）分部分项工程的完整施工方案及质量保证措施；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（5）安全文明施工及环境保护措施；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（6）项目管理班子的人员配备、成本控制措施；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（7）劳动力、机械设备和材料投入计划；</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（8）关键施工技术、工艺及工程项目实施的重点、难点和解决方案；</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（9）冬季、雨季施工，已有设施、管线的加固、成品保护等特殊情况下的施工措施。</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应保证一旦中标，在施工组织设计中列明的人员应确保参加工程的实施，列明的机具应保证工程随时调用，否则承担违约责任。</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2" w:name="_Toc303539123"/>
      <w:r/>
      <w:bookmarkStart w:id="333" w:name="_Toc297123514"/>
      <w:r/>
      <w:bookmarkStart w:id="334" w:name="_Toc312678005"/>
      <w:r/>
      <w:bookmarkStart w:id="335" w:name="_Toc304295541"/>
      <w:r/>
      <w:bookmarkStart w:id="336" w:name="_Toc312677479"/>
      <w:r/>
      <w:bookmarkStart w:id="337" w:name="_Toc297216173"/>
      <w:r/>
      <w:bookmarkStart w:id="338" w:name="_Toc300934966"/>
      <w:r>
        <w:rPr>
          <w:rFonts w:hint="eastAsia" w:ascii="宋体" w:hAnsi="宋体" w:eastAsia="宋体" w:cs="宋体"/>
          <w:color w:val="auto"/>
          <w:sz w:val="21"/>
          <w:szCs w:val="21"/>
          <w:highlight w:val="none"/>
        </w:rPr>
        <w:t xml:space="preserve">.2 施工进度计划</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天内发出开工通知的，承包人有权提出价格调整要求，或者解除合同。</w:t>
      </w:r>
      <w:bookmarkEnd w:id="332"/>
      <w:r/>
      <w:bookmarkEnd w:id="333"/>
      <w:r/>
      <w:bookmarkEnd w:id="334"/>
      <w:r/>
      <w:bookmarkEnd w:id="335"/>
      <w:r/>
      <w:bookmarkEnd w:id="336"/>
      <w:r/>
      <w:bookmarkEnd w:id="337"/>
      <w:r/>
      <w:bookmarkEnd w:id="338"/>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9" w:name="_Toc303539125"/>
      <w:r/>
      <w:bookmarkStart w:id="340" w:name="_Toc312677484"/>
      <w:r/>
      <w:bookmarkStart w:id="341" w:name="_Toc300934968"/>
      <w:r/>
      <w:bookmarkStart w:id="342" w:name="_Toc304295546"/>
      <w:r/>
      <w:bookmarkStart w:id="343" w:name="_Toc312678010"/>
      <w:r/>
      <w:bookmarkStart w:id="344" w:name="_Toc297123516"/>
      <w:r/>
      <w:bookmarkStart w:id="345" w:name="_Toc297216175"/>
      <w:r>
        <w:rPr>
          <w:rFonts w:hint="eastAsia" w:ascii="宋体" w:hAnsi="宋体" w:eastAsia="宋体" w:cs="宋体"/>
          <w:color w:val="auto"/>
          <w:sz w:val="21"/>
          <w:szCs w:val="21"/>
          <w:highlight w:val="none"/>
        </w:rPr>
        <w:t xml:space="preserve">.5 工期延误</w:t>
      </w:r>
      <w:bookmarkEnd w:id="339"/>
      <w:r/>
      <w:bookmarkEnd w:id="340"/>
      <w:r/>
      <w:bookmarkEnd w:id="341"/>
      <w:r/>
      <w:bookmarkEnd w:id="342"/>
      <w:r/>
      <w:bookmarkEnd w:id="343"/>
      <w:r/>
      <w:bookmarkEnd w:id="344"/>
      <w:r/>
      <w:bookmarkEnd w:id="345"/>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46" w:name="_Toc312677486"/>
      <w:r/>
      <w:bookmarkStart w:id="347" w:name="_Toc312678012"/>
      <w:r/>
      <w:bookmarkStart w:id="348" w:name="_Toc318581169"/>
      <w:r/>
      <w:bookmarkStart w:id="349" w:name="_Toc304295548"/>
      <w:r/>
      <w:bookmarkStart w:id="350" w:name="_Toc300934970"/>
      <w:r/>
      <w:bookmarkStart w:id="351" w:name="_Toc297123518"/>
      <w:r/>
      <w:bookmarkStart w:id="352" w:name="_Toc297216177"/>
      <w:r/>
      <w:bookmarkStart w:id="353" w:name="_Toc303539127"/>
      <w:r>
        <w:rPr>
          <w:rFonts w:hint="eastAsia" w:ascii="宋体" w:hAnsi="宋体" w:eastAsia="宋体" w:cs="宋体"/>
          <w:color w:val="auto"/>
          <w:sz w:val="21"/>
          <w:szCs w:val="21"/>
          <w:highlight w:val="none"/>
        </w:rPr>
        <w:t xml:space="preserve">.5.2 因承包人原因导致工期延误</w:t>
      </w:r>
      <w:bookmarkEnd w:id="346"/>
      <w:r/>
      <w:bookmarkEnd w:id="347"/>
      <w:r/>
      <w:bookmarkEnd w:id="348"/>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354" w:name="_Toc312678013"/>
      <w:r/>
      <w:bookmarkStart w:id="355" w:name="_Toc312677487"/>
      <w:r/>
      <w:bookmarkStart w:id="356"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bookmarkEnd w:id="349"/>
      <w:r/>
      <w:bookmarkEnd w:id="350"/>
      <w:r/>
      <w:bookmarkEnd w:id="351"/>
      <w:r/>
      <w:bookmarkEnd w:id="352"/>
      <w:r/>
      <w:bookmarkEnd w:id="353"/>
      <w:r/>
      <w:bookmarkEnd w:id="354"/>
      <w:r/>
      <w:bookmarkEnd w:id="355"/>
      <w:r/>
      <w:bookmarkEnd w:id="35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357" w:name="_Toc318581171"/>
      <w:r/>
      <w:bookmarkStart w:id="358"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357"/>
      <w:r/>
      <w:bookmarkEnd w:id="358"/>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59" w:name="_Toc297216178"/>
      <w:r/>
      <w:bookmarkStart w:id="360" w:name="_Toc303539128"/>
      <w:r/>
      <w:bookmarkStart w:id="361" w:name="_Toc304295549"/>
      <w:r/>
      <w:bookmarkStart w:id="362" w:name="_Toc312678015"/>
      <w:r/>
      <w:bookmarkStart w:id="363" w:name="_Toc297123519"/>
      <w:r/>
      <w:bookmarkStart w:id="364" w:name="_Toc300934971"/>
      <w:r>
        <w:rPr>
          <w:rFonts w:hint="eastAsia" w:ascii="宋体" w:hAnsi="宋体" w:eastAsia="宋体" w:cs="宋体"/>
          <w:color w:val="auto"/>
          <w:sz w:val="21"/>
          <w:szCs w:val="21"/>
          <w:highlight w:val="none"/>
        </w:rPr>
        <w:t xml:space="preserve">.6 不</w:t>
      </w:r>
      <w:bookmarkEnd w:id="359"/>
      <w:r/>
      <w:bookmarkEnd w:id="360"/>
      <w:r/>
      <w:bookmarkEnd w:id="361"/>
      <w:r/>
      <w:bookmarkEnd w:id="362"/>
      <w:r/>
      <w:bookmarkEnd w:id="363"/>
      <w:r/>
      <w:bookmarkEnd w:id="364"/>
      <w:r>
        <w:rPr>
          <w:rFonts w:hint="eastAsia" w:ascii="宋体" w:hAnsi="宋体" w:eastAsia="宋体" w:cs="宋体"/>
          <w:color w:val="auto"/>
          <w:sz w:val="21"/>
          <w:szCs w:val="21"/>
          <w:highlight w:val="none"/>
        </w:rPr>
        <w:t xml:space="preserve">利物质条件</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bookmarkStart w:id="365" w:name="_Toc303539129"/>
      <w:r/>
      <w:bookmarkStart w:id="366" w:name="_Toc318581172"/>
      <w:r/>
      <w:bookmarkStart w:id="367" w:name="_Toc304295550"/>
      <w:r/>
      <w:bookmarkStart w:id="368" w:name="_Toc312678016"/>
      <w:r/>
      <w:bookmarkStart w:id="369" w:name="_Toc297216179"/>
      <w:r/>
      <w:bookmarkStart w:id="370" w:name="_Toc300934972"/>
      <w:r/>
      <w:bookmarkStart w:id="371" w:name="_Toc29712352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bookmarkEnd w:id="365"/>
      <w:r/>
      <w:bookmarkEnd w:id="366"/>
      <w:r/>
      <w:bookmarkEnd w:id="367"/>
      <w:r/>
      <w:bookmarkEnd w:id="368"/>
      <w:r/>
      <w:bookmarkEnd w:id="369"/>
      <w:r/>
      <w:bookmarkEnd w:id="370"/>
      <w:r/>
      <w:bookmarkEnd w:id="371"/>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72" w:name="_Toc312678017"/>
      <w:r/>
      <w:bookmarkStart w:id="373" w:name="_Toc300934973"/>
      <w:r/>
      <w:bookmarkStart w:id="374" w:name="_Toc303539130"/>
      <w:r/>
      <w:bookmarkStart w:id="375" w:name="_Toc297216180"/>
      <w:r/>
      <w:bookmarkStart w:id="376" w:name="_Toc297123521"/>
      <w:r/>
      <w:bookmarkStart w:id="377" w:name="_Toc304295551"/>
      <w:r>
        <w:rPr>
          <w:rFonts w:hint="eastAsia" w:ascii="宋体" w:hAnsi="宋体" w:eastAsia="宋体" w:cs="宋体"/>
          <w:color w:val="auto"/>
          <w:sz w:val="21"/>
          <w:szCs w:val="21"/>
          <w:highlight w:val="none"/>
        </w:rPr>
        <w:t xml:space="preserve">.7异常恶劣的气候条件</w:t>
      </w:r>
      <w:bookmarkEnd w:id="372"/>
      <w:r/>
      <w:bookmarkEnd w:id="373"/>
      <w:r/>
      <w:bookmarkEnd w:id="374"/>
      <w:r/>
      <w:bookmarkEnd w:id="375"/>
      <w:r/>
      <w:bookmarkEnd w:id="376"/>
      <w:r/>
      <w:bookmarkEnd w:id="377"/>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378" w:name="_Toc19096"/>
      <w:r/>
      <w:bookmarkStart w:id="379" w:name="_Toc5720"/>
      <w:r/>
      <w:bookmarkStart w:id="380" w:name="_Toc27026"/>
      <w:r/>
      <w:bookmarkStart w:id="381" w:name="_Toc6246"/>
      <w:r/>
      <w:bookmarkStart w:id="382" w:name="_Toc20747"/>
      <w:r/>
      <w:bookmarkStart w:id="383" w:name="_Toc30001"/>
      <w:r>
        <w:rPr>
          <w:rFonts w:hint="eastAsia" w:ascii="宋体" w:hAnsi="宋体" w:eastAsia="宋体" w:cs="宋体"/>
          <w:color w:val="auto"/>
          <w:sz w:val="21"/>
          <w:szCs w:val="21"/>
          <w:highlight w:val="none"/>
        </w:rPr>
        <w:t xml:space="preserve">(1）日降雨量大于50mm的雨日超过1天；</w:t>
      </w:r>
      <w:bookmarkEnd w:id="378"/>
      <w:r/>
      <w:bookmarkEnd w:id="379"/>
      <w:r/>
      <w:bookmarkEnd w:id="380"/>
      <w:r/>
      <w:bookmarkEnd w:id="381"/>
      <w:r/>
      <w:bookmarkEnd w:id="382"/>
      <w:r/>
      <w:bookmarkEnd w:id="383"/>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384" w:name="_Toc9542"/>
      <w:r/>
      <w:bookmarkStart w:id="385" w:name="_Toc6502"/>
      <w:r/>
      <w:bookmarkStart w:id="386" w:name="_Toc13840"/>
      <w:r/>
      <w:bookmarkStart w:id="387" w:name="_Toc14518"/>
      <w:r/>
      <w:bookmarkStart w:id="388" w:name="_Toc14175"/>
      <w:r/>
      <w:bookmarkStart w:id="389" w:name="_Toc5666"/>
      <w:r>
        <w:rPr>
          <w:rFonts w:hint="eastAsia" w:ascii="宋体" w:hAnsi="宋体" w:eastAsia="宋体" w:cs="宋体"/>
          <w:color w:val="auto"/>
          <w:sz w:val="21"/>
          <w:szCs w:val="21"/>
          <w:highlight w:val="none"/>
        </w:rPr>
        <w:t xml:space="preserve">(2）6级以上台风灾害；</w:t>
      </w:r>
      <w:bookmarkEnd w:id="384"/>
      <w:r/>
      <w:bookmarkEnd w:id="385"/>
      <w:r/>
      <w:bookmarkEnd w:id="386"/>
      <w:r/>
      <w:bookmarkEnd w:id="387"/>
      <w:r/>
      <w:bookmarkEnd w:id="388"/>
      <w:r/>
      <w:bookmarkEnd w:id="389"/>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390" w:name="_Toc17585"/>
      <w:r/>
      <w:bookmarkStart w:id="391" w:name="_Toc4969"/>
      <w:r/>
      <w:bookmarkStart w:id="392" w:name="_Toc22929"/>
      <w:r/>
      <w:bookmarkStart w:id="393" w:name="_Toc14343"/>
      <w:r/>
      <w:bookmarkStart w:id="394" w:name="_Toc24362"/>
      <w:r/>
      <w:bookmarkStart w:id="395" w:name="_Toc14938"/>
      <w:r>
        <w:rPr>
          <w:rFonts w:hint="eastAsia" w:ascii="宋体" w:hAnsi="宋体" w:eastAsia="宋体" w:cs="宋体"/>
          <w:color w:val="auto"/>
          <w:sz w:val="21"/>
          <w:szCs w:val="21"/>
          <w:highlight w:val="none"/>
        </w:rPr>
        <w:t xml:space="preserve">(3）日气温超过38℃的高温大于3天；</w:t>
      </w:r>
      <w:bookmarkEnd w:id="390"/>
      <w:r/>
      <w:bookmarkEnd w:id="391"/>
      <w:r/>
      <w:bookmarkEnd w:id="392"/>
      <w:r/>
      <w:bookmarkEnd w:id="393"/>
      <w:r/>
      <w:bookmarkEnd w:id="394"/>
      <w:r/>
      <w:bookmarkEnd w:id="395"/>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396" w:name="_Toc14162"/>
      <w:r/>
      <w:bookmarkStart w:id="397" w:name="_Toc28526"/>
      <w:r/>
      <w:bookmarkStart w:id="398" w:name="_Toc27233"/>
      <w:r/>
      <w:bookmarkStart w:id="399" w:name="_Toc20305"/>
      <w:r/>
      <w:bookmarkStart w:id="400" w:name="_Toc25624"/>
      <w:r/>
      <w:bookmarkStart w:id="401" w:name="_Toc13813"/>
      <w:r>
        <w:rPr>
          <w:rFonts w:hint="eastAsia" w:ascii="宋体" w:hAnsi="宋体" w:eastAsia="宋体" w:cs="宋体"/>
          <w:color w:val="auto"/>
          <w:sz w:val="21"/>
          <w:szCs w:val="21"/>
          <w:highlight w:val="none"/>
        </w:rPr>
        <w:t xml:space="preserve">(4）日气温低于-20℃ 的严寒大于3天；</w:t>
      </w:r>
      <w:bookmarkEnd w:id="396"/>
      <w:r/>
      <w:bookmarkEnd w:id="397"/>
      <w:r/>
      <w:bookmarkEnd w:id="398"/>
      <w:r/>
      <w:bookmarkEnd w:id="399"/>
      <w:r/>
      <w:bookmarkEnd w:id="400"/>
      <w:r/>
      <w:bookmarkEnd w:id="401"/>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402" w:name="_Toc2810"/>
      <w:r/>
      <w:bookmarkStart w:id="403" w:name="_Toc563"/>
      <w:r/>
      <w:bookmarkStart w:id="404" w:name="_Toc12228"/>
      <w:r/>
      <w:bookmarkStart w:id="405" w:name="_Toc6858"/>
      <w:r/>
      <w:bookmarkStart w:id="406" w:name="_Toc30344"/>
      <w:r/>
      <w:bookmarkStart w:id="407" w:name="_Toc31445"/>
      <w:r>
        <w:rPr>
          <w:rFonts w:hint="eastAsia" w:ascii="宋体" w:hAnsi="宋体" w:eastAsia="宋体" w:cs="宋体"/>
          <w:color w:val="auto"/>
          <w:sz w:val="21"/>
          <w:szCs w:val="21"/>
          <w:highlight w:val="none"/>
        </w:rPr>
        <w:t xml:space="preserve">(5）造成工程损坏的冰雹和大雪灾害：日降雪量10mm及以上；</w:t>
      </w:r>
      <w:bookmarkEnd w:id="402"/>
      <w:r/>
      <w:bookmarkEnd w:id="403"/>
      <w:r/>
      <w:bookmarkEnd w:id="404"/>
      <w:r/>
      <w:bookmarkEnd w:id="405"/>
      <w:r/>
      <w:bookmarkEnd w:id="406"/>
      <w:r/>
      <w:bookmarkEnd w:id="407"/>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408" w:name="_Toc3144"/>
      <w:r/>
      <w:bookmarkStart w:id="409" w:name="_Toc594"/>
      <w:r/>
      <w:bookmarkStart w:id="410" w:name="_Toc11074"/>
      <w:r/>
      <w:bookmarkStart w:id="411" w:name="_Toc14911"/>
      <w:r/>
      <w:bookmarkStart w:id="412" w:name="_Toc22881"/>
      <w:r/>
      <w:bookmarkStart w:id="413" w:name="_Toc17572"/>
      <w:r>
        <w:rPr>
          <w:rFonts w:hint="eastAsia" w:ascii="宋体" w:hAnsi="宋体" w:eastAsia="宋体" w:cs="宋体"/>
          <w:color w:val="auto"/>
          <w:sz w:val="21"/>
          <w:szCs w:val="21"/>
          <w:highlight w:val="none"/>
        </w:rPr>
        <w:t xml:space="preserve">7.9 提前竣工的奖励</w:t>
      </w:r>
      <w:bookmarkEnd w:id="408"/>
      <w:r/>
      <w:bookmarkEnd w:id="409"/>
      <w:r/>
      <w:bookmarkEnd w:id="410"/>
      <w:r/>
      <w:bookmarkEnd w:id="411"/>
      <w:r/>
      <w:bookmarkEnd w:id="412"/>
      <w:r/>
      <w:bookmarkEnd w:id="413"/>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bookmarkStart w:id="414" w:name="_Toc351203640"/>
      <w:r>
        <w:rPr>
          <w:rFonts w:hint="eastAsia" w:ascii="宋体" w:hAnsi="宋体" w:eastAsia="宋体" w:cs="宋体"/>
          <w:b/>
          <w:bCs w:val="0"/>
          <w:color w:val="auto"/>
          <w:sz w:val="21"/>
          <w:szCs w:val="21"/>
          <w:highlight w:val="none"/>
          <w:lang w:val="en-US" w:eastAsia="zh-CN" w:bidi="ar-SA"/>
        </w:rPr>
        <w:t xml:space="preserve">8. 材料与设备</w:t>
      </w:r>
      <w:bookmarkEnd w:id="414"/>
      <w:r/>
      <w:bookmarkEnd w:id="301"/>
      <w:r/>
      <w:bookmarkEnd w:id="302"/>
      <w:r/>
      <w:bookmarkEnd w:id="303"/>
      <w:r/>
      <w:bookmarkEnd w:id="304"/>
      <w:r/>
      <w:bookmarkEnd w:id="305"/>
      <w:r/>
      <w:bookmarkEnd w:id="306"/>
      <w:r/>
      <w:bookmarkEnd w:id="307"/>
      <w:r/>
      <w:bookmarkEnd w:id="308"/>
      <w:r/>
      <w:bookmarkEnd w:id="309"/>
      <w:r/>
      <w:bookmarkEnd w:id="310"/>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415" w:name="_Toc300934979"/>
      <w:r/>
      <w:bookmarkStart w:id="416" w:name="_Toc296347166"/>
      <w:r/>
      <w:bookmarkStart w:id="417" w:name="_Toc296346668"/>
      <w:r/>
      <w:bookmarkStart w:id="418" w:name="_Toc296890995"/>
      <w:r/>
      <w:bookmarkStart w:id="419" w:name="_Toc297120467"/>
      <w:r/>
      <w:bookmarkStart w:id="420" w:name="_Toc312677493"/>
      <w:r/>
      <w:bookmarkStart w:id="421" w:name="_Toc296944506"/>
      <w:r/>
      <w:bookmarkStart w:id="422" w:name="_Toc292559877"/>
      <w:r/>
      <w:bookmarkStart w:id="423" w:name="_Toc297216186"/>
      <w:r/>
      <w:bookmarkStart w:id="424" w:name="_Toc280868654"/>
      <w:r/>
      <w:bookmarkStart w:id="425" w:name="_Toc297048353"/>
      <w:r/>
      <w:bookmarkStart w:id="426" w:name="_Toc303539136"/>
      <w:r/>
      <w:bookmarkStart w:id="427" w:name="_Toc297123527"/>
      <w:r/>
      <w:bookmarkStart w:id="428" w:name="_Toc292559372"/>
      <w:r/>
      <w:bookmarkStart w:id="429" w:name="_Toc304295556"/>
      <w:r/>
      <w:bookmarkStart w:id="430" w:name="_Toc312678019"/>
      <w:r/>
      <w:bookmarkStart w:id="431" w:name="_Toc296503167"/>
      <w:r/>
      <w:bookmarkStart w:id="432" w:name="_Toc296891207"/>
      <w:r/>
      <w:bookmarkStart w:id="433" w:name="_Toc280868656"/>
      <w:r/>
      <w:bookmarkStart w:id="434" w:name="_Toc267251424"/>
      <w:r/>
      <w:bookmarkStart w:id="435" w:name="_Toc280868655"/>
      <w:r>
        <w:rPr>
          <w:rFonts w:hint="eastAsia" w:ascii="宋体" w:hAnsi="宋体" w:eastAsia="宋体" w:cs="宋体"/>
          <w:color w:val="auto"/>
          <w:sz w:val="21"/>
          <w:szCs w:val="21"/>
          <w:highlight w:val="none"/>
        </w:rPr>
        <w:t xml:space="preserve">.4材料与工程设备的保管与使用</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436" w:name="_Toc292559878"/>
      <w:r/>
      <w:bookmarkStart w:id="437" w:name="_Toc292559373"/>
      <w:r/>
      <w:bookmarkStart w:id="438" w:name="_Toc296346669"/>
      <w:r/>
      <w:bookmarkStart w:id="439" w:name="_Toc303539137"/>
      <w:r/>
      <w:bookmarkStart w:id="440" w:name="_Toc312677494"/>
      <w:r/>
      <w:bookmarkStart w:id="441" w:name="_Toc296347167"/>
      <w:r/>
      <w:bookmarkStart w:id="442" w:name="_Toc318581173"/>
      <w:r/>
      <w:bookmarkStart w:id="443" w:name="_Toc296944507"/>
      <w:r/>
      <w:bookmarkStart w:id="444" w:name="_Toc297216187"/>
      <w:r/>
      <w:bookmarkStart w:id="445" w:name="_Toc297120468"/>
      <w:r/>
      <w:bookmarkStart w:id="446" w:name="_Toc312678020"/>
      <w:r/>
      <w:bookmarkStart w:id="447" w:name="_Toc296891208"/>
      <w:r/>
      <w:bookmarkStart w:id="448" w:name="_Toc296503168"/>
      <w:r/>
      <w:bookmarkStart w:id="449" w:name="_Toc300934980"/>
      <w:r/>
      <w:bookmarkStart w:id="450" w:name="_Toc296890996"/>
      <w:r/>
      <w:bookmarkStart w:id="451" w:name="_Toc304295557"/>
      <w:r/>
      <w:bookmarkStart w:id="452" w:name="_Toc297048354"/>
      <w:r/>
      <w:bookmarkStart w:id="453" w:name="_Toc297123528"/>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436"/>
      <w:r/>
      <w:bookmarkEnd w:id="437"/>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454" w:name="_Toc20220"/>
      <w:r/>
      <w:bookmarkStart w:id="455" w:name="_Toc1033"/>
      <w:r/>
      <w:bookmarkStart w:id="456" w:name="_Toc241"/>
      <w:r/>
      <w:bookmarkStart w:id="457" w:name="_Toc15766"/>
      <w:r/>
      <w:bookmarkStart w:id="458" w:name="_Toc28149"/>
      <w:r/>
      <w:bookmarkStart w:id="459" w:name="_Toc8863"/>
      <w:r>
        <w:rPr>
          <w:rFonts w:hint="eastAsia" w:ascii="宋体" w:hAnsi="宋体" w:eastAsia="宋体" w:cs="宋体"/>
          <w:color w:val="auto"/>
          <w:sz w:val="21"/>
          <w:szCs w:val="21"/>
          <w:highlight w:val="none"/>
        </w:rPr>
        <w:t xml:space="preserve">8.6 样品</w:t>
      </w:r>
      <w:bookmarkEnd w:id="454"/>
      <w:r/>
      <w:bookmarkEnd w:id="455"/>
      <w:r/>
      <w:bookmarkEnd w:id="456"/>
      <w:r/>
      <w:bookmarkEnd w:id="457"/>
      <w:r/>
      <w:bookmarkEnd w:id="458"/>
      <w:r/>
      <w:bookmarkEnd w:id="459"/>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460" w:name="_Toc6912"/>
      <w:r/>
      <w:bookmarkStart w:id="461" w:name="_Toc1115"/>
      <w:r/>
      <w:bookmarkStart w:id="462" w:name="_Toc14288"/>
      <w:r/>
      <w:bookmarkStart w:id="463" w:name="_Toc26801"/>
      <w:r/>
      <w:bookmarkStart w:id="464" w:name="_Toc27172"/>
      <w:r/>
      <w:bookmarkStart w:id="465" w:name="_Toc27112"/>
      <w:r>
        <w:rPr>
          <w:rFonts w:hint="eastAsia" w:ascii="宋体" w:hAnsi="宋体" w:eastAsia="宋体" w:cs="宋体"/>
          <w:color w:val="auto"/>
          <w:sz w:val="21"/>
          <w:szCs w:val="21"/>
          <w:highlight w:val="none"/>
        </w:rPr>
        <w:t xml:space="preserve">8.8 施工设备和临时设施</w:t>
      </w:r>
      <w:bookmarkEnd w:id="460"/>
      <w:r/>
      <w:bookmarkEnd w:id="461"/>
      <w:r/>
      <w:bookmarkEnd w:id="462"/>
      <w:r/>
      <w:bookmarkEnd w:id="463"/>
      <w:r/>
      <w:bookmarkEnd w:id="464"/>
      <w:r/>
      <w:bookmarkEnd w:id="465"/>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Start w:id="466" w:name="_Toc351203641"/>
      <w:r/>
      <w:r/>
    </w:p>
    <w:p>
      <w:pPr>
        <w:ind w:firstLine="422"/>
        <w:jc w:val="left"/>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433"/>
      <w:r/>
      <w:bookmarkEnd w:id="434"/>
      <w:r/>
      <w:bookmarkEnd w:id="435"/>
      <w:r/>
      <w:bookmarkStart w:id="467" w:name="_Toc297216192"/>
      <w:r/>
      <w:bookmarkStart w:id="468" w:name="_Toc312677495"/>
      <w:r/>
      <w:bookmarkStart w:id="469" w:name="_Toc312678021"/>
      <w:r/>
      <w:bookmarkStart w:id="470" w:name="_Toc303539139"/>
      <w:r/>
      <w:bookmarkStart w:id="471" w:name="_Toc300934982"/>
      <w:r/>
      <w:bookmarkStart w:id="472" w:name="_Toc304295559"/>
      <w:r/>
      <w:bookmarkStart w:id="473" w:name="_Toc297123533"/>
      <w:r/>
      <w:bookmarkStart w:id="474" w:name="_Toc296944512"/>
      <w:r/>
      <w:bookmarkStart w:id="475" w:name="_Toc297048359"/>
      <w:r/>
      <w:bookmarkStart w:id="476" w:name="_Toc296347172"/>
      <w:r/>
      <w:bookmarkStart w:id="477" w:name="_Toc296891213"/>
      <w:r/>
      <w:bookmarkStart w:id="478" w:name="_Toc292559378"/>
      <w:r/>
      <w:bookmarkStart w:id="479" w:name="_Toc297120473"/>
      <w:r/>
      <w:bookmarkStart w:id="480" w:name="_Toc296891001"/>
      <w:r/>
      <w:bookmarkStart w:id="481" w:name="_Toc267251428"/>
      <w:r/>
      <w:bookmarkStart w:id="482" w:name="_Toc296503173"/>
      <w:r/>
      <w:bookmarkStart w:id="483" w:name="_Toc292559883"/>
      <w:r/>
      <w:bookmarkStart w:id="484" w:name="_Toc267251427"/>
      <w:r/>
      <w:bookmarkStart w:id="485" w:name="_Toc296346674"/>
      <w:r>
        <w:rPr>
          <w:rFonts w:hint="eastAsia" w:ascii="宋体" w:hAnsi="宋体" w:eastAsia="宋体" w:cs="宋体"/>
          <w:b/>
          <w:color w:val="auto"/>
          <w:sz w:val="21"/>
          <w:szCs w:val="21"/>
          <w:highlight w:val="none"/>
        </w:rPr>
        <w:t xml:space="preserve">. 试验与检验</w:t>
      </w:r>
      <w:bookmarkEnd w:id="466"/>
      <w:r/>
      <w:bookmarkEnd w:id="467"/>
      <w:r/>
      <w:bookmarkEnd w:id="468"/>
      <w:r/>
      <w:bookmarkEnd w:id="469"/>
      <w:r/>
      <w:bookmarkEnd w:id="470"/>
      <w:r/>
      <w:bookmarkEnd w:id="471"/>
      <w:r/>
      <w:bookmarkEnd w:id="472"/>
      <w:r/>
      <w:bookmarkEnd w:id="473"/>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86" w:name="_Toc300934983"/>
      <w:r/>
      <w:bookmarkStart w:id="487" w:name="_Toc297123534"/>
      <w:r/>
      <w:bookmarkStart w:id="488" w:name="_Toc312678022"/>
      <w:r/>
      <w:bookmarkStart w:id="489" w:name="_Toc304295560"/>
      <w:r/>
      <w:bookmarkStart w:id="490" w:name="_Toc303539140"/>
      <w:r/>
      <w:bookmarkStart w:id="491" w:name="_Toc297216193"/>
      <w:r/>
      <w:bookmarkStart w:id="492" w:name="_Toc312677496"/>
      <w:r>
        <w:rPr>
          <w:rFonts w:hint="eastAsia" w:ascii="宋体" w:hAnsi="宋体" w:eastAsia="宋体" w:cs="宋体"/>
          <w:color w:val="auto"/>
          <w:sz w:val="21"/>
          <w:szCs w:val="21"/>
          <w:highlight w:val="none"/>
        </w:rPr>
        <w:t xml:space="preserve">.1试验设备与试验人员</w:t>
      </w:r>
      <w:bookmarkEnd w:id="486"/>
      <w:r/>
      <w:bookmarkEnd w:id="487"/>
      <w:r/>
      <w:bookmarkEnd w:id="488"/>
      <w:r/>
      <w:bookmarkEnd w:id="489"/>
      <w:r/>
      <w:bookmarkEnd w:id="490"/>
      <w:r/>
      <w:bookmarkEnd w:id="491"/>
      <w:r/>
      <w:bookmarkEnd w:id="492"/>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93" w:name="_Toc297216194"/>
      <w:r/>
      <w:bookmarkStart w:id="494" w:name="_Toc300934984"/>
      <w:r/>
      <w:bookmarkStart w:id="495" w:name="_Toc297123535"/>
      <w:r/>
      <w:bookmarkStart w:id="496" w:name="_Toc303539141"/>
      <w:r/>
      <w:bookmarkStart w:id="497" w:name="_Toc312677497"/>
      <w:r/>
      <w:bookmarkStart w:id="498" w:name="_Toc304295561"/>
      <w:r/>
      <w:bookmarkStart w:id="499" w:name="_Toc312678023"/>
      <w:r/>
      <w:bookmarkStart w:id="500"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493"/>
      <w:r/>
      <w:bookmarkEnd w:id="494"/>
      <w:r/>
      <w:bookmarkEnd w:id="495"/>
      <w:r/>
      <w:bookmarkEnd w:id="496"/>
      <w:r/>
      <w:bookmarkEnd w:id="497"/>
      <w:r/>
      <w:bookmarkEnd w:id="498"/>
      <w:r/>
      <w:bookmarkEnd w:id="499"/>
      <w:r/>
      <w:bookmarkStart w:id="501" w:name="_Toc304295562"/>
      <w:r/>
      <w:bookmarkStart w:id="502" w:name="_Toc312677498"/>
      <w:r/>
      <w:bookmarkStart w:id="503" w:name="_Toc303539142"/>
      <w:r/>
      <w:bookmarkStart w:id="504" w:name="_Toc297216195"/>
      <w:r/>
      <w:bookmarkStart w:id="505" w:name="_Toc297123536"/>
      <w:r/>
      <w:bookmarkStart w:id="506" w:name="_Toc312678024"/>
      <w:r/>
      <w:bookmarkStart w:id="507" w:name="_Toc300934985"/>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508" w:name="_Toc20177"/>
      <w:r/>
      <w:bookmarkStart w:id="509" w:name="_Toc2075"/>
      <w:r/>
      <w:bookmarkStart w:id="510" w:name="_Toc7150"/>
      <w:r/>
      <w:bookmarkStart w:id="511" w:name="_Toc21722"/>
      <w:r/>
      <w:bookmarkStart w:id="512" w:name="_Toc28056"/>
      <w:r/>
      <w:bookmarkStart w:id="513" w:name="_Toc31381"/>
      <w:r>
        <w:rPr>
          <w:rFonts w:hint="eastAsia" w:ascii="宋体" w:hAnsi="宋体" w:eastAsia="宋体" w:cs="宋体"/>
          <w:color w:val="auto"/>
          <w:sz w:val="21"/>
          <w:szCs w:val="21"/>
          <w:highlight w:val="none"/>
        </w:rPr>
        <w:t xml:space="preserve">9.4 现场工艺试验</w:t>
      </w:r>
      <w:bookmarkEnd w:id="508"/>
      <w:r/>
      <w:bookmarkEnd w:id="509"/>
      <w:r/>
      <w:bookmarkEnd w:id="510"/>
      <w:r/>
      <w:bookmarkEnd w:id="511"/>
      <w:r/>
      <w:bookmarkEnd w:id="512"/>
      <w:r/>
      <w:bookmarkEnd w:id="513"/>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00"/>
      <w:r/>
      <w:bookmarkEnd w:id="501"/>
      <w:r/>
      <w:bookmarkEnd w:id="502"/>
      <w:r/>
      <w:bookmarkEnd w:id="503"/>
      <w:r/>
      <w:bookmarkEnd w:id="504"/>
      <w:r/>
      <w:bookmarkEnd w:id="505"/>
      <w:r/>
      <w:bookmarkEnd w:id="506"/>
      <w:r/>
      <w:bookmarkEnd w:id="507"/>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514" w:name="_Toc351203642"/>
      <w:r>
        <w:rPr>
          <w:rFonts w:hint="eastAsia" w:ascii="宋体" w:hAnsi="宋体" w:eastAsia="宋体" w:cs="宋体"/>
          <w:b/>
          <w:bCs w:val="0"/>
          <w:color w:val="auto"/>
          <w:sz w:val="21"/>
          <w:szCs w:val="21"/>
          <w:highlight w:val="none"/>
          <w:lang w:val="en-US" w:eastAsia="zh-CN" w:bidi="ar-SA"/>
        </w:rPr>
        <w:t xml:space="preserve">1</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Start w:id="515" w:name="_Toc304295566"/>
      <w:r/>
      <w:bookmarkStart w:id="516" w:name="_Toc297123540"/>
      <w:r/>
      <w:bookmarkStart w:id="517" w:name="_Toc297216199"/>
      <w:r/>
      <w:bookmarkStart w:id="518" w:name="_Toc296347192"/>
      <w:r/>
      <w:bookmarkStart w:id="519" w:name="_Toc292559903"/>
      <w:r/>
      <w:bookmarkStart w:id="520" w:name="_Toc292559398"/>
      <w:r/>
      <w:bookmarkStart w:id="521" w:name="_Toc300934989"/>
      <w:r/>
      <w:bookmarkStart w:id="522" w:name="_Toc297048379"/>
      <w:r/>
      <w:bookmarkStart w:id="523" w:name="_Toc296503193"/>
      <w:r/>
      <w:bookmarkStart w:id="524" w:name="_Toc296891233"/>
      <w:r/>
      <w:bookmarkStart w:id="525" w:name="_Toc296891021"/>
      <w:r/>
      <w:bookmarkStart w:id="526" w:name="_Toc296944532"/>
      <w:r/>
      <w:bookmarkStart w:id="527" w:name="_Toc303539146"/>
      <w:r/>
      <w:bookmarkStart w:id="528" w:name="_Toc297120493"/>
      <w:r/>
      <w:bookmarkStart w:id="529" w:name="_Toc296346694"/>
      <w:r/>
      <w:bookmarkStart w:id="530" w:name="_Toc312677499"/>
      <w:r/>
      <w:bookmarkStart w:id="531" w:name="_Toc312678025"/>
      <w:r/>
      <w:bookmarkStart w:id="532" w:name="_Toc267251435"/>
      <w:r/>
      <w:bookmarkStart w:id="533" w:name="_Toc267251433"/>
      <w:r/>
      <w:bookmarkStart w:id="534" w:name="_Toc267251437"/>
      <w:r/>
      <w:bookmarkStart w:id="535" w:name="_Toc267251440"/>
      <w:r/>
      <w:bookmarkStart w:id="536" w:name="_Toc267251439"/>
      <w:r/>
      <w:bookmarkStart w:id="537" w:name="_Toc267251441"/>
      <w:r/>
      <w:bookmarkStart w:id="538" w:name="_Toc267251442"/>
      <w:r>
        <w:rPr>
          <w:rFonts w:hint="eastAsia" w:ascii="宋体" w:hAnsi="宋体" w:eastAsia="宋体" w:cs="宋体"/>
          <w:b/>
          <w:bCs w:val="0"/>
          <w:color w:val="auto"/>
          <w:sz w:val="21"/>
          <w:szCs w:val="21"/>
          <w:highlight w:val="none"/>
          <w:lang w:val="en-US" w:eastAsia="zh-CN" w:bidi="ar-SA"/>
        </w:rPr>
        <w:t xml:space="preserve">0. 变更</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39" w:name="_Toc303539147"/>
      <w:r/>
      <w:bookmarkStart w:id="540" w:name="_Toc296346695"/>
      <w:r/>
      <w:bookmarkStart w:id="541" w:name="_Toc297120494"/>
      <w:r/>
      <w:bookmarkStart w:id="542" w:name="_Toc296347193"/>
      <w:r/>
      <w:bookmarkStart w:id="543" w:name="_Toc296891022"/>
      <w:r/>
      <w:bookmarkStart w:id="544" w:name="_Toc297216200"/>
      <w:r/>
      <w:bookmarkStart w:id="545" w:name="_Toc296891234"/>
      <w:r/>
      <w:bookmarkStart w:id="546" w:name="_Toc300934990"/>
      <w:r/>
      <w:bookmarkStart w:id="547" w:name="_Toc312678026"/>
      <w:r/>
      <w:bookmarkStart w:id="548" w:name="_Toc296944533"/>
      <w:r/>
      <w:bookmarkStart w:id="549" w:name="_Toc292559904"/>
      <w:r/>
      <w:bookmarkStart w:id="550" w:name="_Toc304295567"/>
      <w:r/>
      <w:bookmarkStart w:id="551" w:name="_Toc297048380"/>
      <w:r/>
      <w:bookmarkStart w:id="552" w:name="_Toc312677500"/>
      <w:r/>
      <w:bookmarkStart w:id="553" w:name="_Toc297123541"/>
      <w:r/>
      <w:bookmarkStart w:id="554" w:name="_Toc296503194"/>
      <w:r/>
      <w:bookmarkStart w:id="555" w:name="_Toc292559399"/>
      <w:r>
        <w:rPr>
          <w:rFonts w:hint="eastAsia" w:ascii="宋体" w:hAnsi="宋体" w:eastAsia="宋体" w:cs="宋体"/>
          <w:color w:val="auto"/>
          <w:sz w:val="21"/>
          <w:szCs w:val="21"/>
          <w:highlight w:val="none"/>
        </w:rPr>
        <w:t xml:space="preserve">0.1变更的范围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（1）增加或减少合同中任何工作，或追加额外的工作；</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（2）取消合同中任何工作，但转由他人实施的工作除外；</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（3）改变合同中任何工作的质量标准或其他特性；</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（4）改变工程的基线、标高、位置和尺寸；</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（5）改变工程的时间安排或实施顺序；</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（6）因工程量清单缺陷导致新增的合同工作内容（总价合同除外）；</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（7）其它非承包人原因引起的工作内容调整。</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10.3变更程序：同通用条款，工程变更审批，需按照发包人要求执行，未审批完成的工程变更，不作为结算依据。</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556" w:name="_Toc2095"/>
      <w:r/>
      <w:bookmarkStart w:id="557" w:name="_Toc29554"/>
      <w:r/>
      <w:bookmarkStart w:id="558" w:name="_Toc22635"/>
      <w:r/>
      <w:bookmarkStart w:id="559" w:name="_Toc24885"/>
      <w:r/>
      <w:bookmarkStart w:id="560" w:name="_Toc13201"/>
      <w:r/>
      <w:bookmarkStart w:id="561" w:name="_Toc6994"/>
      <w:r>
        <w:rPr>
          <w:rFonts w:hint="eastAsia" w:ascii="宋体" w:hAnsi="宋体" w:eastAsia="宋体" w:cs="宋体"/>
          <w:color w:val="auto"/>
          <w:sz w:val="21"/>
          <w:szCs w:val="21"/>
          <w:highlight w:val="none"/>
        </w:rPr>
        <w:t xml:space="preserve">10.4 变更估价</w:t>
      </w:r>
      <w:bookmarkEnd w:id="556"/>
      <w:r/>
      <w:bookmarkEnd w:id="557"/>
      <w:r/>
      <w:bookmarkEnd w:id="558"/>
      <w:r/>
      <w:bookmarkEnd w:id="559"/>
      <w:r/>
      <w:bookmarkEnd w:id="560"/>
      <w:r/>
      <w:bookmarkEnd w:id="561"/>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关于变更估价的约定:</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eastAsia="zh-CN"/>
        </w:rPr>
      </w:pPr>
      <w:r>
        <w:rPr>
          <w:rFonts w:hint="eastAsia" w:ascii="宋体" w:hAnsi="宋体" w:eastAsia="宋体" w:cs="宋体"/>
          <w:color w:val="auto"/>
          <w:sz w:val="20"/>
          <w:szCs w:val="16"/>
          <w:highlight w:val="none"/>
          <w:lang w:eastAsia="zh-CN"/>
        </w:rPr>
        <w:t xml:space="preserve">（</w:t>
      </w:r>
      <w:r>
        <w:rPr>
          <w:rFonts w:hint="eastAsia" w:ascii="宋体" w:hAnsi="宋体" w:eastAsia="宋体" w:cs="宋体"/>
          <w:color w:val="auto"/>
          <w:sz w:val="20"/>
          <w:szCs w:val="16"/>
          <w:highlight w:val="none"/>
          <w:lang w:val="en-US" w:eastAsia="zh-CN"/>
        </w:rPr>
        <w:t xml:space="preserve">1</w:t>
      </w:r>
      <w:r>
        <w:rPr>
          <w:rFonts w:hint="eastAsia" w:ascii="宋体" w:hAnsi="宋体" w:eastAsia="宋体" w:cs="宋体"/>
          <w:color w:val="auto"/>
          <w:sz w:val="20"/>
          <w:szCs w:val="16"/>
          <w:highlight w:val="none"/>
          <w:lang w:eastAsia="zh-CN"/>
        </w:rPr>
        <w:t xml:space="preserve">）因工程变更或工程量清单缺陷引起分部分项工程的清单项目变化(项目增减),或清单工程量发生变化且工程量变化不超出15%(含15%)时按下列规定确定综合单价并计价，调整合同价格：</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eastAsia="zh-CN"/>
        </w:rPr>
      </w:pPr>
      <w:r>
        <w:rPr>
          <w:rFonts w:hint="eastAsia" w:ascii="宋体" w:hAnsi="宋体" w:eastAsia="宋体" w:cs="宋体"/>
          <w:color w:val="auto"/>
          <w:sz w:val="20"/>
          <w:szCs w:val="16"/>
          <w:highlight w:val="none"/>
          <w:lang w:eastAsia="zh-CN"/>
        </w:rPr>
        <w:t xml:space="preserve">①相同施工条件下实施相同项目特征的清单项目，应采用相应的合同单价；</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eastAsia="zh-CN"/>
        </w:rPr>
      </w:pPr>
      <w:r>
        <w:rPr>
          <w:rFonts w:hint="eastAsia" w:ascii="宋体" w:hAnsi="宋体" w:eastAsia="宋体" w:cs="宋体"/>
          <w:color w:val="auto"/>
          <w:sz w:val="20"/>
          <w:szCs w:val="16"/>
          <w:highlight w:val="none"/>
          <w:lang w:eastAsia="zh-CN"/>
        </w:rPr>
        <w:t xml:space="preserve">②相同施工条件下实施类似项目特征的清单项目或类似施工条件下实施相同项目特征的清单项目，应采用类似清单项目的合同单价换算调整后的综合单价；</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eastAsia="zh-CN"/>
        </w:rPr>
      </w:pPr>
      <w:r>
        <w:rPr>
          <w:rFonts w:hint="eastAsia" w:ascii="宋体" w:hAnsi="宋体" w:eastAsia="宋体" w:cs="宋体"/>
          <w:color w:val="auto"/>
          <w:sz w:val="20"/>
          <w:szCs w:val="16"/>
          <w:highlight w:val="none"/>
          <w:lang w:eastAsia="zh-CN"/>
        </w:rPr>
        <w:t xml:space="preserve">③相同施工条件下实施不同项目特征的清单项目或不同施工条件下实施相同项目特征的清单项目，可依据工程实施情况</w:t>
      </w:r>
      <w:r>
        <w:rPr>
          <w:rFonts w:hint="eastAsia" w:ascii="宋体" w:hAnsi="宋体" w:eastAsia="宋体" w:cs="宋体"/>
          <w:color w:val="auto"/>
          <w:sz w:val="20"/>
          <w:szCs w:val="16"/>
          <w:highlight w:val="none"/>
          <w:lang w:val="en-US" w:eastAsia="zh-CN"/>
        </w:rPr>
        <w:t xml:space="preserve">按照本条款⑥确定综合单价</w:t>
      </w:r>
      <w:r>
        <w:rPr>
          <w:rFonts w:hint="eastAsia" w:ascii="宋体" w:hAnsi="宋体" w:eastAsia="宋体" w:cs="宋体"/>
          <w:color w:val="auto"/>
          <w:sz w:val="20"/>
          <w:szCs w:val="16"/>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eastAsia="zh-CN"/>
        </w:rPr>
      </w:pPr>
      <w:r>
        <w:rPr>
          <w:rFonts w:hint="eastAsia" w:ascii="宋体" w:hAnsi="宋体" w:eastAsia="宋体" w:cs="宋体"/>
          <w:color w:val="auto"/>
          <w:sz w:val="20"/>
          <w:szCs w:val="16"/>
          <w:highlight w:val="none"/>
          <w:lang w:eastAsia="zh-CN"/>
        </w:rPr>
        <w:t xml:space="preserve">④不同施工条件下实施不同项目特征的清单项目，可依据工程实施情况</w:t>
      </w:r>
      <w:r>
        <w:rPr>
          <w:rFonts w:hint="eastAsia" w:ascii="宋体" w:hAnsi="宋体" w:eastAsia="宋体" w:cs="宋体"/>
          <w:color w:val="auto"/>
          <w:sz w:val="20"/>
          <w:szCs w:val="16"/>
          <w:highlight w:val="none"/>
          <w:lang w:val="en-US" w:eastAsia="zh-CN"/>
        </w:rPr>
        <w:t xml:space="preserve">按照本条款⑥确定综合单价</w:t>
      </w:r>
      <w:r>
        <w:rPr>
          <w:rFonts w:hint="eastAsia" w:ascii="宋体" w:hAnsi="宋体" w:eastAsia="宋体" w:cs="宋体"/>
          <w:color w:val="auto"/>
          <w:sz w:val="20"/>
          <w:szCs w:val="16"/>
          <w:highlight w:val="none"/>
          <w:lang w:eastAsia="zh-CN"/>
        </w:rPr>
        <w:t xml:space="preserve">；</w:t>
      </w:r>
      <w:r/>
    </w:p>
    <w:p>
      <w:pPr>
        <w:ind w:firstLine="480"/>
        <w:jc w:val="left"/>
        <w:keepLines w:val="0"/>
        <w:keepNext w:val="0"/>
        <w:pageBreakBefore w:val="0"/>
        <w:spacing w:line="360" w:lineRule="auto"/>
        <w:widowControl w:val="off"/>
        <w:rPr>
          <w:rFonts w:hint="default"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eastAsia="zh-CN"/>
        </w:rPr>
        <w:t xml:space="preserve">⑤因减少或取消清单项目的工程变更显著改变了实施中的工程施工条件，可根据实施工程的具体情况、市场价格、合同单价计价规则及报价水平协商确定工程变更的综合单价，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auto"/>
          <w:sz w:val="20"/>
          <w:szCs w:val="16"/>
          <w:highlight w:val="none"/>
          <w:lang w:val="en-US" w:eastAsia="zh-CN"/>
        </w:rPr>
        <w:t xml:space="preserve">也可按照本条款⑥确定综合单价</w:t>
      </w:r>
      <w:r>
        <w:rPr>
          <w:rFonts w:hint="eastAsia" w:ascii="宋体" w:hAnsi="宋体" w:eastAsia="宋体" w:cs="宋体"/>
          <w:color w:val="auto"/>
          <w:sz w:val="20"/>
          <w:szCs w:val="16"/>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⑥按《建设工程工程量清单计价标准》（GB/T50500-2024)、《江苏省建筑与装饰工程消耗量》（2026）、《江苏省市政工程消耗</w:t>
      </w:r>
      <w:r>
        <w:rPr>
          <w:rFonts w:hint="eastAsia" w:ascii="宋体" w:hAnsi="宋体" w:eastAsia="宋体" w:cs="宋体"/>
          <w:color w:val="auto"/>
          <w:sz w:val="20"/>
          <w:szCs w:val="16"/>
          <w:highlight w:val="none"/>
          <w:lang w:val="en-US" w:eastAsia="zh-CN"/>
        </w:rPr>
        <w:t xml:space="preserve">量》（2026）、《江苏省通用安装工程消耗量》（2026）、《江苏省建设工程费用参考》（2026）、《江苏省建设工程施工机具台班费用编制参考表》（2026）等现行计价规范，材料（主材）价格按合同基准期政府发布的信息价（信息价没有的参考市场价或询价，参考市场价或询价的材料不参与下浮），其它材料费（辅材）按照经修正的已标价工程量清单或预算书中的材料价格，管理费率和利润率按《江苏省建设工程费用参考》（2026）费率的中值计取，按费率报价的措施费执行已标价工程量清单中的费率，并按承包人报价浮动率下浮确认单价或总价；</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承包人报价浮动率L=（1-中标价/最高投标限价）*100%</w:t>
      </w:r>
      <w:r/>
    </w:p>
    <w:p>
      <w:pPr>
        <w:ind w:firstLine="480"/>
        <w:jc w:val="left"/>
        <w:keepLines w:val="0"/>
        <w:keepNext w:val="0"/>
        <w:pageBreakBefore w:val="0"/>
        <w:spacing w:line="360" w:lineRule="auto"/>
        <w:widowControl w:val="off"/>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（中标价及最高投标限价均应扣除暂列金额及专业工程暂估价）</w:t>
      </w:r>
      <w:r/>
    </w:p>
    <w:p>
      <w:pPr>
        <w:ind w:firstLine="480"/>
        <w:jc w:val="left"/>
        <w:keepLines w:val="0"/>
        <w:keepNext w:val="0"/>
        <w:pageBreakBefore w:val="0"/>
        <w:spacing w:line="360" w:lineRule="auto"/>
        <w:widowControl w:val="off"/>
        <w:rPr>
          <w:rFonts w:hint="default"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（2）因工程变更或工程量清单缺陷引起分部分项工程的清单工程量发生变化，且工程量变化超出15%(不含15%)时：</w:t>
      </w:r>
      <w:r>
        <w:rPr>
          <w:rFonts w:hint="eastAsia" w:ascii="宋体" w:hAnsi="宋体" w:eastAsia="宋体" w:cs="宋体"/>
          <w:color w:val="auto"/>
          <w:sz w:val="20"/>
          <w:szCs w:val="16"/>
          <w:highlight w:val="none"/>
          <w:u w:val="single"/>
          <w:lang w:val="en-US" w:eastAsia="zh-CN"/>
        </w:rPr>
        <w:t xml:space="preserve">  不调整合同价格  </w:t>
      </w:r>
      <w:r>
        <w:rPr>
          <w:rFonts w:hint="eastAsia" w:ascii="宋体" w:hAnsi="宋体" w:eastAsia="宋体" w:cs="宋体"/>
          <w:color w:val="auto"/>
          <w:sz w:val="20"/>
          <w:szCs w:val="16"/>
          <w:highlight w:val="none"/>
          <w:lang w:val="en-US" w:eastAsia="zh-CN"/>
        </w:rPr>
        <w:t xml:space="preserve">。</w:t>
      </w:r>
      <w:r/>
    </w:p>
    <w:p>
      <w:pPr>
        <w:ind w:firstLine="480"/>
        <w:jc w:val="left"/>
        <w:keepLines w:val="0"/>
        <w:keepNext w:val="0"/>
        <w:pageBreakBefore w:val="0"/>
        <w:spacing w:line="360" w:lineRule="auto"/>
        <w:widowControl w:val="off"/>
        <w:rPr>
          <w:rFonts w:hint="default"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（3）措施项目变更调整规则：</w:t>
      </w:r>
      <w:r>
        <w:rPr>
          <w:rFonts w:hint="eastAsia" w:ascii="宋体" w:hAnsi="宋体" w:eastAsia="宋体" w:cs="宋体"/>
          <w:color w:val="auto"/>
          <w:sz w:val="20"/>
          <w:szCs w:val="16"/>
          <w:highlight w:val="none"/>
          <w:u w:val="single"/>
          <w:lang w:val="en-US" w:eastAsia="zh-CN"/>
        </w:rPr>
        <w:t xml:space="preserve">按</w:t>
      </w:r>
      <w:r>
        <w:rPr>
          <w:rFonts w:hint="eastAsia" w:ascii="宋体" w:hAnsi="宋体" w:eastAsia="宋体" w:cs="宋体"/>
          <w:color w:val="auto"/>
          <w:sz w:val="20"/>
          <w:szCs w:val="16"/>
          <w:highlight w:val="none"/>
          <w:u w:val="single"/>
          <w:lang w:eastAsia="zh-CN"/>
        </w:rPr>
        <w:t xml:space="preserve">《建设工程工程量清单计价标准》（GB/T50500-2024）</w:t>
      </w:r>
      <w:r>
        <w:rPr>
          <w:rFonts w:hint="eastAsia" w:ascii="宋体" w:hAnsi="宋体" w:eastAsia="宋体" w:cs="宋体"/>
          <w:color w:val="auto"/>
          <w:sz w:val="20"/>
          <w:szCs w:val="16"/>
          <w:highlight w:val="none"/>
          <w:u w:val="single"/>
          <w:lang w:val="en-US" w:eastAsia="zh-CN"/>
        </w:rPr>
        <w:t xml:space="preserve">第8.9.4条款、8.9.5条款、8.9.6条款及8.9.7条款调整</w:t>
      </w:r>
      <w:r>
        <w:rPr>
          <w:rFonts w:hint="eastAsia" w:ascii="宋体" w:hAnsi="宋体" w:eastAsia="宋体" w:cs="宋体"/>
          <w:color w:val="auto"/>
          <w:sz w:val="20"/>
          <w:szCs w:val="16"/>
          <w:highlight w:val="none"/>
          <w:lang w:val="en-US" w:eastAsia="zh-CN"/>
        </w:rPr>
        <w:t xml:space="preserve">；</w:t>
      </w:r>
      <w:r/>
    </w:p>
    <w:p>
      <w:pPr>
        <w:ind w:firstLine="400"/>
        <w:jc w:val="left"/>
        <w:keepLines w:val="0"/>
        <w:keepNext w:val="0"/>
        <w:pageBreakBefore w:val="0"/>
        <w:spacing w:beforeAutospacing="0" w:afterAutospacing="0" w:line="360" w:lineRule="auto"/>
        <w:widowControl w:val="off"/>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（4）变更价款的审核与支付：</w:t>
      </w:r>
      <w:r>
        <w:rPr>
          <w:rFonts w:hint="eastAsia" w:ascii="宋体" w:hAnsi="宋体" w:eastAsia="宋体" w:cs="宋体"/>
          <w:color w:val="auto"/>
          <w:sz w:val="20"/>
          <w:szCs w:val="16"/>
          <w:highlight w:val="none"/>
          <w:u w:val="single"/>
          <w:lang w:val="en-US" w:eastAsia="zh-CN"/>
        </w:rPr>
        <w:t xml:space="preserve">承包人应在收到变更指令后14天内，提交完整的变更价款申请及支撑资料报送监理单位与发包人审核，审核通过后的变更价款纳入当期工程进度款，按合同约定的进度款支付比例同期支付。若承包人未在规定时限内提交变更价款申请，则视为该变更不涉及合同价款调整，发包人不再另行追加价款</w:t>
      </w:r>
      <w:r>
        <w:rPr>
          <w:rFonts w:hint="eastAsia" w:ascii="宋体" w:hAnsi="宋体" w:eastAsia="宋体" w:cs="宋体"/>
          <w:color w:val="auto"/>
          <w:sz w:val="20"/>
          <w:szCs w:val="16"/>
          <w:highlight w:val="none"/>
          <w:lang w:val="en-US" w:eastAsia="zh-CN"/>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Start w:id="562" w:name="_Toc296944536"/>
      <w:r/>
      <w:bookmarkStart w:id="563" w:name="_Toc300934993"/>
      <w:r/>
      <w:bookmarkStart w:id="564" w:name="_Toc297048383"/>
      <w:r/>
      <w:bookmarkStart w:id="565" w:name="_Toc297123544"/>
      <w:r/>
      <w:bookmarkStart w:id="566" w:name="_Toc296891237"/>
      <w:r/>
      <w:bookmarkStart w:id="567" w:name="_Toc296891025"/>
      <w:r/>
      <w:bookmarkStart w:id="568" w:name="_Toc297216203"/>
      <w:r/>
      <w:bookmarkStart w:id="569" w:name="_Toc292559907"/>
      <w:r/>
      <w:bookmarkStart w:id="570" w:name="_Toc297120497"/>
      <w:r/>
      <w:bookmarkStart w:id="571" w:name="_Toc296346698"/>
      <w:r/>
      <w:bookmarkStart w:id="572" w:name="_Toc296503197"/>
      <w:r/>
      <w:bookmarkStart w:id="573" w:name="_Toc296347196"/>
      <w:r/>
      <w:bookmarkStart w:id="574" w:name="_Toc303539150"/>
      <w:r/>
      <w:bookmarkStart w:id="575" w:name="_Toc292559402"/>
      <w:r/>
      <w:bookmarkStart w:id="576" w:name="_Toc304295570"/>
      <w:r/>
      <w:bookmarkStart w:id="577" w:name="_Toc312677503"/>
      <w:r/>
      <w:bookmarkStart w:id="578" w:name="_Toc312678029"/>
      <w:r>
        <w:rPr>
          <w:rFonts w:hint="eastAsia" w:ascii="宋体" w:hAnsi="宋体" w:eastAsia="宋体" w:cs="宋体"/>
          <w:color w:val="auto"/>
          <w:sz w:val="21"/>
          <w:szCs w:val="21"/>
          <w:highlight w:val="none"/>
        </w:rPr>
        <w:t xml:space="preserve">0.5承</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Start w:id="579" w:name="_Toc296891243"/>
      <w:r/>
      <w:bookmarkStart w:id="580" w:name="_Toc292559408"/>
      <w:r/>
      <w:bookmarkStart w:id="581" w:name="_Toc297216204"/>
      <w:r/>
      <w:bookmarkStart w:id="582" w:name="_Toc296944542"/>
      <w:r/>
      <w:bookmarkStart w:id="583" w:name="_Toc297048389"/>
      <w:r/>
      <w:bookmarkStart w:id="584" w:name="_Toc300934994"/>
      <w:r/>
      <w:bookmarkStart w:id="585" w:name="_Toc297120503"/>
      <w:r/>
      <w:bookmarkStart w:id="586" w:name="_Toc296346704"/>
      <w:r/>
      <w:bookmarkStart w:id="587" w:name="_Toc296503203"/>
      <w:r/>
      <w:bookmarkStart w:id="588" w:name="_Toc303539151"/>
      <w:r/>
      <w:bookmarkStart w:id="589" w:name="_Toc292559913"/>
      <w:r/>
      <w:bookmarkStart w:id="590" w:name="_Toc297123545"/>
      <w:r/>
      <w:bookmarkStart w:id="591" w:name="_Toc296891031"/>
      <w:r/>
      <w:bookmarkStart w:id="592" w:name="_Toc296347202"/>
      <w:r>
        <w:rPr>
          <w:rFonts w:hint="eastAsia" w:ascii="宋体" w:hAnsi="宋体" w:eastAsia="宋体" w:cs="宋体"/>
          <w:color w:val="auto"/>
          <w:sz w:val="21"/>
          <w:szCs w:val="21"/>
          <w:highlight w:val="none"/>
        </w:rPr>
        <w:t xml:space="preserve">包人的合理化建议</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593" w:name="_Toc304295571"/>
      <w:r/>
      <w:bookmarkStart w:id="594" w:name="_Toc303539152"/>
      <w:r/>
      <w:bookmarkStart w:id="595" w:name="_Toc296891032"/>
      <w:r/>
      <w:bookmarkStart w:id="596" w:name="_Toc296346705"/>
      <w:r/>
      <w:bookmarkStart w:id="597" w:name="_Toc296944543"/>
      <w:r/>
      <w:bookmarkStart w:id="598" w:name="_Toc297120504"/>
      <w:r/>
      <w:bookmarkStart w:id="599" w:name="_Toc296347203"/>
      <w:r/>
      <w:bookmarkStart w:id="600" w:name="_Toc300934995"/>
      <w:r/>
      <w:bookmarkStart w:id="601" w:name="_Toc296891244"/>
      <w:r/>
      <w:bookmarkStart w:id="602" w:name="_Toc318581175"/>
      <w:r/>
      <w:bookmarkStart w:id="603" w:name="_Toc296503204"/>
      <w:r/>
      <w:bookmarkStart w:id="604" w:name="_Toc292559409"/>
      <w:r/>
      <w:bookmarkStart w:id="605" w:name="_Toc297123546"/>
      <w:r/>
      <w:bookmarkStart w:id="606" w:name="_Toc292559914"/>
      <w:r/>
      <w:bookmarkStart w:id="607" w:name="_Toc297216205"/>
      <w:r/>
      <w:bookmarkStart w:id="608" w:name="_Toc312677504"/>
      <w:r/>
      <w:bookmarkStart w:id="609" w:name="_Toc312678030"/>
      <w:r/>
      <w:bookmarkStart w:id="610" w:name="_Toc297048390"/>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611" w:name="_Toc12179"/>
      <w:r/>
      <w:bookmarkStart w:id="612" w:name="_Toc28224"/>
      <w:r/>
      <w:bookmarkStart w:id="613" w:name="_Toc29736"/>
      <w:r/>
      <w:bookmarkStart w:id="614" w:name="_Toc1074"/>
      <w:r/>
      <w:bookmarkStart w:id="615" w:name="_Toc7641"/>
      <w:r/>
      <w:bookmarkStart w:id="616" w:name="_Toc26218"/>
      <w:r>
        <w:rPr>
          <w:rFonts w:hint="eastAsia" w:ascii="宋体" w:hAnsi="宋体" w:eastAsia="宋体" w:cs="宋体"/>
          <w:color w:val="auto"/>
          <w:sz w:val="21"/>
          <w:szCs w:val="21"/>
          <w:highlight w:val="none"/>
        </w:rPr>
        <w:t xml:space="preserve">1</w:t>
      </w:r>
      <w:bookmarkStart w:id="617" w:name="_Toc296503199"/>
      <w:r/>
      <w:bookmarkStart w:id="618" w:name="_Toc296891239"/>
      <w:r/>
      <w:bookmarkStart w:id="619" w:name="_Toc297048385"/>
      <w:r/>
      <w:bookmarkStart w:id="620" w:name="_Toc297120499"/>
      <w:r/>
      <w:bookmarkStart w:id="621" w:name="_Toc296347198"/>
      <w:r/>
      <w:bookmarkStart w:id="622" w:name="_Toc312678033"/>
      <w:r/>
      <w:bookmarkStart w:id="623" w:name="_Toc296944538"/>
      <w:r/>
      <w:bookmarkStart w:id="624" w:name="_Toc300934997"/>
      <w:r/>
      <w:bookmarkStart w:id="625" w:name="_Toc303539154"/>
      <w:r/>
      <w:bookmarkStart w:id="626" w:name="_Toc292559404"/>
      <w:r/>
      <w:bookmarkStart w:id="627" w:name="_Toc296346700"/>
      <w:r/>
      <w:bookmarkStart w:id="628" w:name="_Toc297123548"/>
      <w:r/>
      <w:bookmarkStart w:id="629" w:name="_Toc297216207"/>
      <w:r/>
      <w:bookmarkStart w:id="630" w:name="_Toc312677507"/>
      <w:r/>
      <w:bookmarkStart w:id="631" w:name="_Toc296891027"/>
      <w:r/>
      <w:bookmarkStart w:id="632" w:name="_Toc304295574"/>
      <w:r/>
      <w:bookmarkStart w:id="633" w:name="_Toc292559909"/>
      <w:r>
        <w:rPr>
          <w:rFonts w:hint="eastAsia" w:ascii="宋体" w:hAnsi="宋体" w:eastAsia="宋体" w:cs="宋体"/>
          <w:color w:val="auto"/>
          <w:sz w:val="21"/>
          <w:szCs w:val="21"/>
          <w:highlight w:val="none"/>
        </w:rPr>
        <w:t xml:space="preserve">0.7 暂估价</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634" w:name="_Toc312678034"/>
      <w:r/>
      <w:bookmarkStart w:id="635" w:name="_Toc312677508"/>
      <w:r/>
      <w:bookmarkStart w:id="636" w:name="_Toc318581176"/>
      <w:r>
        <w:rPr>
          <w:rFonts w:hint="eastAsia" w:ascii="宋体" w:hAnsi="宋体" w:eastAsia="宋体" w:cs="宋体"/>
          <w:color w:val="auto"/>
          <w:sz w:val="21"/>
          <w:szCs w:val="21"/>
          <w:highlight w:val="none"/>
        </w:rPr>
        <w:t xml:space="preserve">估价材料和工程设备的明细详见附件11：《</w:t>
      </w:r>
      <w:r>
        <w:rPr>
          <w:rFonts w:hint="eastAsia" w:ascii="宋体" w:hAnsi="宋体" w:eastAsia="宋体" w:cs="宋体"/>
          <w:color w:val="auto"/>
          <w:sz w:val="21"/>
          <w:szCs w:val="21"/>
          <w:highlight w:val="none"/>
        </w:rPr>
        <w:t xml:space="preserve">暂估价一览表》</w:t>
      </w:r>
      <w:r>
        <w:rPr>
          <w:rFonts w:hint="eastAsia" w:ascii="宋体" w:hAnsi="宋体" w:eastAsia="宋体" w:cs="宋体"/>
          <w:color w:val="auto"/>
          <w:sz w:val="21"/>
          <w:szCs w:val="21"/>
          <w:highlight w:val="none"/>
        </w:rPr>
        <w:t xml:space="preserve">。</w:t>
      </w:r>
      <w:bookmarkEnd w:id="634"/>
      <w:r/>
      <w:bookmarkEnd w:id="635"/>
      <w:r/>
      <w:bookmarkEnd w:id="63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637" w:name="_Toc318581177"/>
      <w:r/>
      <w:bookmarkStart w:id="638" w:name="_Toc312677509"/>
      <w:r/>
      <w:bookmarkStart w:id="639" w:name="_Toc312678035"/>
      <w:r>
        <w:rPr>
          <w:rFonts w:hint="eastAsia" w:ascii="宋体" w:hAnsi="宋体" w:eastAsia="宋体" w:cs="宋体"/>
          <w:color w:val="auto"/>
          <w:sz w:val="21"/>
          <w:szCs w:val="21"/>
          <w:highlight w:val="none"/>
        </w:rPr>
        <w:t xml:space="preserve">0.7.1 依法必须招标的暂估价项目</w:t>
      </w:r>
      <w:bookmarkEnd w:id="637"/>
      <w:r/>
      <w:bookmarkEnd w:id="638"/>
      <w:r/>
      <w:bookmarkEnd w:id="639"/>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rPr>
        <w:t xml:space="preserve">依法组织招标选择暂估价的供应商或分包人。</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640" w:name="_Toc351203643"/>
      <w:r>
        <w:rPr>
          <w:rFonts w:hint="eastAsia" w:ascii="宋体" w:hAnsi="宋体" w:eastAsia="宋体" w:cs="宋体"/>
          <w:b w:val="0"/>
          <w:bCs/>
          <w:color w:val="auto"/>
          <w:sz w:val="21"/>
          <w:szCs w:val="21"/>
          <w:highlight w:val="none"/>
          <w:lang w:val="en-US" w:eastAsia="zh-CN" w:bidi="ar-SA"/>
        </w:rPr>
        <w:t xml:space="preserve">11. 价格调整</w:t>
      </w:r>
      <w:bookmarkEnd w:id="640"/>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bookmarkStart w:id="641" w:name="_Toc300935000"/>
      <w:r/>
      <w:bookmarkStart w:id="642" w:name="_Toc296503201"/>
      <w:r/>
      <w:bookmarkStart w:id="643" w:name="_Toc296891029"/>
      <w:r/>
      <w:bookmarkStart w:id="644" w:name="_Toc296891241"/>
      <w:r/>
      <w:bookmarkStart w:id="645" w:name="_Toc292559406"/>
      <w:r/>
      <w:bookmarkStart w:id="646" w:name="_Toc297123550"/>
      <w:r/>
      <w:bookmarkStart w:id="647" w:name="_Toc296944540"/>
      <w:r/>
      <w:bookmarkStart w:id="648" w:name="_Toc312678039"/>
      <w:r/>
      <w:bookmarkStart w:id="649" w:name="_Toc297120501"/>
      <w:r/>
      <w:bookmarkStart w:id="650" w:name="_Toc304295577"/>
      <w:r/>
      <w:bookmarkStart w:id="651" w:name="_Toc297216209"/>
      <w:r/>
      <w:bookmarkStart w:id="652" w:name="_Toc292559911"/>
      <w:r/>
      <w:bookmarkStart w:id="653" w:name="_Toc296346702"/>
      <w:r/>
      <w:bookmarkStart w:id="654" w:name="_Toc297048387"/>
      <w:r/>
      <w:bookmarkStart w:id="655" w:name="_Toc296347200"/>
      <w:r/>
      <w:bookmarkStart w:id="656" w:name="_Toc303539157"/>
      <w:r>
        <w:rPr>
          <w:rFonts w:hint="eastAsia" w:ascii="宋体" w:hAnsi="宋体" w:eastAsia="宋体" w:cs="宋体"/>
          <w:color w:val="auto"/>
          <w:sz w:val="21"/>
          <w:szCs w:val="21"/>
          <w:highlight w:val="none"/>
        </w:rPr>
        <w:t xml:space="preserve">11.1 市场价格波动引起的调整</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w:t>
      </w:r>
      <w:bookmarkEnd w:id="532"/>
      <w:r/>
      <w:bookmarkEnd w:id="533"/>
      <w:r/>
      <w:bookmarkEnd w:id="534"/>
      <w:r/>
      <w:bookmarkEnd w:id="535"/>
      <w:r/>
      <w:bookmarkEnd w:id="536"/>
      <w:r/>
      <w:bookmarkEnd w:id="537"/>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bookmarkStart w:id="657" w:name="_Toc296503205"/>
      <w:r/>
      <w:bookmarkStart w:id="658" w:name="_Toc296891245"/>
      <w:r/>
      <w:bookmarkStart w:id="659" w:name="_Toc296346706"/>
      <w:r/>
      <w:bookmarkStart w:id="660" w:name="_Toc297048391"/>
      <w:r/>
      <w:bookmarkStart w:id="661" w:name="_Toc296347204"/>
      <w:r/>
      <w:bookmarkStart w:id="662" w:name="_Toc292559410"/>
      <w:r/>
      <w:bookmarkStart w:id="663" w:name="_Toc292559915"/>
      <w:r/>
      <w:bookmarkStart w:id="664" w:name="_Toc296944544"/>
      <w:r/>
      <w:bookmarkStart w:id="665" w:name="_Toc296891033"/>
      <w:r/>
      <w:bookmarkStart w:id="666" w:name="_Toc297120505"/>
      <w:r/>
      <w:bookmarkStart w:id="667" w:name="_Toc351203644"/>
      <w:r/>
      <w:bookmarkStart w:id="668" w:name="_Toc300935002"/>
      <w:r/>
      <w:bookmarkStart w:id="669" w:name="_Toc297123552"/>
      <w:r/>
      <w:bookmarkStart w:id="670" w:name="_Toc303539159"/>
      <w:r/>
      <w:bookmarkStart w:id="671" w:name="_Toc297216211"/>
      <w:r/>
      <w:bookmarkStart w:id="672" w:name="_Toc312678040"/>
      <w:r/>
      <w:bookmarkStart w:id="673" w:name="_Toc304295579"/>
      <w:r>
        <w:rPr>
          <w:rFonts w:hint="eastAsia" w:ascii="宋体" w:hAnsi="宋体" w:eastAsia="宋体" w:cs="宋体"/>
          <w:b/>
          <w:bCs w:val="0"/>
          <w:color w:val="auto"/>
          <w:sz w:val="21"/>
          <w:szCs w:val="21"/>
          <w:highlight w:val="none"/>
          <w:lang w:val="en-US" w:eastAsia="zh-CN" w:bidi="ar-SA"/>
        </w:rPr>
        <w:t xml:space="preserve">12. </w:t>
      </w:r>
      <w:bookmarkEnd w:id="657"/>
      <w:r/>
      <w:bookmarkEnd w:id="658"/>
      <w:r/>
      <w:bookmarkEnd w:id="659"/>
      <w:r/>
      <w:bookmarkEnd w:id="660"/>
      <w:r/>
      <w:bookmarkEnd w:id="661"/>
      <w:r/>
      <w:bookmarkEnd w:id="662"/>
      <w:r/>
      <w:bookmarkEnd w:id="663"/>
      <w:r/>
      <w:bookmarkEnd w:id="664"/>
      <w:r/>
      <w:bookmarkEnd w:id="665"/>
      <w:r/>
      <w:bookmarkEnd w:id="666"/>
      <w:r>
        <w:rPr>
          <w:rFonts w:hint="eastAsia" w:ascii="宋体" w:hAnsi="宋体" w:eastAsia="宋体" w:cs="宋体"/>
          <w:b/>
          <w:bCs w:val="0"/>
          <w:color w:val="auto"/>
          <w:sz w:val="21"/>
          <w:szCs w:val="21"/>
          <w:highlight w:val="none"/>
          <w:lang w:val="en-US" w:eastAsia="zh-CN" w:bidi="ar-SA"/>
        </w:rPr>
        <w:t xml:space="preserve">合同价格、计量与支付</w:t>
      </w:r>
      <w:bookmarkEnd w:id="667"/>
      <w:r/>
      <w:bookmarkEnd w:id="668"/>
      <w:r/>
      <w:bookmarkEnd w:id="669"/>
      <w:r/>
      <w:bookmarkEnd w:id="670"/>
      <w:r/>
      <w:bookmarkEnd w:id="671"/>
      <w:r/>
      <w:bookmarkEnd w:id="672"/>
      <w:r/>
      <w:bookmarkEnd w:id="673"/>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bookmarkStart w:id="674" w:name="_Toc292559411"/>
      <w:r/>
      <w:bookmarkStart w:id="675" w:name="_Toc292559916"/>
      <w:r/>
      <w:bookmarkStart w:id="676" w:name="_Toc267251461"/>
      <w:r/>
      <w:bookmarkStart w:id="677" w:name="_Toc296891246"/>
      <w:r/>
      <w:bookmarkStart w:id="678" w:name="_Toc296347205"/>
      <w:r/>
      <w:bookmarkStart w:id="679" w:name="_Toc296891034"/>
      <w:r/>
      <w:bookmarkStart w:id="680" w:name="_Toc297048392"/>
      <w:r/>
      <w:bookmarkStart w:id="681" w:name="_Toc296503206"/>
      <w:r/>
      <w:bookmarkStart w:id="682" w:name="_Toc296346707"/>
      <w:r/>
      <w:bookmarkStart w:id="683" w:name="_Toc297120506"/>
      <w:r/>
      <w:bookmarkStart w:id="684" w:name="_Toc296944545"/>
      <w:r/>
      <w:bookmarkStart w:id="685" w:name="_Toc300935003"/>
      <w:r/>
      <w:bookmarkStart w:id="686" w:name="_Toc303539160"/>
      <w:r/>
      <w:bookmarkStart w:id="687" w:name="_Toc297216212"/>
      <w:r/>
      <w:bookmarkStart w:id="688" w:name="_Toc312678041"/>
      <w:r/>
      <w:bookmarkStart w:id="689" w:name="_Toc304295580"/>
      <w:r/>
      <w:bookmarkStart w:id="690" w:name="_Toc297123553"/>
      <w:r>
        <w:rPr>
          <w:rFonts w:hint="eastAsia" w:ascii="宋体" w:hAnsi="宋体" w:eastAsia="宋体" w:cs="宋体"/>
          <w:color w:val="auto"/>
          <w:sz w:val="21"/>
          <w:szCs w:val="21"/>
          <w:highlight w:val="none"/>
        </w:rPr>
        <w:t xml:space="preserve">12.1 合</w:t>
      </w:r>
      <w:bookmarkEnd w:id="674"/>
      <w:r/>
      <w:bookmarkEnd w:id="675"/>
      <w:r/>
      <w:bookmarkEnd w:id="676"/>
      <w:r>
        <w:rPr>
          <w:rFonts w:hint="eastAsia" w:ascii="宋体" w:hAnsi="宋体" w:eastAsia="宋体" w:cs="宋体"/>
          <w:color w:val="auto"/>
          <w:sz w:val="21"/>
          <w:szCs w:val="21"/>
          <w:highlight w:val="none"/>
        </w:rPr>
        <w:t xml:space="preserve">同价</w:t>
      </w:r>
      <w:bookmarkEnd w:id="677"/>
      <w:r/>
      <w:bookmarkEnd w:id="678"/>
      <w:r/>
      <w:bookmarkEnd w:id="679"/>
      <w:r/>
      <w:bookmarkEnd w:id="680"/>
      <w:r/>
      <w:bookmarkEnd w:id="681"/>
      <w:r/>
      <w:bookmarkEnd w:id="682"/>
      <w:r/>
      <w:bookmarkEnd w:id="683"/>
      <w:r/>
      <w:bookmarkEnd w:id="684"/>
      <w:r>
        <w:rPr>
          <w:rFonts w:hint="eastAsia" w:ascii="宋体" w:hAnsi="宋体" w:eastAsia="宋体" w:cs="宋体"/>
          <w:color w:val="auto"/>
          <w:sz w:val="21"/>
          <w:szCs w:val="21"/>
          <w:highlight w:val="none"/>
        </w:rPr>
        <w:t xml:space="preserve">格形式</w:t>
      </w:r>
      <w:bookmarkEnd w:id="685"/>
      <w:r/>
      <w:bookmarkEnd w:id="686"/>
      <w:r/>
      <w:bookmarkEnd w:id="687"/>
      <w:r/>
      <w:bookmarkEnd w:id="688"/>
      <w:r/>
      <w:bookmarkEnd w:id="689"/>
      <w:r/>
      <w:bookmarkEnd w:id="690"/>
      <w:r/>
      <w:r/>
    </w:p>
    <w:p>
      <w:pPr>
        <w:ind w:firstLine="482"/>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12.1合同价格形式</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本合同价款采用</w:t>
      </w:r>
      <w:r>
        <w:rPr>
          <w:rFonts w:hint="eastAsia" w:ascii="宋体" w:hAnsi="宋体" w:eastAsia="宋体" w:cs="宋体"/>
          <w:color w:val="auto"/>
          <w:sz w:val="21"/>
          <w:szCs w:val="21"/>
          <w:highlight w:val="none"/>
          <w:u w:val="single"/>
        </w:rPr>
        <w:t xml:space="preserve">固定单价合同</w:t>
      </w:r>
      <w:r>
        <w:rPr>
          <w:rFonts w:hint="eastAsia" w:ascii="宋体" w:hAnsi="宋体" w:eastAsia="宋体" w:cs="宋体"/>
          <w:color w:val="auto"/>
          <w:sz w:val="21"/>
          <w:szCs w:val="21"/>
          <w:highlight w:val="none"/>
        </w:rPr>
        <w:t xml:space="preserve">方式确定。</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lang w:eastAsia="zh-CN"/>
        </w:rPr>
        <w:t xml:space="preserve">①</w:t>
      </w:r>
      <w:r>
        <w:rPr>
          <w:rFonts w:hint="eastAsia" w:ascii="宋体" w:hAnsi="宋体" w:eastAsia="宋体" w:cs="宋体"/>
          <w:color w:val="auto"/>
          <w:sz w:val="21"/>
          <w:szCs w:val="21"/>
          <w:highlight w:val="none"/>
          <w:lang w:val="en-US" w:eastAsia="zh-CN"/>
        </w:rPr>
        <w:t xml:space="preserve">合同工期内人工、材料、施工机具使用费的燃料动力费物价变化带来的风险，综合单价不作调整；②措施项目清单的准确性及完整性均由承包人承担。</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风险费用的计算方法：</w:t>
      </w:r>
      <w:r>
        <w:rPr>
          <w:rFonts w:hint="eastAsia" w:ascii="宋体" w:hAnsi="宋体" w:eastAsia="宋体" w:cs="宋体"/>
          <w:color w:val="auto"/>
          <w:sz w:val="21"/>
          <w:szCs w:val="21"/>
          <w:highlight w:val="none"/>
          <w:u w:val="single"/>
          <w:lang w:val="en-US" w:eastAsia="zh-CN"/>
        </w:rPr>
        <w:t xml:space="preserve">价格风险已包含在综合单价报价中，承包人投标报价时已充分考虑合同工期内的价格波动因素，不再另行计取。</w:t>
      </w:r>
      <w:r/>
    </w:p>
    <w:p>
      <w:pPr>
        <w:ind w:firstLine="482"/>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风险范围以外合同价格的调整方法：</w:t>
      </w:r>
      <w:r>
        <w:rPr>
          <w:rFonts w:hint="eastAsia" w:ascii="宋体" w:hAnsi="宋体" w:cs="宋体"/>
          <w:color w:val="auto"/>
          <w:sz w:val="21"/>
          <w:szCs w:val="21"/>
          <w:highlight w:val="none"/>
          <w:u w:val="single"/>
          <w:lang w:val="en-US" w:eastAsia="zh-CN"/>
        </w:rPr>
        <w:t xml:space="preserve">  /  。</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bookmarkStart w:id="691" w:name="_Toc303539161"/>
      <w:r/>
      <w:bookmarkStart w:id="692" w:name="_Toc297123554"/>
      <w:r/>
      <w:bookmarkStart w:id="693" w:name="_Toc312678042"/>
      <w:r/>
      <w:bookmarkStart w:id="694" w:name="_Toc297216213"/>
      <w:r/>
      <w:bookmarkStart w:id="695" w:name="_Toc300935004"/>
      <w:r/>
      <w:bookmarkStart w:id="696" w:name="_Toc304295581"/>
      <w:r/>
      <w:bookmarkStart w:id="697" w:name="_Toc296346708"/>
      <w:r/>
      <w:bookmarkStart w:id="698" w:name="_Toc297048393"/>
      <w:r/>
      <w:bookmarkStart w:id="699" w:name="_Toc292559917"/>
      <w:r/>
      <w:bookmarkStart w:id="700" w:name="_Toc296944546"/>
      <w:r/>
      <w:bookmarkStart w:id="701" w:name="_Toc296891247"/>
      <w:r/>
      <w:bookmarkStart w:id="702" w:name="_Toc292559412"/>
      <w:r/>
      <w:bookmarkStart w:id="703" w:name="_Toc296891035"/>
      <w:r/>
      <w:bookmarkStart w:id="704" w:name="_Toc296503207"/>
      <w:r/>
      <w:bookmarkStart w:id="705" w:name="_Toc297120507"/>
      <w:r/>
      <w:bookmarkStart w:id="706" w:name="_Toc296347206"/>
      <w:r>
        <w:rPr>
          <w:rFonts w:hint="eastAsia" w:ascii="宋体" w:hAnsi="宋体" w:eastAsia="宋体" w:cs="宋体"/>
          <w:color w:val="auto"/>
          <w:sz w:val="21"/>
          <w:szCs w:val="21"/>
          <w:highlight w:val="none"/>
        </w:rPr>
        <w:t xml:space="preserve">12.2 预付款</w:t>
      </w:r>
      <w:bookmarkEnd w:id="691"/>
      <w:r/>
      <w:bookmarkEnd w:id="692"/>
      <w:r/>
      <w:bookmarkEnd w:id="693"/>
      <w:r/>
      <w:bookmarkEnd w:id="694"/>
      <w:r/>
      <w:bookmarkEnd w:id="695"/>
      <w:r/>
      <w:bookmarkEnd w:id="69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697"/>
      <w:r/>
      <w:bookmarkEnd w:id="698"/>
      <w:r/>
      <w:bookmarkEnd w:id="699"/>
      <w:r/>
      <w:bookmarkEnd w:id="700"/>
      <w:r/>
      <w:bookmarkEnd w:id="701"/>
      <w:r/>
      <w:bookmarkEnd w:id="702"/>
      <w:r/>
      <w:bookmarkEnd w:id="703"/>
      <w:r/>
      <w:bookmarkEnd w:id="704"/>
      <w:r/>
      <w:bookmarkEnd w:id="705"/>
      <w:r/>
      <w:bookmarkEnd w:id="706"/>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lang w:val="en-US" w:eastAsia="zh-CN"/>
        </w:rPr>
        <w:t xml:space="preserve">优先按照《房屋建筑与装饰工程工程量计算标准》（GB/T 50854-2024）、《仿古建筑</w:t>
      </w:r>
      <w:r>
        <w:rPr>
          <w:rFonts w:hint="eastAsia" w:ascii="宋体" w:hAnsi="宋体" w:eastAsia="宋体" w:cs="宋体"/>
          <w:color w:val="auto"/>
          <w:sz w:val="21"/>
          <w:szCs w:val="21"/>
          <w:highlight w:val="none"/>
          <w:u w:val="single"/>
          <w:lang w:val="en-US" w:eastAsia="zh-CN"/>
        </w:rPr>
        <w:t xml:space="preserve">工程工程量计算标准》（GB/T 50855-2024）、《通用安装工程工程量计算标准》（GB/T 50856-2024）、《市政工程工程量计算标准》（GB/T 50857-2024）、《园林绿化工程工程量计算标准》（GB/T 50858-2024）计量；上述计量标准没有工程量计算规则的按照江苏省现行消耗量（2026版）或计价定额对应的工程量计算规则计量；上述消耗量（2026版）或计价定额仍无对应计算规则的专业子目，由承包人结合项目实际特征编制工程量计算规则，经发包人审核确认后，作为本项目工程量计算的执行依据</w:t>
      </w:r>
      <w:r>
        <w:rPr>
          <w:rFonts w:hint="eastAsia" w:ascii="宋体" w:hAnsi="宋体" w:eastAsia="宋体" w:cs="宋体"/>
          <w:color w:val="auto"/>
          <w:sz w:val="21"/>
          <w:szCs w:val="21"/>
          <w:highlight w:val="none"/>
          <w:u w:val="singl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82"/>
        <w:jc w:val="left"/>
        <w:pageBreakBefore w:val="0"/>
        <w:spacing w:line="360" w:lineRule="auto"/>
        <w:rPr>
          <w:rFonts w:hint="eastAsia" w:ascii="宋体" w:hAnsi="宋体" w:eastAsia="宋体" w:cs="宋体"/>
          <w:b/>
          <w:bCs/>
          <w:color w:val="auto"/>
          <w:sz w:val="24"/>
          <w:szCs w:val="21"/>
          <w:highlight w:val="none"/>
          <w:lang w:val="en-US" w:eastAsia="zh-CN"/>
        </w:rPr>
      </w:pPr>
      <w:r/>
      <w:bookmarkStart w:id="707" w:name="_Toc296891251"/>
      <w:r/>
      <w:bookmarkStart w:id="708" w:name="_Toc303539163"/>
      <w:r/>
      <w:bookmarkStart w:id="709" w:name="_Toc297123556"/>
      <w:r/>
      <w:bookmarkStart w:id="710" w:name="_Toc296944550"/>
      <w:r/>
      <w:bookmarkStart w:id="711" w:name="_Toc297120511"/>
      <w:r/>
      <w:bookmarkStart w:id="712" w:name="_Toc292559921"/>
      <w:r/>
      <w:bookmarkStart w:id="713" w:name="_Toc297216215"/>
      <w:r/>
      <w:bookmarkStart w:id="714" w:name="_Toc296347210"/>
      <w:r/>
      <w:bookmarkStart w:id="715" w:name="_Toc296346712"/>
      <w:r/>
      <w:bookmarkStart w:id="716" w:name="_Toc297048397"/>
      <w:r/>
      <w:bookmarkStart w:id="717" w:name="_Toc296891039"/>
      <w:r/>
      <w:bookmarkStart w:id="718" w:name="_Toc300935006"/>
      <w:r/>
      <w:bookmarkStart w:id="719" w:name="_Toc296503211"/>
      <w:r/>
      <w:bookmarkStart w:id="720" w:name="_Toc292559416"/>
      <w:r>
        <w:rPr>
          <w:rFonts w:hint="eastAsia" w:ascii="宋体" w:hAnsi="宋体" w:eastAsia="宋体" w:cs="宋体"/>
          <w:b/>
          <w:bCs/>
          <w:color w:val="auto"/>
          <w:sz w:val="24"/>
          <w:szCs w:val="21"/>
          <w:highlight w:val="none"/>
          <w:lang w:val="en-US" w:eastAsia="zh-CN"/>
        </w:rPr>
        <w:t xml:space="preserve">工程完工并验收合格后付已完合格</w:t>
      </w:r>
      <w:r>
        <w:rPr>
          <w:rFonts w:hint="eastAsia" w:ascii="宋体" w:hAnsi="宋体" w:cs="宋体"/>
          <w:b/>
          <w:bCs/>
          <w:color w:val="auto"/>
          <w:sz w:val="24"/>
          <w:szCs w:val="21"/>
          <w:highlight w:val="none"/>
          <w:lang w:val="en-US" w:eastAsia="zh-CN"/>
        </w:rPr>
        <w:t xml:space="preserve">清单</w:t>
      </w:r>
      <w:r>
        <w:rPr>
          <w:rFonts w:hint="eastAsia" w:ascii="宋体" w:hAnsi="宋体" w:eastAsia="宋体" w:cs="宋体"/>
          <w:b/>
          <w:bCs/>
          <w:color w:val="auto"/>
          <w:sz w:val="24"/>
          <w:szCs w:val="21"/>
          <w:highlight w:val="none"/>
          <w:lang w:val="en-US" w:eastAsia="zh-CN"/>
        </w:rPr>
        <w:t xml:space="preserve">工程量价款的80%，工程结算审计完成后付至审定价的97%。留审定价款的3％作为质量保修金，待质保期（2年）满后且无质量问题也无违约情况下付清余款（不计利息）。</w:t>
      </w:r>
      <w:r/>
    </w:p>
    <w:p>
      <w:pPr>
        <w:ind w:firstLine="482"/>
        <w:jc w:val="left"/>
        <w:pageBreakBefore w:val="0"/>
        <w:spacing w:beforeAutospacing="0" w:afterAutospacing="0" w:line="360" w:lineRule="auto"/>
        <w:rPr>
          <w:rFonts w:hint="eastAsia" w:ascii="宋体" w:hAnsi="宋体" w:eastAsia="宋体" w:cs="宋体"/>
          <w:b/>
          <w:bCs/>
          <w:color w:val="auto"/>
          <w:sz w:val="24"/>
          <w:szCs w:val="21"/>
          <w:highlight w:val="none"/>
          <w:lang w:val="en-US" w:eastAsia="zh-CN"/>
        </w:rPr>
      </w:pPr>
      <w:r>
        <w:rPr>
          <w:rFonts w:hint="eastAsia" w:ascii="宋体" w:hAnsi="宋体" w:eastAsia="宋体" w:cs="宋体"/>
          <w:b/>
          <w:bCs/>
          <w:color w:val="auto"/>
          <w:sz w:val="24"/>
          <w:szCs w:val="21"/>
          <w:highlight w:val="none"/>
          <w:lang w:val="en-US" w:eastAsia="zh-CN"/>
        </w:rPr>
        <w:t xml:space="preserve">每次支付工程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p>
    <w:p>
      <w:pPr>
        <w:ind w:firstLine="420"/>
        <w:keepLines w:val="0"/>
        <w:keepNext w:val="0"/>
        <w:pageBreakBefore w:val="0"/>
        <w:spacing w:line="360" w:lineRule="auto"/>
        <w:widowControl w:val="off"/>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不平衡报价的处理方式：</w:t>
      </w:r>
      <w:r/>
    </w:p>
    <w:p>
      <w:pPr>
        <w:ind w:firstLine="420"/>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（1）不平衡报价中的“过高报价”指的是投标报价中的综合单价高于按照最高投标限价编制同一水准测算得出的综合单价20%（含）以上的项目。相同清单项目以项目特征、工作内容及计量单位一致为认定标准。</w:t>
      </w:r>
      <w:r/>
    </w:p>
    <w:p>
      <w:pPr>
        <w:ind w:firstLine="420"/>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（2）对于过高报价项目，若实际发生的工程量增加的，合同内工程量仍仍按原投标综合单价执行；增加部分的工程量对应的综合单价按合同专用条款10.4.1 变更估价原则确定合同价款；</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（3）对于过高报价项目，若实际发生的工程量减少的，结算时仍按原投标综合单价执行；</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（4）对于低价报价的项目，不论实际发生的工程量增加或减少，结算时均按原投标综合单价执行。</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不含工程变更、签证、索赔费用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施工至合同约定付款节点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在收到承包人进度付款申请单以及相关资料后7日内完成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在收到监理人报送的进度付款申请单及相关资料后30日内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在进度款支付证书签发后14天内完成支付 </w:t>
      </w:r>
      <w:r>
        <w:rPr>
          <w:rFonts w:hint="eastAsia" w:ascii="宋体" w:hAnsi="宋体" w:eastAsia="宋体" w:cs="宋体"/>
          <w:color w:val="auto"/>
          <w:sz w:val="21"/>
          <w:szCs w:val="21"/>
          <w:highlight w:val="none"/>
        </w:rPr>
        <w:t xml:space="preserve">。</w:t>
      </w:r>
      <w:r/>
    </w:p>
    <w:p>
      <w:pPr>
        <w:ind w:firstLine="525"/>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525"/>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38"/>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721" w:name="_Toc351203645"/>
      <w:r/>
      <w:bookmarkStart w:id="722" w:name="_Toc304295593"/>
      <w:r/>
      <w:bookmarkStart w:id="723" w:name="_Toc297120519"/>
      <w:r/>
      <w:bookmarkStart w:id="724" w:name="_Toc303539172"/>
      <w:r/>
      <w:bookmarkStart w:id="725" w:name="_Toc292559929"/>
      <w:r/>
      <w:bookmarkStart w:id="726" w:name="_Toc296503219"/>
      <w:r/>
      <w:bookmarkStart w:id="727" w:name="_Toc297048405"/>
      <w:r/>
      <w:bookmarkStart w:id="728" w:name="_Toc296891047"/>
      <w:r/>
      <w:bookmarkStart w:id="729" w:name="_Toc292559424"/>
      <w:r/>
      <w:bookmarkStart w:id="730" w:name="_Toc296346720"/>
      <w:r/>
      <w:bookmarkStart w:id="731" w:name="_Toc296347218"/>
      <w:r/>
      <w:bookmarkStart w:id="732" w:name="_Toc312678053"/>
      <w:r/>
      <w:bookmarkStart w:id="733" w:name="_Toc297123564"/>
      <w:r/>
      <w:bookmarkStart w:id="734" w:name="_Toc296891259"/>
      <w:r/>
      <w:bookmarkStart w:id="735" w:name="_Toc300935015"/>
      <w:r/>
      <w:bookmarkStart w:id="736" w:name="_Toc297216223"/>
      <w:r/>
      <w:bookmarkStart w:id="737" w:name="_Toc296944558"/>
      <w:r>
        <w:rPr>
          <w:rFonts w:hint="eastAsia" w:ascii="宋体" w:hAnsi="宋体" w:eastAsia="宋体" w:cs="宋体"/>
          <w:b/>
          <w:bCs w:val="0"/>
          <w:color w:val="auto"/>
          <w:sz w:val="21"/>
          <w:szCs w:val="21"/>
          <w:highlight w:val="none"/>
          <w:lang w:val="en-US" w:eastAsia="zh-CN" w:bidi="ar-SA"/>
        </w:rPr>
        <w:t xml:space="preserve">13. 验收和工程试车</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bookmarkStart w:id="738" w:name="_Toc297048409"/>
      <w:r/>
      <w:bookmarkStart w:id="739" w:name="_Toc296891051"/>
      <w:r/>
      <w:bookmarkStart w:id="740" w:name="_Toc297216224"/>
      <w:r/>
      <w:bookmarkStart w:id="741" w:name="_Toc296346724"/>
      <w:r/>
      <w:bookmarkStart w:id="742" w:name="_Toc296503223"/>
      <w:r/>
      <w:bookmarkStart w:id="743" w:name="_Toc292559428"/>
      <w:r/>
      <w:bookmarkStart w:id="744" w:name="_Toc300935016"/>
      <w:r/>
      <w:bookmarkStart w:id="745" w:name="_Toc304295596"/>
      <w:r/>
      <w:bookmarkStart w:id="746" w:name="_Toc296347222"/>
      <w:r/>
      <w:bookmarkStart w:id="747" w:name="_Toc292559933"/>
      <w:r/>
      <w:bookmarkStart w:id="748" w:name="_Toc303539173"/>
      <w:r/>
      <w:bookmarkStart w:id="749" w:name="_Toc296891263"/>
      <w:r/>
      <w:bookmarkStart w:id="750" w:name="_Toc297123565"/>
      <w:r/>
      <w:bookmarkStart w:id="751" w:name="_Toc296944562"/>
      <w:r/>
      <w:bookmarkStart w:id="752" w:name="_Toc312678056"/>
      <w:r/>
      <w:bookmarkStart w:id="753" w:name="_Toc297120523"/>
      <w:r/>
      <w:bookmarkStart w:id="754" w:name="_Toc267251473"/>
      <w:r/>
      <w:bookmarkStart w:id="755" w:name="_Toc267251474"/>
      <w:r/>
      <w:bookmarkStart w:id="756" w:name="_Toc267251471"/>
      <w:r/>
      <w:bookmarkStart w:id="757" w:name="_Toc267251475"/>
      <w:r/>
      <w:bookmarkStart w:id="758" w:name="_Toc267251472"/>
      <w:r/>
      <w:bookmarkStart w:id="759" w:name="_Toc267251476"/>
      <w:r/>
      <w:bookmarkStart w:id="760" w:name="_Toc267251470"/>
      <w:r>
        <w:rPr>
          <w:rFonts w:hint="eastAsia" w:ascii="宋体" w:hAnsi="宋体" w:eastAsia="宋体" w:cs="宋体"/>
          <w:color w:val="auto"/>
          <w:sz w:val="21"/>
          <w:szCs w:val="21"/>
          <w:highlight w:val="none"/>
        </w:rPr>
        <w:t xml:space="preserve">13.2 竣工验收</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bookmarkStart w:id="761" w:name="_Toc280868704"/>
      <w:r/>
      <w:bookmarkStart w:id="762" w:name="_Toc280868705"/>
      <w:r/>
      <w:bookmarkStart w:id="763" w:name="_Toc280868706"/>
      <w:r/>
      <w:bookmarkStart w:id="764" w:name="_Toc280868707"/>
      <w:r/>
      <w:bookmarkStart w:id="765" w:name="_Toc280868708"/>
      <w:r/>
      <w:bookmarkStart w:id="766" w:name="_Toc280868709"/>
      <w:r>
        <w:rPr>
          <w:rFonts w:hint="eastAsia" w:ascii="宋体" w:hAnsi="宋体" w:eastAsia="宋体" w:cs="宋体"/>
          <w:color w:val="auto"/>
          <w:sz w:val="21"/>
          <w:szCs w:val="21"/>
          <w:highlight w:val="none"/>
        </w:rPr>
        <w:t xml:space="preserve">13.2.2竣工验收程序</w:t>
      </w:r>
      <w:bookmarkEnd w:id="761"/>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bookmarkEnd w:id="762"/>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763"/>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在颁发工程接收证书后7日内完成工程的移交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bookmarkEnd w:id="764"/>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  每推迟一天，承包人赔偿给发包人工程总价款5‰的违约金，违约金从工程竣工结算款中扣除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765"/>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767" w:name="_Toc2295"/>
      <w:r/>
      <w:bookmarkStart w:id="768" w:name="_Toc2421"/>
      <w:r/>
      <w:bookmarkStart w:id="769" w:name="_Toc4713"/>
      <w:r/>
      <w:bookmarkStart w:id="770" w:name="_Toc259"/>
      <w:r/>
      <w:bookmarkStart w:id="771" w:name="_Toc6619"/>
      <w:r/>
      <w:bookmarkStart w:id="772" w:name="_Toc15291"/>
      <w:r>
        <w:rPr>
          <w:rFonts w:hint="eastAsia" w:ascii="宋体" w:hAnsi="宋体" w:eastAsia="宋体" w:cs="宋体"/>
          <w:color w:val="auto"/>
          <w:sz w:val="21"/>
          <w:szCs w:val="21"/>
          <w:highlight w:val="none"/>
        </w:rPr>
        <w:t xml:space="preserve">13.6 竣工退场</w:t>
      </w:r>
      <w:bookmarkEnd w:id="767"/>
      <w:r/>
      <w:bookmarkEnd w:id="768"/>
      <w:r/>
      <w:bookmarkEnd w:id="769"/>
      <w:r/>
      <w:bookmarkEnd w:id="770"/>
      <w:r/>
      <w:bookmarkEnd w:id="771"/>
      <w:r/>
      <w:bookmarkEnd w:id="772"/>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在移交结束后7日内完成竣工退场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bookmarkStart w:id="773" w:name="_Toc351203646"/>
      <w:r>
        <w:rPr>
          <w:rFonts w:hint="eastAsia" w:ascii="宋体" w:hAnsi="宋体" w:eastAsia="宋体" w:cs="宋体"/>
          <w:b/>
          <w:bCs w:val="0"/>
          <w:color w:val="auto"/>
          <w:sz w:val="21"/>
          <w:szCs w:val="21"/>
          <w:highlight w:val="none"/>
          <w:lang w:val="en-US" w:eastAsia="zh-CN" w:bidi="ar-SA"/>
        </w:rPr>
        <w:t xml:space="preserve">14. 竣工结算</w:t>
      </w:r>
      <w:bookmarkEnd w:id="773"/>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（3）发包人应支付承包人的合同价款。 </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774" w:name="_Toc15373"/>
      <w:r/>
      <w:bookmarkStart w:id="775" w:name="_Toc17"/>
      <w:r/>
      <w:bookmarkStart w:id="776" w:name="_Toc13972"/>
      <w:r/>
      <w:bookmarkStart w:id="777" w:name="_Toc11029"/>
      <w:r/>
      <w:bookmarkStart w:id="778" w:name="_Toc12234"/>
      <w:r/>
      <w:bookmarkStart w:id="779" w:name="_Toc2015"/>
      <w:r>
        <w:rPr>
          <w:rFonts w:hint="eastAsia" w:ascii="宋体" w:hAnsi="宋体" w:eastAsia="宋体" w:cs="宋体"/>
          <w:color w:val="auto"/>
          <w:sz w:val="21"/>
          <w:szCs w:val="21"/>
          <w:highlight w:val="none"/>
        </w:rPr>
        <w:t xml:space="preserve">14.2 竣工结算审核</w:t>
      </w:r>
      <w:bookmarkEnd w:id="774"/>
      <w:r/>
      <w:bookmarkEnd w:id="775"/>
      <w:r/>
      <w:bookmarkEnd w:id="776"/>
      <w:r/>
      <w:bookmarkEnd w:id="777"/>
      <w:r/>
      <w:bookmarkEnd w:id="778"/>
      <w:r/>
      <w:bookmarkEnd w:id="779"/>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w:t>
      </w:r>
      <w:r>
        <w:rPr>
          <w:rFonts w:hint="eastAsia" w:ascii="宋体" w:hAnsi="宋体" w:eastAsia="宋体" w:cs="宋体"/>
          <w:color w:val="auto"/>
          <w:sz w:val="21"/>
          <w:szCs w:val="21"/>
          <w:highlight w:val="none"/>
          <w:u w:val="single"/>
          <w:lang w:val="en-US" w:eastAsia="zh-CN"/>
        </w:rPr>
        <w:t xml:space="preserve">19</w:t>
      </w:r>
      <w:r>
        <w:rPr>
          <w:rFonts w:hint="eastAsia" w:ascii="宋体" w:hAnsi="宋体" w:eastAsia="宋体" w:cs="宋体"/>
          <w:color w:val="auto"/>
          <w:sz w:val="21"/>
          <w:szCs w:val="21"/>
          <w:highlight w:val="none"/>
          <w:u w:val="single"/>
        </w:rPr>
        <w:t xml:space="preserve">条〔争议解决〕约定处理</w:t>
      </w:r>
      <w:r>
        <w:rPr>
          <w:rFonts w:hint="eastAsia" w:ascii="宋体" w:hAnsi="宋体" w:eastAsia="宋体" w:cs="宋体"/>
          <w:color w:val="auto"/>
          <w:sz w:val="21"/>
          <w:szCs w:val="21"/>
          <w:highlight w:val="none"/>
        </w:rPr>
        <w:t xml:space="preserve">。</w:t>
      </w:r>
      <w:r/>
    </w:p>
    <w:p>
      <w:pPr>
        <w:ind w:firstLine="422"/>
        <w:jc w:val="left"/>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bookmarkEnd w:id="754"/>
      <w:r/>
      <w:bookmarkEnd w:id="755"/>
      <w:r/>
      <w:bookmarkEnd w:id="756"/>
      <w:r/>
      <w:bookmarkEnd w:id="757"/>
      <w:r/>
      <w:bookmarkEnd w:id="758"/>
      <w:r/>
      <w:bookmarkEnd w:id="759"/>
      <w:r/>
      <w:bookmarkEnd w:id="760"/>
      <w:r/>
      <w:bookmarkEnd w:id="766"/>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780" w:name="_Toc351203647"/>
      <w:r/>
      <w:bookmarkStart w:id="781" w:name="_Toc267251483"/>
      <w:r/>
      <w:bookmarkStart w:id="782" w:name="_Toc267251484"/>
      <w:r/>
      <w:bookmarkStart w:id="783" w:name="_Toc267251482"/>
      <w:r/>
      <w:bookmarkStart w:id="784" w:name="_Toc267251485"/>
      <w:r/>
      <w:bookmarkStart w:id="785" w:name="_Toc267251490"/>
      <w:r/>
      <w:bookmarkStart w:id="786" w:name="_Toc267251488"/>
      <w:r/>
      <w:bookmarkStart w:id="787" w:name="_Toc267251486"/>
      <w:r/>
      <w:bookmarkStart w:id="788" w:name="_Toc267251489"/>
      <w:r/>
      <w:bookmarkStart w:id="789" w:name="_Toc267251498"/>
      <w:r/>
      <w:bookmarkStart w:id="790" w:name="_Toc267251494"/>
      <w:r/>
      <w:bookmarkStart w:id="791" w:name="_Toc267251497"/>
      <w:r/>
      <w:bookmarkStart w:id="792" w:name="_Toc267251499"/>
      <w:r/>
      <w:bookmarkStart w:id="793" w:name="_Toc267251502"/>
      <w:r/>
      <w:bookmarkStart w:id="794" w:name="_Toc267251491"/>
      <w:r/>
      <w:bookmarkStart w:id="795" w:name="_Toc267251495"/>
      <w:r/>
      <w:bookmarkStart w:id="796" w:name="_Toc267251493"/>
      <w:r/>
      <w:bookmarkStart w:id="797" w:name="_Toc267251496"/>
      <w:r/>
      <w:bookmarkStart w:id="798" w:name="_Toc267251501"/>
      <w:r/>
      <w:bookmarkStart w:id="799" w:name="_Toc267251492"/>
      <w:r/>
      <w:bookmarkStart w:id="800" w:name="_Toc267251503"/>
      <w:r/>
      <w:bookmarkStart w:id="801" w:name="_Toc267251504"/>
      <w:r/>
      <w:bookmarkStart w:id="802" w:name="_Toc267251506"/>
      <w:r/>
      <w:bookmarkStart w:id="803" w:name="_Toc267251507"/>
      <w:r/>
      <w:bookmarkStart w:id="804" w:name="_Toc267251508"/>
      <w:r/>
      <w:bookmarkStart w:id="805" w:name="_Toc267251510"/>
      <w:r/>
      <w:bookmarkStart w:id="806" w:name="_Toc267251513"/>
      <w:r/>
      <w:bookmarkStart w:id="807" w:name="_Toc267251515"/>
      <w:r/>
      <w:bookmarkStart w:id="808" w:name="_Toc267251511"/>
      <w:r/>
      <w:bookmarkStart w:id="809" w:name="_Toc267251514"/>
      <w:r/>
      <w:bookmarkStart w:id="810" w:name="_Toc267251509"/>
      <w:r>
        <w:rPr>
          <w:rFonts w:hint="eastAsia" w:ascii="宋体" w:hAnsi="宋体" w:eastAsia="宋体" w:cs="宋体"/>
          <w:b/>
          <w:bCs w:val="0"/>
          <w:color w:val="auto"/>
          <w:sz w:val="21"/>
          <w:szCs w:val="21"/>
          <w:highlight w:val="none"/>
          <w:lang w:val="en-US" w:eastAsia="zh-CN" w:bidi="ar-SA"/>
        </w:rPr>
        <w:t xml:space="preserve">15. 缺陷责任期与保修</w:t>
      </w:r>
      <w:bookmarkEnd w:id="780"/>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781"/>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自实际竣工日</w:t>
      </w:r>
      <w:r>
        <w:rPr>
          <w:rFonts w:hint="eastAsia" w:ascii="宋体" w:hAnsi="宋体" w:eastAsia="宋体" w:cs="宋体"/>
          <w:b w:val="0"/>
          <w:bCs w:val="0"/>
          <w:color w:val="auto"/>
          <w:sz w:val="21"/>
          <w:szCs w:val="21"/>
          <w:highlight w:val="none"/>
          <w:u w:val="single"/>
        </w:rPr>
        <w:t xml:space="preserve">期起24个月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11" w:name="_Toc2614"/>
      <w:r/>
      <w:bookmarkStart w:id="812" w:name="_Toc18556"/>
      <w:r/>
      <w:bookmarkStart w:id="813" w:name="_Toc12523"/>
      <w:r/>
      <w:bookmarkStart w:id="814" w:name="_Toc7887"/>
      <w:r/>
      <w:bookmarkStart w:id="815" w:name="_Toc3251"/>
      <w:r/>
      <w:bookmarkStart w:id="816" w:name="_Toc26490"/>
      <w:r>
        <w:rPr>
          <w:rFonts w:hint="eastAsia" w:ascii="宋体" w:hAnsi="宋体" w:eastAsia="宋体" w:cs="宋体"/>
          <w:color w:val="auto"/>
          <w:sz w:val="21"/>
          <w:szCs w:val="21"/>
          <w:highlight w:val="none"/>
        </w:rPr>
        <w:t xml:space="preserve">15.3 质量保证金</w:t>
      </w:r>
      <w:bookmarkEnd w:id="811"/>
      <w:r/>
      <w:bookmarkEnd w:id="812"/>
      <w:r/>
      <w:bookmarkEnd w:id="813"/>
      <w:r/>
      <w:bookmarkEnd w:id="814"/>
      <w:r/>
      <w:bookmarkEnd w:id="815"/>
      <w:r/>
      <w:bookmarkEnd w:id="81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32"/>
          <w:highlight w:val="none"/>
          <w:u w:val="single"/>
        </w:rPr>
        <w:t xml:space="preserve">审定价的3%作为质量保证金，缺陷责任期满后一月内一次性付清，不计利息</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17" w:name="_Toc28034"/>
      <w:r/>
      <w:bookmarkStart w:id="818" w:name="_Toc10674"/>
      <w:r/>
      <w:bookmarkStart w:id="819" w:name="_Toc19355"/>
      <w:r/>
      <w:bookmarkStart w:id="820" w:name="_Toc15511"/>
      <w:r/>
      <w:bookmarkStart w:id="821" w:name="_Toc11593"/>
      <w:r/>
      <w:bookmarkStart w:id="822" w:name="_Toc18048"/>
      <w:r>
        <w:rPr>
          <w:rFonts w:hint="eastAsia" w:ascii="宋体" w:hAnsi="宋体" w:eastAsia="宋体" w:cs="宋体"/>
          <w:color w:val="auto"/>
          <w:sz w:val="21"/>
          <w:szCs w:val="21"/>
          <w:highlight w:val="none"/>
        </w:rPr>
        <w:t xml:space="preserve">15.3.1 承包人提供质量保证金的方式</w:t>
      </w:r>
      <w:bookmarkEnd w:id="817"/>
      <w:r/>
      <w:bookmarkEnd w:id="818"/>
      <w:r/>
      <w:bookmarkEnd w:id="819"/>
      <w:r/>
      <w:bookmarkEnd w:id="820"/>
      <w:r/>
      <w:bookmarkEnd w:id="821"/>
      <w:r/>
      <w:bookmarkEnd w:id="822"/>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%的工程款；</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工程结算价的3%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23" w:name="_Toc24929"/>
      <w:r/>
      <w:bookmarkStart w:id="824" w:name="_Toc14649"/>
      <w:r/>
      <w:bookmarkStart w:id="825" w:name="_Toc5924"/>
      <w:r/>
      <w:bookmarkStart w:id="826" w:name="_Toc1475"/>
      <w:r/>
      <w:bookmarkStart w:id="827" w:name="_Toc15372"/>
      <w:r/>
      <w:bookmarkStart w:id="828" w:name="_Toc24769"/>
      <w:r>
        <w:rPr>
          <w:rFonts w:hint="eastAsia" w:ascii="宋体" w:hAnsi="宋体" w:eastAsia="宋体" w:cs="宋体"/>
          <w:color w:val="auto"/>
          <w:sz w:val="21"/>
          <w:szCs w:val="21"/>
          <w:highlight w:val="none"/>
        </w:rPr>
        <w:t xml:space="preserve">15.3.2 质量保证金的扣留</w:t>
      </w:r>
      <w:bookmarkEnd w:id="823"/>
      <w:r/>
      <w:bookmarkEnd w:id="824"/>
      <w:r/>
      <w:bookmarkEnd w:id="825"/>
      <w:r/>
      <w:bookmarkEnd w:id="826"/>
      <w:r/>
      <w:bookmarkEnd w:id="827"/>
      <w:r/>
      <w:bookmarkEnd w:id="828"/>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29" w:name="_Toc30604"/>
      <w:r/>
      <w:bookmarkStart w:id="830" w:name="_Toc31580"/>
      <w:r/>
      <w:bookmarkStart w:id="831" w:name="_Toc20522"/>
      <w:r/>
      <w:bookmarkStart w:id="832" w:name="_Toc22090"/>
      <w:r/>
      <w:bookmarkStart w:id="833" w:name="_Toc18658"/>
      <w:r/>
      <w:bookmarkStart w:id="834" w:name="_Toc9379"/>
      <w:r>
        <w:rPr>
          <w:rFonts w:hint="eastAsia" w:ascii="宋体" w:hAnsi="宋体" w:eastAsia="宋体" w:cs="宋体"/>
          <w:color w:val="auto"/>
          <w:sz w:val="21"/>
          <w:szCs w:val="21"/>
          <w:highlight w:val="none"/>
        </w:rPr>
        <w:t xml:space="preserve">（2）工程竣工结算时一次性扣留质量保证金；</w:t>
      </w:r>
      <w:bookmarkEnd w:id="829"/>
      <w:r/>
      <w:bookmarkEnd w:id="830"/>
      <w:r/>
      <w:bookmarkEnd w:id="831"/>
      <w:r/>
      <w:bookmarkEnd w:id="832"/>
      <w:r/>
      <w:bookmarkEnd w:id="833"/>
      <w:r/>
      <w:bookmarkEnd w:id="834"/>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详见付款方式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在颁发最终结清证书后30日内无息退还   </w:t>
      </w:r>
      <w:r>
        <w:rPr>
          <w:rFonts w:hint="eastAsia" w:ascii="宋体" w:hAnsi="宋体" w:eastAsia="宋体" w:cs="宋体"/>
          <w:color w:val="auto"/>
          <w:sz w:val="21"/>
          <w:szCs w:val="21"/>
          <w:highlight w:val="none"/>
        </w:rPr>
        <w:t xml:space="preserve">。</w:t>
      </w:r>
      <w:bookmarkEnd w:id="782"/>
      <w:r/>
      <w:bookmarkEnd w:id="783"/>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784"/>
      <w:r/>
      <w:r/>
    </w:p>
    <w:p>
      <w:pPr>
        <w:ind w:firstLine="409"/>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按国家有关规定 </w:t>
      </w:r>
      <w:r>
        <w:rPr>
          <w:rFonts w:hint="eastAsia" w:ascii="宋体" w:hAnsi="宋体" w:eastAsia="宋体" w:cs="宋体"/>
          <w:color w:val="auto"/>
          <w:sz w:val="21"/>
          <w:szCs w:val="21"/>
          <w:highlight w:val="none"/>
        </w:rPr>
        <w:t xml:space="preserve">。</w:t>
      </w:r>
      <w:r/>
    </w:p>
    <w:p>
      <w:pPr>
        <w:ind w:firstLine="409"/>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收到保修通知或口头通知后48小时内</w:t>
      </w:r>
      <w:r>
        <w:rPr>
          <w:rFonts w:hint="eastAsia" w:ascii="宋体" w:hAnsi="宋体" w:eastAsia="宋体" w:cs="宋体"/>
          <w:color w:val="auto"/>
          <w:sz w:val="21"/>
          <w:szCs w:val="21"/>
          <w:highlight w:val="none"/>
        </w:rPr>
        <w:t xml:space="preserve">。</w:t>
      </w:r>
      <w:bookmarkEnd w:id="785"/>
      <w:r/>
      <w:bookmarkEnd w:id="786"/>
      <w:r/>
      <w:bookmarkEnd w:id="787"/>
      <w:r/>
      <w:bookmarkEnd w:id="788"/>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bookmarkStart w:id="835" w:name="_Toc351203648"/>
      <w:r/>
      <w:bookmarkStart w:id="836" w:name="_Toc280868717"/>
      <w:r/>
      <w:bookmarkStart w:id="837" w:name="_Toc280868718"/>
      <w:r>
        <w:rPr>
          <w:rFonts w:hint="eastAsia" w:ascii="宋体" w:hAnsi="宋体" w:eastAsia="宋体" w:cs="宋体"/>
          <w:b/>
          <w:bCs w:val="0"/>
          <w:color w:val="auto"/>
          <w:sz w:val="21"/>
          <w:szCs w:val="21"/>
          <w:highlight w:val="none"/>
          <w:lang w:val="en-US" w:eastAsia="zh-CN" w:bidi="ar-SA"/>
        </w:rPr>
        <w:t xml:space="preserve">16. 违约</w:t>
      </w:r>
      <w:bookmarkEnd w:id="835"/>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38" w:name="_Toc2109"/>
      <w:r/>
      <w:bookmarkStart w:id="839" w:name="_Toc7433"/>
      <w:r/>
      <w:bookmarkStart w:id="840" w:name="_Toc12509"/>
      <w:r/>
      <w:bookmarkStart w:id="841" w:name="_Toc1710"/>
      <w:r/>
      <w:bookmarkStart w:id="842" w:name="_Toc2992"/>
      <w:r/>
      <w:bookmarkStart w:id="843" w:name="_Toc21760"/>
      <w:r>
        <w:rPr>
          <w:rFonts w:hint="eastAsia" w:ascii="宋体" w:hAnsi="宋体" w:eastAsia="宋体" w:cs="宋体"/>
          <w:color w:val="auto"/>
          <w:sz w:val="21"/>
          <w:szCs w:val="21"/>
          <w:highlight w:val="none"/>
        </w:rPr>
        <w:t xml:space="preserve">16.1 发包人违约</w:t>
      </w:r>
      <w:bookmarkEnd w:id="838"/>
      <w:r/>
      <w:bookmarkEnd w:id="839"/>
      <w:r/>
      <w:bookmarkEnd w:id="840"/>
      <w:r/>
      <w:bookmarkEnd w:id="841"/>
      <w:r/>
      <w:bookmarkEnd w:id="842"/>
      <w:r/>
      <w:bookmarkEnd w:id="843"/>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200" w:hanging="105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发包人承担</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44" w:name="_Toc20812"/>
      <w:r/>
      <w:bookmarkStart w:id="845" w:name="_Toc24080"/>
      <w:r/>
      <w:bookmarkStart w:id="846" w:name="_Toc1452"/>
      <w:r/>
      <w:bookmarkStart w:id="847" w:name="_Toc12644"/>
      <w:r/>
      <w:bookmarkStart w:id="848" w:name="_Toc10292"/>
      <w:r/>
      <w:bookmarkStart w:id="849" w:name="_Toc3997"/>
      <w:r>
        <w:rPr>
          <w:rFonts w:hint="eastAsia" w:ascii="宋体" w:hAnsi="宋体" w:eastAsia="宋体" w:cs="宋体"/>
          <w:color w:val="auto"/>
          <w:sz w:val="21"/>
          <w:szCs w:val="21"/>
          <w:highlight w:val="none"/>
        </w:rPr>
        <w:t xml:space="preserve">16.2 承包人违约</w:t>
      </w:r>
      <w:bookmarkEnd w:id="844"/>
      <w:r/>
      <w:bookmarkEnd w:id="845"/>
      <w:r/>
      <w:bookmarkEnd w:id="846"/>
      <w:r/>
      <w:bookmarkEnd w:id="847"/>
      <w:r/>
      <w:bookmarkEnd w:id="848"/>
      <w:r/>
      <w:bookmarkEnd w:id="849"/>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承包人承担全部费用，费用工期不顺延 。工期延误每延误一天，承包人赔偿给发包人合同总价款5‰的违约金。</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甲方有权暂停支付全部未付工程款，乙方须向甲方支付合同总价10% 违约金，违约金优先从已完工程价款中抵扣，不足以弥补甲方损失的，乙方另行全额赔偿</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施工现场的材料、设备由发包人承担费用，其它费用由承包人承担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850" w:name="_Toc351203649"/>
      <w:r>
        <w:rPr>
          <w:rFonts w:hint="eastAsia" w:ascii="宋体" w:hAnsi="宋体" w:eastAsia="宋体" w:cs="宋体"/>
          <w:b/>
          <w:bCs w:val="0"/>
          <w:color w:val="auto"/>
          <w:sz w:val="21"/>
          <w:szCs w:val="21"/>
          <w:highlight w:val="none"/>
          <w:lang w:val="en-US" w:eastAsia="zh-CN" w:bidi="ar-SA"/>
        </w:rPr>
        <w:t xml:space="preserve">17. 不可抗力</w:t>
      </w:r>
      <w:bookmarkEnd w:id="850"/>
      <w:r>
        <w:rPr>
          <w:rFonts w:hint="eastAsia" w:ascii="宋体" w:hAnsi="宋体" w:eastAsia="宋体" w:cs="宋体"/>
          <w:b w:val="0"/>
          <w:bCs/>
          <w:color w:val="auto"/>
          <w:sz w:val="21"/>
          <w:szCs w:val="21"/>
          <w:highlight w:val="none"/>
          <w:lang w:val="en-US" w:eastAsia="zh-CN" w:bidi="ar-SA"/>
        </w:rPr>
        <w:t xml:space="preserve"> </w:t>
      </w:r>
      <w:bookmarkEnd w:id="836"/>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战争、动乱、空中飞行物体坠落以及洪水、地震、重大疫情等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51" w:name="_Toc17000"/>
      <w:r/>
      <w:bookmarkStart w:id="852" w:name="_Toc3915"/>
      <w:r/>
      <w:bookmarkStart w:id="853" w:name="_Toc8087"/>
      <w:r/>
      <w:bookmarkStart w:id="854" w:name="_Toc22391"/>
      <w:r/>
      <w:bookmarkStart w:id="855" w:name="_Toc17832"/>
      <w:r/>
      <w:bookmarkStart w:id="856" w:name="_Toc4340"/>
      <w:r>
        <w:rPr>
          <w:rFonts w:hint="eastAsia" w:ascii="宋体" w:hAnsi="宋体" w:eastAsia="宋体" w:cs="宋体"/>
          <w:color w:val="auto"/>
          <w:sz w:val="21"/>
          <w:szCs w:val="21"/>
          <w:highlight w:val="none"/>
        </w:rPr>
        <w:t xml:space="preserve">17.4 因不可抗力解除合同</w:t>
      </w:r>
      <w:bookmarkEnd w:id="851"/>
      <w:r/>
      <w:bookmarkEnd w:id="852"/>
      <w:r/>
      <w:bookmarkEnd w:id="853"/>
      <w:r/>
      <w:bookmarkEnd w:id="854"/>
      <w:r/>
      <w:bookmarkEnd w:id="855"/>
      <w:r/>
      <w:bookmarkEnd w:id="85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天内完成款项的支付。</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SA"/>
        </w:rPr>
        <w:outlineLvl w:val="3"/>
      </w:pPr>
      <w:r/>
      <w:bookmarkStart w:id="857" w:name="_Toc351203650"/>
      <w:r>
        <w:rPr>
          <w:rFonts w:hint="eastAsia" w:ascii="宋体" w:hAnsi="宋体" w:eastAsia="宋体" w:cs="宋体"/>
          <w:b/>
          <w:bCs w:val="0"/>
          <w:color w:val="auto"/>
          <w:sz w:val="21"/>
          <w:szCs w:val="21"/>
          <w:highlight w:val="none"/>
          <w:lang w:val="en-US" w:eastAsia="zh-CN" w:bidi="ar-SA"/>
        </w:rPr>
        <w:t xml:space="preserve">18. 保险</w:t>
      </w:r>
      <w:bookmarkEnd w:id="857"/>
      <w:r/>
      <w:bookmarkEnd w:id="837"/>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为工程购买建筑工程一切险，保险费用由承包人支付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58" w:name="_Toc4771"/>
      <w:r/>
      <w:bookmarkStart w:id="859" w:name="_Toc20275"/>
      <w:r/>
      <w:bookmarkStart w:id="860" w:name="_Toc17929"/>
      <w:r/>
      <w:bookmarkStart w:id="861" w:name="_Toc963"/>
      <w:r/>
      <w:bookmarkStart w:id="862" w:name="_Toc10601"/>
      <w:r/>
      <w:bookmarkStart w:id="863" w:name="_Toc18838"/>
      <w:r>
        <w:rPr>
          <w:rFonts w:hint="eastAsia" w:ascii="宋体" w:hAnsi="宋体" w:eastAsia="宋体" w:cs="宋体"/>
          <w:color w:val="auto"/>
          <w:sz w:val="21"/>
          <w:szCs w:val="21"/>
          <w:highlight w:val="none"/>
        </w:rPr>
        <w:t xml:space="preserve">18.3 其他保险</w:t>
      </w:r>
      <w:bookmarkEnd w:id="858"/>
      <w:r/>
      <w:bookmarkEnd w:id="859"/>
      <w:r/>
      <w:bookmarkEnd w:id="860"/>
      <w:r/>
      <w:bookmarkEnd w:id="861"/>
      <w:r/>
      <w:bookmarkEnd w:id="862"/>
      <w:r/>
      <w:bookmarkEnd w:id="863"/>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承包人为施工现场的全部人员办理意外伤害保险、工程事故保险。一切事故均与发包方无关。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承包人为其施工设备等办理财产保险</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变更前应事先征得对方同意并通知监理人</w:t>
      </w:r>
      <w:r>
        <w:rPr>
          <w:rFonts w:hint="eastAsia" w:ascii="宋体" w:hAnsi="宋体" w:eastAsia="宋体" w:cs="宋体"/>
          <w:color w:val="auto"/>
          <w:sz w:val="21"/>
          <w:szCs w:val="21"/>
          <w:highlight w:val="none"/>
        </w:rPr>
        <w:t xml:space="preserve">。</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864" w:name="_Toc351203651"/>
      <w:r>
        <w:rPr>
          <w:rFonts w:hint="eastAsia" w:ascii="宋体" w:hAnsi="宋体" w:eastAsia="宋体" w:cs="宋体"/>
          <w:b/>
          <w:bCs w:val="0"/>
          <w:color w:val="auto"/>
          <w:sz w:val="21"/>
          <w:szCs w:val="21"/>
          <w:highlight w:val="none"/>
          <w:lang w:val="en-US" w:eastAsia="zh-CN" w:bidi="ar-SA"/>
        </w:rPr>
        <w:t xml:space="preserve">20. 争议解决</w:t>
      </w:r>
      <w:bookmarkEnd w:id="864"/>
      <w:r/>
      <w:bookmarkEnd w:id="801"/>
      <w:r/>
      <w:bookmarkEnd w:id="802"/>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65" w:name="_Toc26541"/>
      <w:r/>
      <w:bookmarkStart w:id="866" w:name="_Toc13697"/>
      <w:r/>
      <w:bookmarkStart w:id="867" w:name="_Toc11241"/>
      <w:r/>
      <w:bookmarkStart w:id="868" w:name="_Toc1268"/>
      <w:r/>
      <w:bookmarkStart w:id="869" w:name="_Toc16840"/>
      <w:r/>
      <w:bookmarkStart w:id="870" w:name="_Toc17193"/>
      <w:r>
        <w:rPr>
          <w:rFonts w:hint="eastAsia" w:ascii="宋体" w:hAnsi="宋体" w:eastAsia="宋体" w:cs="宋体"/>
          <w:color w:val="auto"/>
          <w:sz w:val="21"/>
          <w:szCs w:val="21"/>
          <w:highlight w:val="none"/>
        </w:rPr>
        <w:t xml:space="preserve">20.3 争</w:t>
      </w:r>
      <w:bookmarkEnd w:id="803"/>
      <w:r>
        <w:rPr>
          <w:rFonts w:hint="eastAsia" w:ascii="宋体" w:hAnsi="宋体" w:eastAsia="宋体" w:cs="宋体"/>
          <w:color w:val="auto"/>
          <w:sz w:val="21"/>
          <w:szCs w:val="21"/>
          <w:highlight w:val="none"/>
        </w:rPr>
        <w:t xml:space="preserve">议评审</w:t>
      </w:r>
      <w:bookmarkEnd w:id="865"/>
      <w:r/>
      <w:bookmarkEnd w:id="866"/>
      <w:r/>
      <w:bookmarkEnd w:id="867"/>
      <w:r/>
      <w:bookmarkEnd w:id="868"/>
      <w:r/>
      <w:bookmarkEnd w:id="869"/>
      <w:r/>
      <w:bookmarkEnd w:id="870"/>
      <w:r/>
      <w:r/>
    </w:p>
    <w:p>
      <w:pPr>
        <w:ind w:left="170" w:firstLine="315"/>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71" w:name="_Toc10855"/>
      <w:r/>
      <w:bookmarkStart w:id="872" w:name="_Toc19679"/>
      <w:r/>
      <w:bookmarkStart w:id="873" w:name="_Toc21160"/>
      <w:r/>
      <w:bookmarkStart w:id="874" w:name="_Toc20958"/>
      <w:r/>
      <w:bookmarkStart w:id="875" w:name="_Toc15021"/>
      <w:r/>
      <w:bookmarkStart w:id="876" w:name="_Toc6810"/>
      <w:r>
        <w:rPr>
          <w:rFonts w:hint="eastAsia" w:ascii="宋体" w:hAnsi="宋体" w:eastAsia="宋体" w:cs="宋体"/>
          <w:color w:val="auto"/>
          <w:sz w:val="21"/>
          <w:szCs w:val="21"/>
          <w:highlight w:val="none"/>
        </w:rPr>
        <w:t xml:space="preserve">20.3.1 争议评审小组的确定</w:t>
      </w:r>
      <w:bookmarkEnd w:id="871"/>
      <w:r/>
      <w:bookmarkEnd w:id="872"/>
      <w:r/>
      <w:bookmarkEnd w:id="873"/>
      <w:r/>
      <w:bookmarkEnd w:id="874"/>
      <w:r/>
      <w:bookmarkEnd w:id="875"/>
      <w:r/>
      <w:bookmarkEnd w:id="876"/>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77" w:name="_Toc27361"/>
      <w:r/>
      <w:bookmarkStart w:id="878" w:name="_Toc4868"/>
      <w:r/>
      <w:bookmarkStart w:id="879" w:name="_Toc3761"/>
      <w:r/>
      <w:bookmarkStart w:id="880" w:name="_Toc9025"/>
      <w:r/>
      <w:bookmarkStart w:id="881" w:name="_Toc12465"/>
      <w:r/>
      <w:bookmarkStart w:id="882" w:name="_Toc4077"/>
      <w:r>
        <w:rPr>
          <w:rFonts w:hint="eastAsia" w:ascii="宋体" w:hAnsi="宋体" w:eastAsia="宋体" w:cs="宋体"/>
          <w:color w:val="auto"/>
          <w:sz w:val="21"/>
          <w:szCs w:val="21"/>
          <w:highlight w:val="none"/>
        </w:rPr>
        <w:t xml:space="preserve">20.3.2 争议评审小组的决定</w:t>
      </w:r>
      <w:bookmarkEnd w:id="877"/>
      <w:r/>
      <w:bookmarkEnd w:id="878"/>
      <w:r/>
      <w:bookmarkEnd w:id="879"/>
      <w:r/>
      <w:bookmarkEnd w:id="880"/>
      <w:r/>
      <w:bookmarkEnd w:id="881"/>
      <w:r/>
      <w:bookmarkEnd w:id="882"/>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83" w:name="_Toc25655"/>
      <w:r/>
      <w:bookmarkStart w:id="884" w:name="_Toc24183"/>
      <w:r/>
      <w:bookmarkStart w:id="885" w:name="_Toc10020"/>
      <w:r/>
      <w:bookmarkStart w:id="886" w:name="_Toc18609"/>
      <w:r/>
      <w:bookmarkStart w:id="887" w:name="_Toc15493"/>
      <w:r/>
      <w:bookmarkStart w:id="888" w:name="_Toc21750"/>
      <w:r>
        <w:rPr>
          <w:rFonts w:hint="eastAsia" w:ascii="宋体" w:hAnsi="宋体" w:eastAsia="宋体" w:cs="宋体"/>
          <w:color w:val="auto"/>
          <w:sz w:val="21"/>
          <w:szCs w:val="21"/>
          <w:highlight w:val="none"/>
        </w:rPr>
        <w:t xml:space="preserve">20.4仲裁或诉讼</w:t>
      </w:r>
      <w:bookmarkEnd w:id="804"/>
      <w:r/>
      <w:bookmarkEnd w:id="883"/>
      <w:r/>
      <w:bookmarkEnd w:id="884"/>
      <w:r/>
      <w:bookmarkEnd w:id="885"/>
      <w:r/>
      <w:bookmarkEnd w:id="886"/>
      <w:r/>
      <w:bookmarkEnd w:id="887"/>
      <w:r/>
      <w:bookmarkEnd w:id="888"/>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 xml:space="preserve">人民法院起诉。</w:t>
      </w:r>
      <w:bookmarkEnd w:id="805"/>
      <w:r/>
      <w:bookmarkEnd w:id="806"/>
      <w:r/>
      <w:bookmarkEnd w:id="807"/>
      <w:r/>
      <w:bookmarkEnd w:id="808"/>
      <w:r/>
      <w:bookmarkEnd w:id="809"/>
      <w:r/>
      <w:bookmarkEnd w:id="810"/>
      <w:r/>
      <w:r/>
    </w:p>
    <w:p>
      <w:pPr>
        <w:ind w:firstLine="422"/>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21、补充条款：</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21.2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21.4 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21.5 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21.6 无论任何时期，发包人有权在本合同所属工程范围内根据整个项目的实际施工进度，将工程分阶段开工与竣工。承包人已被视为在报价中考虑此因素。</w:t>
      </w:r>
      <w:r/>
    </w:p>
    <w:p>
      <w:pPr>
        <w:ind w:firstLine="420"/>
        <w:jc w:val="left"/>
        <w:spacing w:line="440" w:lineRule="exact"/>
        <w:rPr>
          <w:rFonts w:hint="default" w:ascii="宋体" w:hAnsi="宋体" w:eastAsia="宋体" w:cs="宋体"/>
          <w:color w:val="auto"/>
          <w:sz w:val="21"/>
          <w:szCs w:val="32"/>
          <w:highlight w:val="none"/>
          <w:lang w:val="en-US" w:eastAsia="zh-CN"/>
        </w:rPr>
        <w:outlineLvl w:val="0"/>
      </w:pPr>
      <w:r>
        <w:rPr>
          <w:rFonts w:hint="eastAsia" w:ascii="宋体" w:hAnsi="宋体" w:eastAsia="宋体" w:cs="宋体"/>
          <w:color w:val="auto"/>
          <w:sz w:val="21"/>
          <w:szCs w:val="32"/>
          <w:highlight w:val="none"/>
        </w:rPr>
        <w:t xml:space="preserve">21.7 承包人应将施工中产生的建筑垃圾清运出场，</w:t>
      </w:r>
      <w:r>
        <w:rPr>
          <w:rFonts w:hint="eastAsia" w:ascii="宋体" w:hAnsi="宋体" w:eastAsia="宋体" w:cs="宋体"/>
          <w:color w:val="auto"/>
          <w:sz w:val="21"/>
          <w:szCs w:val="32"/>
          <w:highlight w:val="none"/>
          <w:lang w:val="en-US" w:eastAsia="zh-CN"/>
        </w:rPr>
        <w:t xml:space="preserve">根据相关要求将建筑垃圾运抵城市管理部门核准、认定的消纳场所或资源化处置场所并取得相应票据，发承包双方应根据合同约定和城市管理部门出具的票据对工程量予以确认。非法倾倒的建筑垃圾不予计量。</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21.8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w:t>
      </w:r>
      <w:r>
        <w:rPr>
          <w:rFonts w:hint="eastAsia" w:ascii="宋体" w:hAnsi="宋体" w:eastAsia="宋体" w:cs="宋体"/>
          <w:color w:val="auto"/>
          <w:sz w:val="21"/>
          <w:szCs w:val="32"/>
          <w:highlight w:val="none"/>
          <w:lang w:eastAsia="zh-CN"/>
        </w:rPr>
        <w:t xml:space="preserve">供应商</w:t>
      </w:r>
      <w:r>
        <w:rPr>
          <w:rFonts w:hint="eastAsia" w:ascii="宋体" w:hAnsi="宋体" w:eastAsia="宋体" w:cs="宋体"/>
          <w:color w:val="auto"/>
          <w:sz w:val="21"/>
          <w:szCs w:val="32"/>
          <w:highlight w:val="none"/>
        </w:rPr>
        <w:t xml:space="preserve">应将办理上述事项的费用综合考虑在投标报价中，该部分费用包干使用，以后不作调整。</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21.9 施工过程中与周围发生的纠纷由承包人自行协商解决，费用由承包人自理，该费用应包含在合同价中。</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21.10 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21.11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21.12 发包人将定期向工程所在地建设行政主管部门、承包人所在地建设行政主管部门、承包人总部上报承包人项目履约情况、人员到位情况，以及项目进度、质量、安全、合同履约情况。</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21.13 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w:t>
      </w:r>
      <w:r/>
    </w:p>
    <w:p>
      <w:pPr>
        <w:ind w:firstLine="420"/>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21.14  经双方约定，工程竣工结算要接受发包人委托的审计单位审计。审计以承包人送审价为基数，如经审计，结算审定的核减率小于或等于5%时，由发包人承担结算审计费用；核减率大于5%、小于或等于10%时，超出5%的部分结算审计费用由承包人承担；核减率大于10%时，由承包人承担所有结算审计费用。</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21.15 无论监理人是否进行并通过各项检验，均不解除承包人对自己承包的工程质量所负责任。除非质量问题是由于设计原因引起，而此类质量问题承包人发现后有义务及时通知监理人。</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21.16 在施工期内，承包人应坚持每次工程例会制度的严肃性和权威性。对发包人、监理在工程例会上布置的工作应不折不扣的加以完成，承包人应以工程例会纪要作为现场工作指导。否则，发包人有权追究承包人的违约责任。</w:t>
      </w:r>
      <w:r/>
    </w:p>
    <w:p>
      <w:pPr>
        <w:ind w:firstLine="420"/>
        <w:jc w:val="left"/>
        <w:spacing w:line="440" w:lineRule="exact"/>
        <w:rPr>
          <w:rFonts w:hint="eastAsia" w:ascii="宋体" w:hAnsi="宋体" w:eastAsia="宋体" w:cs="宋体"/>
          <w:color w:val="auto"/>
          <w:sz w:val="21"/>
          <w:szCs w:val="32"/>
          <w:highlight w:val="none"/>
        </w:rPr>
        <w:outlineLvl w:val="0"/>
      </w:pPr>
      <w:r>
        <w:rPr>
          <w:rFonts w:hint="eastAsia" w:ascii="宋体" w:hAnsi="宋体" w:eastAsia="宋体" w:cs="宋体"/>
          <w:color w:val="auto"/>
          <w:sz w:val="21"/>
          <w:szCs w:val="32"/>
          <w:highlight w:val="none"/>
        </w:rPr>
        <w:t xml:space="preserve">21.17 承包人勘查现场，费用自行承担，后期不在增加相关费用（包括施工围挡等自行考虑）。 </w:t>
      </w:r>
      <w:r/>
    </w:p>
    <w:p>
      <w:pPr>
        <w:ind w:firstLine="42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21.18 现场劳动用工</w:t>
      </w:r>
      <w:r/>
    </w:p>
    <w:p>
      <w:pPr>
        <w:ind w:firstLine="42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21.18.1合同当事人对建筑工人工资清偿事宜和违约责任的约定：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承包人未按专用账户管理要求支付农民工工资的，将在政府资金支持、政府采购、招投标、施工许可、竣工验收、资质审核、融资贷款、市场准入、评优评先等方面予以限制，并与企业信用挂钩，实施联合惩戒。情节严重者上报主管部门，实施“黑名单”管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21.19本项目有品牌要求的材料、设备，承包人在采购前需在</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推荐品牌范围内确定选定的品牌并提供样品给甲方确认，甲方和监理确认后方可统一采购。</w:t>
      </w:r>
      <w:r/>
    </w:p>
    <w:p>
      <w:pPr>
        <w:ind w:left="-28" w:hanging="20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contextualSpacing/>
        <w:ind w:firstLine="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合同附件：工程质量保修书</w:t>
      </w:r>
      <w:r/>
    </w:p>
    <w:p>
      <w:pPr>
        <w:contextualSpacing/>
        <w:ind w:firstLine="0"/>
        <w:jc w:val="center"/>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工程质量保修书</w:t>
      </w:r>
      <w:r/>
    </w:p>
    <w:p>
      <w:pPr>
        <w:contextualSpacing/>
        <w:ind w:firstLine="422"/>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发包人：</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（以下简称发包人）</w:t>
      </w:r>
      <w:r/>
    </w:p>
    <w:p>
      <w:pPr>
        <w:contextualSpacing/>
        <w:ind w:firstLine="422"/>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（以下简称承包人）</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ind w:firstLine="0"/>
        <w:pageBreakBefore w:val="0"/>
        <w:spacing w:beforeAutospacing="0" w:afterAutospacing="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bookmarkStart w:id="889" w:name="_Toc20249"/>
      <w:r/>
      <w:bookmarkStart w:id="890" w:name="_Toc24241"/>
      <w:r/>
      <w:bookmarkStart w:id="891" w:name="_Toc13915"/>
      <w:r/>
      <w:bookmarkStart w:id="892" w:name="_Toc28686"/>
      <w:r/>
      <w:bookmarkStart w:id="893" w:name="_Toc16146"/>
      <w:r/>
      <w:bookmarkStart w:id="894" w:name="_Toc9530"/>
      <w:r>
        <w:rPr>
          <w:rFonts w:hint="eastAsia" w:ascii="宋体" w:hAnsi="宋体" w:eastAsia="宋体" w:cs="宋体"/>
          <w:color w:val="auto"/>
          <w:sz w:val="21"/>
          <w:szCs w:val="21"/>
          <w:highlight w:val="none"/>
        </w:rPr>
        <w:t xml:space="preserve">一、工程质量保修范围和内容</w:t>
      </w:r>
      <w:bookmarkEnd w:id="889"/>
      <w:r/>
      <w:bookmarkEnd w:id="890"/>
      <w:r/>
      <w:bookmarkEnd w:id="891"/>
      <w:r/>
      <w:bookmarkEnd w:id="892"/>
      <w:r/>
      <w:bookmarkEnd w:id="893"/>
      <w:r/>
      <w:bookmarkEnd w:id="894"/>
      <w:r/>
      <w:r/>
    </w:p>
    <w:p>
      <w:pPr>
        <w:ind w:firstLine="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质量保修内容包括合同范围内及双方约定的其他内容：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21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二、质量保修期</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6．其他项目保修期限约定如下：招标范围内的其他内容质保</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7、其他约定：</w:t>
      </w:r>
      <w:r>
        <w:rPr>
          <w:rFonts w:hint="eastAsia" w:ascii="宋体" w:hAnsi="宋体" w:eastAsia="宋体" w:cs="宋体"/>
          <w:color w:val="auto"/>
          <w:sz w:val="21"/>
          <w:szCs w:val="21"/>
          <w:highlight w:val="none"/>
          <w:u w:val="single"/>
        </w:rPr>
        <w:t xml:space="preserve">本项目质保期2年。 </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895" w:name="_Toc6878"/>
      <w:r/>
      <w:bookmarkStart w:id="896" w:name="_Toc17732"/>
      <w:r/>
      <w:bookmarkStart w:id="897" w:name="_Toc21667"/>
      <w:r/>
      <w:bookmarkStart w:id="898" w:name="_Toc511"/>
      <w:r/>
      <w:bookmarkStart w:id="899" w:name="_Toc21341"/>
      <w:r/>
      <w:bookmarkStart w:id="900" w:name="_Toc22296"/>
      <w:r>
        <w:rPr>
          <w:rFonts w:hint="eastAsia" w:ascii="宋体" w:hAnsi="宋体" w:eastAsia="宋体" w:cs="宋体"/>
          <w:color w:val="auto"/>
          <w:sz w:val="21"/>
          <w:szCs w:val="21"/>
          <w:highlight w:val="none"/>
        </w:rPr>
        <w:t xml:space="preserve">三、缺陷责任期</w:t>
      </w:r>
      <w:bookmarkEnd w:id="895"/>
      <w:r/>
      <w:bookmarkEnd w:id="896"/>
      <w:r/>
      <w:bookmarkEnd w:id="897"/>
      <w:r/>
      <w:bookmarkEnd w:id="898"/>
      <w:r/>
      <w:bookmarkEnd w:id="899"/>
      <w:r/>
      <w:bookmarkEnd w:id="900"/>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质保期满后，发包人应退还剩余的质量保证金。</w:t>
      </w:r>
      <w:r/>
    </w:p>
    <w:p>
      <w:pPr>
        <w:ind w:firstLine="420"/>
        <w:pageBreakBefore w:val="0"/>
        <w:spacing w:beforeAutospacing="0" w:afterAutospacing="0" w:line="360" w:lineRule="auto"/>
        <w:rPr>
          <w:rFonts w:hint="eastAsia" w:ascii="宋体" w:hAnsi="宋体" w:eastAsia="宋体" w:cs="宋体"/>
          <w:color w:val="auto"/>
          <w:sz w:val="21"/>
          <w:szCs w:val="21"/>
          <w:highlight w:val="none"/>
        </w:rPr>
        <w:outlineLvl w:val="0"/>
      </w:pPr>
      <w:r/>
      <w:bookmarkStart w:id="901" w:name="_Toc31720"/>
      <w:r/>
      <w:bookmarkStart w:id="902" w:name="_Toc10430"/>
      <w:r/>
      <w:bookmarkStart w:id="903" w:name="_Toc13711"/>
      <w:r/>
      <w:bookmarkStart w:id="904" w:name="_Toc6160"/>
      <w:r/>
      <w:bookmarkStart w:id="905" w:name="_Toc23984"/>
      <w:r/>
      <w:bookmarkStart w:id="906" w:name="_Toc2426"/>
      <w:r>
        <w:rPr>
          <w:rFonts w:hint="eastAsia" w:ascii="宋体" w:hAnsi="宋体" w:eastAsia="宋体" w:cs="宋体"/>
          <w:color w:val="auto"/>
          <w:sz w:val="21"/>
          <w:szCs w:val="21"/>
          <w:highlight w:val="none"/>
        </w:rPr>
        <w:t xml:space="preserve">四、质量保修责任</w:t>
      </w:r>
      <w:bookmarkEnd w:id="901"/>
      <w:r/>
      <w:bookmarkEnd w:id="902"/>
      <w:r/>
      <w:bookmarkEnd w:id="903"/>
      <w:r/>
      <w:bookmarkEnd w:id="904"/>
      <w:r/>
      <w:bookmarkEnd w:id="905"/>
      <w:r/>
      <w:bookmarkEnd w:id="906"/>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五、保修费用</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firstLine="422"/>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工程在质保期满后无质量问题出现，返还保修金（无息）  </w:t>
      </w:r>
      <w:r>
        <w:rPr>
          <w:rFonts w:hint="eastAsia" w:ascii="宋体" w:hAnsi="宋体" w:eastAsia="宋体" w:cs="宋体"/>
          <w:color w:val="auto"/>
          <w:sz w:val="21"/>
          <w:szCs w:val="21"/>
          <w:highlight w:val="none"/>
        </w:rPr>
        <w:t xml:space="preserve">。</w:t>
      </w:r>
      <w:r/>
    </w:p>
    <w:p>
      <w:pPr>
        <w:ind w:firstLine="399"/>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发包人（建设单位）（盖章）：              承包人（施工单位）（盖章）：</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                法定代表人（签字或盖章）：</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委托代理人（签字）：</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2"/>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br w:type="page" w:clear="all"/>
      </w:r>
      <w:bookmarkStart w:id="907" w:name="_Toc378180128"/>
      <w:r/>
      <w:bookmarkStart w:id="908" w:name="_Toc386274263"/>
      <w:r/>
      <w:bookmarkStart w:id="909" w:name="_Toc352098775"/>
      <w:r/>
      <w:bookmarkStart w:id="910" w:name="_Toc353087987"/>
      <w:r/>
      <w:bookmarkStart w:id="911" w:name="_Toc346814873"/>
      <w:r/>
      <w:bookmarkStart w:id="912" w:name="_Toc363840985"/>
      <w:r>
        <w:rPr>
          <w:rFonts w:hint="eastAsia" w:ascii="宋体" w:hAnsi="宋体" w:eastAsia="宋体" w:cs="宋体"/>
          <w:b/>
          <w:bCs/>
          <w:color w:val="auto"/>
          <w:sz w:val="21"/>
          <w:szCs w:val="21"/>
          <w:highlight w:val="none"/>
        </w:rPr>
        <w:t xml:space="preserve">合同附件：</w:t>
      </w:r>
      <w:r>
        <w:rPr>
          <w:rFonts w:hint="eastAsia" w:ascii="宋体" w:hAnsi="宋体" w:eastAsia="宋体" w:cs="宋体"/>
          <w:color w:val="auto"/>
          <w:sz w:val="21"/>
          <w:szCs w:val="21"/>
          <w:highlight w:val="none"/>
        </w:rPr>
        <w:t xml:space="preserve">安全生产合同及资金安全合同（格式）</w:t>
      </w:r>
      <w:bookmarkEnd w:id="907"/>
      <w:r/>
      <w:bookmarkEnd w:id="908"/>
      <w:r/>
      <w:bookmarkEnd w:id="909"/>
      <w:r/>
      <w:bookmarkEnd w:id="910"/>
      <w:r/>
      <w:bookmarkEnd w:id="911"/>
      <w:r/>
      <w:bookmarkEnd w:id="912"/>
      <w:r/>
      <w:r/>
    </w:p>
    <w:p>
      <w:pPr>
        <w:ind w:firstLine="422"/>
        <w:jc w:val="center"/>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安全生产合同</w:t>
      </w:r>
      <w:r/>
    </w:p>
    <w:p>
      <w:pPr>
        <w:ind w:firstLine="422"/>
        <w:jc w:val="center"/>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（建设单位与施工单位）</w:t>
      </w:r>
      <w:r/>
    </w:p>
    <w:p>
      <w:pPr>
        <w:ind w:firstLine="42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甲方（建设单位）：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乙方（施工单位）：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施工合同的实施过程中创造安全、高效的施工环境，切实搞好本项目的安全管理工作，特此签订安全生产合同。具体如下：</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一、甲方职责</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1．严格遵守国家有关安全生产的法律法规，认真执行工程承包合同中的有关安全要求。</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2．按照“安全第一、预防为主”和坚持“管生产必须管安全”的原则进行安全生产管理，做到生产与安全工作同时计划、布置、检查、总结和评比。</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3．定期召开安全生产协调会，及时传达中央及地方有关安全生产的精神。</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4．组织对乙方施工现场安全生产检查，建立安全生产责任制网络、监督乙方及时处理发现的各种安全隐患。</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二、乙方职责</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1．严格遵守国家有关安全生产的法律法规、有关安全生产的规定，认真执行工程承包合同中的有关安全要求，接受甲方和监理工程师对安全生产工作的指导。</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3．建立健全安全生产责任制网络。从负责项</w:t>
      </w:r>
      <w:r>
        <w:rPr>
          <w:rFonts w:hint="eastAsia" w:ascii="宋体" w:hAnsi="宋体" w:eastAsia="宋体" w:cs="宋体"/>
          <w:color w:val="auto"/>
          <w:sz w:val="21"/>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4．乙方在任何时候都应采取各种合理的预防措施，防止其人员发生任何违法、违禁、暴力、违规或妨碍治安的行为。</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必须具有省部级建设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6．加强施工中的交通运输安全管理。</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7．对于易燃易爆的材料除应专门妥善保管之外，还应配备有足够的消防设施，所有施工人员都应熟悉消防设备的性能和使用方法。</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8．操作人员上岗，必须按规定穿戴防护用品。施工负责人和安全检查员应随时检查劳动防护用品的穿戴情况，不按规定穿戴防护用品的人员不得上岗。</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9．所有施工机具设备均应定期检查，并有安全员的签字记录，保证其处于完好状态；不合格的机具、设备和劳动保护用品严禁使用。</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10．施工中采用新技术、新工艺、新设备、新材料时，必须制定相应的安全技术措施，施工现场必须具有相关的安全标志牌。</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11．建立主要危险源备案制度，要明确潜在隐患、防范措施和落实责任人。</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三、违约责任</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如因甲方或乙方违约造成安全事故，将报请有关部门依法追究责任。</w:t>
      </w:r>
      <w:r/>
    </w:p>
    <w:p>
      <w:pPr>
        <w:ind w:left="120" w:firstLine="43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本合同一式二份，由双方法定代表人或其授权的代理人签署和加盖公章后生效，全部工程竣工验收后失效。</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甲方（建设单位）（盖章）：                 乙方（施工单位）（盖章）：</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                法定代表人（签字或盖章）：</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委托代理人（签字）：</w:t>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ind w:firstLine="422"/>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合同附件：</w:t>
      </w:r>
      <w:r>
        <w:rPr>
          <w:rFonts w:hint="eastAsia" w:ascii="宋体" w:hAnsi="宋体" w:eastAsia="宋体" w:cs="宋体"/>
          <w:color w:val="auto"/>
          <w:sz w:val="21"/>
          <w:szCs w:val="21"/>
          <w:highlight w:val="none"/>
        </w:rPr>
        <w:t xml:space="preserve">关于不拖欠农民工工资的承诺</w:t>
      </w:r>
      <w:r/>
    </w:p>
    <w:p>
      <w:pPr>
        <w:ind w:firstLine="422"/>
        <w:jc w:val="center"/>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不拖欠农民工工资的承诺书</w:t>
      </w:r>
      <w:r/>
    </w:p>
    <w:p>
      <w:pPr>
        <w:ind w:firstLine="42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ind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为保护农民工的合法权益，不拖欠农民工工资，本人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法定代表人的资格，郑重承诺：</w:t>
      </w:r>
      <w:r/>
    </w:p>
    <w:p>
      <w:pPr>
        <w:ind w:right="-382"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本企业如果中标承建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合同段工程，需要使用农民工时，将保证做到：</w:t>
      </w:r>
      <w:r/>
    </w:p>
    <w:p>
      <w:pPr>
        <w:ind w:right="-382"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按照《劳动法》规定雇佣和使用农民工，工资（人民币）将直接发放给农民工本人，严禁发放给“包工头”或其他不具备用工主体资格的组织和个人代领及发放。</w:t>
      </w:r>
      <w:r/>
    </w:p>
    <w:p>
      <w:pPr>
        <w:ind w:right="-382" w:firstLine="42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如果发生违反规定拖欠或克扣农民工工资行为，造成农民工上访，本公司愿接受</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和相关部门依照有关规定做出的处罚。</w:t>
      </w:r>
      <w:r/>
    </w:p>
    <w:p>
      <w:pPr>
        <w:ind w:right="-382" w:firstLine="42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承包人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（单位公章）</w:t>
      </w:r>
      <w:r/>
    </w:p>
    <w:p>
      <w:pPr>
        <w:ind w:firstLine="168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法定代表人（或其授权的代理人）：</w:t>
      </w:r>
      <w:r>
        <w:rPr>
          <w:rFonts w:hint="eastAsia" w:ascii="宋体" w:hAnsi="宋体" w:eastAsia="宋体" w:cs="宋体"/>
          <w:color w:val="auto"/>
          <w:sz w:val="21"/>
          <w:szCs w:val="21"/>
          <w:highlight w:val="none"/>
          <w:u w:val="single"/>
        </w:rPr>
        <w:t xml:space="preserve"> （盖章或签字） </w:t>
      </w:r>
      <w:r/>
    </w:p>
    <w:p>
      <w:pPr>
        <w:ind w:firstLine="1680"/>
        <w:pageBreakBefore w:val="0"/>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ind w:firstLine="168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color w:val="auto"/>
          <w:highlight w:val="none"/>
        </w:rPr>
        <w:sectPr>
          <w:headerReference w:type="default" r:id="rId9"/>
          <w:footerReference w:type="default" r:id="rId15"/>
          <w:footerReference w:type="first" r:id="rId16"/>
          <w:footnotePr/>
          <w:endnotePr/>
          <w:type w:val="nextPage"/>
          <w:pgSz w:w="11906" w:h="16838" w:orient="portrait"/>
          <w:pgMar w:top="1134" w:right="1134" w:bottom="1134" w:left="1134" w:header="851" w:footer="907" w:gutter="0"/>
          <w:cols w:num="1" w:sep="0" w:space="720" w:equalWidth="1"/>
          <w:docGrid w:linePitch="360"/>
          <w:titlePg/>
        </w:sectPr>
      </w:pPr>
      <w:r>
        <w:rPr>
          <w:color w:val="auto"/>
          <w:highlight w:val="none"/>
        </w:rPr>
      </w:r>
      <w:r/>
    </w:p>
    <w:p>
      <w:pPr>
        <w:ind w:firstLine="0"/>
        <w:jc w:val="both"/>
        <w:spacing w:line="460" w:lineRule="exact"/>
        <w:rPr>
          <w:rFonts w:hint="eastAsia" w:ascii="宋体" w:hAnsi="宋体" w:eastAsia="宋体" w:cs="宋体"/>
          <w:color w:val="auto"/>
          <w:sz w:val="21"/>
          <w:szCs w:val="22"/>
          <w:highlight w:val="none"/>
        </w:rPr>
      </w:pPr>
      <w:r>
        <w:rPr>
          <w:rFonts w:hint="eastAsia" w:ascii="宋体" w:hAnsi="宋体" w:eastAsia="宋体" w:cs="宋体"/>
          <w:b/>
          <w:bCs/>
          <w:color w:val="auto"/>
          <w:sz w:val="21"/>
          <w:szCs w:val="21"/>
          <w:highlight w:val="none"/>
        </w:rPr>
        <w:t xml:space="preserve">合同附件：</w:t>
      </w:r>
      <w:r>
        <w:rPr>
          <w:rFonts w:hint="eastAsia" w:ascii="宋体" w:hAnsi="宋体" w:eastAsia="宋体" w:cs="宋体"/>
          <w:color w:val="auto"/>
          <w:sz w:val="21"/>
          <w:szCs w:val="22"/>
          <w:highlight w:val="none"/>
        </w:rPr>
        <w:t xml:space="preserve"> </w:t>
      </w:r>
      <w:r/>
    </w:p>
    <w:p>
      <w:pPr>
        <w:ind w:firstLine="0"/>
        <w:jc w:val="center"/>
        <w:spacing w:line="460" w:lineRule="exact"/>
        <w:rPr>
          <w:rFonts w:hint="eastAsia" w:ascii="宋体" w:hAnsi="宋体" w:eastAsia="宋体" w:cs="宋体"/>
          <w:color w:val="auto"/>
          <w:sz w:val="21"/>
          <w:szCs w:val="22"/>
          <w:highlight w:val="none"/>
        </w:rPr>
      </w:pPr>
      <w:r>
        <w:rPr>
          <w:rFonts w:hint="eastAsia" w:ascii="宋体" w:hAnsi="宋体" w:eastAsia="宋体" w:cs="宋体"/>
          <w:b/>
          <w:bCs/>
          <w:color w:val="auto"/>
          <w:sz w:val="24"/>
          <w:szCs w:val="22"/>
          <w:highlight w:val="none"/>
        </w:rPr>
        <w:t xml:space="preserve">廉政合同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 </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为了贯彻落实党中央、国务院《关于实行党风廉政建设责任制的规定》，加强工程建设中的党风廉政建设，保证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标段优质、高效、有序地进行，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(以下简称发包人)，与承担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单位(以下简称承包人)，特订立如下合同。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一、发包人、承包人双方约定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1、发包人、承包人双方应加强对本方人员的廉政监督，建立和建全廉政制度。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2、发包人、承包人双方有对本方人员开展廉政告知、廉政教育和职业道德教育的义务。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3、发包人、承包人双方及其工作人员应遵守国家和省、市以及行业主管部门关于加强水利基础设施建设管理以及党风廉政建设的各项规定。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4、发包人、承包人双方及其工作人员应认真执行双方签订的廉政合同文件，自觉按合同办事。</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5、除法律认定的商业秘密或合同文件另有规定之外，发包人、承包人双方的业务活动应坚持公开、公正、诚实信用的原则，严禁损害国家和集体利益，严禁违反工程建设管理规章制度的不正当交易。</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6、发包人、承包人双方如发现对方在业务活动中有不廉洁行为，有及时提醒对方并督促其纠正的权利和义务，并认真查处本方的违纪行为。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二、发包人在廉政建设方面的责任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1、发包人及其工作人员不得以任何形式向承包人索要和收受金钱、有价证券、贵重物品等财物；对推辞不掉的礼金、有价证券和贵重物品等，应立即上缴纪检监察部门。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2、发包人及其工作人员不得以任何名义要求承包人报销任何费用。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3、发包人工作人员不得参加承包人的宴请和旅游等活动；不得要求承包人为其吃、住、行等方面提供方便。</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5、发包人及其工作人员不得要求承包人为其亲朋好友及有利害关系的人安排工作或劳务；不得违规从事与承包人工程有关的材料设备供应、工程分包、劳务等经济活动。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6、发包人及其工作人员不得滥用职权影响工程的质量、进度和安全。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7、发包人及其工作人员不得与承包人私下交易。</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三、承包人在廉政建设方面的责任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1、承包人不得以任何理由向发包人及其工作人员馈赠礼金、礼品和有价证券等财产性权益。</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2、承包人不得以任何名义为发包人及其工作人员报销任何不当费用。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3、承包人不得以任何理由邀请发包人工作人员参加吃、喝、玩、乐等活动。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4、承包人不得为发包人单位或个人购置或提供通讯工具、交通工具、家电和高档办公用品等财物。</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5、承包人及其工作人员不得以任何理由与发包人进行私下交易。</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1、发包人若违反本“廉政合同”的，对违法违纪人员，将依法查处。</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2、承包人若违反本“廉政合同”的，视情节轻重，每次给予1—5万元的违约罚款，若严重违反“廉政合同”的，对违法违纪人员，将依法查处。</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五、对督促单位的约定和授权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双方约定：本合同的督查单位为区国土局监察室。双方授权督查单位主持本“合同”执行情况的督查，提出在本合同规定规范内的裁定意见，执行本“合同”第四条所规定的处罚。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六、检查方式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的履约情况检查由督查单位主持，发包人、承包人双方共同派人参加，检查方式为座谈、问卷调查、查看资料或由各方约定的其它方式等。检查时间、次数、检查方式、检查结论得处罚意见等由各方协商确定，如无法达成一致的，由督查单位依据事实裁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七、本“合同”有效期为工程开工之日起至该合同段工程项目竣工验收后止。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八、本“合同”一式伍份，发包人、承包人双方各持二份，送交督查部门一份。</w:t>
      </w:r>
      <w:r/>
    </w:p>
    <w:p>
      <w:pPr>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发包人(公章)：                        承包人(公章)：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         </w:t>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法定代表人(盖章)：                    法定代表人(盖章)：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    </w:t>
      </w:r>
      <w:r/>
    </w:p>
    <w:p>
      <w:pPr>
        <w:ind w:left="1200" w:hanging="1200"/>
        <w:jc w:val="center"/>
        <w:rPr>
          <w:rFonts w:hint="eastAsia" w:ascii="宋体" w:hAnsi="宋体"/>
          <w:b/>
          <w:color w:val="auto"/>
          <w:szCs w:val="21"/>
          <w:highlight w:val="none"/>
        </w:rPr>
      </w:pPr>
      <w:r>
        <w:rPr>
          <w:rFonts w:hint="eastAsia" w:ascii="宋体" w:hAnsi="宋体" w:eastAsia="宋体" w:cs="宋体"/>
          <w:color w:val="auto"/>
          <w:sz w:val="21"/>
          <w:szCs w:val="21"/>
          <w:highlight w:val="none"/>
          <w:lang w:bidi="ar"/>
        </w:rPr>
        <w:t xml:space="preserve">委托代理人(签字)：                    委托代理人(签字)：</w:t>
      </w:r>
      <w:r>
        <w:rPr>
          <w:rFonts w:hint="eastAsia" w:ascii="宋体" w:hAnsi="宋体" w:cs="仿宋"/>
          <w:color w:val="auto"/>
          <w:szCs w:val="21"/>
          <w:highlight w:val="none"/>
        </w:rPr>
        <w:t xml:space="preserve">    </w:t>
      </w:r>
      <w:r/>
    </w:p>
    <w:p>
      <w:pPr>
        <w:jc w:val="center"/>
        <w:rPr>
          <w:rFonts w:hint="eastAsia" w:ascii="宋体" w:hAnsi="宋体"/>
          <w:b/>
          <w:color w:val="auto"/>
          <w:szCs w:val="21"/>
          <w:highlight w:val="none"/>
        </w:rPr>
      </w:pPr>
      <w:r>
        <w:rPr>
          <w:rFonts w:hint="eastAsia" w:ascii="宋体" w:hAnsi="宋体"/>
          <w:b/>
          <w:color w:val="auto"/>
          <w:szCs w:val="21"/>
          <w:highlight w:val="none"/>
        </w:rPr>
      </w:r>
      <w:r/>
    </w:p>
    <w:p>
      <w:pPr>
        <w:jc w:val="cente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ind w:left="0" w:firstLine="0"/>
        <w:rPr>
          <w:color w:val="auto"/>
          <w:highlight w:val="none"/>
        </w:rPr>
      </w:pPr>
      <w:r/>
      <w:bookmarkStart w:id="913" w:name="_Toc547"/>
      <w:r/>
      <w:bookmarkStart w:id="914" w:name="_Toc465267863"/>
      <w:r/>
      <w:bookmarkStart w:id="915" w:name="_Toc482347464"/>
      <w:r/>
      <w:r/>
    </w:p>
    <w:p>
      <w:pPr>
        <w:pStyle w:val="1088"/>
        <w:rPr>
          <w:color w:val="auto"/>
          <w:highlight w:val="none"/>
        </w:rPr>
      </w:pPr>
      <w:r>
        <w:rPr>
          <w:color w:val="auto"/>
          <w:highlight w:val="none"/>
        </w:rPr>
        <w:t xml:space="preserve">第四章 项目需求</w:t>
      </w:r>
      <w:bookmarkEnd w:id="913"/>
      <w:r/>
      <w:bookmarkEnd w:id="104"/>
      <w:r/>
      <w:bookmarkEnd w:id="105"/>
      <w:r/>
      <w:bookmarkEnd w:id="106"/>
      <w:r/>
      <w:bookmarkEnd w:id="914"/>
      <w:r/>
      <w:bookmarkEnd w:id="915"/>
      <w:r/>
      <w:r/>
    </w:p>
    <w:p>
      <w:pPr>
        <w:ind w:firstLine="482"/>
        <w:rPr>
          <w:rFonts w:hint="eastAsia" w:ascii="宋体" w:hAnsi="宋体"/>
          <w:b/>
          <w:bCs/>
          <w:color w:val="auto"/>
          <w:highlight w:val="none"/>
        </w:rPr>
      </w:pPr>
      <w:r/>
      <w:bookmarkStart w:id="916" w:name="_Toc142708871"/>
      <w:r/>
      <w:bookmarkStart w:id="917" w:name="_Toc153678434"/>
      <w:r/>
      <w:bookmarkStart w:id="918" w:name="_Toc204595694"/>
      <w:r>
        <w:rPr>
          <w:rFonts w:ascii="宋体" w:hAnsi="宋体"/>
          <w:b/>
          <w:bCs/>
          <w:color w:val="auto"/>
          <w:highlight w:val="none"/>
        </w:rPr>
        <w:t xml:space="preserve">说明：</w:t>
      </w:r>
      <w:r/>
    </w:p>
    <w:p>
      <w:pPr>
        <w:ind w:left="480" w:firstLine="482"/>
        <w:rPr>
          <w:rFonts w:hint="eastAsia" w:ascii="宋体" w:hAnsi="宋体"/>
          <w:b/>
          <w:bCs/>
          <w:color w:val="auto"/>
          <w:szCs w:val="21"/>
          <w:highlight w:val="none"/>
        </w:rPr>
      </w:pPr>
      <w:r>
        <w:rPr>
          <w:rFonts w:ascii="宋体" w:hAnsi="宋体"/>
          <w:b/>
          <w:bCs/>
          <w:color w:val="auto"/>
          <w:szCs w:val="21"/>
          <w:highlight w:val="none"/>
        </w:rPr>
        <w:t xml:space="preserve">本项目需求中标注</w:t>
      </w:r>
      <w:r>
        <w:rPr>
          <w:rFonts w:hint="eastAsia" w:ascii="宋体" w:hAnsi="宋体" w:cs="宋体"/>
          <w:b/>
          <w:bCs/>
          <w:color w:val="auto"/>
          <w:szCs w:val="21"/>
          <w:highlight w:val="none"/>
        </w:rPr>
        <w:t xml:space="preserve">★</w:t>
      </w:r>
      <w:r>
        <w:rPr>
          <w:rFonts w:ascii="宋体" w:hAnsi="宋体"/>
          <w:b/>
          <w:bCs/>
          <w:color w:val="auto"/>
          <w:szCs w:val="21"/>
          <w:highlight w:val="none"/>
        </w:rPr>
        <w:t xml:space="preserve">号的部分为实质性要求和条件（由采购人根据实际情况设置），</w:t>
      </w:r>
      <w:r>
        <w:rPr>
          <w:rFonts w:hint="eastAsia" w:ascii="宋体" w:hAnsi="宋体"/>
          <w:b/>
          <w:bCs/>
          <w:color w:val="auto"/>
          <w:szCs w:val="21"/>
          <w:highlight w:val="none"/>
        </w:rPr>
        <w:t xml:space="preserve">竞谈</w:t>
      </w:r>
      <w:r>
        <w:rPr>
          <w:rFonts w:ascii="宋体" w:hAnsi="宋体"/>
          <w:b/>
          <w:bCs/>
          <w:color w:val="auto"/>
          <w:szCs w:val="21"/>
          <w:highlight w:val="none"/>
        </w:rPr>
        <w:t xml:space="preserve">供应商必须</w:t>
      </w:r>
      <w:r>
        <w:rPr>
          <w:rFonts w:hint="eastAsia" w:ascii="宋体" w:hAnsi="宋体"/>
          <w:b/>
          <w:bCs/>
          <w:color w:val="auto"/>
          <w:szCs w:val="21"/>
          <w:highlight w:val="none"/>
        </w:rPr>
        <w:t xml:space="preserve">逐条明确</w:t>
      </w:r>
      <w:r>
        <w:rPr>
          <w:rFonts w:ascii="宋体" w:hAnsi="宋体"/>
          <w:b/>
          <w:bCs/>
          <w:color w:val="auto"/>
          <w:szCs w:val="21"/>
          <w:highlight w:val="none"/>
        </w:rPr>
        <w:t xml:space="preserve">作出满足原要求和条件的响应，否则作无效响应处理。</w:t>
      </w:r>
      <w:r/>
    </w:p>
    <w:p>
      <w:pPr>
        <w:numPr>
          <w:ilvl w:val="0"/>
          <w:numId w:val="2"/>
        </w:numPr>
        <w:ind w:firstLine="482"/>
        <w:rPr>
          <w:rFonts w:hint="eastAsia" w:ascii="宋体" w:hAnsi="宋体"/>
          <w:b/>
          <w:bCs/>
          <w:color w:val="auto"/>
          <w:szCs w:val="21"/>
          <w:highlight w:val="none"/>
        </w:rPr>
      </w:pPr>
      <w:r>
        <w:rPr>
          <w:rFonts w:ascii="宋体" w:hAnsi="宋体"/>
          <w:b/>
          <w:bCs/>
          <w:color w:val="auto"/>
          <w:szCs w:val="21"/>
          <w:highlight w:val="none"/>
        </w:rPr>
        <w:t xml:space="preserve">本项目采购方式为</w:t>
      </w:r>
      <w:r>
        <w:rPr>
          <w:rFonts w:hint="eastAsia" w:ascii="宋体" w:hAnsi="宋体"/>
          <w:b/>
          <w:bCs/>
          <w:color w:val="auto"/>
          <w:szCs w:val="21"/>
          <w:highlight w:val="none"/>
        </w:rPr>
        <w:t xml:space="preserve">竞争性磋商</w:t>
      </w:r>
      <w:r>
        <w:rPr>
          <w:rFonts w:ascii="宋体" w:hAnsi="宋体"/>
          <w:b/>
          <w:bCs/>
          <w:color w:val="auto"/>
          <w:szCs w:val="21"/>
          <w:highlight w:val="none"/>
        </w:rPr>
        <w:t xml:space="preserve">，项目属性为工程。</w:t>
      </w:r>
      <w:r/>
    </w:p>
    <w:p>
      <w:pPr>
        <w:numPr>
          <w:ilvl w:val="0"/>
          <w:numId w:val="2"/>
        </w:numPr>
        <w:ind w:firstLine="482"/>
        <w:rPr>
          <w:rFonts w:hint="eastAsia" w:ascii="宋体" w:hAnsi="宋体" w:cs="宋体"/>
          <w:color w:val="auto"/>
          <w:highlight w:val="none"/>
          <w:lang w:val="zh-CN"/>
        </w:rPr>
      </w:pPr>
      <w:r>
        <w:rPr>
          <w:rFonts w:ascii="宋体" w:hAnsi="宋体"/>
          <w:b/>
          <w:bCs/>
          <w:color w:val="auto"/>
          <w:szCs w:val="21"/>
          <w:highlight w:val="none"/>
        </w:rPr>
        <w:t xml:space="preserve">本项目采购标的对应的中小企业划分标准所属行业为</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建筑业</w:t>
      </w:r>
      <w:r>
        <w:rPr>
          <w:rFonts w:ascii="宋体" w:hAnsi="宋体"/>
          <w:b/>
          <w:bCs/>
          <w:color w:val="auto"/>
          <w:szCs w:val="21"/>
          <w:highlight w:val="none"/>
          <w:u w:val="single"/>
        </w:rPr>
        <w:t xml:space="preserve">　</w:t>
      </w:r>
      <w:r>
        <w:rPr>
          <w:rFonts w:ascii="宋体" w:hAnsi="宋体"/>
          <w:b/>
          <w:bCs/>
          <w:color w:val="auto"/>
          <w:szCs w:val="21"/>
          <w:highlight w:val="none"/>
        </w:rPr>
        <w:t xml:space="preserve">。</w:t>
      </w:r>
      <w:r/>
    </w:p>
    <w:p>
      <w:pPr>
        <w:ind w:left="480" w:firstLine="480"/>
        <w:rPr>
          <w:rFonts w:hint="eastAsia" w:ascii="宋体" w:hAnsi="宋体" w:cs="宋体"/>
          <w:color w:val="auto"/>
          <w:highlight w:val="none"/>
          <w:lang w:val="zh-CN"/>
        </w:rPr>
      </w:pPr>
      <w:r>
        <w:rPr>
          <w:rFonts w:hint="eastAsia" w:ascii="宋体" w:hAnsi="宋体" w:cs="宋体"/>
          <w:color w:val="auto"/>
          <w:highlight w:val="none"/>
          <w:lang w:val="zh-CN"/>
        </w:rPr>
        <w:t xml:space="preserve">根据《关于印发中小企业划型标准规定的通知》（工信部联企业〔2011〕300号）的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9315"/>
      </w:tblGrid>
      <w:tr>
        <w:trPr/>
        <w:tc>
          <w:tcPr>
            <w:gridSpan w:val="2"/>
            <w:tcW w:w="9963" w:type="dxa"/>
            <w:vAlign w:val="center"/>
            <w:textDirection w:val="lrTb"/>
            <w:noWrap w:val="false"/>
          </w:tcPr>
          <w:p>
            <w:pPr>
              <w:ind w:firstLine="0"/>
              <w:jc w:val="center"/>
              <w:rPr>
                <w:rFonts w:hint="eastAsia" w:ascii="宋体" w:hAnsi="宋体" w:cs="宋体"/>
                <w:b/>
                <w:bCs/>
                <w:color w:val="auto"/>
                <w:highlight w:val="none"/>
              </w:rPr>
            </w:pPr>
            <w:r>
              <w:rPr>
                <w:rFonts w:hint="eastAsia" w:ascii="宋体" w:hAnsi="宋体" w:cs="宋体"/>
                <w:b/>
                <w:bCs/>
                <w:color w:val="auto"/>
                <w:highlight w:val="none"/>
              </w:rPr>
              <w:t xml:space="preserve">实质性响应需求表</w:t>
            </w:r>
            <w:r/>
          </w:p>
        </w:tc>
      </w:tr>
      <w:tr>
        <w:trPr/>
        <w:tc>
          <w:tcPr>
            <w:tcW w:w="648" w:type="dxa"/>
            <w:vAlign w:val="center"/>
            <w:textDirection w:val="lrTb"/>
            <w:noWrap w:val="false"/>
          </w:tcPr>
          <w:p>
            <w:pPr>
              <w:ind w:firstLine="0"/>
              <w:jc w:val="center"/>
              <w:rPr>
                <w:rFonts w:hint="eastAsia" w:ascii="宋体" w:hAnsi="宋体" w:cs="宋体"/>
                <w:b/>
                <w:bCs/>
                <w:color w:val="auto"/>
                <w:highlight w:val="none"/>
              </w:rPr>
            </w:pPr>
            <w:r>
              <w:rPr>
                <w:rFonts w:hint="eastAsia" w:ascii="宋体" w:hAnsi="宋体" w:cs="宋体"/>
                <w:b/>
                <w:bCs/>
                <w:color w:val="auto"/>
                <w:highlight w:val="none"/>
              </w:rPr>
              <w:t xml:space="preserve">1</w:t>
            </w:r>
            <w:r/>
          </w:p>
        </w:tc>
        <w:tc>
          <w:tcPr>
            <w:tcW w:w="9315" w:type="dxa"/>
            <w:vAlign w:val="center"/>
            <w:textDirection w:val="lrTb"/>
            <w:noWrap w:val="false"/>
          </w:tcPr>
          <w:p>
            <w:pPr>
              <w:ind w:firstLine="0"/>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★合同履行期限（工期）：</w:t>
            </w:r>
            <w:r>
              <w:rPr>
                <w:rFonts w:hint="eastAsia" w:ascii="宋体" w:hAnsi="宋体" w:cs="宋体"/>
                <w:b/>
                <w:bCs/>
                <w:color w:val="auto"/>
                <w:highlight w:val="none"/>
                <w:lang w:val="en-US" w:eastAsia="zh-CN"/>
              </w:rPr>
              <w:t xml:space="preserve">20</w:t>
            </w:r>
            <w:r>
              <w:rPr>
                <w:rFonts w:hint="eastAsia" w:ascii="宋体" w:hAnsi="宋体" w:cs="宋体"/>
                <w:b/>
                <w:bCs/>
                <w:color w:val="auto"/>
                <w:highlight w:val="none"/>
                <w:lang w:val="zh-CN"/>
              </w:rPr>
              <w:t xml:space="preserve">日历天（具体开工日期以采购人发出的书面开工令为准）。</w:t>
            </w:r>
            <w:r/>
          </w:p>
        </w:tc>
      </w:tr>
      <w:tr>
        <w:trPr/>
        <w:tc>
          <w:tcPr>
            <w:tcW w:w="648" w:type="dxa"/>
            <w:vAlign w:val="center"/>
            <w:textDirection w:val="lrTb"/>
            <w:noWrap w:val="false"/>
          </w:tcPr>
          <w:p>
            <w:pPr>
              <w:ind w:firstLine="0"/>
              <w:jc w:val="center"/>
              <w:rPr>
                <w:rFonts w:hint="eastAsia" w:ascii="宋体" w:hAnsi="宋体" w:cs="宋体"/>
                <w:b/>
                <w:bCs/>
                <w:color w:val="auto"/>
                <w:highlight w:val="none"/>
              </w:rPr>
            </w:pPr>
            <w:r>
              <w:rPr>
                <w:rFonts w:hint="eastAsia" w:ascii="宋体" w:hAnsi="宋体" w:cs="宋体"/>
                <w:b/>
                <w:bCs/>
                <w:color w:val="auto"/>
                <w:highlight w:val="none"/>
              </w:rPr>
              <w:t xml:space="preserve">2</w:t>
            </w:r>
            <w:r/>
          </w:p>
        </w:tc>
        <w:tc>
          <w:tcPr>
            <w:tcW w:w="9315" w:type="dxa"/>
            <w:vAlign w:val="center"/>
            <w:textDirection w:val="lrTb"/>
            <w:noWrap w:val="false"/>
          </w:tcPr>
          <w:p>
            <w:pPr>
              <w:pStyle w:val="1206"/>
              <w:ind w:left="0" w:right="0" w:firstLine="422"/>
              <w:keepLines w:val="0"/>
              <w:keepNext w:val="0"/>
              <w:pageBreakBefore w:val="0"/>
              <w:spacing w:beforeAutospacing="0" w:afterAutospacing="0" w:line="384" w:lineRule="auto"/>
              <w:widowControl w:val="off"/>
              <w:rPr>
                <w:rFonts w:hint="eastAsia" w:ascii="宋体" w:hAnsi="宋体" w:eastAsia="宋体" w:cs="宋体"/>
                <w:b/>
                <w:bCs/>
                <w:color w:val="auto"/>
                <w:sz w:val="24"/>
                <w:highlight w:val="none"/>
                <w:lang w:val="en-US" w:eastAsia="zh-CN"/>
              </w:rPr>
              <w:outlineLvl w:val="9"/>
            </w:pPr>
            <w:r>
              <w:rPr>
                <w:rFonts w:hint="eastAsia" w:ascii="宋体" w:hAnsi="宋体" w:cs="宋体"/>
                <w:b/>
                <w:bCs/>
                <w:color w:val="auto"/>
                <w:highlight w:val="none"/>
                <w:lang w:val="zh-CN"/>
              </w:rPr>
              <w:t xml:space="preserve">★</w:t>
            </w:r>
            <w:r>
              <w:rPr>
                <w:rFonts w:hint="eastAsia" w:ascii="Times New Roman" w:hAnsi="Times New Roman" w:eastAsia="宋体" w:cs="Times New Roman"/>
                <w:b/>
                <w:bCs/>
                <w:color w:val="auto"/>
                <w:highlight w:val="none"/>
              </w:rPr>
              <w:t xml:space="preserve">1、付款方式：</w:t>
            </w:r>
            <w:r>
              <w:rPr>
                <w:rFonts w:hint="eastAsia" w:ascii="宋体" w:hAnsi="宋体" w:eastAsia="宋体" w:cs="宋体"/>
                <w:b/>
                <w:bCs/>
                <w:color w:val="auto"/>
                <w:sz w:val="24"/>
                <w:highlight w:val="none"/>
                <w:lang w:val="en-US" w:eastAsia="zh-CN"/>
              </w:rPr>
              <w:t xml:space="preserve">工程完工并验收合格后付已完合格</w:t>
            </w:r>
            <w:r>
              <w:rPr>
                <w:rFonts w:hint="eastAsia" w:ascii="宋体" w:hAnsi="宋体" w:cs="宋体"/>
                <w:b/>
                <w:bCs/>
                <w:color w:val="auto"/>
                <w:sz w:val="24"/>
                <w:highlight w:val="none"/>
                <w:lang w:val="en-US" w:eastAsia="zh-CN"/>
              </w:rPr>
              <w:t xml:space="preserve">清单</w:t>
            </w:r>
            <w:r>
              <w:rPr>
                <w:rFonts w:hint="eastAsia" w:ascii="宋体" w:hAnsi="宋体" w:eastAsia="宋体" w:cs="宋体"/>
                <w:b/>
                <w:bCs/>
                <w:color w:val="auto"/>
                <w:sz w:val="24"/>
                <w:highlight w:val="none"/>
                <w:lang w:val="en-US" w:eastAsia="zh-CN"/>
              </w:rPr>
              <w:t xml:space="preserve">工程量价款的80%，工程结算审计完成后付至审定价的97%。留审定价款的3％作为质量保修金，待质保期（2年）满后且无质量问题也无违约情况下付清余款（不计利息）。</w:t>
            </w:r>
            <w:r/>
          </w:p>
          <w:p>
            <w:pPr>
              <w:rPr>
                <w:rFonts w:hint="eastAsia" w:ascii="宋体" w:hAnsi="宋体" w:cs="宋体"/>
                <w:b/>
                <w:bCs/>
                <w:color w:val="auto"/>
                <w:highlight w:val="none"/>
                <w:lang w:val="zh-CN"/>
              </w:rPr>
            </w:pPr>
            <w:r>
              <w:rPr>
                <w:rFonts w:hint="eastAsia" w:ascii="宋体" w:hAnsi="宋体" w:eastAsia="宋体" w:cs="宋体"/>
                <w:b/>
                <w:bCs/>
                <w:color w:val="auto"/>
                <w:sz w:val="24"/>
                <w:szCs w:val="24"/>
                <w:highlight w:val="none"/>
                <w:lang w:val="en-US" w:eastAsia="zh-CN" w:bidi="ar-SA"/>
              </w:rPr>
              <w:t xml:space="preserve">每次支付货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p>
        </w:tc>
      </w:tr>
    </w:tbl>
    <w:p>
      <w:pPr>
        <w:ind w:firstLine="0"/>
        <w:jc w:val="both"/>
        <w:keepLines/>
        <w:keepNext/>
        <w:spacing w:line="360" w:lineRule="auto"/>
        <w:widowControl w:val="off"/>
        <w:rPr>
          <w:rFonts w:ascii="Times New Roman" w:hAnsi="Times New Roman" w:eastAsia="宋体" w:cs="Times New Roman"/>
          <w:b/>
          <w:bCs/>
          <w:color w:val="auto"/>
          <w:sz w:val="24"/>
          <w:szCs w:val="32"/>
          <w:highlight w:val="none"/>
          <w:lang w:val="en-US" w:eastAsia="zh-CN" w:bidi="ar-SA"/>
        </w:rPr>
        <w:outlineLvl w:val="1"/>
      </w:pPr>
      <w:r>
        <w:rPr>
          <w:rFonts w:ascii="Times New Roman" w:hAnsi="Times New Roman" w:eastAsia="宋体" w:cs="Times New Roman"/>
          <w:b/>
          <w:bCs/>
          <w:color w:val="auto"/>
          <w:sz w:val="24"/>
          <w:szCs w:val="32"/>
          <w:highlight w:val="none"/>
          <w:lang w:val="en-US" w:eastAsia="zh-CN" w:bidi="ar-SA"/>
        </w:rPr>
        <w:t xml:space="preserve">一、</w:t>
      </w:r>
      <w:r>
        <w:rPr>
          <w:rFonts w:hint="eastAsia" w:ascii="Times New Roman" w:hAnsi="Times New Roman" w:eastAsia="宋体" w:cs="Times New Roman"/>
          <w:b/>
          <w:bCs/>
          <w:color w:val="auto"/>
          <w:sz w:val="24"/>
          <w:szCs w:val="32"/>
          <w:highlight w:val="none"/>
          <w:lang w:val="en-US" w:eastAsia="zh-CN" w:bidi="ar-SA"/>
        </w:rPr>
        <w:t xml:space="preserve">工程概况</w:t>
      </w:r>
      <w:r/>
    </w:p>
    <w:p>
      <w:pPr>
        <w:jc w:val="left"/>
        <w:keepLines w:val="0"/>
        <w:keepNext w:val="0"/>
        <w:widowControl/>
        <w:rPr>
          <w:rFonts w:hint="eastAsia" w:ascii="Times New Roman" w:hAnsi="Times New Roman" w:eastAsia="宋体" w:cs="Times New Roman"/>
          <w:color w:val="auto"/>
          <w:highlight w:val="none"/>
          <w:lang w:eastAsia="zh-CN"/>
        </w:rPr>
        <w:suppressLineNumbers w:val="0"/>
      </w:pPr>
      <w:r>
        <w:rPr>
          <w:rFonts w:hint="eastAsia" w:ascii="Times New Roman" w:hAnsi="Times New Roman" w:eastAsia="宋体" w:cs="Times New Roman"/>
          <w:color w:val="auto"/>
          <w:highlight w:val="none"/>
          <w:lang w:eastAsia="zh-CN"/>
        </w:rPr>
        <w:t xml:space="preserve">本工程为道路护栏等城市家具出新项目（人民路）工程，主要内容为拆除原有隔离护栏、警示柱、U型车档，重新安装隔离护栏、警示柱、U型车档，人非护栏翻新。</w:t>
      </w:r>
      <w:r>
        <w:rPr>
          <w:rFonts w:hint="eastAsia" w:ascii="Times New Roman" w:hAnsi="Times New Roman" w:eastAsia="宋体" w:cs="Times New Roman"/>
          <w:color w:val="auto"/>
          <w:highlight w:val="none"/>
          <w:lang w:val="en-US" w:eastAsia="zh-CN"/>
        </w:rPr>
        <w:t xml:space="preserve">具体</w:t>
      </w:r>
      <w:r>
        <w:rPr>
          <w:rFonts w:hint="eastAsia" w:ascii="Times New Roman" w:hAnsi="Times New Roman" w:eastAsia="宋体" w:cs="Times New Roman"/>
          <w:color w:val="auto"/>
          <w:highlight w:val="none"/>
          <w:lang w:eastAsia="zh-CN"/>
        </w:rPr>
        <w:t xml:space="preserve">详见工程量清单。</w:t>
      </w:r>
      <w:r/>
    </w:p>
    <w:p>
      <w:pPr>
        <w:ind w:firstLine="480"/>
        <w:rPr>
          <w:rFonts w:hint="eastAsia" w:ascii="Times New Roman" w:hAnsi="Times New Roman" w:eastAsia="宋体" w:cs="Times New Roman"/>
          <w:color w:val="auto"/>
          <w:highlight w:val="none"/>
        </w:rPr>
      </w:pPr>
      <w:r>
        <w:rPr>
          <w:rFonts w:ascii="Times New Roman" w:hAnsi="Times New Roman" w:cs="Times New Roman"/>
          <w:color w:val="auto"/>
          <w:highlight w:val="none"/>
        </w:rPr>
        <w:t xml:space="preserve">建设地点：</w:t>
      </w:r>
      <w:r>
        <w:rPr>
          <w:rFonts w:hint="eastAsia" w:ascii="Times New Roman" w:hAnsi="Times New Roman" w:eastAsia="宋体" w:cs="Times New Roman"/>
          <w:color w:val="auto"/>
          <w:highlight w:val="none"/>
          <w:lang w:eastAsia="zh-CN"/>
        </w:rPr>
        <w:t xml:space="preserve">连云港市海州区</w:t>
      </w:r>
      <w:r/>
    </w:p>
    <w:p>
      <w:pPr>
        <w:ind w:firstLine="480"/>
        <w:rPr>
          <w:rFonts w:ascii="Times New Roman" w:hAnsi="Times New Roman" w:cs="Times New Roman"/>
          <w:color w:val="auto"/>
          <w:highlight w:val="none"/>
        </w:rPr>
      </w:pPr>
      <w:r>
        <w:rPr>
          <w:rFonts w:ascii="Times New Roman" w:hAnsi="Times New Roman" w:cs="Times New Roman"/>
          <w:color w:val="auto"/>
          <w:highlight w:val="none"/>
        </w:rPr>
        <w:t xml:space="preserve">施工范围：具体详见工程量清单</w:t>
      </w:r>
      <w:r/>
    </w:p>
    <w:p>
      <w:pPr>
        <w:ind w:firstLine="480"/>
        <w:rPr>
          <w:rFonts w:ascii="Times New Roman" w:hAnsi="Times New Roman" w:cs="Times New Roman"/>
          <w:color w:val="auto"/>
          <w:highlight w:val="none"/>
        </w:rPr>
      </w:pPr>
      <w:r>
        <w:rPr>
          <w:rFonts w:ascii="Times New Roman" w:hAnsi="Times New Roman" w:cs="Times New Roman"/>
          <w:color w:val="auto"/>
          <w:highlight w:val="none"/>
        </w:rPr>
        <w:t xml:space="preserve">承包方式：包工包料</w:t>
      </w:r>
      <w:r/>
    </w:p>
    <w:p>
      <w:pPr>
        <w:ind w:firstLine="480"/>
        <w:rPr>
          <w:rFonts w:ascii="Times New Roman" w:hAnsi="Times New Roman" w:cs="Times New Roman"/>
          <w:color w:val="auto"/>
          <w:highlight w:val="none"/>
        </w:rPr>
      </w:pPr>
      <w:r>
        <w:rPr>
          <w:rFonts w:ascii="Times New Roman" w:hAnsi="Times New Roman" w:cs="Times New Roman"/>
          <w:color w:val="auto"/>
          <w:highlight w:val="none"/>
        </w:rPr>
        <w:t xml:space="preserve">质量标准：合格</w:t>
      </w:r>
      <w:r/>
    </w:p>
    <w:p>
      <w:pPr>
        <w:ind w:firstLine="482"/>
        <w:rPr>
          <w:rFonts w:ascii="Times New Roman" w:hAnsi="Times New Roman" w:cs="Times New Roman"/>
          <w:color w:val="auto"/>
          <w:highlight w:val="none"/>
        </w:rPr>
      </w:pPr>
      <w:r>
        <w:rPr>
          <w:rFonts w:hint="eastAsia" w:ascii="宋体" w:hAnsi="宋体" w:cs="宋体"/>
          <w:b/>
          <w:bCs/>
          <w:color w:val="auto"/>
          <w:highlight w:val="none"/>
          <w:lang w:val="zh-CN"/>
        </w:rPr>
        <w:t xml:space="preserve">★</w:t>
      </w:r>
      <w:r>
        <w:rPr>
          <w:rFonts w:ascii="Times New Roman" w:hAnsi="Times New Roman" w:cs="Times New Roman"/>
          <w:b/>
          <w:bCs/>
          <w:color w:val="auto"/>
          <w:highlight w:val="none"/>
          <w:u w:val="none"/>
        </w:rPr>
        <w:t xml:space="preserve">合同履行期限</w:t>
      </w:r>
      <w:r>
        <w:rPr>
          <w:rFonts w:hint="eastAsia" w:ascii="Times New Roman" w:hAnsi="Times New Roman" w:cs="Times New Roman"/>
          <w:b/>
          <w:bCs/>
          <w:color w:val="auto"/>
          <w:highlight w:val="none"/>
          <w:u w:val="none"/>
        </w:rPr>
        <w:t xml:space="preserve">（工期）</w:t>
      </w:r>
      <w:r>
        <w:rPr>
          <w:rFonts w:ascii="Times New Roman" w:hAnsi="Times New Roman" w:cs="Times New Roman"/>
          <w:b/>
          <w:bCs/>
          <w:color w:val="auto"/>
          <w:highlight w:val="none"/>
          <w:u w:val="none"/>
        </w:rPr>
        <w:t xml:space="preserve">：</w:t>
      </w:r>
      <w:r>
        <w:rPr>
          <w:rFonts w:hint="eastAsia" w:ascii="宋体" w:hAnsi="宋体" w:cs="宋体"/>
          <w:b/>
          <w:bCs/>
          <w:color w:val="auto"/>
          <w:highlight w:val="none"/>
          <w:lang w:val="en-US" w:eastAsia="zh-CN"/>
        </w:rPr>
        <w:t xml:space="preserve">20</w:t>
      </w:r>
      <w:r>
        <w:rPr>
          <w:rFonts w:hint="eastAsia" w:ascii="宋体" w:hAnsi="宋体" w:cs="宋体"/>
          <w:b/>
          <w:bCs/>
          <w:color w:val="auto"/>
          <w:highlight w:val="none"/>
          <w:lang w:val="zh-CN"/>
        </w:rPr>
        <w:t xml:space="preserve">日历天（具体开工日期以采购人发出的书面开工令为准）。</w:t>
      </w:r>
      <w:r/>
    </w:p>
    <w:p>
      <w:pPr>
        <w:numPr>
          <w:ilvl w:val="0"/>
          <w:numId w:val="3"/>
        </w:numPr>
        <w:ind w:firstLine="482"/>
        <w:rPr>
          <w:rFonts w:hint="eastAsia" w:ascii="Times New Roman" w:hAnsi="Times New Roman" w:eastAsia="宋体" w:cs="Times New Roman"/>
          <w:b/>
          <w:bCs/>
          <w:color w:val="auto"/>
          <w:szCs w:val="20"/>
          <w:highlight w:val="none"/>
        </w:rPr>
      </w:pPr>
      <w:r>
        <w:rPr>
          <w:rFonts w:hint="eastAsia" w:ascii="Times New Roman" w:hAnsi="Times New Roman" w:eastAsia="宋体" w:cs="Times New Roman"/>
          <w:b/>
          <w:bCs/>
          <w:color w:val="auto"/>
          <w:szCs w:val="20"/>
          <w:highlight w:val="none"/>
        </w:rPr>
        <w:t xml:space="preserve">项目要求</w:t>
      </w:r>
      <w:r/>
    </w:p>
    <w:p>
      <w:pPr>
        <w:ind w:firstLine="480"/>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、安全要求：应严格按照国家及省市安全生产相关规定，采取合理的安全措施组织施工， </w:t>
      </w:r>
      <w:r>
        <w:rPr>
          <w:rFonts w:hint="eastAsia" w:ascii="Times New Roman" w:hAnsi="Times New Roman" w:eastAsia="宋体" w:cs="Times New Roman"/>
          <w:color w:val="auto"/>
          <w:highlight w:val="none"/>
          <w:lang w:val="en-US" w:eastAsia="zh-CN"/>
        </w:rPr>
        <w:t xml:space="preserve">由供应商引起的安全事故责任由供应商承担。 </w:t>
      </w:r>
      <w:r>
        <w:rPr>
          <w:rFonts w:hint="eastAsia" w:ascii="Times New Roman" w:hAnsi="Times New Roman" w:eastAsia="宋体" w:cs="Times New Roman"/>
          <w:color w:val="auto"/>
          <w:highlight w:val="none"/>
          <w:lang w:val="en-US" w:eastAsia="zh-CN"/>
        </w:rPr>
      </w:r>
      <w:r/>
    </w:p>
    <w:p>
      <w:pPr>
        <w:numPr>
          <w:ilvl w:val="0"/>
          <w:numId w:val="0"/>
        </w:numP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  2、执行苏建价〔2026〕76号，措施项目清单中的安全生产措施费的费率应满足国家及省相关部门规定，投标人投标时的费率不得低于《江苏省建设工程费用参考》（2026年）所对应的最低费率，否则产生的一切后果由投标人自行承担。</w:t>
      </w:r>
      <w:r/>
    </w:p>
    <w:p>
      <w:pPr>
        <w:numPr>
          <w:ilvl w:val="0"/>
          <w:numId w:val="3"/>
        </w:numPr>
        <w:ind w:firstLine="482"/>
        <w:rPr>
          <w:rFonts w:hint="eastAsia" w:ascii="Times New Roman" w:hAnsi="Times New Roman" w:eastAsia="宋体" w:cs="Times New Roman"/>
          <w:b/>
          <w:bCs/>
          <w:color w:val="auto"/>
          <w:szCs w:val="20"/>
          <w:highlight w:val="none"/>
        </w:rPr>
      </w:pPr>
      <w:r>
        <w:rPr>
          <w:rFonts w:hint="eastAsia" w:ascii="Times New Roman" w:hAnsi="Times New Roman" w:eastAsia="宋体" w:cs="Times New Roman"/>
          <w:b/>
          <w:bCs/>
          <w:color w:val="auto"/>
          <w:szCs w:val="20"/>
          <w:highlight w:val="none"/>
        </w:rPr>
        <w:t xml:space="preserve">项目其他要求</w:t>
      </w:r>
      <w:r/>
    </w:p>
    <w:p>
      <w:pPr>
        <w:pStyle w:val="1206"/>
        <w:ind w:left="0" w:right="0" w:firstLine="422"/>
        <w:keepLines w:val="0"/>
        <w:keepNext w:val="0"/>
        <w:pageBreakBefore w:val="0"/>
        <w:spacing w:beforeAutospacing="0" w:afterAutospacing="0" w:line="384" w:lineRule="auto"/>
        <w:widowControl w:val="off"/>
        <w:rPr>
          <w:rFonts w:hint="eastAsia" w:ascii="宋体" w:hAnsi="宋体" w:eastAsia="宋体" w:cs="宋体"/>
          <w:b/>
          <w:bCs/>
          <w:color w:val="auto"/>
          <w:sz w:val="24"/>
          <w:highlight w:val="none"/>
          <w:lang w:val="en-US" w:eastAsia="zh-CN"/>
        </w:rPr>
        <w:outlineLvl w:val="9"/>
      </w:pPr>
      <w:r>
        <w:rPr>
          <w:rFonts w:hint="eastAsia" w:ascii="宋体" w:hAnsi="宋体" w:cs="宋体"/>
          <w:b/>
          <w:bCs/>
          <w:color w:val="auto"/>
          <w:highlight w:val="none"/>
          <w:lang w:val="zh-CN"/>
        </w:rPr>
        <w:t xml:space="preserve">★</w:t>
      </w:r>
      <w:r>
        <w:rPr>
          <w:rFonts w:hint="eastAsia" w:ascii="Times New Roman" w:hAnsi="Times New Roman" w:eastAsia="宋体" w:cs="Times New Roman"/>
          <w:b/>
          <w:bCs/>
          <w:color w:val="auto"/>
          <w:highlight w:val="none"/>
        </w:rPr>
        <w:t xml:space="preserve">1、付款方式：</w:t>
      </w:r>
      <w:r>
        <w:rPr>
          <w:rFonts w:hint="eastAsia" w:ascii="宋体" w:hAnsi="宋体" w:eastAsia="宋体" w:cs="宋体"/>
          <w:b/>
          <w:bCs/>
          <w:color w:val="auto"/>
          <w:sz w:val="24"/>
          <w:highlight w:val="none"/>
          <w:lang w:val="en-US" w:eastAsia="zh-CN"/>
        </w:rPr>
        <w:t xml:space="preserve">工程完工并验收合格后付已完合格</w:t>
      </w:r>
      <w:r>
        <w:rPr>
          <w:rFonts w:hint="eastAsia" w:ascii="宋体" w:hAnsi="宋体" w:cs="宋体"/>
          <w:b/>
          <w:bCs/>
          <w:color w:val="auto"/>
          <w:sz w:val="24"/>
          <w:highlight w:val="none"/>
          <w:lang w:val="en-US" w:eastAsia="zh-CN"/>
        </w:rPr>
        <w:t xml:space="preserve">清单</w:t>
      </w:r>
      <w:r>
        <w:rPr>
          <w:rFonts w:hint="eastAsia" w:ascii="宋体" w:hAnsi="宋体" w:eastAsia="宋体" w:cs="宋体"/>
          <w:b/>
          <w:bCs/>
          <w:color w:val="auto"/>
          <w:sz w:val="24"/>
          <w:highlight w:val="none"/>
          <w:lang w:val="en-US" w:eastAsia="zh-CN"/>
        </w:rPr>
        <w:t xml:space="preserve">工程量价款的80%，工程结算审计完成后付至审定价的97%。留审定价款的3％作为质量保修金，待质保期（2年）满后且无质量问题也无违约情况下付清余款（不计利息）。</w:t>
      </w:r>
      <w:r/>
    </w:p>
    <w:p>
      <w:pPr>
        <w:ind w:left="0" w:right="0" w:firstLine="422"/>
        <w:jc w:val="both"/>
        <w:keepLines w:val="0"/>
        <w:keepNext w:val="0"/>
        <w:pageBreakBefore w:val="0"/>
        <w:spacing w:beforeAutospacing="0" w:afterAutospacing="0" w:line="384" w:lineRule="auto"/>
        <w:widowControl w:val="off"/>
        <w:rPr>
          <w:rFonts w:hint="eastAsia" w:ascii="Times New Roman" w:hAnsi="Times New Roman" w:eastAsia="宋体" w:cs="Times New Roman"/>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每次支付货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p>
    <w:p>
      <w:pPr>
        <w:ind w:firstLine="720"/>
        <w:rPr>
          <w:rFonts w:hint="eastAsia" w:ascii="Times New Roman" w:hAnsi="Times New Roman" w:eastAsia="宋体" w:cs="Times New Roman"/>
          <w:b w:val="0"/>
          <w:bCs w:val="0"/>
          <w:color w:val="auto"/>
          <w:highlight w:val="none"/>
        </w:rPr>
      </w:pPr>
      <w:r>
        <w:rPr>
          <w:rFonts w:hint="eastAsia" w:cs="Times New Roman"/>
          <w:b w:val="0"/>
          <w:bCs w:val="0"/>
          <w:color w:val="auto"/>
          <w:highlight w:val="none"/>
          <w:lang w:val="en-US" w:eastAsia="zh-CN"/>
        </w:rPr>
        <w:t xml:space="preserve">2</w:t>
      </w:r>
      <w:r>
        <w:rPr>
          <w:rFonts w:hint="eastAsia" w:ascii="Times New Roman" w:hAnsi="Times New Roman" w:eastAsia="宋体" w:cs="Times New Roman"/>
          <w:b w:val="0"/>
          <w:bCs w:val="0"/>
          <w:color w:val="auto"/>
          <w:highlight w:val="none"/>
        </w:rPr>
        <w:t xml:space="preserve">、本工程质保期为 2 年。</w:t>
      </w:r>
      <w:r/>
    </w:p>
    <w:p>
      <w:pPr>
        <w:ind w:firstLine="720"/>
        <w:rPr>
          <w:rFonts w:hint="eastAsia" w:ascii="Times New Roman" w:hAnsi="Times New Roman" w:eastAsia="宋体" w:cs="Times New Roman"/>
          <w:b w:val="0"/>
          <w:bCs w:val="0"/>
          <w:color w:val="auto"/>
          <w:highlight w:val="none"/>
        </w:rPr>
      </w:pPr>
      <w:r>
        <w:rPr>
          <w:rFonts w:hint="eastAsia" w:cs="Times New Roman"/>
          <w:b w:val="0"/>
          <w:bCs w:val="0"/>
          <w:color w:val="auto"/>
          <w:highlight w:val="none"/>
          <w:lang w:val="en-US" w:eastAsia="zh-CN"/>
        </w:rPr>
        <w:t xml:space="preserve">3</w:t>
      </w:r>
      <w:r>
        <w:rPr>
          <w:rFonts w:hint="eastAsia" w:ascii="Times New Roman" w:hAnsi="Times New Roman" w:eastAsia="宋体" w:cs="Times New Roman"/>
          <w:b w:val="0"/>
          <w:bCs w:val="0"/>
          <w:color w:val="auto"/>
          <w:highlight w:val="none"/>
          <w:lang w:eastAsia="zh-CN"/>
        </w:rPr>
        <w:t xml:space="preserve">、</w:t>
      </w:r>
      <w:r>
        <w:rPr>
          <w:rFonts w:hint="eastAsia" w:ascii="Times New Roman" w:hAnsi="Times New Roman" w:eastAsia="宋体" w:cs="Times New Roman"/>
          <w:b w:val="0"/>
          <w:bCs w:val="0"/>
          <w:color w:val="auto"/>
          <w:highlight w:val="none"/>
        </w:rPr>
        <w:t xml:space="preserve">履约保证金： 本项目不收取履约保证金。</w:t>
      </w:r>
      <w:r/>
    </w:p>
    <w:p>
      <w:pPr>
        <w:ind w:firstLine="720"/>
        <w:rPr>
          <w:b/>
          <w:bCs/>
          <w:color w:val="auto"/>
          <w:highlight w:val="none"/>
        </w:rPr>
      </w:pPr>
      <w:r>
        <w:rPr>
          <w:rFonts w:hint="eastAsia" w:cs="Times New Roman"/>
          <w:b w:val="0"/>
          <w:bCs w:val="0"/>
          <w:color w:val="auto"/>
          <w:highlight w:val="none"/>
          <w:lang w:val="en-US" w:eastAsia="zh-CN"/>
        </w:rPr>
        <w:t xml:space="preserve">4</w:t>
      </w:r>
      <w:r>
        <w:rPr>
          <w:rFonts w:hint="eastAsia" w:ascii="Times New Roman" w:hAnsi="Times New Roman" w:eastAsia="宋体" w:cs="Times New Roman"/>
          <w:b w:val="0"/>
          <w:bCs w:val="0"/>
          <w:color w:val="auto"/>
          <w:highlight w:val="none"/>
          <w:lang w:val="en-US" w:eastAsia="zh-CN"/>
        </w:rPr>
        <w:t xml:space="preserve">、</w:t>
      </w:r>
      <w:r>
        <w:rPr>
          <w:rFonts w:hint="eastAsia" w:ascii="Times New Roman" w:hAnsi="Times New Roman" w:eastAsia="宋体" w:cs="Times New Roman"/>
          <w:b w:val="0"/>
          <w:bCs w:val="0"/>
          <w:color w:val="auto"/>
          <w:highlight w:val="none"/>
        </w:rPr>
        <w:t xml:space="preserve">本项目中涉及商品包装和快递包装的，中标供应商提供产品及相关快递服务的具体包装要满足《商品包装政府采购需求标准（试行）》、《快递包装政府采购需求标准（试行）》的相关要求。</w:t>
      </w:r>
      <w:r/>
    </w:p>
    <w:p>
      <w:pPr>
        <w:ind w:firstLine="480"/>
        <w:rPr>
          <w:color w:val="auto"/>
          <w:highlight w:val="none"/>
        </w:rPr>
      </w:pPr>
      <w:r>
        <w:rPr>
          <w:color w:val="auto"/>
          <w:highlight w:val="none"/>
        </w:rPr>
        <w:br w:type="page" w:clear="all"/>
      </w:r>
      <w:bookmarkStart w:id="919" w:name="_Toc465267864"/>
      <w:r/>
      <w:bookmarkStart w:id="920" w:name="_Toc482347465"/>
      <w:r>
        <w:rPr>
          <w:color w:val="auto"/>
          <w:highlight w:val="none"/>
        </w:rPr>
        <w:t xml:space="preserve"> </w:t>
      </w:r>
      <w:r/>
    </w:p>
    <w:p>
      <w:pPr>
        <w:pStyle w:val="1088"/>
        <w:rPr>
          <w:color w:val="auto"/>
          <w:highlight w:val="none"/>
        </w:rPr>
      </w:pPr>
      <w:r/>
      <w:bookmarkStart w:id="921" w:name="_Toc1739"/>
      <w:r>
        <w:rPr>
          <w:color w:val="auto"/>
          <w:highlight w:val="none"/>
        </w:rPr>
        <w:t xml:space="preserve">第五章 工程量清单</w:t>
      </w:r>
      <w:bookmarkEnd w:id="921"/>
      <w:r/>
      <w:bookmarkEnd w:id="916"/>
      <w:r/>
      <w:bookmarkEnd w:id="917"/>
      <w:r/>
      <w:bookmarkEnd w:id="918"/>
      <w:r/>
      <w:bookmarkEnd w:id="919"/>
      <w:r/>
      <w:bookmarkEnd w:id="920"/>
      <w:r/>
      <w:r/>
    </w:p>
    <w:p>
      <w:pPr>
        <w:ind w:firstLine="480"/>
        <w:jc w:val="left"/>
        <w:widowControl/>
        <w:rPr>
          <w:color w:val="auto"/>
          <w:highlight w:val="none"/>
        </w:rPr>
      </w:pPr>
      <w:r/>
      <w:bookmarkStart w:id="922" w:name="_Toc465267866"/>
      <w:r/>
      <w:bookmarkStart w:id="923" w:name="_Toc204595696"/>
      <w:r/>
      <w:bookmarkStart w:id="924" w:name="_Toc482347467"/>
      <w:r/>
      <w:r/>
    </w:p>
    <w:p>
      <w:pPr>
        <w:ind w:firstLine="480"/>
        <w:jc w:val="center"/>
        <w:widowControl/>
        <w:rPr>
          <w:color w:val="auto"/>
          <w:highlight w:val="none"/>
        </w:rPr>
      </w:pPr>
      <w:r>
        <w:rPr>
          <w:rFonts w:hint="eastAsia"/>
          <w:color w:val="auto"/>
          <w:highlight w:val="none"/>
        </w:rPr>
        <w:t xml:space="preserve">详见附件</w:t>
      </w:r>
      <w:r/>
    </w:p>
    <w:p>
      <w:pPr>
        <w:pStyle w:val="1088"/>
        <w:rPr>
          <w:color w:val="auto"/>
          <w:highlight w:val="none"/>
        </w:rPr>
      </w:pPr>
      <w:r>
        <w:rPr>
          <w:color w:val="auto"/>
          <w:highlight w:val="none"/>
        </w:rPr>
        <w:br w:type="page" w:clear="all"/>
      </w:r>
      <w:bookmarkStart w:id="925" w:name="_Toc31032"/>
      <w:r>
        <w:rPr>
          <w:color w:val="auto"/>
          <w:highlight w:val="none"/>
        </w:rPr>
        <w:t xml:space="preserve">第六章  磋商响应文件格式</w:t>
      </w:r>
      <w:bookmarkEnd w:id="922"/>
      <w:r/>
      <w:bookmarkEnd w:id="923"/>
      <w:r/>
      <w:bookmarkEnd w:id="924"/>
      <w:r/>
      <w:bookmarkEnd w:id="925"/>
      <w:r/>
      <w:r/>
    </w:p>
    <w:p>
      <w:pPr>
        <w:ind w:firstLine="880"/>
        <w:jc w:val="center"/>
        <w:rPr>
          <w:rFonts w:eastAsia="黑体"/>
          <w:color w:val="auto"/>
          <w:sz w:val="44"/>
          <w:szCs w:val="44"/>
          <w:highlight w:val="none"/>
        </w:rPr>
      </w:pPr>
      <w:r>
        <w:rPr>
          <w:rFonts w:eastAsia="黑体"/>
          <w:color w:val="auto"/>
          <w:sz w:val="44"/>
          <w:szCs w:val="44"/>
          <w:highlight w:val="none"/>
        </w:rPr>
      </w:r>
      <w:r/>
    </w:p>
    <w:p>
      <w:pPr>
        <w:ind w:firstLine="0"/>
        <w:jc w:val="center"/>
        <w:rPr>
          <w:rFonts w:eastAsia="黑体"/>
          <w:color w:val="auto"/>
          <w:sz w:val="44"/>
          <w:szCs w:val="44"/>
          <w:highlight w:val="none"/>
        </w:rPr>
      </w:pPr>
      <w:r>
        <w:rPr>
          <w:rFonts w:hint="eastAsia" w:eastAsia="黑体"/>
          <w:color w:val="auto"/>
          <w:sz w:val="44"/>
          <w:szCs w:val="44"/>
          <w:highlight w:val="none"/>
        </w:rPr>
        <w:t xml:space="preserve">（</w:t>
      </w:r>
      <w:r>
        <w:rPr>
          <w:rFonts w:eastAsia="黑体"/>
          <w:color w:val="auto"/>
          <w:sz w:val="44"/>
          <w:szCs w:val="44"/>
          <w:highlight w:val="none"/>
        </w:rPr>
        <w:t xml:space="preserve">封      面</w:t>
      </w:r>
      <w:r>
        <w:rPr>
          <w:rFonts w:hint="eastAsia" w:eastAsia="黑体"/>
          <w:color w:val="auto"/>
          <w:sz w:val="44"/>
          <w:szCs w:val="44"/>
          <w:highlight w:val="none"/>
        </w:rPr>
        <w:t xml:space="preserve">）</w:t>
      </w:r>
      <w:r/>
    </w:p>
    <w:p>
      <w:pPr>
        <w:pStyle w:val="1109"/>
        <w:ind w:firstLine="0"/>
        <w:jc w:val="center"/>
        <w:spacing w:line="264" w:lineRule="auto"/>
        <w:shd w:val="clear" w:color="auto" w:fill="ffffff"/>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r>
      <w:r/>
    </w:p>
    <w:p>
      <w:pPr>
        <w:pStyle w:val="1109"/>
        <w:ind w:firstLine="0"/>
        <w:jc w:val="center"/>
        <w:spacing w:line="264" w:lineRule="auto"/>
        <w:shd w:val="clear" w:color="auto" w:fill="ffffff"/>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t xml:space="preserve">__________________________________</w:t>
      </w:r>
      <w:r>
        <w:rPr>
          <w:rFonts w:ascii="Times New Roman" w:hAnsi="Times New Roman" w:eastAsia="黑体"/>
          <w:color w:val="auto"/>
          <w:sz w:val="44"/>
          <w:szCs w:val="21"/>
          <w:highlight w:val="none"/>
        </w:rPr>
        <w:t xml:space="preserve">工程</w:t>
      </w:r>
      <w:r/>
    </w:p>
    <w:p>
      <w:pPr>
        <w:pStyle w:val="1109"/>
        <w:ind w:firstLine="0"/>
        <w:jc w:val="center"/>
        <w:spacing w:line="264" w:lineRule="auto"/>
        <w:shd w:val="clear" w:color="auto" w:fill="ffffff"/>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r>
      <w:r/>
    </w:p>
    <w:p>
      <w:pPr>
        <w:pStyle w:val="1109"/>
        <w:ind w:firstLine="0"/>
        <w:jc w:val="center"/>
        <w:spacing w:line="264" w:lineRule="auto"/>
        <w:shd w:val="clear" w:color="auto" w:fill="ffffff"/>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t xml:space="preserve">竞争性磋商响应文件</w:t>
      </w:r>
      <w:r/>
    </w:p>
    <w:p>
      <w:pPr>
        <w:pStyle w:val="1109"/>
        <w:ind w:firstLine="0"/>
        <w:jc w:val="center"/>
        <w:spacing w:line="264" w:lineRule="auto"/>
        <w:shd w:val="clear" w:color="auto" w:fill="ffffff"/>
        <w:rPr>
          <w:rFonts w:ascii="Times New Roman" w:hAnsi="Times New Roman" w:eastAsia="黑体"/>
          <w:b/>
          <w:color w:val="auto"/>
          <w:sz w:val="52"/>
          <w:szCs w:val="52"/>
          <w:highlight w:val="none"/>
        </w:rPr>
      </w:pPr>
      <w:r>
        <w:rPr>
          <w:rFonts w:hint="eastAsia" w:ascii="Times New Roman" w:hAnsi="Times New Roman" w:eastAsia="黑体"/>
          <w:b/>
          <w:color w:val="auto"/>
          <w:sz w:val="52"/>
          <w:szCs w:val="52"/>
          <w:highlight w:val="none"/>
        </w:rPr>
        <w:t xml:space="preserve">（</w:t>
      </w:r>
      <w:r>
        <w:rPr>
          <w:rFonts w:ascii="Times New Roman" w:hAnsi="Times New Roman" w:eastAsia="黑体"/>
          <w:b/>
          <w:color w:val="auto"/>
          <w:sz w:val="52"/>
          <w:szCs w:val="52"/>
          <w:highlight w:val="none"/>
        </w:rPr>
        <w:t xml:space="preserve">正本或副本</w:t>
      </w:r>
      <w:r>
        <w:rPr>
          <w:rFonts w:hint="eastAsia" w:ascii="Times New Roman" w:hAnsi="Times New Roman" w:eastAsia="黑体"/>
          <w:b/>
          <w:color w:val="auto"/>
          <w:sz w:val="52"/>
          <w:szCs w:val="52"/>
          <w:highlight w:val="none"/>
        </w:rPr>
        <w:t xml:space="preserve">）</w:t>
      </w:r>
      <w:r/>
    </w:p>
    <w:p>
      <w:pPr>
        <w:pStyle w:val="1109"/>
        <w:ind w:firstLine="0"/>
        <w:jc w:val="center"/>
        <w:spacing w:line="264" w:lineRule="auto"/>
        <w:shd w:val="clear" w:color="auto" w:fill="ffffff"/>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t xml:space="preserve">项目编号：</w:t>
      </w:r>
      <w:r/>
    </w:p>
    <w:p>
      <w:pPr>
        <w:pStyle w:val="1109"/>
        <w:ind w:firstLine="1440"/>
        <w:jc w:val="center"/>
        <w:spacing w:line="264" w:lineRule="auto"/>
        <w:shd w:val="clear" w:color="auto" w:fill="ffffff"/>
        <w:rPr>
          <w:rFonts w:ascii="Times New Roman" w:hAnsi="Times New Roman" w:eastAsia="黑体"/>
          <w:color w:val="auto"/>
          <w:sz w:val="72"/>
          <w:szCs w:val="21"/>
          <w:highlight w:val="none"/>
        </w:rPr>
      </w:pPr>
      <w:r>
        <w:rPr>
          <w:rFonts w:ascii="Times New Roman" w:hAnsi="Times New Roman" w:eastAsia="黑体"/>
          <w:color w:val="auto"/>
          <w:sz w:val="72"/>
          <w:szCs w:val="21"/>
          <w:highlight w:val="none"/>
        </w:rPr>
      </w:r>
      <w:r/>
    </w:p>
    <w:p>
      <w:pPr>
        <w:pStyle w:val="1109"/>
        <w:ind w:firstLine="1440"/>
        <w:jc w:val="center"/>
        <w:spacing w:line="264" w:lineRule="auto"/>
        <w:shd w:val="clear" w:color="auto" w:fill="ffffff"/>
        <w:rPr>
          <w:rFonts w:ascii="Times New Roman" w:hAnsi="Times New Roman" w:eastAsia="黑体"/>
          <w:color w:val="auto"/>
          <w:sz w:val="72"/>
          <w:szCs w:val="21"/>
          <w:highlight w:val="none"/>
        </w:rPr>
      </w:pPr>
      <w:r>
        <w:rPr>
          <w:rFonts w:ascii="Times New Roman" w:hAnsi="Times New Roman" w:eastAsia="黑体"/>
          <w:color w:val="auto"/>
          <w:sz w:val="72"/>
          <w:szCs w:val="21"/>
          <w:highlight w:val="none"/>
        </w:rPr>
      </w:r>
      <w:r/>
    </w:p>
    <w:p>
      <w:pPr>
        <w:pStyle w:val="1109"/>
        <w:ind w:left="629" w:firstLine="600"/>
        <w:spacing w:line="600" w:lineRule="auto"/>
        <w:shd w:val="clear" w:color="auto" w:fill="ffffff"/>
        <w:rPr>
          <w:rFonts w:ascii="Times New Roman" w:hAnsi="Times New Roman"/>
          <w:color w:val="auto"/>
          <w:sz w:val="30"/>
          <w:szCs w:val="21"/>
          <w:highlight w:val="none"/>
        </w:rPr>
      </w:pPr>
      <w:r>
        <w:rPr>
          <w:rFonts w:ascii="Times New Roman" w:hAnsi="Times New Roman"/>
          <w:color w:val="auto"/>
          <w:sz w:val="30"/>
          <w:szCs w:val="21"/>
          <w:highlight w:val="none"/>
        </w:rPr>
        <w:t xml:space="preserve">供 应 商</w:t>
      </w:r>
      <w:r>
        <w:rPr>
          <w:rFonts w:hint="eastAsia" w:ascii="Times New Roman" w:hAnsi="Times New Roman"/>
          <w:color w:val="auto"/>
          <w:sz w:val="30"/>
          <w:szCs w:val="21"/>
          <w:highlight w:val="none"/>
        </w:rPr>
        <w:t xml:space="preserve">（</w:t>
      </w:r>
      <w:r>
        <w:rPr>
          <w:rFonts w:ascii="Times New Roman" w:hAnsi="Times New Roman"/>
          <w:color w:val="auto"/>
          <w:sz w:val="30"/>
          <w:szCs w:val="21"/>
          <w:highlight w:val="none"/>
        </w:rPr>
        <w:t xml:space="preserve">公章</w:t>
      </w:r>
      <w:r>
        <w:rPr>
          <w:rFonts w:hint="eastAsia" w:ascii="Times New Roman" w:hAnsi="Times New Roman"/>
          <w:color w:val="auto"/>
          <w:sz w:val="30"/>
          <w:szCs w:val="21"/>
          <w:highlight w:val="none"/>
        </w:rPr>
        <w:t xml:space="preserve">）</w:t>
      </w:r>
      <w:r>
        <w:rPr>
          <w:rFonts w:ascii="Times New Roman" w:hAnsi="Times New Roman"/>
          <w:color w:val="auto"/>
          <w:sz w:val="30"/>
          <w:szCs w:val="21"/>
          <w:highlight w:val="none"/>
        </w:rPr>
        <w:t xml:space="preserve">:</w:t>
      </w:r>
      <w:r/>
    </w:p>
    <w:p>
      <w:pPr>
        <w:pStyle w:val="1109"/>
        <w:ind w:left="629" w:firstLine="600"/>
        <w:spacing w:line="600" w:lineRule="auto"/>
        <w:shd w:val="clear" w:color="auto" w:fill="ffffff"/>
        <w:rPr>
          <w:rFonts w:ascii="Times New Roman" w:hAnsi="Times New Roman"/>
          <w:color w:val="auto"/>
          <w:sz w:val="30"/>
          <w:szCs w:val="21"/>
          <w:highlight w:val="none"/>
        </w:rPr>
      </w:pPr>
      <w:r>
        <w:rPr>
          <w:rFonts w:ascii="Times New Roman" w:hAnsi="Times New Roman"/>
          <w:color w:val="auto"/>
          <w:sz w:val="30"/>
          <w:szCs w:val="21"/>
          <w:highlight w:val="none"/>
        </w:rPr>
        <w:t xml:space="preserve">法定代表人或委托代理人</w:t>
      </w:r>
      <w:r>
        <w:rPr>
          <w:rFonts w:hint="eastAsia" w:ascii="Times New Roman" w:hAnsi="Times New Roman"/>
          <w:color w:val="auto"/>
          <w:sz w:val="30"/>
          <w:szCs w:val="21"/>
          <w:highlight w:val="none"/>
        </w:rPr>
        <w:t xml:space="preserve">：</w:t>
      </w:r>
      <w:r/>
    </w:p>
    <w:p>
      <w:pPr>
        <w:pStyle w:val="1109"/>
        <w:ind w:left="629" w:firstLine="600"/>
        <w:spacing w:line="600" w:lineRule="auto"/>
        <w:shd w:val="clear" w:color="auto" w:fill="ffffff"/>
        <w:rPr>
          <w:rFonts w:ascii="Times New Roman" w:hAnsi="Times New Roman"/>
          <w:color w:val="auto"/>
          <w:sz w:val="72"/>
          <w:szCs w:val="21"/>
          <w:highlight w:val="none"/>
        </w:rPr>
      </w:pPr>
      <w:r>
        <w:rPr>
          <w:rFonts w:ascii="Times New Roman" w:hAnsi="Times New Roman"/>
          <w:color w:val="auto"/>
          <w:sz w:val="30"/>
          <w:szCs w:val="21"/>
          <w:highlight w:val="none"/>
        </w:rPr>
        <w:t xml:space="preserve">日期：__________年__________月____________日</w:t>
      </w:r>
      <w:r/>
    </w:p>
    <w:p>
      <w:pPr>
        <w:pStyle w:val="1109"/>
        <w:ind w:firstLine="0"/>
        <w:spacing w:line="300" w:lineRule="auto"/>
        <w:shd w:val="clear" w:color="auto" w:fill="ffffff"/>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123"/>
        <w:ind w:left="0" w:firstLine="0"/>
        <w:rPr>
          <w:b/>
          <w:bCs/>
          <w:color w:val="auto"/>
          <w:sz w:val="32"/>
          <w:szCs w:val="32"/>
          <w:highlight w:val="none"/>
        </w:rPr>
      </w:pPr>
      <w:r>
        <w:rPr>
          <w:b/>
          <w:bCs/>
          <w:color w:val="auto"/>
          <w:sz w:val="32"/>
          <w:szCs w:val="32"/>
          <w:highlight w:val="none"/>
        </w:rPr>
      </w:r>
      <w:r/>
    </w:p>
    <w:p>
      <w:pPr>
        <w:pStyle w:val="1123"/>
        <w:ind w:left="0" w:firstLine="0"/>
        <w:jc w:val="center"/>
        <w:rPr>
          <w:b/>
          <w:bCs/>
          <w:color w:val="auto"/>
          <w:sz w:val="32"/>
          <w:szCs w:val="32"/>
          <w:highlight w:val="none"/>
        </w:rPr>
      </w:pPr>
      <w:r>
        <w:rPr>
          <w:b/>
          <w:bCs/>
          <w:color w:val="auto"/>
          <w:sz w:val="32"/>
          <w:szCs w:val="32"/>
          <w:highlight w:val="none"/>
        </w:rPr>
        <w:br w:type="page" w:clear="all"/>
      </w:r>
      <w:r>
        <w:rPr>
          <w:b/>
          <w:bCs/>
          <w:color w:val="auto"/>
          <w:sz w:val="32"/>
          <w:szCs w:val="32"/>
          <w:highlight w:val="none"/>
        </w:rPr>
        <w:t xml:space="preserve">一、磋商响应函</w:t>
      </w:r>
      <w:r/>
    </w:p>
    <w:p>
      <w:pPr>
        <w:pStyle w:val="1123"/>
        <w:ind w:left="0" w:firstLine="0"/>
        <w:rPr>
          <w:bCs/>
          <w:color w:val="auto"/>
          <w:sz w:val="21"/>
          <w:szCs w:val="20"/>
          <w:highlight w:val="none"/>
        </w:rPr>
      </w:pPr>
      <w:r>
        <w:rPr>
          <w:bCs/>
          <w:color w:val="auto"/>
          <w:sz w:val="21"/>
          <w:szCs w:val="20"/>
          <w:highlight w:val="none"/>
        </w:rPr>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（采购人）：</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1、根据你方项目编号为 </w:t>
      </w:r>
      <w:r>
        <w:rPr>
          <w:rFonts w:hint="eastAsia"/>
          <w:color w:val="auto"/>
          <w:highlight w:val="none"/>
          <w:u w:val="single"/>
        </w:rPr>
        <w:t xml:space="preserve">    （</w:t>
      </w:r>
      <w:r>
        <w:rPr>
          <w:rFonts w:hint="eastAsia"/>
          <w:color w:val="auto"/>
          <w:highlight w:val="none"/>
        </w:rPr>
        <w:t xml:space="preserve">标段编号）的 </w:t>
      </w:r>
      <w:r>
        <w:rPr>
          <w:rFonts w:hint="eastAsia"/>
          <w:color w:val="auto"/>
          <w:highlight w:val="none"/>
          <w:u w:val="single"/>
        </w:rPr>
        <w:t xml:space="preserve">          （</w:t>
      </w:r>
      <w:r>
        <w:rPr>
          <w:rFonts w:hint="eastAsia"/>
          <w:color w:val="auto"/>
          <w:highlight w:val="none"/>
        </w:rPr>
        <w:t xml:space="preserve">标段名称）工程招标文件，遵照《中华人民共和国招标投标法》等有关规定，经踏勘项目现场和研究上述招标文件的投标须知、合同条款、图纸、工程建设标准和工程量清单及其他有关文件后，我方愿以人民币</w:t>
      </w:r>
      <w:r>
        <w:rPr>
          <w:rFonts w:hint="eastAsia"/>
          <w:color w:val="auto"/>
          <w:highlight w:val="none"/>
          <w:u w:val="single"/>
        </w:rPr>
        <w:t xml:space="preserve">       </w:t>
      </w:r>
      <w:r>
        <w:rPr>
          <w:rFonts w:hint="eastAsia"/>
          <w:color w:val="auto"/>
          <w:highlight w:val="none"/>
        </w:rPr>
        <w:t xml:space="preserve">元（大写：</w:t>
      </w:r>
      <w:r>
        <w:rPr>
          <w:rFonts w:hint="eastAsia"/>
          <w:color w:val="auto"/>
          <w:highlight w:val="none"/>
          <w:u w:val="single"/>
        </w:rPr>
        <w:t xml:space="preserve">         </w:t>
      </w:r>
      <w:r>
        <w:rPr>
          <w:rFonts w:hint="eastAsia"/>
          <w:color w:val="auto"/>
          <w:highlight w:val="none"/>
        </w:rPr>
        <w:t xml:space="preserve">）的投标报价并按上述图纸、合同条款、工程建设标准和工程量清单（如有）的条件要求承包上述工程的施工、竣工，并承担任何质量缺陷保修责任。我方保证工程质量达到</w:t>
      </w:r>
      <w:r>
        <w:rPr>
          <w:rFonts w:hint="eastAsia"/>
          <w:color w:val="auto"/>
          <w:highlight w:val="none"/>
          <w:u w:val="single"/>
        </w:rPr>
        <w:t xml:space="preserve">         </w:t>
      </w:r>
      <w:r>
        <w:rPr>
          <w:rFonts w:hint="eastAsia"/>
          <w:color w:val="auto"/>
          <w:highlight w:val="none"/>
        </w:rPr>
        <w:t xml:space="preserve">标准，工期</w:t>
      </w:r>
      <w:r>
        <w:rPr>
          <w:rFonts w:hint="eastAsia"/>
          <w:color w:val="auto"/>
          <w:highlight w:val="none"/>
          <w:u w:val="single"/>
        </w:rPr>
        <w:t xml:space="preserve">          </w:t>
      </w:r>
      <w:r>
        <w:rPr>
          <w:rFonts w:hint="eastAsia"/>
          <w:color w:val="auto"/>
          <w:highlight w:val="none"/>
        </w:rPr>
        <w:t xml:space="preserve">日历天。</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2、我方保证在中标后派出项目负责人</w:t>
      </w:r>
      <w:r>
        <w:rPr>
          <w:rFonts w:hint="eastAsia"/>
          <w:color w:val="auto"/>
          <w:highlight w:val="none"/>
          <w:u w:val="single"/>
        </w:rPr>
        <w:t xml:space="preserve">       </w:t>
      </w:r>
      <w:r>
        <w:rPr>
          <w:rFonts w:hint="eastAsia"/>
          <w:color w:val="auto"/>
          <w:highlight w:val="none"/>
        </w:rPr>
        <w:t xml:space="preserve">同志（身份证号：</w:t>
      </w:r>
      <w:r>
        <w:rPr>
          <w:rFonts w:hint="eastAsia"/>
          <w:color w:val="auto"/>
          <w:highlight w:val="none"/>
          <w:u w:val="single"/>
        </w:rPr>
        <w:t xml:space="preserve">       </w:t>
      </w:r>
      <w:r>
        <w:rPr>
          <w:rFonts w:hint="eastAsia"/>
          <w:color w:val="auto"/>
          <w:highlight w:val="none"/>
        </w:rPr>
        <w:t xml:space="preserve">）全面负责本工程的施工。</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3、我方承诺在本次投标过程中无弄虚作假和串通投标等违法、违规行为，并愿意承担因弄虚作假和串通投标所引起的一切法律责任。</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4、我方承诺在投标有效期内（从投标截止时间结束后120天内）不修改、撤销投标文件。</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5、如我方中标：</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（1）我方承诺在收到中标通知书后，在中标通知书规定的期限内与你方签订合同。</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（2）我方承诺按照招标文件规定向你方递交履约担保。</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（3）我方承诺在合同约定的期限内完成并移交全部合同工程。</w:t>
      </w:r>
      <w:r/>
    </w:p>
    <w:p>
      <w:pPr>
        <w:pStyle w:val="1130"/>
        <w:ind w:firstLine="480"/>
        <w:jc w:val="both"/>
        <w:spacing w:before="0" w:beforeAutospacing="0" w:after="0" w:afterAutospacing="0"/>
        <w:rPr>
          <w:rFonts w:hint="eastAsia"/>
          <w:color w:val="auto"/>
          <w:highlight w:val="none"/>
        </w:rPr>
      </w:pPr>
      <w:r>
        <w:rPr>
          <w:rFonts w:hint="eastAsia"/>
          <w:color w:val="auto"/>
          <w:highlight w:val="none"/>
        </w:rPr>
        <w:t xml:space="preserve">（4）我方承诺不出借（挂靠）资质，如中标后被发现存在出错（挂靠）资质的行为，愿意无条件接受被取消中标（承包）资格、履约保证金不予退还，合同解除及清除出场，一切损失自行承担。</w:t>
      </w:r>
      <w:r/>
    </w:p>
    <w:p>
      <w:pPr>
        <w:ind w:firstLine="480"/>
        <w:spacing w:line="500" w:lineRule="exact"/>
        <w:rPr>
          <w:color w:val="auto"/>
          <w:szCs w:val="21"/>
          <w:highlight w:val="none"/>
        </w:rPr>
      </w:pPr>
      <w:r>
        <w:rPr>
          <w:color w:val="auto"/>
          <w:szCs w:val="21"/>
          <w:highlight w:val="none"/>
        </w:rPr>
        <w:t xml:space="preserve">磋商供应商：</w:t>
      </w:r>
      <w:r>
        <w:rPr>
          <w:rFonts w:hint="eastAsia"/>
          <w:color w:val="auto"/>
          <w:szCs w:val="21"/>
          <w:highlight w:val="none"/>
        </w:rPr>
        <w:t xml:space="preserve">（</w:t>
      </w:r>
      <w:r>
        <w:rPr>
          <w:color w:val="auto"/>
          <w:szCs w:val="21"/>
          <w:highlight w:val="none"/>
        </w:rPr>
        <w:t xml:space="preserve">盖章</w:t>
      </w:r>
      <w:r>
        <w:rPr>
          <w:rFonts w:hint="eastAsia"/>
          <w:color w:val="auto"/>
          <w:szCs w:val="21"/>
          <w:highlight w:val="none"/>
        </w:rPr>
        <w:t xml:space="preserve">）</w:t>
      </w:r>
      <w:r/>
    </w:p>
    <w:p>
      <w:pPr>
        <w:ind w:firstLine="480"/>
        <w:spacing w:line="500" w:lineRule="exact"/>
        <w:rPr>
          <w:color w:val="auto"/>
          <w:szCs w:val="21"/>
          <w:highlight w:val="none"/>
        </w:rPr>
      </w:pPr>
      <w:r>
        <w:rPr>
          <w:color w:val="auto"/>
          <w:szCs w:val="21"/>
          <w:highlight w:val="none"/>
        </w:rPr>
        <w:t xml:space="preserve">单位地址：</w:t>
      </w:r>
      <w:r/>
    </w:p>
    <w:p>
      <w:pPr>
        <w:ind w:firstLine="480"/>
        <w:spacing w:line="500" w:lineRule="exact"/>
        <w:rPr>
          <w:color w:val="auto"/>
          <w:szCs w:val="21"/>
          <w:highlight w:val="none"/>
        </w:rPr>
      </w:pPr>
      <w:r>
        <w:rPr>
          <w:color w:val="auto"/>
          <w:szCs w:val="21"/>
          <w:highlight w:val="none"/>
        </w:rPr>
        <w:t xml:space="preserve">法定代表人或委托代理人</w:t>
      </w:r>
      <w:r>
        <w:rPr>
          <w:rFonts w:hint="eastAsia"/>
          <w:color w:val="auto"/>
          <w:szCs w:val="21"/>
          <w:highlight w:val="none"/>
        </w:rPr>
        <w:t xml:space="preserve">（</w:t>
      </w:r>
      <w:r>
        <w:rPr>
          <w:color w:val="auto"/>
          <w:szCs w:val="21"/>
          <w:highlight w:val="none"/>
        </w:rPr>
        <w:t xml:space="preserve">签字或盖章</w:t>
      </w:r>
      <w:r>
        <w:rPr>
          <w:rFonts w:hint="eastAsia"/>
          <w:color w:val="auto"/>
          <w:szCs w:val="21"/>
          <w:highlight w:val="none"/>
        </w:rPr>
        <w:t xml:space="preserve">）</w:t>
      </w:r>
      <w:r>
        <w:rPr>
          <w:color w:val="auto"/>
          <w:szCs w:val="21"/>
          <w:highlight w:val="none"/>
        </w:rPr>
        <w:t xml:space="preserve">：</w:t>
      </w:r>
      <w:r/>
    </w:p>
    <w:p>
      <w:pPr>
        <w:ind w:firstLine="480"/>
        <w:spacing w:line="500" w:lineRule="exact"/>
        <w:rPr>
          <w:color w:val="auto"/>
          <w:szCs w:val="21"/>
          <w:highlight w:val="none"/>
        </w:rPr>
      </w:pPr>
      <w:r>
        <w:rPr>
          <w:color w:val="auto"/>
          <w:szCs w:val="21"/>
          <w:highlight w:val="none"/>
        </w:rPr>
        <w:t xml:space="preserve">电话：</w:t>
      </w:r>
      <w:r/>
    </w:p>
    <w:p>
      <w:pPr>
        <w:ind w:firstLine="480"/>
        <w:spacing w:line="500" w:lineRule="exact"/>
        <w:rPr>
          <w:color w:val="auto"/>
          <w:szCs w:val="21"/>
          <w:highlight w:val="none"/>
        </w:rPr>
      </w:pPr>
      <w:r>
        <w:rPr>
          <w:color w:val="auto"/>
          <w:szCs w:val="21"/>
          <w:highlight w:val="none"/>
        </w:rPr>
        <w:t xml:space="preserve">传真：</w:t>
      </w:r>
      <w:r/>
    </w:p>
    <w:p>
      <w:pPr>
        <w:ind w:firstLine="480"/>
        <w:spacing w:line="500" w:lineRule="exact"/>
        <w:rPr>
          <w:color w:val="auto"/>
          <w:szCs w:val="21"/>
          <w:highlight w:val="none"/>
        </w:rPr>
      </w:pPr>
      <w:r>
        <w:rPr>
          <w:color w:val="auto"/>
          <w:szCs w:val="21"/>
          <w:highlight w:val="none"/>
        </w:rPr>
      </w:r>
      <w:r/>
    </w:p>
    <w:p>
      <w:pPr>
        <w:ind w:firstLine="5880"/>
        <w:spacing w:line="500" w:lineRule="exact"/>
        <w:rPr>
          <w:color w:val="auto"/>
          <w:szCs w:val="21"/>
          <w:highlight w:val="none"/>
        </w:rPr>
      </w:pPr>
      <w:r>
        <w:rPr>
          <w:color w:val="auto"/>
          <w:szCs w:val="21"/>
          <w:highlight w:val="none"/>
        </w:rPr>
        <w:t xml:space="preserve">日期：      年      月      日</w:t>
      </w:r>
      <w:r/>
    </w:p>
    <w:p>
      <w:pPr>
        <w:pStyle w:val="1123"/>
        <w:ind w:left="0" w:firstLine="0"/>
        <w:rPr>
          <w:b/>
          <w:bCs/>
          <w:color w:val="auto"/>
          <w:sz w:val="32"/>
          <w:szCs w:val="32"/>
          <w:highlight w:val="none"/>
        </w:rPr>
      </w:pPr>
      <w:r>
        <w:rPr>
          <w:b/>
          <w:bCs/>
          <w:color w:val="auto"/>
          <w:sz w:val="32"/>
          <w:szCs w:val="32"/>
          <w:highlight w:val="none"/>
        </w:rPr>
      </w:r>
      <w:r/>
    </w:p>
    <w:p>
      <w:pPr>
        <w:pStyle w:val="1123"/>
        <w:ind w:left="0" w:firstLine="643"/>
        <w:jc w:val="center"/>
        <w:rPr>
          <w:b/>
          <w:bCs/>
          <w:color w:val="auto"/>
          <w:sz w:val="32"/>
          <w:szCs w:val="32"/>
          <w:highlight w:val="none"/>
        </w:rPr>
      </w:pPr>
      <w:r>
        <w:rPr>
          <w:b/>
          <w:bCs/>
          <w:color w:val="auto"/>
          <w:sz w:val="32"/>
          <w:szCs w:val="32"/>
          <w:highlight w:val="none"/>
        </w:rPr>
        <w:br w:type="page" w:clear="all"/>
      </w:r>
      <w:r/>
    </w:p>
    <w:p>
      <w:pPr>
        <w:pStyle w:val="1123"/>
        <w:ind w:left="0" w:firstLine="0"/>
        <w:jc w:val="center"/>
        <w:rPr>
          <w:b/>
          <w:bCs/>
          <w:color w:val="auto"/>
          <w:sz w:val="32"/>
          <w:szCs w:val="32"/>
          <w:highlight w:val="none"/>
        </w:rPr>
      </w:pPr>
      <w:r>
        <w:rPr>
          <w:b/>
          <w:bCs/>
          <w:color w:val="auto"/>
          <w:sz w:val="32"/>
          <w:szCs w:val="32"/>
          <w:highlight w:val="none"/>
        </w:rPr>
        <w:t xml:space="preserve">二、</w:t>
      </w:r>
      <w:r>
        <w:rPr>
          <w:rFonts w:hint="eastAsia"/>
          <w:b/>
          <w:bCs/>
          <w:color w:val="auto"/>
          <w:sz w:val="32"/>
          <w:szCs w:val="32"/>
          <w:highlight w:val="none"/>
        </w:rPr>
        <w:t xml:space="preserve">首次磋商报价表（开标一览表）</w:t>
      </w:r>
      <w:r/>
    </w:p>
    <w:p>
      <w:pPr>
        <w:ind w:firstLine="720"/>
        <w:jc w:val="left"/>
        <w:spacing w:line="240" w:lineRule="auto"/>
        <w:rPr>
          <w:rFonts w:hint="eastAsia" w:ascii="宋体" w:hAnsi="宋体" w:cs="方正仿宋_GBK"/>
          <w:color w:val="auto"/>
          <w:highlight w:val="none"/>
        </w:rPr>
      </w:pPr>
      <w:r>
        <w:rPr>
          <w:rFonts w:hint="eastAsia" w:ascii="宋体" w:hAnsi="宋体" w:cs="方正仿宋_GBK"/>
          <w:color w:val="auto"/>
          <w:highlight w:val="none"/>
        </w:rPr>
      </w:r>
      <w:r/>
    </w:p>
    <w:p>
      <w:pPr>
        <w:ind w:firstLine="720"/>
        <w:jc w:val="left"/>
        <w:spacing w:line="240" w:lineRule="auto"/>
        <w:rPr>
          <w:rFonts w:hint="eastAsia" w:ascii="宋体" w:hAnsi="宋体" w:cs="方正仿宋_GBK"/>
          <w:color w:val="auto"/>
          <w:highlight w:val="none"/>
        </w:rPr>
      </w:pPr>
      <w:r>
        <w:rPr>
          <w:rFonts w:hint="eastAsia" w:ascii="宋体" w:hAnsi="宋体" w:cs="方正仿宋_GBK"/>
          <w:color w:val="auto"/>
          <w:highlight w:val="none"/>
        </w:rPr>
        <w:t xml:space="preserve">标段编号：</w:t>
      </w:r>
      <w:r/>
    </w:p>
    <w:p>
      <w:pPr>
        <w:ind w:firstLine="720"/>
        <w:jc w:val="left"/>
        <w:spacing w:line="240" w:lineRule="auto"/>
        <w:rPr>
          <w:rFonts w:hint="eastAsia" w:ascii="宋体" w:hAnsi="宋体" w:cs="方正仿宋_GBK"/>
          <w:color w:val="auto"/>
          <w:highlight w:val="none"/>
        </w:rPr>
      </w:pPr>
      <w:r>
        <w:rPr>
          <w:rFonts w:hint="eastAsia" w:ascii="宋体" w:hAnsi="宋体" w:cs="方正仿宋_GBK"/>
          <w:color w:val="auto"/>
          <w:highlight w:val="none"/>
        </w:rPr>
        <w:t xml:space="preserve">标段名称：</w:t>
      </w:r>
      <w:r/>
    </w:p>
    <w:p>
      <w:pPr>
        <w:ind w:firstLine="0"/>
        <w:spacing w:line="240" w:lineRule="auto"/>
        <w:rPr>
          <w:rFonts w:ascii="Calibri" w:hAnsi="Calibri"/>
          <w:color w:val="auto"/>
          <w:sz w:val="21"/>
          <w:highlight w:val="none"/>
        </w:rPr>
      </w:pPr>
      <w:r>
        <w:rPr>
          <w:rFonts w:ascii="Calibri" w:hAnsi="Calibri"/>
          <w:color w:val="auto"/>
          <w:sz w:val="21"/>
          <w:highlight w:val="none"/>
        </w:rPr>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0"/>
              <w:jc w:val="center"/>
              <w:spacing w:line="240" w:lineRule="auto"/>
              <w:rPr>
                <w:rFonts w:hint="eastAsia" w:ascii="宋体" w:hAnsi="宋体"/>
                <w:bCs/>
                <w:color w:val="auto"/>
                <w:highlight w:val="none"/>
              </w:rPr>
            </w:pPr>
            <w:r>
              <w:rPr>
                <w:rFonts w:ascii="宋体" w:hAnsi="宋体"/>
                <w:bCs/>
                <w:color w:val="auto"/>
                <w:highlight w:val="none"/>
              </w:rPr>
              <w:t xml:space="preserve">标题</w:t>
            </w:r>
            <w:r/>
          </w:p>
        </w:tc>
        <w:tc>
          <w:tcPr>
            <w:tcW w:w="3651" w:type="dxa"/>
            <w:vAlign w:val="center"/>
            <w:textDirection w:val="lrTb"/>
            <w:noWrap w:val="false"/>
          </w:tcPr>
          <w:p>
            <w:pPr>
              <w:ind w:firstLine="0"/>
              <w:jc w:val="center"/>
              <w:spacing w:line="240" w:lineRule="auto"/>
              <w:rPr>
                <w:rFonts w:hint="eastAsia" w:ascii="宋体" w:hAnsi="宋体"/>
                <w:color w:val="auto"/>
                <w:highlight w:val="none"/>
              </w:rPr>
            </w:pPr>
            <w:r>
              <w:rPr>
                <w:rFonts w:ascii="宋体" w:hAnsi="宋体"/>
                <w:color w:val="auto"/>
                <w:highlight w:val="none"/>
              </w:rPr>
              <w:t xml:space="preserve">内容</w:t>
            </w:r>
            <w:r/>
          </w:p>
        </w:tc>
      </w:tr>
      <w:tr>
        <w:trPr>
          <w:cantSplit/>
          <w:jc w:val="center"/>
          <w:trHeight w:val="1310"/>
        </w:trPr>
        <w:tc>
          <w:tcPr>
            <w:tcW w:w="3653" w:type="dxa"/>
            <w:vAlign w:val="center"/>
            <w:textDirection w:val="lrTb"/>
            <w:noWrap w:val="false"/>
          </w:tcPr>
          <w:p>
            <w:pPr>
              <w:ind w:firstLine="0"/>
              <w:jc w:val="center"/>
              <w:spacing w:line="240" w:lineRule="auto"/>
              <w:rPr>
                <w:rFonts w:hint="eastAsia" w:ascii="宋体" w:hAnsi="宋体"/>
                <w:bCs/>
                <w:color w:val="auto"/>
                <w:highlight w:val="none"/>
              </w:rPr>
            </w:pPr>
            <w:r>
              <w:rPr>
                <w:rFonts w:ascii="宋体" w:hAnsi="宋体"/>
                <w:bCs/>
                <w:color w:val="auto"/>
                <w:highlight w:val="none"/>
              </w:rPr>
              <w:t xml:space="preserve">报价</w:t>
            </w:r>
            <w:r/>
          </w:p>
        </w:tc>
        <w:tc>
          <w:tcPr>
            <w:tcW w:w="3651"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olor w:val="auto"/>
                <w:highlight w:val="none"/>
              </w:rPr>
            </w:r>
            <w:r/>
          </w:p>
        </w:tc>
      </w:tr>
      <w:tr>
        <w:trPr>
          <w:cantSplit/>
          <w:jc w:val="center"/>
          <w:trHeight w:val="1310"/>
        </w:trPr>
        <w:tc>
          <w:tcPr>
            <w:tcW w:w="3653" w:type="dxa"/>
            <w:vAlign w:val="center"/>
            <w:textDirection w:val="lrTb"/>
            <w:noWrap w:val="false"/>
          </w:tcPr>
          <w:p>
            <w:pPr>
              <w:ind w:firstLine="0"/>
              <w:jc w:val="center"/>
              <w:spacing w:line="240" w:lineRule="auto"/>
              <w:rPr>
                <w:rFonts w:hint="eastAsia" w:ascii="宋体" w:hAnsi="宋体"/>
                <w:bCs/>
                <w:color w:val="auto"/>
                <w:highlight w:val="none"/>
              </w:rPr>
            </w:pPr>
            <w:r>
              <w:rPr>
                <w:rFonts w:hint="eastAsia" w:ascii="宋体" w:hAnsi="宋体"/>
                <w:bCs/>
                <w:color w:val="auto"/>
                <w:highlight w:val="none"/>
              </w:rPr>
              <w:t xml:space="preserve">工</w:t>
            </w:r>
            <w:r>
              <w:rPr>
                <w:rFonts w:ascii="宋体" w:hAnsi="宋体"/>
                <w:bCs/>
                <w:color w:val="auto"/>
                <w:highlight w:val="none"/>
              </w:rPr>
              <w:t xml:space="preserve">期</w:t>
            </w:r>
            <w:r/>
          </w:p>
        </w:tc>
        <w:tc>
          <w:tcPr>
            <w:tcW w:w="3651"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olor w:val="auto"/>
                <w:highlight w:val="none"/>
              </w:rPr>
            </w:r>
            <w:r/>
          </w:p>
        </w:tc>
      </w:tr>
    </w:tbl>
    <w:p>
      <w:pPr>
        <w:ind w:firstLine="480"/>
        <w:jc w:val="left"/>
        <w:rPr>
          <w:rFonts w:hint="eastAsia" w:ascii="宋体" w:hAnsi="宋体"/>
          <w:bCs/>
          <w:color w:val="auto"/>
          <w:highlight w:val="none"/>
        </w:rPr>
      </w:pPr>
      <w:r>
        <w:rPr>
          <w:rFonts w:hint="eastAsia" w:ascii="宋体" w:hAnsi="宋体"/>
          <w:bCs/>
          <w:color w:val="auto"/>
          <w:highlight w:val="none"/>
        </w:rPr>
      </w:r>
      <w:r/>
    </w:p>
    <w:p>
      <w:pPr>
        <w:ind w:firstLine="600"/>
        <w:jc w:val="left"/>
        <w:spacing w:line="240" w:lineRule="auto"/>
        <w:rPr>
          <w:rFonts w:hint="eastAsia" w:ascii="宋体" w:hAnsi="宋体"/>
          <w:bCs/>
          <w:color w:val="auto"/>
          <w:highlight w:val="none"/>
        </w:rPr>
      </w:pPr>
      <w:r>
        <w:rPr>
          <w:rFonts w:hint="eastAsia" w:ascii="宋体" w:hAnsi="宋体"/>
          <w:bCs/>
          <w:color w:val="auto"/>
          <w:highlight w:val="none"/>
        </w:rPr>
        <w:t xml:space="preserve">供应商（盖章）：</w:t>
      </w:r>
      <w:r/>
    </w:p>
    <w:p>
      <w:pPr>
        <w:ind w:firstLine="600"/>
        <w:jc w:val="left"/>
        <w:spacing w:line="240" w:lineRule="auto"/>
        <w:rPr>
          <w:rFonts w:hint="eastAsia" w:ascii="宋体" w:hAnsi="宋体"/>
          <w:bCs/>
          <w:color w:val="auto"/>
          <w:highlight w:val="none"/>
        </w:rPr>
      </w:pPr>
      <w:r>
        <w:rPr>
          <w:rFonts w:hint="eastAsia" w:ascii="宋体" w:hAnsi="宋体"/>
          <w:bCs/>
          <w:color w:val="auto"/>
          <w:highlight w:val="none"/>
        </w:rPr>
        <w:t xml:space="preserve">法定代表人或委托代理人（签字或盖章）：</w:t>
      </w:r>
      <w:r/>
    </w:p>
    <w:p>
      <w:pPr>
        <w:ind w:firstLine="600"/>
        <w:jc w:val="left"/>
        <w:spacing w:line="240" w:lineRule="auto"/>
        <w:rPr>
          <w:rFonts w:hint="eastAsia" w:ascii="宋体" w:hAnsi="宋体"/>
          <w:bCs/>
          <w:color w:val="auto"/>
          <w:highlight w:val="none"/>
        </w:rPr>
        <w:sectPr>
          <w:headerReference w:type="default" r:id="rId10"/>
          <w:footerReference w:type="default" r:id="rId17"/>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bCs/>
          <w:color w:val="auto"/>
          <w:highlight w:val="none"/>
        </w:rPr>
        <w:t xml:space="preserve">日期：    年     月     日</w:t>
      </w:r>
      <w:r/>
    </w:p>
    <w:p>
      <w:pPr>
        <w:numPr>
          <w:ilvl w:val="0"/>
          <w:numId w:val="0"/>
        </w:numPr>
        <w:ind w:firstLine="562"/>
        <w:jc w:val="center"/>
        <w:pageBreakBefore/>
        <w:rPr>
          <w:rFonts w:hint="eastAsia" w:ascii="宋体" w:hAnsi="宋体" w:cs="宋体"/>
          <w:color w:val="auto"/>
          <w:sz w:val="28"/>
          <w:szCs w:val="28"/>
          <w:highlight w:val="none"/>
        </w:rPr>
        <w:outlineLvl w:val="0"/>
      </w:pPr>
      <w:r>
        <w:rPr>
          <w:rFonts w:hint="eastAsia"/>
          <w:b/>
          <w:bCs/>
          <w:color w:val="auto"/>
          <w:sz w:val="32"/>
          <w:szCs w:val="32"/>
          <w:highlight w:val="none"/>
          <w:lang w:val="en-US" w:eastAsia="zh-CN"/>
        </w:rPr>
        <w:t xml:space="preserve">三、</w:t>
      </w:r>
      <w:r>
        <w:rPr>
          <w:rFonts w:hint="eastAsia" w:ascii="宋体" w:hAnsi="宋体" w:cs="宋体"/>
          <w:b/>
          <w:bCs/>
          <w:color w:val="auto"/>
          <w:sz w:val="28"/>
          <w:szCs w:val="28"/>
          <w:highlight w:val="none"/>
        </w:rPr>
        <w:t xml:space="preserve">已标价的工程量清单</w:t>
      </w:r>
      <w:r>
        <w:rPr>
          <w:rFonts w:hint="eastAsia" w:ascii="宋体" w:hAnsi="宋体" w:cs="宋体"/>
          <w:b/>
          <w:bCs/>
          <w:color w:val="auto"/>
          <w:sz w:val="28"/>
          <w:szCs w:val="28"/>
          <w:highlight w:val="none"/>
        </w:rPr>
        <w:br/>
      </w:r>
      <w:r>
        <w:rPr>
          <w:rFonts w:hint="eastAsia" w:ascii="宋体" w:hAnsi="宋体" w:cs="宋体"/>
          <w:b/>
          <w:bCs/>
          <w:color w:val="auto"/>
          <w:sz w:val="28"/>
          <w:szCs w:val="28"/>
          <w:highlight w:val="none"/>
        </w:rPr>
        <w:t xml:space="preserve">（注：各分项最终结算价按照磋商首次报价与最后报价作同比例变动。）</w:t>
      </w:r>
      <w:r/>
    </w:p>
    <w:p>
      <w:pPr>
        <w:pStyle w:val="1123"/>
        <w:ind w:left="0" w:firstLine="0"/>
        <w:jc w:val="center"/>
        <w:rPr>
          <w:rFonts w:hint="eastAsia"/>
          <w:b/>
          <w:bCs/>
          <w:color w:val="auto"/>
          <w:sz w:val="32"/>
          <w:szCs w:val="32"/>
          <w:highlight w:val="none"/>
        </w:rPr>
      </w:pPr>
      <w:r>
        <w:rPr>
          <w:rFonts w:hint="eastAsia"/>
          <w:b/>
          <w:bCs/>
          <w:color w:val="auto"/>
          <w:sz w:val="32"/>
          <w:szCs w:val="32"/>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939"/>
        <w:numPr>
          <w:ilvl w:val="0"/>
          <w:numId w:val="0"/>
        </w:numPr>
        <w:jc w:val="center"/>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39"/>
        <w:numPr>
          <w:ilvl w:val="0"/>
          <w:numId w:val="0"/>
        </w:numPr>
        <w:jc w:val="center"/>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39"/>
        <w:numPr>
          <w:ilvl w:val="0"/>
          <w:numId w:val="0"/>
        </w:numPr>
        <w:jc w:val="center"/>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39"/>
        <w:numPr>
          <w:ilvl w:val="0"/>
          <w:numId w:val="0"/>
        </w:numPr>
        <w:jc w:val="center"/>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39"/>
        <w:numPr>
          <w:ilvl w:val="0"/>
          <w:numId w:val="0"/>
        </w:numPr>
        <w:jc w:val="center"/>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480"/>
        <w:rPr>
          <w:color w:val="auto"/>
          <w:highlight w:val="none"/>
        </w:rPr>
      </w:pPr>
      <w:r>
        <w:rPr>
          <w:color w:val="auto"/>
          <w:highlight w:val="none"/>
        </w:rPr>
      </w:r>
      <w:r/>
    </w:p>
    <w:p>
      <w:pPr>
        <w:pStyle w:val="1123"/>
        <w:ind w:left="410" w:firstLine="315"/>
        <w:rPr>
          <w:bCs/>
          <w:color w:val="auto"/>
          <w:sz w:val="21"/>
          <w:szCs w:val="20"/>
          <w:highlight w:val="none"/>
        </w:rPr>
      </w:pPr>
      <w:r>
        <w:rPr>
          <w:bCs/>
          <w:color w:val="auto"/>
          <w:sz w:val="21"/>
          <w:szCs w:val="20"/>
          <w:highlight w:val="none"/>
        </w:rPr>
      </w:r>
      <w:r/>
    </w:p>
    <w:p>
      <w:pPr>
        <w:rPr>
          <w:b/>
          <w:bCs/>
          <w:color w:val="auto"/>
          <w:sz w:val="30"/>
          <w:szCs w:val="30"/>
          <w:highlight w:val="none"/>
        </w:rPr>
      </w:pPr>
      <w:r>
        <w:rPr>
          <w:rFonts w:hint="eastAsia"/>
          <w:bCs/>
          <w:color w:val="auto"/>
          <w:szCs w:val="20"/>
          <w:highlight w:val="none"/>
          <w:lang w:val="en-US" w:eastAsia="zh-CN"/>
        </w:rPr>
        <w:t xml:space="preserve">  </w:t>
      </w:r>
      <w:r>
        <w:rPr>
          <w:bCs/>
          <w:color w:val="auto"/>
          <w:szCs w:val="20"/>
          <w:highlight w:val="none"/>
        </w:rPr>
        <w:br w:type="page" w:clear="all"/>
      </w:r>
      <w:r/>
    </w:p>
    <w:p>
      <w:pPr>
        <w:ind w:firstLine="0"/>
        <w:jc w:val="center"/>
        <w:rPr>
          <w:b/>
          <w:bCs/>
          <w:color w:val="auto"/>
          <w:sz w:val="30"/>
          <w:szCs w:val="30"/>
          <w:highlight w:val="none"/>
        </w:rPr>
      </w:pPr>
      <w:r>
        <w:rPr>
          <w:rFonts w:hint="eastAsia"/>
          <w:b/>
          <w:bCs/>
          <w:color w:val="auto"/>
          <w:sz w:val="30"/>
          <w:szCs w:val="30"/>
          <w:highlight w:val="none"/>
          <w:lang w:val="en-US" w:eastAsia="zh-CN"/>
        </w:rPr>
        <w:t xml:space="preserve">四、中小企业声明函</w:t>
      </w:r>
      <w:r>
        <w:rPr>
          <w:rFonts w:hint="eastAsia"/>
          <w:b/>
          <w:bCs/>
          <w:color w:val="auto"/>
          <w:sz w:val="30"/>
          <w:szCs w:val="30"/>
          <w:highlight w:val="none"/>
        </w:rPr>
        <w:t xml:space="preserve">（</w:t>
      </w:r>
      <w:r>
        <w:rPr>
          <w:b/>
          <w:bCs/>
          <w:color w:val="auto"/>
          <w:sz w:val="30"/>
          <w:szCs w:val="30"/>
          <w:highlight w:val="none"/>
        </w:rPr>
        <w:t xml:space="preserve">格式</w:t>
      </w:r>
      <w:r>
        <w:rPr>
          <w:rFonts w:hint="eastAsia"/>
          <w:b/>
          <w:bCs/>
          <w:color w:val="auto"/>
          <w:sz w:val="30"/>
          <w:szCs w:val="30"/>
          <w:highlight w:val="none"/>
        </w:rPr>
        <w:t xml:space="preserve">）</w:t>
      </w:r>
      <w:r/>
    </w:p>
    <w:p>
      <w:pPr>
        <w:ind w:firstLine="480"/>
        <w:rPr>
          <w:color w:val="auto"/>
          <w:szCs w:val="21"/>
          <w:highlight w:val="none"/>
        </w:rPr>
      </w:pPr>
      <w:r>
        <w:rPr>
          <w:color w:val="auto"/>
          <w:szCs w:val="21"/>
          <w:highlight w:val="none"/>
        </w:rPr>
      </w:r>
      <w:r/>
    </w:p>
    <w:p>
      <w:pPr>
        <w:ind w:firstLine="480"/>
        <w:rPr>
          <w:color w:val="auto"/>
          <w:highlight w:val="none"/>
        </w:rPr>
      </w:pPr>
      <w:r>
        <w:rPr>
          <w:color w:val="auto"/>
          <w:highlight w:val="none"/>
        </w:rPr>
        <w:t xml:space="preserve">本公司郑重声明，根据《政府采购促进中小企业发展管理办法》（财库﹝2020﹞46号）的规定，本公司参加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采购活动，工程的施工单位全部为符合政策要求的中小企业。</w:t>
      </w:r>
      <w:r/>
    </w:p>
    <w:p>
      <w:pPr>
        <w:ind w:firstLine="480"/>
        <w:rPr>
          <w:color w:val="auto"/>
          <w:highlight w:val="none"/>
        </w:rPr>
      </w:pPr>
      <w:r>
        <w:rPr>
          <w:color w:val="auto"/>
          <w:highlight w:val="none"/>
          <w:u w:val="single"/>
        </w:rPr>
        <w:t xml:space="preserve">（标的名称） </w:t>
      </w:r>
      <w:r>
        <w:rPr>
          <w:color w:val="auto"/>
          <w:highlight w:val="none"/>
        </w:rPr>
        <w:t xml:space="preserve">，属于</w:t>
      </w:r>
      <w:r>
        <w:rPr>
          <w:color w:val="auto"/>
          <w:highlight w:val="none"/>
          <w:u w:val="single"/>
        </w:rPr>
        <w:t xml:space="preserve">（采购文件中明确的所属行业） </w:t>
      </w:r>
      <w:r>
        <w:rPr>
          <w:color w:val="auto"/>
          <w:highlight w:val="none"/>
        </w:rPr>
        <w:t xml:space="preserve">行业；承建企业为</w:t>
      </w:r>
      <w:r>
        <w:rPr>
          <w:color w:val="auto"/>
          <w:highlight w:val="none"/>
          <w:u w:val="single"/>
        </w:rPr>
        <w:t xml:space="preserve">（企业名称）</w:t>
      </w:r>
      <w:r>
        <w:rPr>
          <w:color w:val="auto"/>
          <w:highlight w:val="none"/>
        </w:rPr>
        <w:t xml:space="preserve">，从业人员</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 </w:t>
      </w:r>
      <w:r/>
    </w:p>
    <w:p>
      <w:pPr>
        <w:ind w:firstLine="480"/>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ind w:firstLine="480"/>
        <w:rPr>
          <w:color w:val="auto"/>
          <w:highlight w:val="none"/>
        </w:rPr>
      </w:pPr>
      <w:r>
        <w:rPr>
          <w:color w:val="auto"/>
          <w:highlight w:val="none"/>
        </w:rPr>
        <w:t xml:space="preserve">本企业对上述声明内容的真实性负责。如有虚假，将依法承担相应责任。 </w:t>
      </w:r>
      <w:r/>
    </w:p>
    <w:p>
      <w:pPr>
        <w:ind w:firstLine="480"/>
        <w:rPr>
          <w:color w:val="auto"/>
          <w:highlight w:val="none"/>
        </w:rPr>
      </w:pPr>
      <w:r>
        <w:rPr>
          <w:color w:val="auto"/>
          <w:highlight w:val="none"/>
        </w:rPr>
      </w:r>
      <w:r/>
    </w:p>
    <w:p>
      <w:pPr>
        <w:ind w:right="480" w:firstLine="4920"/>
        <w:rPr>
          <w:color w:val="auto"/>
          <w:highlight w:val="none"/>
        </w:rPr>
      </w:pPr>
      <w:r>
        <w:rPr>
          <w:color w:val="auto"/>
          <w:highlight w:val="none"/>
        </w:rPr>
      </w:r>
      <w:r/>
    </w:p>
    <w:p>
      <w:pPr>
        <w:ind w:right="480" w:firstLine="4920"/>
        <w:rPr>
          <w:color w:val="auto"/>
          <w:highlight w:val="none"/>
        </w:rPr>
      </w:pPr>
      <w:r>
        <w:rPr>
          <w:color w:val="auto"/>
          <w:highlight w:val="none"/>
        </w:rPr>
        <w:t xml:space="preserve">企业名称（盖章）： </w:t>
      </w:r>
      <w:r/>
    </w:p>
    <w:p>
      <w:pPr>
        <w:ind w:right="480" w:firstLine="4920"/>
        <w:rPr>
          <w:color w:val="auto"/>
          <w:highlight w:val="none"/>
        </w:rPr>
      </w:pPr>
      <w:r>
        <w:rPr>
          <w:color w:val="auto"/>
          <w:highlight w:val="none"/>
        </w:rPr>
        <w:t xml:space="preserve">日 期：</w:t>
      </w:r>
      <w:r/>
    </w:p>
    <w:p>
      <w:pPr>
        <w:ind w:right="480" w:firstLine="4920"/>
        <w:rPr>
          <w:color w:val="auto"/>
          <w:highlight w:val="none"/>
        </w:rPr>
      </w:pPr>
      <w:r>
        <w:rPr>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pStyle w:val="1100"/>
        <w:ind w:firstLine="482"/>
        <w:rPr>
          <w:b/>
          <w:color w:val="auto"/>
          <w:sz w:val="24"/>
          <w:highlight w:val="none"/>
        </w:rPr>
      </w:pPr>
      <w:r>
        <w:rPr>
          <w:b/>
          <w:color w:val="auto"/>
          <w:sz w:val="24"/>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t xml:space="preserve">填报说明：</w:t>
      </w:r>
      <w:r/>
    </w:p>
    <w:p>
      <w:pPr>
        <w:ind w:right="480" w:firstLine="480"/>
        <w:rPr>
          <w:color w:val="auto"/>
          <w:highlight w:val="none"/>
        </w:rPr>
      </w:pPr>
      <w:r>
        <w:rPr>
          <w:color w:val="auto"/>
          <w:highlight w:val="none"/>
        </w:rPr>
        <w:t xml:space="preserve">1、从业人员、营业收入、资产总额填报上一年度数据，无上一年度数据的新成立企业可不填报。</w:t>
      </w:r>
      <w:r/>
    </w:p>
    <w:p>
      <w:pPr>
        <w:ind w:right="480" w:firstLine="480"/>
        <w:rPr>
          <w:color w:val="auto"/>
          <w:highlight w:val="none"/>
        </w:rPr>
      </w:pPr>
      <w:r>
        <w:rPr>
          <w:color w:val="auto"/>
          <w:highlight w:val="none"/>
        </w:rPr>
        <w:t xml:space="preserve">2、请供应商如实填写，所填内容将作为评审的依据。如填写不完整，</w:t>
      </w:r>
      <w:r>
        <w:rPr>
          <w:rFonts w:hint="eastAsia" w:ascii="宋体" w:hAnsi="宋体"/>
          <w:color w:val="auto"/>
          <w:highlight w:val="none"/>
        </w:rPr>
        <w:t xml:space="preserve">将承担一切不利后果</w:t>
      </w:r>
      <w:r>
        <w:rPr>
          <w:color w:val="auto"/>
          <w:highlight w:val="none"/>
        </w:rPr>
        <w:t xml:space="preserve">。</w:t>
      </w:r>
      <w:r/>
    </w:p>
    <w:p>
      <w:pPr>
        <w:ind w:firstLine="480"/>
        <w:rPr>
          <w:b/>
          <w:bCs/>
          <w:color w:val="auto"/>
          <w:sz w:val="32"/>
          <w:szCs w:val="32"/>
          <w:highlight w:val="none"/>
        </w:rPr>
      </w:pPr>
      <w:r>
        <w:rPr>
          <w:color w:val="auto"/>
          <w:highlight w:val="none"/>
        </w:rPr>
        <w:t xml:space="preserve">3、成交供应商的《中小企业声明函》随成交结果公开。</w:t>
      </w:r>
      <w:r/>
    </w:p>
    <w:p>
      <w:pPr>
        <w:ind w:firstLine="643"/>
        <w:jc w:val="center"/>
        <w:rPr>
          <w:b/>
          <w:bCs/>
          <w:color w:val="auto"/>
          <w:sz w:val="32"/>
          <w:szCs w:val="32"/>
          <w:highlight w:val="none"/>
        </w:rPr>
      </w:pPr>
      <w:r>
        <w:rPr>
          <w:b/>
          <w:bCs/>
          <w:color w:val="auto"/>
          <w:sz w:val="32"/>
          <w:szCs w:val="32"/>
          <w:highlight w:val="none"/>
        </w:rPr>
        <w:br w:type="page" w:clear="all"/>
      </w:r>
      <w:r/>
    </w:p>
    <w:p>
      <w:pPr>
        <w:ind w:firstLine="0"/>
        <w:jc w:val="center"/>
        <w:rPr>
          <w:b/>
          <w:bCs/>
          <w:color w:val="auto"/>
          <w:sz w:val="32"/>
          <w:szCs w:val="32"/>
          <w:highlight w:val="none"/>
        </w:rPr>
      </w:pPr>
      <w:r>
        <w:rPr>
          <w:b/>
          <w:bCs/>
          <w:color w:val="auto"/>
          <w:sz w:val="32"/>
          <w:szCs w:val="32"/>
          <w:highlight w:val="none"/>
        </w:rPr>
        <w:t xml:space="preserve">残疾人福利性单位声明函</w:t>
      </w:r>
      <w:r>
        <w:rPr>
          <w:rFonts w:hint="eastAsia"/>
          <w:b/>
          <w:bCs/>
          <w:color w:val="auto"/>
          <w:sz w:val="32"/>
          <w:szCs w:val="32"/>
          <w:highlight w:val="none"/>
        </w:rPr>
        <w:t xml:space="preserve">（</w:t>
      </w:r>
      <w:r>
        <w:rPr>
          <w:b/>
          <w:bCs/>
          <w:color w:val="auto"/>
          <w:sz w:val="32"/>
          <w:szCs w:val="32"/>
          <w:highlight w:val="none"/>
        </w:rPr>
        <w:t xml:space="preserve">格式</w:t>
      </w:r>
      <w:r>
        <w:rPr>
          <w:rFonts w:hint="eastAsia"/>
          <w:b/>
          <w:bCs/>
          <w:color w:val="auto"/>
          <w:sz w:val="32"/>
          <w:szCs w:val="32"/>
          <w:highlight w:val="none"/>
        </w:rPr>
        <w:t xml:space="preserve">）</w:t>
      </w:r>
      <w:r/>
    </w:p>
    <w:p>
      <w:pPr>
        <w:ind w:firstLine="626"/>
        <w:spacing w:line="588" w:lineRule="exact"/>
        <w:rPr>
          <w:rFonts w:eastAsia="仿宋_GB2312"/>
          <w:b/>
          <w:color w:val="auto"/>
          <w:spacing w:val="6"/>
          <w:sz w:val="30"/>
          <w:szCs w:val="30"/>
          <w:highlight w:val="none"/>
        </w:rPr>
      </w:pPr>
      <w:r>
        <w:rPr>
          <w:rFonts w:eastAsia="仿宋_GB2312"/>
          <w:b/>
          <w:color w:val="auto"/>
          <w:spacing w:val="6"/>
          <w:sz w:val="30"/>
          <w:szCs w:val="30"/>
          <w:highlight w:val="none"/>
        </w:rPr>
      </w:r>
      <w:r/>
    </w:p>
    <w:p>
      <w:pPr>
        <w:ind w:firstLine="480"/>
        <w:rPr>
          <w:color w:val="auto"/>
          <w:szCs w:val="21"/>
          <w:highlight w:val="none"/>
        </w:rPr>
      </w:pPr>
      <w:r>
        <w:rPr>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中国残疾人联合会关于促进残疾人就业政府采购政策的通知》（财库〔2017〕141号）的规定，本单位为符合条件的残疾人福利性单位，且本单位参加_____单位的______项目由本单位承建。</w:t>
      </w:r>
      <w:r/>
    </w:p>
    <w:p>
      <w:pPr>
        <w:ind w:firstLine="480"/>
        <w:rPr>
          <w:color w:val="auto"/>
          <w:szCs w:val="21"/>
          <w:highlight w:val="none"/>
        </w:rPr>
      </w:pPr>
      <w:r>
        <w:rPr>
          <w:color w:val="auto"/>
          <w:szCs w:val="21"/>
          <w:highlight w:val="none"/>
        </w:rPr>
        <w:t xml:space="preserve">本单位对上述声明的真实性负责。如有虚假，将依法承担相应责任。</w:t>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5040"/>
        <w:rPr>
          <w:color w:val="auto"/>
          <w:szCs w:val="21"/>
          <w:highlight w:val="none"/>
        </w:rPr>
      </w:pPr>
      <w:r>
        <w:rPr>
          <w:color w:val="auto"/>
          <w:szCs w:val="21"/>
          <w:highlight w:val="none"/>
        </w:rPr>
        <w:t xml:space="preserve">企业名称（盖章）：</w:t>
      </w:r>
      <w:r/>
    </w:p>
    <w:p>
      <w:pPr>
        <w:pStyle w:val="1100"/>
        <w:ind w:firstLine="480"/>
        <w:jc w:val="center"/>
        <w:rPr>
          <w:color w:val="auto"/>
          <w:sz w:val="24"/>
          <w:szCs w:val="21"/>
          <w:highlight w:val="none"/>
        </w:rPr>
      </w:pPr>
      <w:r>
        <w:rPr>
          <w:color w:val="auto"/>
          <w:sz w:val="24"/>
          <w:szCs w:val="21"/>
          <w:highlight w:val="none"/>
        </w:rPr>
        <w:t xml:space="preserve">　　　　　　　　　　　　　　　　　　日期：   年   月   日</w:t>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r>
      <w:r/>
    </w:p>
    <w:p>
      <w:pPr>
        <w:ind w:right="480" w:firstLine="482"/>
        <w:rPr>
          <w:b/>
          <w:color w:val="auto"/>
          <w:highlight w:val="none"/>
        </w:rPr>
      </w:pPr>
      <w:r>
        <w:rPr>
          <w:b/>
          <w:color w:val="auto"/>
          <w:highlight w:val="none"/>
        </w:rPr>
        <w:t xml:space="preserve">填报说明：</w:t>
      </w:r>
      <w:r/>
    </w:p>
    <w:p>
      <w:pPr>
        <w:pStyle w:val="1167"/>
        <w:ind w:firstLine="480"/>
        <w:rPr>
          <w:color w:val="auto"/>
          <w:highlight w:val="none"/>
        </w:rPr>
      </w:pPr>
      <w:r>
        <w:rPr>
          <w:bCs/>
          <w:color w:val="auto"/>
          <w:highlight w:val="none"/>
        </w:rPr>
        <w:t xml:space="preserve">1、请供应商如实填写，所填内容将作为评审的依据。</w:t>
      </w:r>
      <w:r>
        <w:rPr>
          <w:color w:val="auto"/>
          <w:highlight w:val="none"/>
        </w:rPr>
        <w:t xml:space="preserve">如填写不完整，</w:t>
      </w:r>
      <w:r>
        <w:rPr>
          <w:rFonts w:hint="eastAsia" w:ascii="宋体" w:hAnsi="宋体"/>
          <w:color w:val="auto"/>
          <w:highlight w:val="none"/>
        </w:rPr>
        <w:t xml:space="preserve">将承担一切不利后果</w:t>
      </w:r>
      <w:r>
        <w:rPr>
          <w:color w:val="auto"/>
          <w:highlight w:val="none"/>
        </w:rPr>
        <w:t xml:space="preserve">。</w:t>
      </w:r>
      <w:r/>
    </w:p>
    <w:p>
      <w:pPr>
        <w:ind w:firstLine="480"/>
        <w:rPr>
          <w:color w:val="auto"/>
          <w:szCs w:val="21"/>
          <w:highlight w:val="none"/>
        </w:rPr>
      </w:pPr>
      <w:r>
        <w:rPr>
          <w:bCs/>
          <w:color w:val="auto"/>
          <w:highlight w:val="none"/>
        </w:rPr>
        <w:t xml:space="preserve">2、成交供应</w:t>
      </w:r>
      <w:r>
        <w:rPr>
          <w:color w:val="auto"/>
          <w:highlight w:val="none"/>
        </w:rPr>
        <w:t xml:space="preserve">商的《残疾人福利性单位声明函》随成交结果公开。</w:t>
      </w:r>
      <w:r/>
    </w:p>
    <w:p>
      <w:pPr>
        <w:ind w:firstLine="482"/>
        <w:rPr>
          <w:b/>
          <w:color w:val="auto"/>
          <w:highlight w:val="none"/>
        </w:rPr>
      </w:pPr>
      <w:r>
        <w:rPr>
          <w:b/>
          <w:color w:val="auto"/>
          <w:highlight w:val="none"/>
        </w:rPr>
      </w:r>
      <w:r/>
    </w:p>
    <w:p>
      <w:pPr>
        <w:pStyle w:val="1123"/>
        <w:ind w:left="0" w:firstLine="643"/>
        <w:rPr>
          <w:bCs/>
          <w:color w:val="auto"/>
          <w:sz w:val="21"/>
          <w:szCs w:val="20"/>
          <w:highlight w:val="none"/>
        </w:rPr>
      </w:pPr>
      <w:r>
        <w:rPr>
          <w:b/>
          <w:color w:val="auto"/>
          <w:sz w:val="32"/>
          <w:szCs w:val="32"/>
          <w:highlight w:val="none"/>
        </w:rPr>
        <w:br w:type="page" w:clear="all"/>
      </w:r>
      <w:r/>
    </w:p>
    <w:p>
      <w:pPr>
        <w:ind w:firstLine="0"/>
        <w:jc w:val="center"/>
        <w:spacing w:before="50" w:after="50" w:line="560" w:lineRule="exact"/>
        <w:rPr>
          <w:color w:val="auto"/>
          <w:sz w:val="32"/>
          <w:szCs w:val="32"/>
          <w:highlight w:val="none"/>
        </w:rPr>
      </w:pPr>
      <w:r>
        <w:rPr>
          <w:rFonts w:hint="eastAsia"/>
          <w:b/>
          <w:bCs/>
          <w:color w:val="auto"/>
          <w:sz w:val="32"/>
          <w:szCs w:val="32"/>
          <w:highlight w:val="none"/>
          <w:lang w:val="en-US" w:eastAsia="zh-CN"/>
        </w:rPr>
        <w:t xml:space="preserve">五</w:t>
      </w:r>
      <w:r>
        <w:rPr>
          <w:b/>
          <w:bCs/>
          <w:color w:val="auto"/>
          <w:sz w:val="32"/>
          <w:szCs w:val="32"/>
          <w:highlight w:val="none"/>
        </w:rPr>
        <w:t xml:space="preserve">、资格证明文件</w:t>
      </w:r>
      <w:r/>
    </w:p>
    <w:p>
      <w:pPr>
        <w:ind w:firstLine="482"/>
        <w:jc w:val="center"/>
        <w:rPr>
          <w:b/>
          <w:color w:val="auto"/>
          <w:highlight w:val="none"/>
        </w:rPr>
      </w:pPr>
      <w:r>
        <w:rPr>
          <w:b/>
          <w:color w:val="auto"/>
          <w:highlight w:val="none"/>
        </w:rPr>
        <w:t xml:space="preserve">请根据磋商文件对磋商供应商的资格要求，提供资格证明文件，格式自定。</w:t>
      </w:r>
      <w:r/>
    </w:p>
    <w:p>
      <w:pPr>
        <w:ind w:firstLine="643"/>
        <w:jc w:val="center"/>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ind w:firstLine="0"/>
        <w:rPr>
          <w:b/>
          <w:color w:val="auto"/>
          <w:sz w:val="32"/>
          <w:szCs w:val="32"/>
          <w:highlight w:val="none"/>
        </w:rPr>
      </w:pPr>
      <w:r>
        <w:rPr>
          <w:b/>
          <w:color w:val="auto"/>
          <w:sz w:val="32"/>
          <w:szCs w:val="32"/>
          <w:highlight w:val="none"/>
        </w:rPr>
      </w:r>
      <w:r/>
    </w:p>
    <w:p>
      <w:pPr>
        <w:ind w:firstLine="643"/>
        <w:rPr>
          <w:b/>
          <w:color w:val="auto"/>
          <w:sz w:val="32"/>
          <w:szCs w:val="32"/>
          <w:highlight w:val="none"/>
        </w:rPr>
      </w:pPr>
      <w:r>
        <w:rPr>
          <w:b/>
          <w:color w:val="auto"/>
          <w:sz w:val="32"/>
          <w:szCs w:val="32"/>
          <w:highlight w:val="none"/>
        </w:rPr>
      </w:r>
      <w:r/>
    </w:p>
    <w:p>
      <w:pPr>
        <w:ind w:firstLine="0"/>
        <w:jc w:val="center"/>
        <w:pageBreakBefore/>
        <w:spacing w:before="101" w:line="185" w:lineRule="auto"/>
        <w:rPr>
          <w:rFonts w:hint="eastAsia" w:ascii="宋体" w:hAnsi="宋体" w:cs="宋体"/>
          <w:color w:val="auto"/>
          <w:sz w:val="28"/>
          <w:szCs w:val="28"/>
          <w:highlight w:val="none"/>
        </w:rPr>
      </w:pP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、法定代表人（单位负责人）身份证明（格式）</w:t>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0"/>
        <w:jc w:val="center"/>
        <w:spacing w:line="360" w:lineRule="exact"/>
        <w:rPr>
          <w:rFonts w:hint="eastAsia" w:ascii="宋体" w:hAnsi="宋体" w:cs="Times New Roman"/>
          <w:b/>
          <w:color w:val="auto"/>
          <w:sz w:val="36"/>
          <w:szCs w:val="36"/>
          <w:highlight w:val="none"/>
        </w:rPr>
      </w:pPr>
      <w:r>
        <w:rPr>
          <w:rFonts w:hint="eastAsia" w:ascii="宋体" w:hAnsi="宋体" w:cs="Times New Roman"/>
          <w:b/>
          <w:color w:val="auto"/>
          <w:sz w:val="36"/>
          <w:szCs w:val="36"/>
          <w:highlight w:val="none"/>
        </w:rPr>
      </w:r>
      <w:r/>
    </w:p>
    <w:p>
      <w:pPr>
        <w:ind w:firstLine="0"/>
        <w:spacing w:line="200" w:lineRule="exact"/>
        <w:rPr>
          <w:rFonts w:hint="eastAsia" w:ascii="宋体" w:hAnsi="宋体" w:cs="Times New Roman"/>
          <w:color w:val="auto"/>
          <w:sz w:val="20"/>
          <w:szCs w:val="20"/>
          <w:highlight w:val="none"/>
        </w:rPr>
      </w:pPr>
      <w:r>
        <w:rPr>
          <w:rFonts w:hint="eastAsia" w:ascii="宋体" w:hAnsi="宋体" w:cs="Times New Roman"/>
          <w:color w:val="auto"/>
          <w:sz w:val="20"/>
          <w:szCs w:val="20"/>
          <w:highlight w:val="none"/>
        </w:rPr>
      </w:r>
      <w:r/>
    </w:p>
    <w:p>
      <w:pPr>
        <w:ind w:firstLine="0"/>
        <w:spacing w:line="360" w:lineRule="auto"/>
        <w:tabs>
          <w:tab w:val="left" w:pos="5580" w:leader="none"/>
        </w:tabs>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致：</w:t>
      </w:r>
      <w:r>
        <w:rPr>
          <w:rFonts w:hint="eastAsia" w:ascii="Times New Roman" w:hAnsi="Times New Roman"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姓名</w:t>
      </w:r>
      <w:r>
        <w:rPr>
          <w:rFonts w:hint="eastAsia" w:ascii="宋体" w:hAnsi="宋体" w:cs="Times New Roman"/>
          <w:color w:val="auto"/>
          <w:sz w:val="24"/>
          <w:szCs w:val="24"/>
          <w:highlight w:val="none"/>
        </w:rPr>
        <w:t xml:space="preserve">：</w:t>
      </w:r>
      <w:r>
        <w:rPr>
          <w:rFonts w:hint="eastAsia" w:ascii="宋体" w:hAnsi="宋体" w:cs="Times New Roman"/>
          <w:color w:val="auto"/>
          <w:sz w:val="24"/>
          <w:szCs w:val="24"/>
          <w:highlight w:val="none"/>
          <w:u w:val="single"/>
        </w:rPr>
        <w:t xml:space="preserve">        </w:t>
      </w:r>
      <w:r>
        <w:rPr>
          <w:rFonts w:ascii="宋体" w:hAnsi="宋体" w:cs="Times New Roman"/>
          <w:color w:val="auto"/>
          <w:sz w:val="24"/>
          <w:szCs w:val="24"/>
          <w:highlight w:val="none"/>
        </w:rPr>
        <w:t xml:space="preserve">性别：</w:t>
      </w:r>
      <w:r>
        <w:rPr>
          <w:rFonts w:hint="eastAsia" w:ascii="宋体" w:hAnsi="宋体" w:cs="Times New Roman"/>
          <w:color w:val="auto"/>
          <w:sz w:val="24"/>
          <w:szCs w:val="24"/>
          <w:highlight w:val="none"/>
          <w:u w:val="single"/>
        </w:rPr>
        <w:t xml:space="preserve">        </w:t>
      </w:r>
      <w:r>
        <w:rPr>
          <w:rFonts w:ascii="宋体" w:hAnsi="宋体" w:cs="Times New Roman"/>
          <w:color w:val="auto"/>
          <w:sz w:val="24"/>
          <w:szCs w:val="24"/>
          <w:highlight w:val="none"/>
        </w:rPr>
        <w:t xml:space="preserve">年龄：</w:t>
      </w:r>
      <w:r>
        <w:rPr>
          <w:rFonts w:hint="eastAsia" w:ascii="宋体" w:hAnsi="宋体" w:cs="Times New Roman"/>
          <w:color w:val="auto"/>
          <w:sz w:val="24"/>
          <w:szCs w:val="24"/>
          <w:highlight w:val="none"/>
          <w:u w:val="single"/>
        </w:rPr>
        <w:t xml:space="preserve">        </w:t>
      </w:r>
      <w:r>
        <w:rPr>
          <w:rFonts w:ascii="宋体" w:hAnsi="宋体" w:cs="Times New Roman"/>
          <w:color w:val="auto"/>
          <w:sz w:val="24"/>
          <w:szCs w:val="24"/>
          <w:highlight w:val="none"/>
        </w:rPr>
        <w:t xml:space="preserve">职务：</w:t>
      </w:r>
      <w:r>
        <w:rPr>
          <w:rFonts w:hint="eastAsia" w:ascii="宋体" w:hAnsi="宋体" w:cs="Times New Roman"/>
          <w:color w:val="auto"/>
          <w:sz w:val="24"/>
          <w:szCs w:val="24"/>
          <w:highlight w:val="none"/>
          <w:u w:val="single"/>
        </w:rPr>
        <w:t xml:space="preserve">        </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系</w:t>
      </w:r>
      <w:r>
        <w:rPr>
          <w:rFonts w:hint="eastAsia" w:ascii="宋体" w:hAnsi="宋体" w:cs="Times New Roman"/>
          <w:color w:val="auto"/>
          <w:sz w:val="24"/>
          <w:szCs w:val="24"/>
          <w:highlight w:val="none"/>
          <w:u w:val="single"/>
        </w:rPr>
        <w:t xml:space="preserve"> </w:t>
      </w:r>
      <w:r>
        <w:rPr>
          <w:rFonts w:ascii="Calibri" w:hAnsi="Calibri" w:cs="Times New Roman"/>
          <w:color w:val="auto"/>
          <w:sz w:val="24"/>
          <w:szCs w:val="24"/>
          <w:highlight w:val="none"/>
          <w:u w:val="single"/>
        </w:rPr>
        <w:t xml:space="preserve">（</w:t>
      </w:r>
      <w:r>
        <w:rPr>
          <w:rFonts w:hint="eastAsia" w:ascii="Calibri" w:hAnsi="Calibri" w:cs="Times New Roman"/>
          <w:color w:val="auto"/>
          <w:sz w:val="24"/>
          <w:szCs w:val="24"/>
          <w:highlight w:val="none"/>
          <w:u w:val="single"/>
          <w:lang w:eastAsia="zh-CN"/>
        </w:rPr>
        <w:t xml:space="preserve">供应商</w:t>
      </w:r>
      <w:r>
        <w:rPr>
          <w:rFonts w:ascii="Calibri" w:hAnsi="Calibri" w:cs="Times New Roman"/>
          <w:color w:val="auto"/>
          <w:sz w:val="24"/>
          <w:szCs w:val="24"/>
          <w:highlight w:val="none"/>
          <w:u w:val="single"/>
        </w:rPr>
        <w:t xml:space="preserve">名称）</w:t>
      </w:r>
      <w:r>
        <w:rPr>
          <w:rFonts w:hint="eastAsia" w:ascii="Calibri" w:hAnsi="Calibri" w:cs="Times New Roman"/>
          <w:color w:val="auto"/>
          <w:sz w:val="24"/>
          <w:szCs w:val="24"/>
          <w:highlight w:val="none"/>
          <w:u w:val="single"/>
        </w:rPr>
        <w:t xml:space="preserve"> </w:t>
      </w:r>
      <w:r>
        <w:rPr>
          <w:rFonts w:ascii="宋体" w:hAnsi="宋体" w:cs="Times New Roman"/>
          <w:color w:val="auto"/>
          <w:sz w:val="24"/>
          <w:szCs w:val="24"/>
          <w:highlight w:val="none"/>
        </w:rPr>
        <w:t xml:space="preserve">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46" w:firstLine="0"/>
        <w:spacing w:before="120" w:line="583" w:lineRule="auto"/>
        <w:tabs>
          <w:tab w:val="left" w:pos="567" w:leader="none"/>
        </w:tabs>
        <w:rPr>
          <w:rFonts w:hint="eastAsia" w:ascii="宋体" w:hAnsi="宋体" w:cs="Times New Roman"/>
          <w:color w:val="auto"/>
          <w:spacing w:val="-3"/>
          <w:sz w:val="24"/>
          <w:szCs w:val="24"/>
          <w:highlight w:val="none"/>
        </w:rPr>
      </w:pPr>
      <w:r>
        <w:rPr>
          <w:rFonts w:ascii="宋体" w:hAnsi="宋体" w:cs="Times New Roman"/>
          <w:color w:val="auto"/>
          <w:spacing w:val="-3"/>
          <w:sz w:val="24"/>
          <w:szCs w:val="24"/>
          <w:highlight w:val="none"/>
        </w:rPr>
        <w:t xml:space="preserve">法</w:t>
      </w:r>
      <w:r>
        <w:rPr>
          <w:rFonts w:ascii="宋体" w:hAnsi="宋体" w:cs="Times New Roman"/>
          <w:color w:val="auto"/>
          <w:sz w:val="24"/>
          <w:szCs w:val="24"/>
          <w:highlight w:val="none"/>
        </w:rPr>
        <w:t xml:space="preserve">定</w:t>
      </w:r>
      <w:r>
        <w:rPr>
          <w:rFonts w:ascii="宋体" w:hAnsi="宋体" w:cs="Times New Roman"/>
          <w:color w:val="auto"/>
          <w:spacing w:val="-3"/>
          <w:sz w:val="24"/>
          <w:szCs w:val="24"/>
          <w:highlight w:val="none"/>
        </w:rPr>
        <w:t xml:space="preserve">代</w:t>
      </w:r>
      <w:r>
        <w:rPr>
          <w:rFonts w:ascii="宋体" w:hAnsi="宋体" w:cs="Times New Roman"/>
          <w:color w:val="auto"/>
          <w:sz w:val="24"/>
          <w:szCs w:val="24"/>
          <w:highlight w:val="none"/>
        </w:rPr>
        <w:t xml:space="preserve">表</w:t>
      </w:r>
      <w:r>
        <w:rPr>
          <w:rFonts w:ascii="宋体" w:hAnsi="宋体" w:cs="Times New Roman"/>
          <w:color w:val="auto"/>
          <w:spacing w:val="-3"/>
          <w:sz w:val="24"/>
          <w:szCs w:val="24"/>
          <w:highlight w:val="none"/>
        </w:rPr>
        <w:t xml:space="preserve">人</w:t>
      </w:r>
      <w:r>
        <w:rPr>
          <w:rFonts w:ascii="宋体" w:hAnsi="宋体" w:cs="Times New Roman"/>
          <w:color w:val="auto"/>
          <w:sz w:val="24"/>
          <w:szCs w:val="24"/>
          <w:highlight w:val="none"/>
        </w:rPr>
        <w:t xml:space="preserve">（</w:t>
      </w:r>
      <w:r>
        <w:rPr>
          <w:rFonts w:ascii="宋体" w:hAnsi="宋体" w:cs="Times New Roman"/>
          <w:color w:val="auto"/>
          <w:spacing w:val="-3"/>
          <w:sz w:val="24"/>
          <w:szCs w:val="24"/>
          <w:highlight w:val="none"/>
        </w:rPr>
        <w:t xml:space="preserve">单</w:t>
      </w:r>
      <w:r>
        <w:rPr>
          <w:rFonts w:ascii="宋体" w:hAnsi="宋体" w:cs="Times New Roman"/>
          <w:color w:val="auto"/>
          <w:sz w:val="24"/>
          <w:szCs w:val="24"/>
          <w:highlight w:val="none"/>
        </w:rPr>
        <w:t xml:space="preserve">位</w:t>
      </w:r>
      <w:r>
        <w:rPr>
          <w:rFonts w:ascii="宋体" w:hAnsi="宋体" w:cs="Times New Roman"/>
          <w:color w:val="auto"/>
          <w:spacing w:val="-3"/>
          <w:sz w:val="24"/>
          <w:szCs w:val="24"/>
          <w:highlight w:val="none"/>
        </w:rPr>
        <w:t xml:space="preserve">负</w:t>
      </w:r>
      <w:r>
        <w:rPr>
          <w:rFonts w:ascii="宋体" w:hAnsi="宋体" w:cs="Times New Roman"/>
          <w:color w:val="auto"/>
          <w:sz w:val="24"/>
          <w:szCs w:val="24"/>
          <w:highlight w:val="none"/>
        </w:rPr>
        <w:t xml:space="preserve">责人</w:t>
      </w:r>
      <w:r>
        <w:rPr>
          <w:rFonts w:ascii="宋体" w:hAnsi="宋体" w:cs="Times New Roman"/>
          <w:color w:val="auto"/>
          <w:spacing w:val="-3"/>
          <w:sz w:val="24"/>
          <w:szCs w:val="24"/>
          <w:highlight w:val="none"/>
        </w:rPr>
        <w:t xml:space="preserve">）有效期内的身</w:t>
      </w:r>
      <w:r>
        <w:rPr>
          <w:rFonts w:hint="eastAsia" w:ascii="宋体" w:hAnsi="宋体" w:cs="Times New Roman"/>
          <w:color w:val="auto"/>
          <w:spacing w:val="-3"/>
          <w:sz w:val="24"/>
          <w:szCs w:val="24"/>
          <w:highlight w:val="none"/>
        </w:rPr>
        <w:t xml:space="preserve">份</w:t>
      </w:r>
      <w:r>
        <w:rPr>
          <w:rFonts w:ascii="宋体" w:hAnsi="宋体" w:cs="Times New Roman"/>
          <w:color w:val="auto"/>
          <w:spacing w:val="-3"/>
          <w:sz w:val="24"/>
          <w:szCs w:val="24"/>
          <w:highlight w:val="none"/>
        </w:rPr>
        <w:t xml:space="preserve">证</w:t>
      </w:r>
      <w:r>
        <w:rPr>
          <w:rFonts w:ascii="宋体" w:hAnsi="宋体" w:cs="Times New Roman"/>
          <w:b/>
          <w:bCs/>
          <w:color w:val="auto"/>
          <w:spacing w:val="-3"/>
          <w:sz w:val="24"/>
          <w:szCs w:val="24"/>
          <w:highlight w:val="none"/>
        </w:rPr>
        <w:t xml:space="preserve">正反面</w:t>
      </w:r>
      <w:r>
        <w:rPr>
          <w:rFonts w:hint="eastAsia" w:ascii="宋体" w:hAnsi="宋体" w:cs="Times New Roman"/>
          <w:color w:val="auto"/>
          <w:sz w:val="24"/>
          <w:szCs w:val="20"/>
          <w:highlight w:val="none"/>
          <w:lang w:val="en-US" w:eastAsia="zh-CN"/>
        </w:rPr>
        <w:t xml:space="preserve">电子件</w:t>
      </w:r>
      <w:r>
        <w:rPr>
          <w:rFonts w:hint="eastAsia" w:ascii="宋体" w:hAnsi="宋体" w:cs="Times New Roman"/>
          <w:color w:val="auto"/>
          <w:spacing w:val="-3"/>
          <w:sz w:val="24"/>
          <w:szCs w:val="24"/>
          <w:highlight w:val="none"/>
        </w:rPr>
        <w:t xml:space="preserve">：</w:t>
      </w:r>
      <w:r/>
    </w:p>
    <w:tbl>
      <w:tblPr>
        <w:tblStyle w:val="90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ind w:right="4305" w:firstLine="0"/>
        <w:spacing w:before="120" w:line="583" w:lineRule="auto"/>
        <w:tabs>
          <w:tab w:val="left" w:pos="567" w:leader="none"/>
        </w:tabs>
        <w:rPr>
          <w:rFonts w:hint="eastAsia" w:ascii="宋体" w:hAnsi="宋体" w:cs="Times New Roman"/>
          <w:color w:val="auto"/>
          <w:spacing w:val="-3"/>
          <w:sz w:val="24"/>
          <w:szCs w:val="24"/>
          <w:highlight w:val="none"/>
        </w:rPr>
      </w:pPr>
      <w:r>
        <w:rPr>
          <w:rFonts w:hint="eastAsia" w:ascii="宋体" w:hAnsi="宋体" w:cs="Times New Roman"/>
          <w:color w:val="auto"/>
          <w:spacing w:val="-3"/>
          <w:sz w:val="24"/>
          <w:szCs w:val="24"/>
          <w:highlight w:val="none"/>
        </w:rPr>
      </w:r>
      <w:r/>
    </w:p>
    <w:p>
      <w:pPr>
        <w:ind w:firstLine="0"/>
        <w:spacing w:line="360" w:lineRule="auto"/>
        <w:rPr>
          <w:rFonts w:ascii="Calibri" w:hAnsi="Calibri" w:cs="Times New Roman"/>
          <w:color w:val="auto"/>
          <w:sz w:val="24"/>
          <w:szCs w:val="24"/>
          <w:highlight w:val="none"/>
        </w:rPr>
      </w:pPr>
      <w:r>
        <w:rPr>
          <w:rFonts w:hint="eastAsia" w:ascii="宋体" w:hAnsi="宋体" w:cs="Times New Roman"/>
          <w:color w:val="auto"/>
          <w:sz w:val="24"/>
          <w:szCs w:val="24"/>
          <w:highlight w:val="none"/>
          <w:lang w:eastAsia="zh-CN"/>
        </w:rPr>
        <w:t xml:space="preserve">供应商</w:t>
      </w:r>
      <w:r>
        <w:rPr>
          <w:rFonts w:ascii="宋体" w:hAnsi="宋体" w:cs="Times New Roman"/>
          <w:color w:val="auto"/>
          <w:sz w:val="24"/>
          <w:szCs w:val="24"/>
          <w:highlight w:val="none"/>
        </w:rPr>
        <w:t xml:space="preserve">名称（加盖公章）</w:t>
      </w:r>
      <w:r>
        <w:rPr>
          <w:rFonts w:ascii="宋体" w:hAnsi="宋体" w:cs="Times New Roman"/>
          <w:color w:val="auto"/>
          <w:sz w:val="24"/>
          <w:szCs w:val="24"/>
          <w:highlight w:val="none"/>
          <w:lang w:val="zh-CN"/>
        </w:rPr>
        <w:t xml:space="preserve">：</w:t>
      </w:r>
      <w:r>
        <w:rPr>
          <w:rFonts w:hint="eastAsia" w:ascii="Calibri" w:hAnsi="Calibri" w:cs="Times New Roman"/>
          <w:color w:val="auto"/>
          <w:sz w:val="24"/>
          <w:szCs w:val="24"/>
          <w:highlight w:val="none"/>
          <w:u w:val="single"/>
        </w:rPr>
        <w:t xml:space="preserve">             </w:t>
      </w:r>
      <w:r/>
    </w:p>
    <w:p>
      <w:pPr>
        <w:ind w:firstLine="0"/>
        <w:spacing w:line="360" w:lineRule="auto"/>
        <w:rPr>
          <w:rFonts w:ascii="Calibri" w:hAnsi="Calibri" w:cs="Times New Roman"/>
          <w:color w:val="auto"/>
          <w:sz w:val="24"/>
          <w:szCs w:val="24"/>
          <w:highlight w:val="none"/>
        </w:rPr>
      </w:pPr>
      <w:r>
        <w:rPr>
          <w:rFonts w:hint="eastAsia" w:ascii="宋体" w:hAnsi="宋体" w:cs="Times New Roman"/>
          <w:color w:val="auto"/>
          <w:spacing w:val="-3"/>
          <w:sz w:val="24"/>
          <w:szCs w:val="24"/>
          <w:highlight w:val="none"/>
        </w:rPr>
        <w:t xml:space="preserve">法定代表人（</w:t>
      </w:r>
      <w:r>
        <w:rPr>
          <w:rFonts w:ascii="宋体" w:hAnsi="宋体" w:cs="Times New Roman"/>
          <w:color w:val="auto"/>
          <w:sz w:val="24"/>
          <w:szCs w:val="24"/>
          <w:highlight w:val="none"/>
        </w:rPr>
        <w:t xml:space="preserve">单位负责人</w:t>
      </w:r>
      <w:r>
        <w:rPr>
          <w:rFonts w:hint="eastAsia" w:ascii="宋体" w:hAnsi="宋体" w:cs="Times New Roman"/>
          <w:color w:val="auto"/>
          <w:spacing w:val="-3"/>
          <w:sz w:val="24"/>
          <w:szCs w:val="24"/>
          <w:highlight w:val="none"/>
        </w:rPr>
        <w:t xml:space="preserve">）（签字、签章或印鉴）：</w:t>
      </w:r>
      <w:r>
        <w:rPr>
          <w:rFonts w:hint="eastAsia" w:ascii="Calibri" w:hAnsi="Calibri" w:cs="Times New Roman"/>
          <w:color w:val="auto"/>
          <w:sz w:val="24"/>
          <w:szCs w:val="24"/>
          <w:highlight w:val="none"/>
          <w:u w:val="single"/>
        </w:rPr>
        <w:t xml:space="preserve">             </w:t>
      </w:r>
      <w:r/>
    </w:p>
    <w:p>
      <w:pPr>
        <w:ind w:firstLine="0"/>
        <w:spacing w:line="360" w:lineRule="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ind w:firstLine="480"/>
        <w:spacing w:line="500" w:lineRule="exact"/>
        <w:rPr>
          <w:rFonts w:ascii="Times New Roman" w:hAnsi="Times New Roman" w:cs="Times New Roman"/>
          <w:color w:val="auto"/>
          <w:sz w:val="21"/>
          <w:szCs w:val="20"/>
          <w:highlight w:val="none"/>
        </w:rPr>
      </w:pPr>
      <w:r>
        <w:rPr>
          <w:rFonts w:hint="eastAsia" w:ascii="Calibri" w:hAnsi="Calibri" w:cs="Times New Roman"/>
          <w:color w:val="auto"/>
          <w:sz w:val="24"/>
          <w:szCs w:val="24"/>
          <w:highlight w:val="none"/>
        </w:rPr>
        <w:t xml:space="preserve">日期：    年     月     日</w:t>
      </w:r>
      <w:r/>
    </w:p>
    <w:p>
      <w:pPr>
        <w:ind w:firstLine="4620"/>
        <w:jc w:val="left"/>
        <w:rPr>
          <w:rFonts w:hint="eastAsia" w:ascii="宋体" w:hAnsi="宋体" w:cs="宋体"/>
          <w:color w:val="auto"/>
          <w:highlight w:val="none"/>
        </w:rPr>
      </w:pPr>
      <w:r>
        <w:rPr>
          <w:rFonts w:hint="eastAsia" w:ascii="宋体" w:hAnsi="宋体" w:cs="宋体"/>
          <w:color w:val="auto"/>
          <w:highlight w:val="none"/>
        </w:rPr>
      </w:r>
      <w:r/>
    </w:p>
    <w:p>
      <w:pPr>
        <w:ind w:firstLine="44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firstLine="440"/>
        <w:jc w:val="center"/>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r>
      <w:r/>
    </w:p>
    <w:p>
      <w:pPr>
        <w:ind w:left="0" w:firstLine="0"/>
        <w:rPr>
          <w:rFonts w:hint="eastAsia" w:eastAsia="宋体"/>
          <w:color w:val="auto"/>
          <w:highlight w:val="none"/>
          <w:lang w:val="en-US" w:eastAsia="zh-CN"/>
        </w:rPr>
      </w:pPr>
      <w:r>
        <w:rPr>
          <w:rFonts w:hint="eastAsia" w:eastAsia="宋体"/>
          <w:color w:val="auto"/>
          <w:highlight w:val="none"/>
          <w:lang w:val="en-US" w:eastAsia="zh-CN"/>
        </w:rPr>
      </w:r>
      <w:r/>
    </w:p>
    <w:p>
      <w:pPr>
        <w:ind w:firstLine="0"/>
        <w:rPr>
          <w:rFonts w:hint="eastAsia" w:ascii="宋体" w:hAnsi="宋体" w:cs="宋体"/>
          <w:b/>
          <w:bCs/>
          <w:color w:val="auto"/>
          <w:sz w:val="28"/>
          <w:szCs w:val="28"/>
          <w:highlight w:val="none"/>
        </w:rPr>
      </w:pPr>
      <w:r/>
      <w:bookmarkStart w:id="926" w:name="_Toc91183849"/>
      <w:r/>
      <w:bookmarkStart w:id="927" w:name="_Toc91256337"/>
      <w:r/>
      <w:r/>
    </w:p>
    <w:p>
      <w:pPr>
        <w:ind w:firstLine="0"/>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法定代表人授权委托书</w:t>
      </w:r>
      <w:r/>
    </w:p>
    <w:p>
      <w:pPr>
        <w:ind w:firstLine="480"/>
        <w:rPr>
          <w:rFonts w:hint="eastAsia" w:ascii="宋体" w:hAnsi="宋体" w:cs="宋体"/>
          <w:color w:val="auto"/>
          <w:szCs w:val="22"/>
          <w:highlight w:val="none"/>
        </w:rPr>
      </w:pPr>
      <w:r>
        <w:rPr>
          <w:rFonts w:hint="eastAsia" w:ascii="宋体" w:hAnsi="宋体" w:cs="宋体"/>
          <w:color w:val="auto"/>
          <w:szCs w:val="22"/>
          <w:highlight w:val="none"/>
        </w:rPr>
      </w:r>
      <w:bookmarkEnd w:id="926"/>
      <w:r/>
      <w:bookmarkEnd w:id="927"/>
      <w:r/>
      <w:r/>
    </w:p>
    <w:p>
      <w:pPr>
        <w:ind w:firstLine="0"/>
        <w:spacing w:line="36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致：</w:t>
      </w:r>
      <w:r>
        <w:rPr>
          <w:rFonts w:hint="eastAsia" w:ascii="Calibri" w:hAnsi="Calibri" w:cs="Times New Roman"/>
          <w:color w:val="auto"/>
          <w:sz w:val="24"/>
          <w:szCs w:val="24"/>
          <w:highlight w:val="none"/>
          <w:u w:val="single"/>
        </w:rPr>
        <w:t xml:space="preserve">采购单位</w:t>
      </w:r>
      <w:r/>
    </w:p>
    <w:p>
      <w:pPr>
        <w:ind w:firstLine="420"/>
        <w:jc w:val="left"/>
        <w:spacing w:line="360" w:lineRule="auto"/>
        <w:rPr>
          <w:rFonts w:ascii="Calibri" w:hAnsi="Calibri" w:cs="Times New Roman"/>
          <w:color w:val="auto"/>
          <w:sz w:val="24"/>
          <w:szCs w:val="24"/>
          <w:highlight w:val="none"/>
        </w:rPr>
      </w:pPr>
      <w:r>
        <w:rPr>
          <w:rFonts w:hint="eastAsia" w:ascii="Calibri" w:hAnsi="Calibri" w:cs="Times New Roman"/>
          <w:color w:val="auto"/>
          <w:sz w:val="24"/>
          <w:szCs w:val="24"/>
          <w:highlight w:val="none"/>
        </w:rPr>
        <w:t xml:space="preserve">本人</w:t>
      </w:r>
      <w:r>
        <w:rPr>
          <w:rFonts w:hint="eastAsia" w:ascii="Calibri" w:hAnsi="Calibri" w:cs="Times New Roman"/>
          <w:color w:val="auto"/>
          <w:sz w:val="24"/>
          <w:szCs w:val="24"/>
          <w:highlight w:val="none"/>
          <w:u w:val="single"/>
        </w:rPr>
        <w:t xml:space="preserve"> </w:t>
      </w:r>
      <w:r>
        <w:rPr>
          <w:rFonts w:ascii="Calibri" w:hAnsi="Calibri" w:cs="Times New Roman"/>
          <w:color w:val="auto"/>
          <w:sz w:val="24"/>
          <w:szCs w:val="24"/>
          <w:highlight w:val="none"/>
          <w:u w:val="single"/>
        </w:rPr>
        <w:t xml:space="preserve">（</w:t>
      </w:r>
      <w:r>
        <w:rPr>
          <w:rFonts w:hint="eastAsia" w:ascii="Calibri" w:hAnsi="Calibri" w:cs="Times New Roman"/>
          <w:color w:val="auto"/>
          <w:sz w:val="24"/>
          <w:szCs w:val="24"/>
          <w:highlight w:val="none"/>
          <w:u w:val="single"/>
        </w:rPr>
        <w:t xml:space="preserve">姓名</w:t>
      </w:r>
      <w:r>
        <w:rPr>
          <w:rFonts w:ascii="Calibri" w:hAnsi="Calibri" w:cs="Times New Roman"/>
          <w:color w:val="auto"/>
          <w:sz w:val="24"/>
          <w:szCs w:val="24"/>
          <w:highlight w:val="none"/>
          <w:u w:val="single"/>
        </w:rPr>
        <w:t xml:space="preserve">）</w:t>
      </w:r>
      <w:r>
        <w:rPr>
          <w:rFonts w:hint="eastAsia" w:ascii="Calibri" w:hAnsi="Calibri" w:cs="Times New Roman"/>
          <w:color w:val="auto"/>
          <w:sz w:val="24"/>
          <w:szCs w:val="24"/>
          <w:highlight w:val="none"/>
          <w:u w:val="single"/>
        </w:rPr>
        <w:t xml:space="preserve"> </w:t>
      </w:r>
      <w:r>
        <w:rPr>
          <w:rFonts w:hint="eastAsia" w:ascii="Calibri" w:hAnsi="Calibri" w:cs="Times New Roman"/>
          <w:color w:val="auto"/>
          <w:sz w:val="24"/>
          <w:szCs w:val="24"/>
          <w:highlight w:val="none"/>
        </w:rPr>
        <w:t xml:space="preserve">系</w:t>
      </w:r>
      <w:r>
        <w:rPr>
          <w:rFonts w:hint="eastAsia" w:ascii="Calibri" w:hAnsi="Calibri" w:cs="Times New Roman"/>
          <w:color w:val="auto"/>
          <w:sz w:val="24"/>
          <w:szCs w:val="24"/>
          <w:highlight w:val="none"/>
          <w:u w:val="single"/>
        </w:rPr>
        <w:t xml:space="preserve"> </w:t>
      </w:r>
      <w:r>
        <w:rPr>
          <w:rFonts w:ascii="Calibri" w:hAnsi="Calibri" w:cs="Times New Roman"/>
          <w:color w:val="auto"/>
          <w:sz w:val="24"/>
          <w:szCs w:val="24"/>
          <w:highlight w:val="none"/>
          <w:u w:val="single"/>
        </w:rPr>
        <w:t xml:space="preserve">（</w:t>
      </w:r>
      <w:r>
        <w:rPr>
          <w:rFonts w:hint="eastAsia" w:ascii="Calibri" w:hAnsi="Calibri" w:cs="Times New Roman"/>
          <w:color w:val="auto"/>
          <w:sz w:val="24"/>
          <w:szCs w:val="24"/>
          <w:highlight w:val="none"/>
          <w:u w:val="single"/>
          <w:lang w:eastAsia="zh-CN"/>
        </w:rPr>
        <w:t xml:space="preserve">供应商</w:t>
      </w:r>
      <w:r>
        <w:rPr>
          <w:rFonts w:ascii="Calibri" w:hAnsi="Calibri" w:cs="Times New Roman"/>
          <w:color w:val="auto"/>
          <w:sz w:val="24"/>
          <w:szCs w:val="24"/>
          <w:highlight w:val="none"/>
          <w:u w:val="single"/>
        </w:rPr>
        <w:t xml:space="preserve">名称）</w:t>
      </w:r>
      <w:r>
        <w:rPr>
          <w:rFonts w:hint="eastAsia" w:ascii="Calibri" w:hAnsi="Calibri" w:cs="Times New Roman"/>
          <w:color w:val="auto"/>
          <w:sz w:val="24"/>
          <w:szCs w:val="24"/>
          <w:highlight w:val="none"/>
          <w:u w:val="single"/>
        </w:rPr>
        <w:t xml:space="preserve"> </w:t>
      </w:r>
      <w:r>
        <w:rPr>
          <w:rFonts w:hint="eastAsia" w:ascii="Calibri" w:hAnsi="Calibri" w:cs="Times New Roman"/>
          <w:color w:val="auto"/>
          <w:sz w:val="24"/>
          <w:szCs w:val="24"/>
          <w:highlight w:val="none"/>
        </w:rPr>
        <w:t xml:space="preserve">的</w:t>
      </w:r>
      <w:r>
        <w:rPr>
          <w:rFonts w:ascii="Calibri" w:hAnsi="Calibri" w:cs="Times New Roman"/>
          <w:color w:val="auto"/>
          <w:sz w:val="24"/>
          <w:szCs w:val="24"/>
          <w:highlight w:val="none"/>
        </w:rPr>
        <w:t xml:space="preserve">法定代表人（</w:t>
      </w:r>
      <w:r>
        <w:rPr>
          <w:rFonts w:hint="eastAsia" w:ascii="Calibri" w:hAnsi="Calibri" w:cs="Times New Roman"/>
          <w:color w:val="auto"/>
          <w:sz w:val="24"/>
          <w:szCs w:val="24"/>
          <w:highlight w:val="none"/>
        </w:rPr>
        <w:t xml:space="preserve">单位</w:t>
      </w:r>
      <w:r>
        <w:rPr>
          <w:rFonts w:ascii="Calibri" w:hAnsi="Calibri" w:cs="Times New Roman"/>
          <w:color w:val="auto"/>
          <w:sz w:val="24"/>
          <w:szCs w:val="24"/>
          <w:highlight w:val="none"/>
        </w:rPr>
        <w:t xml:space="preserve">负责人）</w:t>
      </w:r>
      <w:r>
        <w:rPr>
          <w:rFonts w:hint="eastAsia" w:ascii="Calibri" w:hAnsi="Calibri" w:cs="Times New Roman"/>
          <w:color w:val="auto"/>
          <w:sz w:val="24"/>
          <w:szCs w:val="24"/>
          <w:highlight w:val="none"/>
        </w:rPr>
        <w:t xml:space="preserve">，</w:t>
      </w:r>
      <w:r>
        <w:rPr>
          <w:rFonts w:ascii="Calibri" w:hAnsi="Calibri" w:cs="Times New Roman"/>
          <w:color w:val="auto"/>
          <w:sz w:val="24"/>
          <w:szCs w:val="24"/>
          <w:highlight w:val="none"/>
        </w:rPr>
        <w:t xml:space="preserve">现委托</w:t>
      </w:r>
      <w:r>
        <w:rPr>
          <w:rFonts w:hint="eastAsia" w:ascii="Calibri" w:hAnsi="Calibri" w:cs="Times New Roman"/>
          <w:color w:val="auto"/>
          <w:sz w:val="24"/>
          <w:szCs w:val="24"/>
          <w:highlight w:val="none"/>
          <w:u w:val="single"/>
        </w:rPr>
        <w:t xml:space="preserve"> （姓名</w:t>
      </w:r>
      <w:r>
        <w:rPr>
          <w:rFonts w:ascii="Calibri" w:hAnsi="Calibri" w:cs="Times New Roman"/>
          <w:color w:val="auto"/>
          <w:sz w:val="24"/>
          <w:szCs w:val="24"/>
          <w:highlight w:val="none"/>
          <w:u w:val="single"/>
        </w:rPr>
        <w:t xml:space="preserve">）</w:t>
      </w:r>
      <w:r>
        <w:rPr>
          <w:rFonts w:hint="eastAsia" w:ascii="Calibri" w:hAnsi="Calibri" w:cs="Times New Roman"/>
          <w:color w:val="auto"/>
          <w:sz w:val="24"/>
          <w:szCs w:val="24"/>
          <w:highlight w:val="none"/>
          <w:u w:val="single"/>
        </w:rPr>
        <w:t xml:space="preserve"> </w:t>
      </w:r>
      <w:r>
        <w:rPr>
          <w:rFonts w:hint="eastAsia" w:ascii="Calibri" w:hAnsi="Calibri" w:cs="Times New Roman"/>
          <w:color w:val="auto"/>
          <w:sz w:val="24"/>
          <w:szCs w:val="24"/>
          <w:highlight w:val="none"/>
        </w:rPr>
        <w:t xml:space="preserve">为</w:t>
      </w:r>
      <w:r>
        <w:rPr>
          <w:rFonts w:ascii="Calibri" w:hAnsi="Calibri" w:cs="Times New Roman"/>
          <w:color w:val="auto"/>
          <w:sz w:val="24"/>
          <w:szCs w:val="24"/>
          <w:highlight w:val="none"/>
        </w:rPr>
        <w:t xml:space="preserve">我方代理人。</w:t>
      </w:r>
      <w:r>
        <w:rPr>
          <w:rFonts w:hint="eastAsia" w:ascii="Calibri" w:hAnsi="Calibri" w:cs="Times New Roman"/>
          <w:color w:val="auto"/>
          <w:sz w:val="24"/>
          <w:szCs w:val="24"/>
          <w:highlight w:val="none"/>
        </w:rPr>
        <w:t xml:space="preserve">代理人根据</w:t>
      </w:r>
      <w:r>
        <w:rPr>
          <w:rFonts w:ascii="Calibri" w:hAnsi="Calibri" w:cs="Times New Roman"/>
          <w:color w:val="auto"/>
          <w:sz w:val="24"/>
          <w:szCs w:val="24"/>
          <w:highlight w:val="none"/>
        </w:rPr>
        <w:t xml:space="preserve">授权，以我方名义签署、澄清确认、递交、撤回、修改</w:t>
      </w:r>
      <w:r>
        <w:rPr>
          <w:rFonts w:hint="eastAsia" w:ascii="Calibri" w:hAnsi="Calibri" w:cs="Times New Roman"/>
          <w:color w:val="auto"/>
          <w:sz w:val="24"/>
          <w:szCs w:val="24"/>
          <w:highlight w:val="none"/>
          <w:u w:val="single"/>
        </w:rPr>
        <w:t xml:space="preserve"> （项目名称） </w:t>
      </w:r>
      <w:r>
        <w:rPr>
          <w:rFonts w:hint="eastAsia" w:ascii="Calibri" w:hAnsi="Calibri" w:cs="Times New Roman"/>
          <w:color w:val="auto"/>
          <w:sz w:val="24"/>
          <w:szCs w:val="24"/>
          <w:highlight w:val="none"/>
        </w:rPr>
        <w:t xml:space="preserve">项目（项目编号：</w:t>
      </w:r>
      <w:r>
        <w:rPr>
          <w:rFonts w:hint="eastAsia" w:ascii="Calibri" w:hAnsi="Calibri" w:cs="Times New Roman"/>
          <w:color w:val="auto"/>
          <w:sz w:val="24"/>
          <w:szCs w:val="24"/>
          <w:highlight w:val="none"/>
          <w:u w:val="single"/>
        </w:rPr>
        <w:t xml:space="preserve">         </w:t>
      </w:r>
      <w:r>
        <w:rPr>
          <w:rFonts w:hint="eastAsia" w:ascii="Calibri" w:hAnsi="Calibri" w:cs="Times New Roman"/>
          <w:color w:val="auto"/>
          <w:sz w:val="24"/>
          <w:szCs w:val="24"/>
          <w:highlight w:val="none"/>
        </w:rPr>
        <w:t xml:space="preserve">）投标</w:t>
      </w:r>
      <w:r>
        <w:rPr>
          <w:rFonts w:ascii="Calibri" w:hAnsi="Calibri" w:cs="Times New Roman"/>
          <w:color w:val="auto"/>
          <w:sz w:val="24"/>
          <w:szCs w:val="24"/>
          <w:highlight w:val="none"/>
        </w:rPr>
        <w:t xml:space="preserve">文件</w:t>
      </w:r>
      <w:r>
        <w:rPr>
          <w:rFonts w:hint="eastAsia" w:ascii="Calibri" w:hAnsi="Calibri" w:cs="Times New Roman"/>
          <w:color w:val="auto"/>
          <w:sz w:val="24"/>
          <w:szCs w:val="24"/>
          <w:highlight w:val="none"/>
        </w:rPr>
        <w:t xml:space="preserve">和</w:t>
      </w:r>
      <w:r>
        <w:rPr>
          <w:rFonts w:ascii="Calibri" w:hAnsi="Calibri" w:cs="Times New Roman"/>
          <w:color w:val="auto"/>
          <w:sz w:val="24"/>
          <w:szCs w:val="24"/>
          <w:highlight w:val="none"/>
        </w:rPr>
        <w:t xml:space="preserve">处理有关事宜，其法律后果由我方承担。</w:t>
      </w:r>
      <w:r/>
    </w:p>
    <w:p>
      <w:pPr>
        <w:ind w:firstLine="420"/>
        <w:jc w:val="left"/>
        <w:spacing w:line="360" w:lineRule="auto"/>
        <w:rPr>
          <w:rFonts w:ascii="Calibri" w:hAnsi="Calibri" w:cs="Times New Roman"/>
          <w:color w:val="auto"/>
          <w:sz w:val="24"/>
          <w:szCs w:val="24"/>
          <w:highlight w:val="none"/>
        </w:rPr>
      </w:pPr>
      <w:r>
        <w:rPr>
          <w:rFonts w:hint="eastAsia" w:ascii="Calibri" w:hAnsi="Calibri" w:cs="Times New Roman"/>
          <w:color w:val="auto"/>
          <w:sz w:val="24"/>
          <w:szCs w:val="24"/>
          <w:highlight w:val="none"/>
        </w:rPr>
        <w:t xml:space="preserve">委托</w:t>
      </w:r>
      <w:r>
        <w:rPr>
          <w:rFonts w:ascii="Calibri" w:hAnsi="Calibri" w:cs="Times New Roman"/>
          <w:color w:val="auto"/>
          <w:sz w:val="24"/>
          <w:szCs w:val="24"/>
          <w:highlight w:val="none"/>
        </w:rPr>
        <w:t xml:space="preserve">期限：自本</w:t>
      </w:r>
      <w:r>
        <w:rPr>
          <w:rFonts w:hint="eastAsia" w:ascii="Calibri" w:hAnsi="Calibri" w:cs="Times New Roman"/>
          <w:color w:val="auto"/>
          <w:sz w:val="24"/>
          <w:szCs w:val="24"/>
          <w:highlight w:val="none"/>
        </w:rPr>
        <w:t xml:space="preserve">授权</w:t>
      </w:r>
      <w:r>
        <w:rPr>
          <w:rFonts w:ascii="Calibri" w:hAnsi="Calibri" w:cs="Times New Roman"/>
          <w:color w:val="auto"/>
          <w:sz w:val="24"/>
          <w:szCs w:val="24"/>
          <w:highlight w:val="none"/>
        </w:rPr>
        <w:t xml:space="preserve">委托书签署之日起至</w:t>
      </w:r>
      <w:r>
        <w:rPr>
          <w:rFonts w:hint="eastAsia" w:ascii="Calibri" w:hAnsi="Calibri" w:cs="Times New Roman"/>
          <w:color w:val="auto"/>
          <w:sz w:val="24"/>
          <w:szCs w:val="24"/>
          <w:highlight w:val="none"/>
        </w:rPr>
        <w:t xml:space="preserve">响应</w:t>
      </w:r>
      <w:r>
        <w:rPr>
          <w:rFonts w:ascii="Calibri" w:hAnsi="Calibri" w:cs="Times New Roman"/>
          <w:color w:val="auto"/>
          <w:sz w:val="24"/>
          <w:szCs w:val="24"/>
          <w:highlight w:val="none"/>
        </w:rPr>
        <w:t xml:space="preserve">有效期</w:t>
      </w:r>
      <w:r>
        <w:rPr>
          <w:rFonts w:hint="eastAsia" w:ascii="Calibri" w:hAnsi="Calibri" w:cs="Times New Roman"/>
          <w:color w:val="auto"/>
          <w:sz w:val="24"/>
          <w:szCs w:val="24"/>
          <w:highlight w:val="none"/>
        </w:rPr>
        <w:t xml:space="preserve">届满</w:t>
      </w:r>
      <w:r>
        <w:rPr>
          <w:rFonts w:ascii="Calibri" w:hAnsi="Calibri" w:cs="Times New Roman"/>
          <w:color w:val="auto"/>
          <w:sz w:val="24"/>
          <w:szCs w:val="24"/>
          <w:highlight w:val="none"/>
        </w:rPr>
        <w:t xml:space="preserve">之日止。</w:t>
      </w:r>
      <w:r/>
    </w:p>
    <w:p>
      <w:pPr>
        <w:ind w:firstLine="420"/>
        <w:jc w:val="left"/>
        <w:spacing w:line="360" w:lineRule="auto"/>
        <w:rPr>
          <w:rFonts w:ascii="Calibri" w:hAnsi="Calibri" w:cs="Times New Roman"/>
          <w:color w:val="auto"/>
          <w:sz w:val="24"/>
          <w:szCs w:val="24"/>
          <w:highlight w:val="none"/>
        </w:rPr>
      </w:pPr>
      <w:r>
        <w:rPr>
          <w:rFonts w:hint="eastAsia" w:ascii="Calibri" w:hAnsi="Calibri" w:cs="Times New Roman"/>
          <w:color w:val="auto"/>
          <w:sz w:val="24"/>
          <w:szCs w:val="24"/>
          <w:highlight w:val="none"/>
        </w:rPr>
        <w:t xml:space="preserve">代理人</w:t>
      </w:r>
      <w:r>
        <w:rPr>
          <w:rFonts w:ascii="Calibri" w:hAnsi="Calibri" w:cs="Times New Roman"/>
          <w:color w:val="auto"/>
          <w:sz w:val="24"/>
          <w:szCs w:val="24"/>
          <w:highlight w:val="none"/>
        </w:rPr>
        <w:t xml:space="preserve">无转委托权。</w:t>
      </w:r>
      <w:r>
        <w:rPr>
          <w:rFonts w:ascii="Calibri" w:hAnsi="Calibri" w:cs="Times New Roman"/>
          <w:color w:val="auto"/>
          <w:sz w:val="24"/>
          <w:szCs w:val="24"/>
          <w:highlight w:val="none"/>
        </w:rPr>
        <w:br/>
      </w:r>
      <w:r/>
    </w:p>
    <w:p>
      <w:pPr>
        <w:ind w:firstLine="0"/>
        <w:spacing w:line="360" w:lineRule="auto"/>
        <w:rPr>
          <w:rFonts w:ascii="Calibri" w:hAnsi="Calibri" w:cs="Times New Roman"/>
          <w:color w:val="auto"/>
          <w:sz w:val="24"/>
          <w:szCs w:val="24"/>
          <w:highlight w:val="none"/>
        </w:rPr>
      </w:pPr>
      <w:r>
        <w:rPr>
          <w:rFonts w:hint="eastAsia" w:ascii="Calibri" w:hAnsi="Calibri" w:cs="Times New Roman"/>
          <w:color w:val="auto"/>
          <w:sz w:val="24"/>
          <w:szCs w:val="24"/>
          <w:highlight w:val="none"/>
          <w:lang w:eastAsia="zh-CN"/>
        </w:rPr>
        <w:t xml:space="preserve">供应商</w:t>
      </w:r>
      <w:r>
        <w:rPr>
          <w:rFonts w:ascii="Calibri" w:hAnsi="Calibri" w:cs="Times New Roman"/>
          <w:color w:val="auto"/>
          <w:sz w:val="24"/>
          <w:szCs w:val="24"/>
          <w:highlight w:val="none"/>
        </w:rPr>
        <w:t xml:space="preserve">名称（加盖公章）：</w:t>
      </w:r>
      <w:r>
        <w:rPr>
          <w:rFonts w:hint="eastAsia" w:ascii="Calibri" w:hAnsi="Calibri" w:cs="Times New Roman"/>
          <w:color w:val="auto"/>
          <w:sz w:val="24"/>
          <w:szCs w:val="24"/>
          <w:highlight w:val="none"/>
          <w:u w:val="single"/>
        </w:rPr>
        <w:t xml:space="preserve">             </w:t>
      </w:r>
      <w:r/>
    </w:p>
    <w:p>
      <w:pPr>
        <w:ind w:firstLine="0"/>
        <w:spacing w:line="36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法定代表人（单位负责人）（签字</w:t>
      </w:r>
      <w:r>
        <w:rPr>
          <w:rFonts w:hint="eastAsia" w:ascii="Calibri" w:hAnsi="Calibri" w:cs="Times New Roman"/>
          <w:color w:val="auto"/>
          <w:sz w:val="24"/>
          <w:szCs w:val="24"/>
          <w:highlight w:val="none"/>
        </w:rPr>
        <w:t xml:space="preserve">、签章</w:t>
      </w:r>
      <w:r>
        <w:rPr>
          <w:rFonts w:ascii="Calibri" w:hAnsi="Calibri" w:cs="Times New Roman"/>
          <w:color w:val="auto"/>
          <w:sz w:val="24"/>
          <w:szCs w:val="24"/>
          <w:highlight w:val="none"/>
        </w:rPr>
        <w:t xml:space="preserve">或</w:t>
      </w:r>
      <w:r>
        <w:rPr>
          <w:rFonts w:hint="eastAsia" w:ascii="Calibri" w:hAnsi="Calibri" w:cs="Times New Roman"/>
          <w:color w:val="auto"/>
          <w:sz w:val="24"/>
          <w:szCs w:val="24"/>
          <w:highlight w:val="none"/>
        </w:rPr>
        <w:t xml:space="preserve">印鉴）</w:t>
      </w:r>
      <w:r>
        <w:rPr>
          <w:rFonts w:ascii="Calibri" w:hAnsi="Calibri" w:cs="Times New Roman"/>
          <w:color w:val="auto"/>
          <w:sz w:val="24"/>
          <w:szCs w:val="24"/>
          <w:highlight w:val="none"/>
        </w:rPr>
        <w:t xml:space="preserve">：</w:t>
      </w:r>
      <w:r>
        <w:rPr>
          <w:rFonts w:hint="eastAsia" w:ascii="Calibri" w:hAnsi="Calibri" w:cs="Times New Roman"/>
          <w:color w:val="auto"/>
          <w:sz w:val="24"/>
          <w:szCs w:val="24"/>
          <w:highlight w:val="none"/>
          <w:u w:val="single"/>
        </w:rPr>
        <w:t xml:space="preserve">             </w:t>
      </w:r>
      <w:r/>
    </w:p>
    <w:p>
      <w:pPr>
        <w:ind w:firstLine="0"/>
        <w:spacing w:line="360" w:lineRule="auto"/>
        <w:rPr>
          <w:rFonts w:ascii="Calibri" w:hAnsi="Calibri" w:cs="Times New Roman"/>
          <w:color w:val="auto"/>
          <w:sz w:val="24"/>
          <w:szCs w:val="24"/>
          <w:highlight w:val="none"/>
        </w:rPr>
      </w:pPr>
      <w:r>
        <w:rPr>
          <w:rFonts w:hint="eastAsia" w:ascii="Calibri" w:hAnsi="Calibri" w:cs="Times New Roman"/>
          <w:color w:val="auto"/>
          <w:sz w:val="24"/>
          <w:szCs w:val="24"/>
          <w:highlight w:val="none"/>
        </w:rPr>
        <w:t xml:space="preserve">委托代理</w:t>
      </w:r>
      <w:r>
        <w:rPr>
          <w:rFonts w:ascii="Calibri" w:hAnsi="Calibri" w:cs="Times New Roman"/>
          <w:color w:val="auto"/>
          <w:sz w:val="24"/>
          <w:szCs w:val="24"/>
          <w:highlight w:val="none"/>
        </w:rPr>
        <w:t xml:space="preserve">人（签字</w:t>
      </w:r>
      <w:r>
        <w:rPr>
          <w:rFonts w:hint="eastAsia" w:ascii="Calibri" w:hAnsi="Calibri" w:cs="Times New Roman"/>
          <w:color w:val="auto"/>
          <w:sz w:val="24"/>
          <w:szCs w:val="24"/>
          <w:highlight w:val="none"/>
        </w:rPr>
        <w:t xml:space="preserve">/签章</w:t>
      </w:r>
      <w:r>
        <w:rPr>
          <w:rFonts w:ascii="Calibri" w:hAnsi="Calibri" w:cs="Times New Roman"/>
          <w:color w:val="auto"/>
          <w:sz w:val="24"/>
          <w:szCs w:val="24"/>
          <w:highlight w:val="none"/>
        </w:rPr>
        <w:t xml:space="preserve">）：</w:t>
      </w:r>
      <w:r>
        <w:rPr>
          <w:rFonts w:hint="eastAsia" w:ascii="Calibri" w:hAnsi="Calibri" w:cs="Times New Roman"/>
          <w:color w:val="auto"/>
          <w:sz w:val="24"/>
          <w:szCs w:val="24"/>
          <w:highlight w:val="none"/>
          <w:u w:val="single"/>
        </w:rPr>
        <w:t xml:space="preserve">             </w:t>
      </w:r>
      <w:r/>
    </w:p>
    <w:p>
      <w:pPr>
        <w:ind w:firstLine="0"/>
        <w:spacing w:line="360" w:lineRule="auto"/>
        <w:rPr>
          <w:rFonts w:ascii="Calibri" w:hAnsi="Calibri" w:cs="Times New Roman"/>
          <w:color w:val="auto"/>
          <w:sz w:val="24"/>
          <w:szCs w:val="24"/>
          <w:highlight w:val="none"/>
        </w:rPr>
      </w:pPr>
      <w:r>
        <w:rPr>
          <w:rFonts w:hint="eastAsia" w:ascii="Calibri" w:hAnsi="Calibri" w:cs="Times New Roman"/>
          <w:color w:val="auto"/>
          <w:sz w:val="24"/>
          <w:szCs w:val="24"/>
          <w:highlight w:val="none"/>
        </w:rPr>
        <w:t xml:space="preserve">日期：    年     月     日</w:t>
      </w:r>
      <w:r/>
    </w:p>
    <w:p>
      <w:pPr>
        <w:ind w:firstLine="480"/>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ascii="宋体" w:hAnsi="宋体" w:cs="Times New Roman"/>
          <w:color w:val="auto"/>
          <w:sz w:val="24"/>
          <w:szCs w:val="20"/>
          <w:highlight w:val="none"/>
        </w:rPr>
        <w:t xml:space="preserve">法定代表人（单位负责人）有效期内的身份证</w:t>
      </w:r>
      <w:r>
        <w:rPr>
          <w:rFonts w:ascii="宋体" w:hAnsi="宋体" w:cs="Times New Roman"/>
          <w:b/>
          <w:color w:val="auto"/>
          <w:sz w:val="24"/>
          <w:szCs w:val="20"/>
          <w:highlight w:val="none"/>
        </w:rPr>
        <w:t xml:space="preserve">正反面</w:t>
      </w:r>
      <w:r>
        <w:rPr>
          <w:rFonts w:hint="eastAsia" w:ascii="宋体" w:hAnsi="宋体" w:cs="Times New Roman"/>
          <w:color w:val="auto"/>
          <w:sz w:val="24"/>
          <w:szCs w:val="20"/>
          <w:highlight w:val="none"/>
          <w:lang w:val="en-US" w:eastAsia="zh-CN"/>
        </w:rPr>
        <w:t xml:space="preserve">电子件</w:t>
      </w:r>
      <w:r>
        <w:rPr>
          <w:rFonts w:ascii="宋体" w:hAnsi="宋体" w:cs="Times New Roman"/>
          <w:color w:val="auto"/>
          <w:sz w:val="24"/>
          <w:szCs w:val="20"/>
          <w:highlight w:val="none"/>
        </w:rPr>
        <w:t xml:space="preserve">：</w:t>
      </w:r>
      <w:r/>
    </w:p>
    <w:tbl>
      <w:tblPr>
        <w:tblStyle w:val="90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委托代理人</w:t>
      </w:r>
      <w:r>
        <w:rPr>
          <w:rFonts w:ascii="宋体" w:hAnsi="宋体" w:cs="Times New Roman"/>
          <w:color w:val="auto"/>
          <w:sz w:val="24"/>
          <w:szCs w:val="20"/>
          <w:highlight w:val="none"/>
        </w:rPr>
        <w:t xml:space="preserve">有效期内的身份证</w:t>
      </w:r>
      <w:r>
        <w:rPr>
          <w:rFonts w:ascii="宋体" w:hAnsi="宋体" w:cs="Times New Roman"/>
          <w:b/>
          <w:color w:val="auto"/>
          <w:sz w:val="24"/>
          <w:szCs w:val="20"/>
          <w:highlight w:val="none"/>
        </w:rPr>
        <w:t xml:space="preserve">正反面</w:t>
      </w:r>
      <w:r>
        <w:rPr>
          <w:rFonts w:hint="eastAsia" w:ascii="宋体" w:hAnsi="宋体" w:cs="Times New Roman"/>
          <w:color w:val="auto"/>
          <w:sz w:val="24"/>
          <w:szCs w:val="20"/>
          <w:highlight w:val="none"/>
          <w:lang w:val="en-US" w:eastAsia="zh-CN"/>
        </w:rPr>
        <w:t xml:space="preserve">电子件</w:t>
      </w:r>
      <w:r>
        <w:rPr>
          <w:rFonts w:ascii="宋体" w:hAnsi="宋体" w:cs="Times New Roman"/>
          <w:color w:val="auto"/>
          <w:sz w:val="24"/>
          <w:szCs w:val="20"/>
          <w:highlight w:val="none"/>
        </w:rPr>
        <w:t xml:space="preserve">：</w:t>
      </w:r>
      <w:r/>
    </w:p>
    <w:tbl>
      <w:tblPr>
        <w:tblStyle w:val="90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ind w:firstLine="0"/>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ind w:firstLine="0"/>
        <w:jc w:val="left"/>
        <w:spacing w:line="360" w:lineRule="auto"/>
        <w:tabs>
          <w:tab w:val="left" w:pos="5580" w:leader="none"/>
        </w:tabs>
        <w:rPr>
          <w:rFonts w:ascii="Calibri" w:hAnsi="Calibri" w:cs="Times New Roman"/>
          <w:color w:val="auto"/>
          <w:sz w:val="24"/>
          <w:szCs w:val="24"/>
          <w:highlight w:val="none"/>
        </w:rPr>
      </w:pPr>
      <w:r>
        <w:rPr>
          <w:rFonts w:hint="eastAsia" w:ascii="Calibri" w:hAnsi="Calibri" w:cs="Times New Roman"/>
          <w:color w:val="auto"/>
          <w:sz w:val="24"/>
          <w:szCs w:val="24"/>
          <w:highlight w:val="none"/>
        </w:rPr>
        <w:t xml:space="preserve">填报说明</w:t>
      </w:r>
      <w:r>
        <w:rPr>
          <w:rFonts w:ascii="Calibri" w:hAnsi="Calibri" w:cs="Times New Roman"/>
          <w:color w:val="auto"/>
          <w:sz w:val="24"/>
          <w:szCs w:val="24"/>
          <w:highlight w:val="none"/>
        </w:rPr>
        <w:t xml:space="preserve">：</w:t>
      </w:r>
      <w:r/>
    </w:p>
    <w:p>
      <w:pPr>
        <w:ind w:left="0" w:firstLine="720"/>
        <w:jc w:val="both"/>
        <w:spacing w:line="560" w:lineRule="exact"/>
        <w:rPr>
          <w:rFonts w:hint="eastAsia" w:ascii="Calibri" w:hAnsi="Calibri" w:cs="Times New Roman"/>
          <w:color w:val="auto"/>
          <w:sz w:val="24"/>
          <w:szCs w:val="24"/>
          <w:highlight w:val="none"/>
        </w:rPr>
      </w:pPr>
      <w:r>
        <w:rPr>
          <w:rFonts w:ascii="Calibri" w:hAnsi="Calibri" w:cs="Times New Roman"/>
          <w:color w:val="auto"/>
          <w:sz w:val="24"/>
          <w:szCs w:val="24"/>
          <w:highlight w:val="none"/>
        </w:rPr>
        <w:t xml:space="preserve">1、若供应商为事业单位或其他组织或分支机构（仅当</w:t>
      </w:r>
      <w:r>
        <w:rPr>
          <w:rFonts w:hint="eastAsia" w:ascii="Calibri" w:hAnsi="Calibri" w:cs="Times New Roman"/>
          <w:color w:val="auto"/>
          <w:sz w:val="24"/>
          <w:szCs w:val="24"/>
          <w:highlight w:val="none"/>
        </w:rPr>
        <w:t xml:space="preserve">招标</w:t>
      </w:r>
      <w:r>
        <w:rPr>
          <w:rFonts w:ascii="Calibri" w:hAnsi="Calibri" w:cs="Times New Roman"/>
          <w:color w:val="auto"/>
          <w:sz w:val="24"/>
          <w:szCs w:val="24"/>
          <w:highlight w:val="none"/>
        </w:rPr>
        <w:t xml:space="preserve">文件注明允许分支机构</w:t>
      </w:r>
      <w:r>
        <w:rPr>
          <w:rFonts w:hint="eastAsia" w:ascii="Calibri" w:hAnsi="Calibri" w:cs="Times New Roman"/>
          <w:color w:val="auto"/>
          <w:sz w:val="24"/>
          <w:szCs w:val="24"/>
          <w:highlight w:val="none"/>
        </w:rPr>
        <w:t xml:space="preserve">投标</w:t>
      </w:r>
      <w:r>
        <w:rPr>
          <w:rFonts w:ascii="Calibri" w:hAnsi="Calibri" w:cs="Times New Roman"/>
          <w:color w:val="auto"/>
          <w:sz w:val="24"/>
          <w:szCs w:val="24"/>
          <w:highlight w:val="none"/>
        </w:rPr>
        <w:t xml:space="preserve">的），则法定代表人（单位负责人）</w:t>
      </w:r>
      <w:r>
        <w:rPr>
          <w:rFonts w:hint="eastAsia" w:ascii="Calibri" w:hAnsi="Calibri" w:cs="Times New Roman"/>
          <w:color w:val="auto"/>
          <w:sz w:val="24"/>
          <w:szCs w:val="24"/>
          <w:highlight w:val="none"/>
        </w:rPr>
        <w:t xml:space="preserve">处</w:t>
      </w:r>
      <w:r>
        <w:rPr>
          <w:rFonts w:ascii="Calibri" w:hAnsi="Calibri" w:cs="Times New Roman"/>
          <w:color w:val="auto"/>
          <w:sz w:val="24"/>
          <w:szCs w:val="24"/>
          <w:highlight w:val="none"/>
        </w:rPr>
        <w:t xml:space="preserve">的签署人可为单位负责人</w:t>
      </w:r>
      <w:r>
        <w:rPr>
          <w:rFonts w:hint="eastAsia" w:ascii="Calibri" w:hAnsi="Calibri" w:cs="Times New Roman"/>
          <w:color w:val="auto"/>
          <w:sz w:val="24"/>
          <w:szCs w:val="24"/>
          <w:highlight w:val="none"/>
        </w:rPr>
        <w:t xml:space="preserve">。</w:t>
      </w:r>
      <w:r/>
    </w:p>
    <w:p>
      <w:pPr>
        <w:ind w:left="0" w:firstLine="720"/>
        <w:jc w:val="left"/>
        <w:spacing w:line="360" w:lineRule="auto"/>
        <w:tabs>
          <w:tab w:val="left" w:pos="5580" w:leader="none"/>
        </w:tabs>
        <w:rPr>
          <w:rFonts w:ascii="Calibri" w:hAnsi="Calibri" w:cs="Times New Roman"/>
          <w:color w:val="auto"/>
          <w:sz w:val="24"/>
          <w:szCs w:val="24"/>
          <w:highlight w:val="none"/>
        </w:rPr>
      </w:pPr>
      <w:r>
        <w:rPr>
          <w:rFonts w:hint="eastAsia" w:ascii="Calibri" w:hAnsi="Calibri" w:cs="Times New Roman"/>
          <w:color w:val="auto"/>
          <w:sz w:val="24"/>
          <w:szCs w:val="24"/>
          <w:highlight w:val="none"/>
        </w:rPr>
        <w:t xml:space="preserve">2、</w:t>
      </w:r>
      <w:r>
        <w:rPr>
          <w:rFonts w:ascii="Calibri" w:hAnsi="Calibri" w:cs="Times New Roman"/>
          <w:color w:val="auto"/>
          <w:sz w:val="24"/>
          <w:szCs w:val="24"/>
          <w:highlight w:val="none"/>
        </w:rPr>
        <w:t xml:space="preserve">若</w:t>
      </w:r>
      <w:r>
        <w:rPr>
          <w:rFonts w:hint="eastAsia" w:ascii="Calibri" w:hAnsi="Calibri" w:cs="Times New Roman"/>
          <w:color w:val="auto"/>
          <w:sz w:val="24"/>
          <w:szCs w:val="24"/>
          <w:highlight w:val="none"/>
        </w:rPr>
        <w:t xml:space="preserve">投标</w:t>
      </w:r>
      <w:r>
        <w:rPr>
          <w:rFonts w:ascii="Calibri" w:hAnsi="Calibri" w:cs="Times New Roman"/>
          <w:color w:val="auto"/>
          <w:sz w:val="24"/>
          <w:szCs w:val="24"/>
          <w:highlight w:val="none"/>
        </w:rPr>
        <w:t xml:space="preserve">文件中全部签字之处均为法定代表人（单位负责人）本人签署，则可不提供本《</w:t>
      </w:r>
      <w:r>
        <w:rPr>
          <w:rFonts w:hint="eastAsia" w:ascii="Calibri" w:hAnsi="Calibri" w:cs="Times New Roman"/>
          <w:color w:val="auto"/>
          <w:sz w:val="24"/>
          <w:szCs w:val="24"/>
          <w:highlight w:val="none"/>
        </w:rPr>
        <w:t xml:space="preserve">授权委托书</w:t>
      </w:r>
      <w:r>
        <w:rPr>
          <w:rFonts w:ascii="Calibri" w:hAnsi="Calibri" w:cs="Times New Roman"/>
          <w:color w:val="auto"/>
          <w:sz w:val="24"/>
          <w:szCs w:val="24"/>
          <w:highlight w:val="none"/>
        </w:rPr>
        <w:t xml:space="preserve">》，但须提供</w:t>
      </w:r>
      <w:r>
        <w:rPr>
          <w:rFonts w:hint="eastAsia" w:ascii="Calibri" w:hAnsi="Calibri" w:cs="Times New Roman"/>
          <w:color w:val="auto"/>
          <w:sz w:val="24"/>
          <w:szCs w:val="24"/>
          <w:highlight w:val="none"/>
        </w:rPr>
        <w:t xml:space="preserve">《</w:t>
      </w:r>
      <w:r>
        <w:rPr>
          <w:rFonts w:ascii="Calibri" w:hAnsi="Calibri" w:cs="Times New Roman"/>
          <w:color w:val="auto"/>
          <w:sz w:val="24"/>
          <w:szCs w:val="24"/>
          <w:highlight w:val="none"/>
        </w:rPr>
        <w:t xml:space="preserve">法定代表人（单位负责人）身份证</w:t>
      </w:r>
      <w:r>
        <w:rPr>
          <w:rFonts w:hint="eastAsia" w:ascii="Calibri" w:hAnsi="Calibri" w:cs="Times New Roman"/>
          <w:color w:val="auto"/>
          <w:sz w:val="24"/>
          <w:szCs w:val="24"/>
          <w:highlight w:val="none"/>
        </w:rPr>
        <w:t xml:space="preserve">明》</w:t>
      </w:r>
      <w:r>
        <w:rPr>
          <w:rFonts w:ascii="Calibri" w:hAnsi="Calibri" w:cs="Times New Roman"/>
          <w:color w:val="auto"/>
          <w:sz w:val="24"/>
          <w:szCs w:val="24"/>
          <w:highlight w:val="none"/>
        </w:rPr>
        <w:t xml:space="preserve">。</w:t>
      </w:r>
      <w:r/>
    </w:p>
    <w:p>
      <w:pPr>
        <w:pStyle w:val="939"/>
        <w:ind w:firstLine="720"/>
        <w:rPr>
          <w:rFonts w:hint="eastAsia"/>
          <w:color w:val="auto"/>
          <w:highlight w:val="none"/>
        </w:rPr>
      </w:pPr>
      <w:r>
        <w:rPr>
          <w:rFonts w:ascii="Calibri" w:hAnsi="Calibri" w:cs="Times New Roman"/>
          <w:color w:val="auto"/>
          <w:sz w:val="24"/>
          <w:szCs w:val="24"/>
          <w:highlight w:val="none"/>
        </w:rPr>
        <w:t xml:space="preserve">3、</w:t>
      </w:r>
      <w:r>
        <w:rPr>
          <w:rFonts w:hint="eastAsia" w:ascii="Calibri" w:hAnsi="Calibri" w:cs="Times New Roman"/>
          <w:color w:val="auto"/>
          <w:sz w:val="24"/>
          <w:szCs w:val="24"/>
          <w:highlight w:val="none"/>
        </w:rPr>
        <w:t xml:space="preserve">供应商为自然人的情形，可不提供本</w:t>
      </w:r>
      <w:r>
        <w:rPr>
          <w:rFonts w:ascii="Calibri" w:hAnsi="Calibri" w:cs="Times New Roman"/>
          <w:color w:val="auto"/>
          <w:sz w:val="24"/>
          <w:szCs w:val="24"/>
          <w:highlight w:val="none"/>
        </w:rPr>
        <w:t xml:space="preserve">《</w:t>
      </w:r>
      <w:r>
        <w:rPr>
          <w:rFonts w:hint="eastAsia" w:ascii="Calibri" w:hAnsi="Calibri" w:cs="Times New Roman"/>
          <w:color w:val="auto"/>
          <w:sz w:val="24"/>
          <w:szCs w:val="24"/>
          <w:highlight w:val="none"/>
        </w:rPr>
        <w:t xml:space="preserve">授权委托书</w:t>
      </w:r>
      <w:r>
        <w:rPr>
          <w:rFonts w:ascii="Calibri" w:hAnsi="Calibri" w:cs="Times New Roman"/>
          <w:color w:val="auto"/>
          <w:sz w:val="24"/>
          <w:szCs w:val="24"/>
          <w:highlight w:val="none"/>
        </w:rPr>
        <w:t xml:space="preserve">》</w:t>
      </w:r>
      <w:r>
        <w:rPr>
          <w:rFonts w:hint="eastAsia" w:ascii="Calibri" w:hAnsi="Calibri" w:cs="Times New Roman"/>
          <w:color w:val="auto"/>
          <w:sz w:val="24"/>
          <w:szCs w:val="24"/>
          <w:highlight w:val="none"/>
        </w:rPr>
        <w:t xml:space="preserve">。</w:t>
      </w:r>
      <w:r/>
    </w:p>
    <w:p>
      <w:pPr>
        <w:ind w:firstLine="880"/>
        <w:jc w:val="center"/>
        <w:spacing w:line="560" w:lineRule="exact"/>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ind w:left="0" w:firstLine="0"/>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0"/>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、财务状况报告及税收、社会保障资金缴纳情况承诺函</w:t>
      </w:r>
      <w:r/>
    </w:p>
    <w:p>
      <w:pPr>
        <w:ind w:firstLine="480"/>
        <w:spacing w:line="560" w:lineRule="exact"/>
        <w:rPr>
          <w:rFonts w:hint="eastAsia"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采购人名称</w:t>
      </w:r>
      <w:r/>
    </w:p>
    <w:p>
      <w:pPr>
        <w:ind w:firstLine="480"/>
        <w:spacing w:line="560" w:lineRule="exact"/>
        <w:rPr>
          <w:rFonts w:hint="eastAsia" w:ascii="宋体" w:hAnsi="宋体" w:cs="宋体"/>
          <w:color w:val="auto"/>
          <w:highlight w:val="none"/>
        </w:rPr>
      </w:pPr>
      <w:r>
        <w:rPr>
          <w:rFonts w:hint="eastAsia" w:ascii="宋体" w:hAnsi="宋体" w:cs="宋体"/>
          <w:color w:val="auto"/>
          <w:highlight w:val="none"/>
        </w:rPr>
        <w:t xml:space="preserve">我方</w:t>
      </w:r>
      <w:r>
        <w:rPr>
          <w:rFonts w:hint="eastAsia" w:ascii="宋体" w:hAnsi="宋体" w:cs="宋体"/>
          <w:color w:val="auto"/>
          <w:highlight w:val="none"/>
          <w:u w:val="single"/>
        </w:rPr>
        <w:t xml:space="preserve">供应商名称</w:t>
      </w:r>
      <w:r>
        <w:rPr>
          <w:rFonts w:hint="eastAsia" w:ascii="宋体" w:hAnsi="宋体" w:cs="宋体"/>
          <w:color w:val="auto"/>
          <w:highlight w:val="none"/>
        </w:rPr>
        <w:t xml:space="preserve">参加</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（项目编号：</w:t>
      </w:r>
      <w:r>
        <w:rPr>
          <w:rFonts w:hint="eastAsia" w:ascii="宋体" w:hAnsi="宋体" w:cs="宋体"/>
          <w:color w:val="auto"/>
          <w:highlight w:val="none"/>
          <w:u w:val="single"/>
        </w:rPr>
        <w:t xml:space="preserve">项目编号</w:t>
      </w:r>
      <w:r>
        <w:rPr>
          <w:rFonts w:hint="eastAsia" w:ascii="宋体" w:hAnsi="宋体" w:cs="宋体"/>
          <w:color w:val="auto"/>
          <w:highlight w:val="none"/>
        </w:rPr>
        <w:t xml:space="preserve">）采购，根据《</w:t>
      </w:r>
      <w:r>
        <w:rPr>
          <w:rStyle w:val="1134"/>
          <w:rFonts w:hint="eastAsia" w:ascii="宋体" w:hAnsi="宋体" w:cs="宋体"/>
          <w:b w:val="0"/>
          <w:color w:val="auto"/>
          <w:highlight w:val="none"/>
        </w:rPr>
        <w:t xml:space="preserve">关于简化政府采购供应商资格审查有关事项的通知</w:t>
      </w:r>
      <w:r>
        <w:rPr>
          <w:rFonts w:hint="eastAsia" w:ascii="宋体" w:hAnsi="宋体" w:cs="宋体"/>
          <w:color w:val="auto"/>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cs="宋体"/>
          <w:color w:val="auto"/>
          <w:highlight w:val="none"/>
        </w:rPr>
      </w:pPr>
      <w:r>
        <w:rPr>
          <w:rFonts w:hint="eastAsia" w:ascii="宋体" w:hAnsi="宋体" w:cs="宋体"/>
          <w:color w:val="auto"/>
          <w:highlight w:val="none"/>
        </w:rPr>
        <w:t xml:space="preserve">（1）具有良好的商业信誉和健全的财务会计制度（财务状况报告）；</w:t>
      </w:r>
      <w:r/>
    </w:p>
    <w:p>
      <w:pPr>
        <w:ind w:left="360" w:firstLine="240"/>
        <w:spacing w:line="560" w:lineRule="exact"/>
        <w:rPr>
          <w:rFonts w:hint="eastAsia" w:ascii="宋体" w:hAnsi="宋体" w:cs="宋体"/>
          <w:color w:val="auto"/>
          <w:highlight w:val="none"/>
        </w:rPr>
      </w:pPr>
      <w:r>
        <w:rPr>
          <w:rFonts w:hint="eastAsia" w:ascii="宋体" w:hAnsi="宋体" w:cs="宋体"/>
          <w:color w:val="auto"/>
          <w:highlight w:val="none"/>
        </w:rPr>
        <w:t xml:space="preserve">（2）有依法缴纳税收和社会保障资金的良好记录。</w:t>
      </w:r>
      <w:r/>
    </w:p>
    <w:p>
      <w:pPr>
        <w:ind w:firstLine="480"/>
        <w:jc w:val="left"/>
        <w:spacing w:line="560" w:lineRule="exact"/>
        <w:widowControl/>
        <w:rPr>
          <w:rFonts w:hint="eastAsia" w:ascii="宋体" w:hAnsi="宋体" w:cs="宋体"/>
          <w:color w:val="auto"/>
          <w:highlight w:val="none"/>
        </w:rPr>
      </w:pPr>
      <w:r>
        <w:rPr>
          <w:rFonts w:hint="eastAsia" w:ascii="宋体" w:hAnsi="宋体" w:cs="宋体"/>
          <w:color w:val="auto"/>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s="宋体"/>
          <w:color w:val="auto"/>
          <w:highlight w:val="none"/>
        </w:rPr>
      </w:pPr>
      <w:r>
        <w:rPr>
          <w:rFonts w:hint="eastAsia" w:ascii="宋体" w:hAnsi="宋体" w:cs="宋体"/>
          <w:color w:val="auto"/>
          <w:highlight w:val="none"/>
        </w:rPr>
        <w:t xml:space="preserve">特此承诺</w:t>
      </w:r>
      <w:r/>
    </w:p>
    <w:p>
      <w:pPr>
        <w:ind w:left="360" w:firstLine="480"/>
        <w:spacing w:line="560" w:lineRule="exact"/>
        <w:rPr>
          <w:rFonts w:hint="eastAsia" w:ascii="宋体" w:hAnsi="宋体" w:cs="宋体"/>
          <w:color w:val="auto"/>
          <w:highlight w:val="none"/>
        </w:rPr>
      </w:pPr>
      <w:r>
        <w:rPr>
          <w:rFonts w:hint="eastAsia" w:ascii="宋体" w:hAnsi="宋体" w:cs="宋体"/>
          <w:color w:val="auto"/>
          <w:highlight w:val="none"/>
        </w:rPr>
      </w:r>
      <w:r/>
    </w:p>
    <w:p>
      <w:pPr>
        <w:ind w:left="360" w:firstLine="480"/>
        <w:spacing w:line="560" w:lineRule="exact"/>
        <w:rPr>
          <w:rFonts w:hint="eastAsia" w:ascii="宋体" w:hAnsi="宋体" w:cs="宋体"/>
          <w:color w:val="auto"/>
          <w:highlight w:val="none"/>
        </w:rPr>
      </w:pPr>
      <w:r>
        <w:rPr>
          <w:rFonts w:hint="eastAsia" w:ascii="宋体" w:hAnsi="宋体" w:cs="宋体"/>
          <w:color w:val="auto"/>
          <w:highlight w:val="none"/>
        </w:rPr>
      </w:r>
      <w:r/>
    </w:p>
    <w:p>
      <w:pPr>
        <w:ind w:left="360" w:firstLine="480"/>
        <w:spacing w:line="560" w:lineRule="exact"/>
        <w:rPr>
          <w:rFonts w:hint="eastAsia" w:ascii="宋体" w:hAnsi="宋体" w:cs="宋体"/>
          <w:color w:val="auto"/>
          <w:highlight w:val="none"/>
        </w:rPr>
      </w:pPr>
      <w:r>
        <w:rPr>
          <w:rFonts w:hint="eastAsia" w:ascii="宋体" w:hAnsi="宋体" w:cs="宋体"/>
          <w:color w:val="auto"/>
          <w:highlight w:val="none"/>
        </w:rPr>
        <w:t xml:space="preserve">供应商（公章）：          </w:t>
      </w:r>
      <w:r/>
    </w:p>
    <w:p>
      <w:pPr>
        <w:ind w:left="360" w:firstLine="480"/>
        <w:spacing w:line="560" w:lineRule="exact"/>
        <w:rPr>
          <w:rFonts w:hint="eastAsia" w:ascii="宋体" w:hAnsi="宋体" w:cs="宋体"/>
          <w:color w:val="auto"/>
          <w:highlight w:val="none"/>
        </w:rPr>
      </w:pPr>
      <w:r>
        <w:rPr>
          <w:rFonts w:hint="eastAsia" w:ascii="宋体" w:hAnsi="宋体" w:cs="宋体"/>
          <w:color w:val="auto"/>
          <w:highlight w:val="none"/>
        </w:rPr>
      </w:r>
      <w:r/>
    </w:p>
    <w:p>
      <w:pPr>
        <w:ind w:left="360" w:firstLine="480"/>
        <w:spacing w:line="560" w:lineRule="exact"/>
        <w:rPr>
          <w:rFonts w:hint="eastAsia" w:ascii="宋体" w:hAnsi="宋体" w:cs="宋体"/>
          <w:color w:val="auto"/>
          <w:highlight w:val="none"/>
        </w:rPr>
      </w:pPr>
      <w:r>
        <w:rPr>
          <w:rFonts w:hint="eastAsia" w:ascii="宋体" w:hAnsi="宋体" w:cs="宋体"/>
          <w:color w:val="auto"/>
          <w:highlight w:val="none"/>
        </w:rPr>
        <w:t xml:space="preserve">法定代表人或其委托代理人（签名或签章）：</w:t>
      </w:r>
      <w:r/>
    </w:p>
    <w:p>
      <w:pPr>
        <w:ind w:left="360" w:firstLine="480"/>
        <w:spacing w:line="560" w:lineRule="exact"/>
        <w:rPr>
          <w:rFonts w:hint="eastAsia" w:ascii="宋体" w:hAnsi="宋体" w:cs="宋体"/>
          <w:color w:val="auto"/>
          <w:highlight w:val="none"/>
        </w:rPr>
      </w:pPr>
      <w:r>
        <w:rPr>
          <w:rFonts w:hint="eastAsia" w:ascii="宋体" w:hAnsi="宋体" w:cs="宋体"/>
          <w:color w:val="auto"/>
          <w:highlight w:val="none"/>
        </w:rPr>
      </w:r>
      <w:r/>
    </w:p>
    <w:p>
      <w:pPr>
        <w:ind w:left="360" w:firstLine="480"/>
        <w:spacing w:line="560" w:lineRule="exact"/>
        <w:rPr>
          <w:rFonts w:hint="eastAsia" w:ascii="宋体" w:hAnsi="宋体" w:cs="宋体"/>
          <w:color w:val="auto"/>
          <w:highlight w:val="none"/>
        </w:rPr>
      </w:pPr>
      <w:r>
        <w:rPr>
          <w:rFonts w:hint="eastAsia" w:ascii="宋体" w:hAnsi="宋体" w:cs="宋体"/>
          <w:color w:val="auto"/>
          <w:highlight w:val="none"/>
        </w:rPr>
        <w:t xml:space="preserve">日期：</w:t>
      </w:r>
      <w:r>
        <w:rPr>
          <w:rFonts w:hint="eastAsia" w:hAnsi="宋体" w:cs="宋体"/>
          <w:color w:val="auto"/>
          <w:sz w:val="22"/>
          <w:szCs w:val="22"/>
          <w:highlight w:val="none"/>
          <w:u w:val="single"/>
        </w:rPr>
        <w:t xml:space="preserve">     </w:t>
      </w:r>
      <w:r>
        <w:rPr>
          <w:rFonts w:hint="eastAsia" w:hAnsi="宋体" w:cs="宋体"/>
          <w:color w:val="auto"/>
          <w:sz w:val="22"/>
          <w:szCs w:val="22"/>
          <w:highlight w:val="none"/>
        </w:rPr>
        <w:t xml:space="preserve">年</w:t>
      </w:r>
      <w:r>
        <w:rPr>
          <w:rFonts w:hint="eastAsia" w:hAnsi="宋体" w:cs="宋体"/>
          <w:color w:val="auto"/>
          <w:sz w:val="22"/>
          <w:szCs w:val="22"/>
          <w:highlight w:val="none"/>
          <w:u w:val="single"/>
        </w:rPr>
        <w:t xml:space="preserve">    </w:t>
      </w:r>
      <w:r>
        <w:rPr>
          <w:rFonts w:hint="eastAsia" w:hAnsi="宋体" w:cs="宋体"/>
          <w:color w:val="auto"/>
          <w:sz w:val="22"/>
          <w:szCs w:val="22"/>
          <w:highlight w:val="none"/>
        </w:rPr>
        <w:t xml:space="preserve">月</w:t>
      </w:r>
      <w:r>
        <w:rPr>
          <w:rFonts w:hint="eastAsia" w:hAnsi="宋体" w:cs="宋体"/>
          <w:color w:val="auto"/>
          <w:sz w:val="22"/>
          <w:szCs w:val="22"/>
          <w:highlight w:val="none"/>
          <w:u w:val="single"/>
        </w:rPr>
        <w:t xml:space="preserve">    </w:t>
      </w:r>
      <w:r>
        <w:rPr>
          <w:rFonts w:hint="eastAsia" w:hAnsi="宋体" w:cs="宋体"/>
          <w:color w:val="auto"/>
          <w:sz w:val="22"/>
          <w:szCs w:val="22"/>
          <w:highlight w:val="none"/>
        </w:rPr>
        <w:t xml:space="preserve">日</w:t>
      </w:r>
      <w:r/>
    </w:p>
    <w:p>
      <w:pPr>
        <w:ind w:firstLine="0"/>
        <w:jc w:val="center"/>
        <w:pageBreakBefore/>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、具备履行合同所必需的设备和专业技术能力的声明及证明材料</w:t>
      </w:r>
      <w:r/>
    </w:p>
    <w:p>
      <w:pPr>
        <w:ind w:firstLine="400"/>
        <w:rPr>
          <w:rFonts w:hint="eastAsia" w:ascii="宋体" w:hAnsi="宋体" w:cs="宋体"/>
          <w:color w:val="auto"/>
          <w:sz w:val="20"/>
          <w:szCs w:val="22"/>
          <w:highlight w:val="none"/>
        </w:rPr>
      </w:pPr>
      <w:r>
        <w:rPr>
          <w:rFonts w:hint="eastAsia" w:ascii="宋体" w:hAnsi="宋体" w:cs="宋体"/>
          <w:color w:val="auto"/>
          <w:sz w:val="20"/>
          <w:szCs w:val="22"/>
          <w:highlight w:val="none"/>
        </w:rPr>
      </w:r>
      <w:r/>
    </w:p>
    <w:p>
      <w:pPr>
        <w:ind w:firstLine="480"/>
        <w:jc w:val="left"/>
        <w:spacing w:line="500" w:lineRule="exact"/>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0"/>
        <w:jc w:val="left"/>
        <w:spacing w:line="24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auto"/>
          <w:sz w:val="24"/>
          <w:szCs w:val="24"/>
          <w:highlight w:val="none"/>
        </w:rPr>
        <w:t xml:space="preserve">供应商（盖章）：</w:t>
      </w:r>
      <w:r/>
    </w:p>
    <w:p>
      <w:pPr>
        <w:ind w:firstLine="480"/>
        <w:spacing w:line="36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auto"/>
          <w:sz w:val="24"/>
          <w:szCs w:val="24"/>
          <w:highlight w:val="none"/>
        </w:rPr>
        <w:t xml:space="preserve">日期：    年     月     日</w:t>
      </w:r>
      <w:r/>
    </w:p>
    <w:p>
      <w:pPr>
        <w:ind w:firstLine="0"/>
        <w:jc w:val="left"/>
        <w:spacing w:line="240" w:lineRule="auto"/>
        <w:rPr>
          <w:rFonts w:ascii="MS Mincho" w:hAnsi="Calibri" w:eastAsia="宋体" w:cs="Times New Roman"/>
          <w:color w:val="auto"/>
          <w:sz w:val="21"/>
          <w:szCs w:val="24"/>
          <w:highlight w:val="none"/>
        </w:rPr>
        <w:pBdr>
          <w:top w:val="none" w:color="auto" w:sz="0" w:space="1"/>
          <w:left w:val="none" w:color="auto" w:sz="0" w:space="4"/>
          <w:bottom w:val="none" w:color="auto" w:sz="0" w:space="1"/>
          <w:right w:val="none" w:color="auto" w:sz="0" w:space="4"/>
        </w:pBdr>
      </w:pPr>
      <w:r>
        <w:rPr>
          <w:rFonts w:ascii="MS Mincho" w:hAnsi="Calibri" w:eastAsia="宋体" w:cs="Times New Roman"/>
          <w:color w:val="auto"/>
          <w:sz w:val="21"/>
          <w:szCs w:val="24"/>
          <w:highlight w:val="none"/>
        </w:rPr>
      </w:r>
      <w:r/>
    </w:p>
    <w:p>
      <w:pPr>
        <w:ind w:firstLine="440"/>
        <w:rPr>
          <w:rFonts w:hint="eastAsia" w:ascii="宋体" w:hAnsi="宋体" w:cs="宋体"/>
          <w:bCs/>
          <w:color w:val="auto"/>
          <w:sz w:val="22"/>
          <w:szCs w:val="22"/>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ind w:firstLine="0"/>
        <w:jc w:val="center"/>
        <w:rPr>
          <w:rFonts w:hint="eastAsia" w:ascii="宋体" w:hAnsi="宋体" w:cs="宋体"/>
          <w:b/>
          <w:color w:val="auto"/>
          <w:sz w:val="28"/>
          <w:szCs w:val="28"/>
          <w:highlight w:val="none"/>
        </w:rPr>
      </w:pPr>
      <w:r>
        <w:rPr>
          <w:rFonts w:hint="eastAsia" w:ascii="宋体" w:hAnsi="宋体" w:cs="宋体"/>
          <w:color w:val="auto"/>
          <w:sz w:val="22"/>
          <w:szCs w:val="22"/>
          <w:highlight w:val="none"/>
          <w:u w:val="single"/>
        </w:rPr>
        <w:br w:type="page" w:clear="all"/>
      </w:r>
      <w:r>
        <w:rPr>
          <w:rFonts w:hint="eastAsia" w:ascii="宋体" w:hAnsi="宋体" w:cs="宋体"/>
          <w:b/>
          <w:color w:val="auto"/>
          <w:sz w:val="28"/>
          <w:szCs w:val="28"/>
          <w:highlight w:val="none"/>
          <w:lang w:val="en-US" w:eastAsia="zh-CN"/>
        </w:rPr>
        <w:t xml:space="preserve">九</w:t>
      </w:r>
      <w:r>
        <w:rPr>
          <w:rFonts w:hint="eastAsia" w:ascii="宋体" w:hAnsi="宋体" w:cs="宋体"/>
          <w:b/>
          <w:color w:val="auto"/>
          <w:sz w:val="28"/>
          <w:szCs w:val="28"/>
          <w:highlight w:val="none"/>
        </w:rPr>
        <w:t xml:space="preserve">、参加本采购活动前 3 年内在经营活动中没有重大违法</w:t>
      </w:r>
      <w:r/>
    </w:p>
    <w:p>
      <w:pPr>
        <w:ind w:firstLine="0"/>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记录的书面声明</w:t>
      </w:r>
      <w:r/>
    </w:p>
    <w:p>
      <w:pPr>
        <w:ind w:firstLine="442"/>
        <w:rPr>
          <w:rFonts w:hint="eastAsia" w:ascii="宋体" w:hAnsi="宋体" w:cs="宋体"/>
          <w:b/>
          <w:bCs/>
          <w:color w:val="auto"/>
          <w:highlight w:val="none"/>
        </w:rPr>
      </w:pPr>
      <w:r>
        <w:rPr>
          <w:rFonts w:hint="eastAsia" w:ascii="宋体" w:hAnsi="宋体" w:cs="宋体"/>
          <w:b/>
          <w:bCs/>
          <w:color w:val="auto"/>
          <w:sz w:val="22"/>
          <w:szCs w:val="22"/>
          <w:highlight w:val="none"/>
        </w:rPr>
        <w:t xml:space="preserve">   </w:t>
      </w:r>
      <w:r>
        <w:rPr>
          <w:rFonts w:hint="eastAsia" w:ascii="宋体" w:hAnsi="宋体" w:cs="宋体"/>
          <w:b/>
          <w:bCs/>
          <w:color w:val="auto"/>
          <w:highlight w:val="none"/>
        </w:rPr>
        <w:t xml:space="preserve">                       </w:t>
      </w:r>
      <w:r/>
    </w:p>
    <w:p>
      <w:pPr>
        <w:ind w:firstLine="442"/>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我公司郑重声明：参加本次采购活动前 3 年内，我公司在经营活动中没有因违法经营受到刑事处罚或者责令停产停业、吊销许可证或者执照、较大数额罚款等行政处罚。</w:t>
      </w:r>
      <w:r/>
    </w:p>
    <w:p>
      <w:pPr>
        <w:ind w:firstLine="440"/>
        <w:rPr>
          <w:rFonts w:hint="eastAsia" w:ascii="宋体" w:hAnsi="宋体" w:cs="宋体"/>
          <w:bCs/>
          <w:color w:val="auto"/>
          <w:highlight w:val="none"/>
        </w:rPr>
      </w:pPr>
      <w:r>
        <w:rPr>
          <w:rFonts w:hint="eastAsia" w:ascii="宋体" w:hAnsi="宋体" w:cs="宋体"/>
          <w:bCs/>
          <w:color w:val="auto"/>
          <w:highlight w:val="none"/>
        </w:rPr>
        <w:t xml:space="preserve">                                      </w:t>
      </w:r>
      <w:r/>
    </w:p>
    <w:p>
      <w:pPr>
        <w:ind w:firstLine="4620"/>
        <w:rPr>
          <w:rFonts w:hint="eastAsia" w:ascii="宋体" w:hAnsi="宋体" w:cs="宋体"/>
          <w:bCs/>
          <w:color w:val="auto"/>
          <w:highlight w:val="none"/>
        </w:rPr>
      </w:pPr>
      <w:r>
        <w:rPr>
          <w:rFonts w:hint="eastAsia" w:ascii="宋体" w:hAnsi="宋体" w:cs="宋体"/>
          <w:bCs/>
          <w:color w:val="auto"/>
          <w:highlight w:val="none"/>
        </w:rPr>
        <w:t xml:space="preserve">磋商供应商（公章）：</w:t>
      </w:r>
      <w:r>
        <w:rPr>
          <w:rFonts w:hint="eastAsia" w:ascii="宋体" w:hAnsi="宋体" w:cs="宋体"/>
          <w:color w:val="auto"/>
          <w:highlight w:val="none"/>
          <w:u w:val="single"/>
        </w:rPr>
        <w:t xml:space="preserve">        </w:t>
      </w:r>
      <w:r/>
    </w:p>
    <w:p>
      <w:pPr>
        <w:ind w:firstLine="440"/>
        <w:rPr>
          <w:rFonts w:hint="eastAsia" w:ascii="宋体" w:hAnsi="宋体" w:cs="宋体"/>
          <w:bCs/>
          <w:color w:val="auto"/>
          <w:highlight w:val="none"/>
          <w:u w:val="single"/>
        </w:rPr>
      </w:pPr>
      <w:r>
        <w:rPr>
          <w:rFonts w:hint="eastAsia" w:ascii="宋体" w:hAnsi="宋体" w:cs="宋体"/>
          <w:bCs/>
          <w:color w:val="auto"/>
          <w:highlight w:val="none"/>
        </w:rPr>
        <w:t xml:space="preserve">                                          法定代表人或授权代表签字：</w:t>
      </w:r>
      <w:r>
        <w:rPr>
          <w:rFonts w:hint="eastAsia" w:ascii="宋体" w:hAnsi="宋体" w:cs="宋体"/>
          <w:bCs/>
          <w:color w:val="auto"/>
          <w:highlight w:val="none"/>
          <w:u w:val="single"/>
        </w:rPr>
        <w:t xml:space="preserve">     </w:t>
      </w:r>
      <w:r/>
    </w:p>
    <w:p>
      <w:pPr>
        <w:ind w:firstLine="440"/>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562"/>
        <w:jc w:val="center"/>
        <w:pageBreakBefore/>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十</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供应商基本情况表</w:t>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ind w:firstLine="0"/>
              <w:jc w:val="center"/>
              <w:rPr>
                <w:color w:val="auto"/>
                <w:sz w:val="21"/>
                <w:szCs w:val="21"/>
                <w:highlight w:val="none"/>
              </w:rPr>
            </w:pPr>
            <w:r>
              <w:rPr>
                <w:rFonts w:hint="eastAsia"/>
                <w:color w:val="auto"/>
                <w:sz w:val="21"/>
                <w:szCs w:val="21"/>
                <w:highlight w:val="none"/>
              </w:rPr>
              <w:t xml:space="preserve">供应商</w:t>
            </w:r>
            <w:r>
              <w:rPr>
                <w:color w:val="auto"/>
                <w:sz w:val="21"/>
                <w:szCs w:val="21"/>
                <w:highlight w:val="none"/>
              </w:rPr>
              <w:t xml:space="preserve">名称</w:t>
            </w:r>
            <w:r/>
          </w:p>
        </w:tc>
        <w:tc>
          <w:tcPr>
            <w:gridSpan w:val="8"/>
            <w:tcW w:w="7341"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注册地址</w:t>
            </w:r>
            <w:r/>
          </w:p>
        </w:tc>
        <w:tc>
          <w:tcPr>
            <w:gridSpan w:val="4"/>
            <w:tcW w:w="3389"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24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邮政编码</w:t>
            </w:r>
            <w:r/>
          </w:p>
        </w:tc>
        <w:tc>
          <w:tcPr>
            <w:gridSpan w:val="3"/>
            <w:tcW w:w="2706"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vMerge w:val="restart"/>
            <w:textDirection w:val="lrTb"/>
            <w:noWrap w:val="false"/>
          </w:tcPr>
          <w:p>
            <w:pPr>
              <w:ind w:firstLine="0"/>
              <w:jc w:val="center"/>
              <w:rPr>
                <w:color w:val="auto"/>
                <w:sz w:val="21"/>
                <w:szCs w:val="21"/>
                <w:highlight w:val="none"/>
              </w:rPr>
            </w:pPr>
            <w:r>
              <w:rPr>
                <w:color w:val="auto"/>
                <w:sz w:val="21"/>
                <w:szCs w:val="21"/>
                <w:highlight w:val="none"/>
              </w:rPr>
              <w:t xml:space="preserve">联系方式</w:t>
            </w:r>
            <w:r/>
          </w:p>
        </w:tc>
        <w:tc>
          <w:tcPr>
            <w:tcW w:w="897"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联系人</w:t>
            </w:r>
            <w:r/>
          </w:p>
        </w:tc>
        <w:tc>
          <w:tcPr>
            <w:gridSpan w:val="3"/>
            <w:tcW w:w="2492"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24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电  话</w:t>
            </w:r>
            <w:r/>
          </w:p>
        </w:tc>
        <w:tc>
          <w:tcPr>
            <w:gridSpan w:val="3"/>
            <w:tcW w:w="2706"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vMerge w:val="continue"/>
            <w:textDirection w:val="lrTb"/>
            <w:noWrap w:val="false"/>
          </w:tcPr>
          <w:p>
            <w:pPr>
              <w:ind w:firstLine="0"/>
              <w:jc w:val="center"/>
              <w:rPr>
                <w:color w:val="auto"/>
                <w:sz w:val="21"/>
                <w:szCs w:val="21"/>
                <w:highlight w:val="none"/>
              </w:rPr>
            </w:pPr>
            <w:r>
              <w:rPr>
                <w:color w:val="auto"/>
                <w:sz w:val="21"/>
                <w:szCs w:val="21"/>
                <w:highlight w:val="none"/>
              </w:rPr>
            </w:r>
            <w:r/>
          </w:p>
        </w:tc>
        <w:tc>
          <w:tcPr>
            <w:tcW w:w="897"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传  真</w:t>
            </w:r>
            <w:r/>
          </w:p>
        </w:tc>
        <w:tc>
          <w:tcPr>
            <w:gridSpan w:val="3"/>
            <w:tcW w:w="2492"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24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网  址</w:t>
            </w:r>
            <w:r/>
          </w:p>
        </w:tc>
        <w:tc>
          <w:tcPr>
            <w:gridSpan w:val="3"/>
            <w:tcW w:w="2706"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rFonts w:hint="eastAsia"/>
                <w:color w:val="auto"/>
                <w:sz w:val="21"/>
                <w:szCs w:val="21"/>
                <w:highlight w:val="none"/>
              </w:rPr>
              <w:t xml:space="preserve">企业统一社会信用</w:t>
            </w:r>
            <w:r>
              <w:rPr>
                <w:color w:val="auto"/>
                <w:sz w:val="21"/>
                <w:szCs w:val="21"/>
                <w:highlight w:val="none"/>
              </w:rPr>
              <w:t xml:space="preserve">代码</w:t>
            </w:r>
            <w:r/>
          </w:p>
        </w:tc>
        <w:tc>
          <w:tcPr>
            <w:gridSpan w:val="8"/>
            <w:tcW w:w="7341"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法定代表人</w:t>
            </w:r>
            <w:r/>
          </w:p>
        </w:tc>
        <w:tc>
          <w:tcPr>
            <w:tcW w:w="897"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姓名</w:t>
            </w:r>
            <w:r/>
          </w:p>
        </w:tc>
        <w:tc>
          <w:tcPr>
            <w:tcW w:w="1021"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16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技术职称</w:t>
            </w:r>
            <w:r/>
          </w:p>
        </w:tc>
        <w:tc>
          <w:tcPr>
            <w:gridSpan w:val="3"/>
            <w:tcW w:w="1620"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72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电话</w:t>
            </w:r>
            <w:r/>
          </w:p>
        </w:tc>
        <w:tc>
          <w:tcPr>
            <w:tcW w:w="1923"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技术负责人</w:t>
            </w:r>
            <w:r/>
          </w:p>
        </w:tc>
        <w:tc>
          <w:tcPr>
            <w:tcW w:w="897"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姓名</w:t>
            </w:r>
            <w:r/>
          </w:p>
        </w:tc>
        <w:tc>
          <w:tcPr>
            <w:tcW w:w="1021"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16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技术职称</w:t>
            </w:r>
            <w:r/>
          </w:p>
        </w:tc>
        <w:tc>
          <w:tcPr>
            <w:gridSpan w:val="3"/>
            <w:tcW w:w="1620"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72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电话</w:t>
            </w:r>
            <w:r/>
          </w:p>
        </w:tc>
        <w:tc>
          <w:tcPr>
            <w:tcW w:w="1923"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成立时间</w:t>
            </w:r>
            <w:r/>
          </w:p>
        </w:tc>
        <w:tc>
          <w:tcPr>
            <w:gridSpan w:val="2"/>
            <w:tcW w:w="1918"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gridSpan w:val="6"/>
            <w:tcW w:w="5423"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员工总人数：</w:t>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企业资质等级</w:t>
            </w:r>
            <w:r/>
          </w:p>
        </w:tc>
        <w:tc>
          <w:tcPr>
            <w:gridSpan w:val="2"/>
            <w:tcW w:w="1918"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160" w:type="dxa"/>
            <w:vAlign w:val="center"/>
            <w:vMerge w:val="restart"/>
            <w:textDirection w:val="lrTb"/>
            <w:noWrap w:val="false"/>
          </w:tcPr>
          <w:p>
            <w:pPr>
              <w:ind w:firstLine="0"/>
              <w:jc w:val="center"/>
              <w:rPr>
                <w:color w:val="auto"/>
                <w:sz w:val="21"/>
                <w:szCs w:val="21"/>
                <w:highlight w:val="none"/>
              </w:rPr>
            </w:pPr>
            <w:r>
              <w:rPr>
                <w:color w:val="auto"/>
                <w:sz w:val="21"/>
                <w:szCs w:val="21"/>
                <w:highlight w:val="none"/>
              </w:rPr>
              <w:t xml:space="preserve">其中</w:t>
            </w:r>
            <w:r/>
          </w:p>
        </w:tc>
        <w:tc>
          <w:tcPr>
            <w:gridSpan w:val="3"/>
            <w:tcW w:w="1620" w:type="dxa"/>
            <w:vAlign w:val="center"/>
            <w:textDirection w:val="lrTb"/>
            <w:noWrap w:val="false"/>
          </w:tcPr>
          <w:p>
            <w:pPr>
              <w:ind w:firstLine="0"/>
              <w:jc w:val="center"/>
              <w:rPr>
                <w:color w:val="auto"/>
                <w:sz w:val="21"/>
                <w:szCs w:val="21"/>
                <w:highlight w:val="none"/>
              </w:rPr>
            </w:pPr>
            <w:r>
              <w:rPr>
                <w:rFonts w:hint="eastAsia"/>
                <w:color w:val="auto"/>
                <w:sz w:val="21"/>
                <w:szCs w:val="21"/>
                <w:highlight w:val="none"/>
              </w:rPr>
              <w:t xml:space="preserve">注册建造师</w:t>
            </w:r>
            <w:r/>
          </w:p>
        </w:tc>
        <w:tc>
          <w:tcPr>
            <w:gridSpan w:val="2"/>
            <w:tcW w:w="2643"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营业执照号</w:t>
            </w:r>
            <w:r/>
          </w:p>
        </w:tc>
        <w:tc>
          <w:tcPr>
            <w:gridSpan w:val="2"/>
            <w:tcW w:w="1918"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160" w:type="dxa"/>
            <w:vAlign w:val="center"/>
            <w:vMerge w:val="continue"/>
            <w:textDirection w:val="lrTb"/>
            <w:noWrap w:val="false"/>
          </w:tcPr>
          <w:p>
            <w:pPr>
              <w:ind w:firstLine="0"/>
              <w:jc w:val="center"/>
              <w:rPr>
                <w:color w:val="auto"/>
                <w:sz w:val="21"/>
                <w:szCs w:val="21"/>
                <w:highlight w:val="none"/>
              </w:rPr>
            </w:pPr>
            <w:r>
              <w:rPr>
                <w:color w:val="auto"/>
                <w:sz w:val="21"/>
                <w:szCs w:val="21"/>
                <w:highlight w:val="none"/>
              </w:rPr>
            </w:r>
            <w:r/>
          </w:p>
        </w:tc>
        <w:tc>
          <w:tcPr>
            <w:gridSpan w:val="3"/>
            <w:tcW w:w="162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高级职称人员</w:t>
            </w:r>
            <w:r/>
          </w:p>
        </w:tc>
        <w:tc>
          <w:tcPr>
            <w:gridSpan w:val="2"/>
            <w:tcW w:w="2643"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注册资金</w:t>
            </w:r>
            <w:r/>
          </w:p>
        </w:tc>
        <w:tc>
          <w:tcPr>
            <w:gridSpan w:val="2"/>
            <w:tcW w:w="1918"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160" w:type="dxa"/>
            <w:vAlign w:val="center"/>
            <w:vMerge w:val="continue"/>
            <w:textDirection w:val="lrTb"/>
            <w:noWrap w:val="false"/>
          </w:tcPr>
          <w:p>
            <w:pPr>
              <w:ind w:firstLine="0"/>
              <w:jc w:val="center"/>
              <w:rPr>
                <w:color w:val="auto"/>
                <w:sz w:val="21"/>
                <w:szCs w:val="21"/>
                <w:highlight w:val="none"/>
              </w:rPr>
            </w:pPr>
            <w:r>
              <w:rPr>
                <w:color w:val="auto"/>
                <w:sz w:val="21"/>
                <w:szCs w:val="21"/>
                <w:highlight w:val="none"/>
              </w:rPr>
            </w:r>
            <w:r/>
          </w:p>
        </w:tc>
        <w:tc>
          <w:tcPr>
            <w:gridSpan w:val="3"/>
            <w:tcW w:w="162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中级职称人员</w:t>
            </w:r>
            <w:r/>
          </w:p>
        </w:tc>
        <w:tc>
          <w:tcPr>
            <w:gridSpan w:val="2"/>
            <w:tcW w:w="2643"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开户银行</w:t>
            </w:r>
            <w:r/>
          </w:p>
        </w:tc>
        <w:tc>
          <w:tcPr>
            <w:gridSpan w:val="2"/>
            <w:tcW w:w="1918"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160" w:type="dxa"/>
            <w:vAlign w:val="center"/>
            <w:vMerge w:val="continue"/>
            <w:textDirection w:val="lrTb"/>
            <w:noWrap w:val="false"/>
          </w:tcPr>
          <w:p>
            <w:pPr>
              <w:ind w:firstLine="0"/>
              <w:jc w:val="center"/>
              <w:rPr>
                <w:color w:val="auto"/>
                <w:sz w:val="21"/>
                <w:szCs w:val="21"/>
                <w:highlight w:val="none"/>
              </w:rPr>
            </w:pPr>
            <w:r>
              <w:rPr>
                <w:color w:val="auto"/>
                <w:sz w:val="21"/>
                <w:szCs w:val="21"/>
                <w:highlight w:val="none"/>
              </w:rPr>
            </w:r>
            <w:r/>
          </w:p>
        </w:tc>
        <w:tc>
          <w:tcPr>
            <w:gridSpan w:val="3"/>
            <w:tcW w:w="162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初级职称人员</w:t>
            </w:r>
            <w:r/>
          </w:p>
        </w:tc>
        <w:tc>
          <w:tcPr>
            <w:gridSpan w:val="2"/>
            <w:tcW w:w="2643"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账号</w:t>
            </w:r>
            <w:r/>
          </w:p>
        </w:tc>
        <w:tc>
          <w:tcPr>
            <w:gridSpan w:val="2"/>
            <w:tcW w:w="1918"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c>
          <w:tcPr>
            <w:tcW w:w="1160" w:type="dxa"/>
            <w:vAlign w:val="center"/>
            <w:vMerge w:val="continue"/>
            <w:textDirection w:val="lrTb"/>
            <w:noWrap w:val="false"/>
          </w:tcPr>
          <w:p>
            <w:pPr>
              <w:ind w:firstLine="0"/>
              <w:jc w:val="center"/>
              <w:rPr>
                <w:color w:val="auto"/>
                <w:sz w:val="21"/>
                <w:szCs w:val="21"/>
                <w:highlight w:val="none"/>
              </w:rPr>
            </w:pPr>
            <w:r>
              <w:rPr>
                <w:color w:val="auto"/>
                <w:sz w:val="21"/>
                <w:szCs w:val="21"/>
                <w:highlight w:val="none"/>
              </w:rPr>
            </w:r>
            <w:r/>
          </w:p>
        </w:tc>
        <w:tc>
          <w:tcPr>
            <w:gridSpan w:val="3"/>
            <w:tcW w:w="1620"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技  工</w:t>
            </w:r>
            <w:r/>
          </w:p>
        </w:tc>
        <w:tc>
          <w:tcPr>
            <w:gridSpan w:val="2"/>
            <w:tcW w:w="2643"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183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经营范围</w:t>
            </w:r>
            <w:r/>
          </w:p>
        </w:tc>
        <w:tc>
          <w:tcPr>
            <w:gridSpan w:val="8"/>
            <w:tcW w:w="7341"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r>
        <w:trPr>
          <w:jc w:val="center"/>
          <w:trHeight w:val="567"/>
        </w:trPr>
        <w:tc>
          <w:tcPr>
            <w:tcW w:w="1626" w:type="dxa"/>
            <w:vAlign w:val="center"/>
            <w:textDirection w:val="lrTb"/>
            <w:noWrap w:val="false"/>
          </w:tcPr>
          <w:p>
            <w:pPr>
              <w:ind w:firstLine="0"/>
              <w:jc w:val="center"/>
              <w:rPr>
                <w:color w:val="auto"/>
                <w:sz w:val="21"/>
                <w:szCs w:val="21"/>
                <w:highlight w:val="none"/>
              </w:rPr>
            </w:pPr>
            <w:r>
              <w:rPr>
                <w:color w:val="auto"/>
                <w:sz w:val="21"/>
                <w:szCs w:val="21"/>
                <w:highlight w:val="none"/>
              </w:rPr>
              <w:t xml:space="preserve">备注</w:t>
            </w:r>
            <w:r/>
          </w:p>
        </w:tc>
        <w:tc>
          <w:tcPr>
            <w:gridSpan w:val="8"/>
            <w:tcW w:w="7341" w:type="dxa"/>
            <w:vAlign w:val="center"/>
            <w:textDirection w:val="lrTb"/>
            <w:noWrap w:val="false"/>
          </w:tcPr>
          <w:p>
            <w:pPr>
              <w:ind w:firstLine="0"/>
              <w:jc w:val="center"/>
              <w:rPr>
                <w:color w:val="auto"/>
                <w:sz w:val="21"/>
                <w:szCs w:val="21"/>
                <w:highlight w:val="none"/>
              </w:rPr>
            </w:pPr>
            <w:r>
              <w:rPr>
                <w:color w:val="auto"/>
                <w:sz w:val="21"/>
                <w:szCs w:val="21"/>
                <w:highlight w:val="none"/>
              </w:rPr>
            </w:r>
            <w:r/>
          </w:p>
        </w:tc>
      </w:tr>
    </w:tbl>
    <w:p>
      <w:pPr>
        <w:pStyle w:val="1166"/>
        <w:ind w:firstLine="442"/>
        <w:jc w:val="both"/>
        <w:tabs>
          <w:tab w:val="left" w:pos="360" w:leader="none"/>
        </w:tabs>
        <w:rPr>
          <w:rFonts w:ascii="宋体" w:hAnsi="宋体" w:cs="宋体"/>
          <w:bCs/>
          <w:color w:val="auto"/>
          <w:sz w:val="22"/>
          <w:highlight w:val="none"/>
          <w:lang w:eastAsia="zh-CN"/>
        </w:rPr>
      </w:pPr>
      <w:r>
        <w:rPr>
          <w:rFonts w:hint="eastAsia" w:ascii="宋体" w:hAnsi="宋体" w:cs="宋体"/>
          <w:bCs/>
          <w:color w:val="auto"/>
          <w:sz w:val="22"/>
          <w:highlight w:val="none"/>
          <w:lang w:eastAsia="zh-CN"/>
        </w:rPr>
        <w:t xml:space="preserve">备注： 本表后应附营业执照等材料的原件扫描件</w:t>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p>
      <w:pPr>
        <w:ind w:firstLine="0"/>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十一</w:t>
      </w:r>
      <w:r>
        <w:rPr>
          <w:rFonts w:hint="eastAsia" w:ascii="宋体" w:hAnsi="宋体" w:cs="宋体"/>
          <w:b/>
          <w:bCs/>
          <w:color w:val="auto"/>
          <w:sz w:val="28"/>
          <w:szCs w:val="28"/>
          <w:highlight w:val="none"/>
        </w:rPr>
        <w:t xml:space="preserve">、项目负责人简历表</w:t>
      </w:r>
      <w:r/>
    </w:p>
    <w:p>
      <w:pPr>
        <w:pStyle w:val="1166"/>
        <w:ind w:firstLine="442"/>
        <w:jc w:val="center"/>
        <w:tabs>
          <w:tab w:val="left" w:pos="360" w:leader="none"/>
        </w:tabs>
        <w:rPr>
          <w:rFonts w:ascii="宋体" w:hAnsi="宋体" w:cs="宋体"/>
          <w:bCs/>
          <w:color w:val="auto"/>
          <w:sz w:val="22"/>
          <w:highlight w:val="none"/>
          <w:lang w:eastAsia="zh-CN"/>
        </w:rPr>
      </w:pPr>
      <w:r>
        <w:rPr>
          <w:rFonts w:ascii="宋体" w:hAnsi="宋体" w:cs="宋体"/>
          <w:bCs/>
          <w:color w:val="auto"/>
          <w:sz w:val="22"/>
          <w:highlight w:val="none"/>
          <w:lang w:eastAsia="zh-CN"/>
        </w:rPr>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1139"/>
        <w:gridCol w:w="1139"/>
        <w:gridCol w:w="1518"/>
        <w:gridCol w:w="1519"/>
      </w:tblGrid>
      <w:tr>
        <w:trPr>
          <w:jc w:val="center"/>
          <w:trHeight w:val="732"/>
        </w:trPr>
        <w:tc>
          <w:tcPr>
            <w:tcW w:w="1139"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姓名</w:t>
            </w:r>
            <w:r/>
          </w:p>
        </w:tc>
        <w:tc>
          <w:tcPr>
            <w:gridSpan w:val="2"/>
            <w:tcW w:w="1897"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c>
          <w:tcPr>
            <w:tcW w:w="1139"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性别</w:t>
            </w:r>
            <w:r/>
          </w:p>
        </w:tc>
        <w:tc>
          <w:tcPr>
            <w:tcW w:w="1139"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c>
          <w:tcPr>
            <w:tcW w:w="1518"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年龄</w:t>
            </w:r>
            <w:r/>
          </w:p>
        </w:tc>
        <w:tc>
          <w:tcPr>
            <w:tcW w:w="1519"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r>
      <w:tr>
        <w:trPr>
          <w:jc w:val="center"/>
          <w:trHeight w:val="732"/>
        </w:trPr>
        <w:tc>
          <w:tcPr>
            <w:tcW w:w="1139"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职务</w:t>
            </w:r>
            <w:r/>
          </w:p>
        </w:tc>
        <w:tc>
          <w:tcPr>
            <w:gridSpan w:val="2"/>
            <w:tcW w:w="1897"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c>
          <w:tcPr>
            <w:tcW w:w="1139"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职称</w:t>
            </w:r>
            <w:r/>
          </w:p>
        </w:tc>
        <w:tc>
          <w:tcPr>
            <w:tcW w:w="1139"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c>
          <w:tcPr>
            <w:tcW w:w="1518"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学历</w:t>
            </w:r>
            <w:r/>
          </w:p>
        </w:tc>
        <w:tc>
          <w:tcPr>
            <w:tcW w:w="1519"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r>
      <w:tr>
        <w:trPr>
          <w:jc w:val="center"/>
          <w:trHeight w:val="732"/>
        </w:trPr>
        <w:tc>
          <w:tcPr>
            <w:gridSpan w:val="2"/>
            <w:tcW w:w="1898"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建造师证号</w:t>
            </w:r>
            <w:r/>
          </w:p>
        </w:tc>
        <w:tc>
          <w:tcPr>
            <w:gridSpan w:val="2"/>
            <w:tcW w:w="2277"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c>
          <w:tcPr>
            <w:gridSpan w:val="2"/>
            <w:tcW w:w="2657"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专          业</w:t>
            </w:r>
            <w:r/>
          </w:p>
        </w:tc>
        <w:tc>
          <w:tcPr>
            <w:tcW w:w="1519"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r>
      <w:tr>
        <w:trPr>
          <w:jc w:val="center"/>
          <w:trHeight w:val="732"/>
        </w:trPr>
        <w:tc>
          <w:tcPr>
            <w:gridSpan w:val="2"/>
            <w:tcW w:w="1898"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参加工作时间</w:t>
            </w:r>
            <w:r/>
          </w:p>
        </w:tc>
        <w:tc>
          <w:tcPr>
            <w:gridSpan w:val="2"/>
            <w:tcW w:w="2277"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c>
          <w:tcPr>
            <w:gridSpan w:val="2"/>
            <w:tcW w:w="2657"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从事项目经理年限</w:t>
            </w:r>
            <w:r/>
          </w:p>
        </w:tc>
        <w:tc>
          <w:tcPr>
            <w:tcW w:w="1519" w:type="dxa"/>
            <w:vAlign w:val="center"/>
            <w:textDirection w:val="lrTb"/>
            <w:noWrap w:val="false"/>
          </w:tcPr>
          <w:p>
            <w:pPr>
              <w:ind w:firstLine="0"/>
              <w:jc w:val="center"/>
              <w:spacing w:line="300" w:lineRule="exact"/>
              <w:rPr>
                <w:rFonts w:cs="宋体"/>
                <w:color w:val="auto"/>
                <w:sz w:val="21"/>
                <w:szCs w:val="21"/>
                <w:highlight w:val="none"/>
              </w:rPr>
            </w:pPr>
            <w:r>
              <w:rPr>
                <w:rFonts w:cs="宋体"/>
                <w:color w:val="auto"/>
                <w:sz w:val="21"/>
                <w:szCs w:val="21"/>
                <w:highlight w:val="none"/>
              </w:rPr>
            </w:r>
            <w:r/>
          </w:p>
        </w:tc>
      </w:tr>
      <w:tr>
        <w:trPr>
          <w:jc w:val="center"/>
          <w:trHeight w:val="732"/>
        </w:trPr>
        <w:tc>
          <w:tcPr>
            <w:gridSpan w:val="7"/>
            <w:tcW w:w="8351" w:type="dxa"/>
            <w:vAlign w:val="center"/>
            <w:textDirection w:val="lrTb"/>
            <w:noWrap w:val="false"/>
          </w:tcPr>
          <w:p>
            <w:pPr>
              <w:ind w:firstLine="0"/>
              <w:jc w:val="center"/>
              <w:spacing w:line="300" w:lineRule="exact"/>
              <w:rPr>
                <w:rFonts w:cs="宋体"/>
                <w:color w:val="auto"/>
                <w:sz w:val="21"/>
                <w:szCs w:val="21"/>
                <w:highlight w:val="none"/>
              </w:rPr>
            </w:pPr>
            <w:r>
              <w:rPr>
                <w:rFonts w:hint="eastAsia" w:cs="宋体"/>
                <w:color w:val="auto"/>
                <w:sz w:val="21"/>
                <w:szCs w:val="21"/>
                <w:highlight w:val="none"/>
              </w:rPr>
              <w:t xml:space="preserve">项目负责人简历</w:t>
            </w:r>
            <w:r/>
          </w:p>
        </w:tc>
      </w:tr>
      <w:tr>
        <w:trPr>
          <w:cantSplit/>
          <w:jc w:val="center"/>
          <w:trHeight w:val="7480"/>
        </w:trPr>
        <w:tc>
          <w:tcPr>
            <w:gridSpan w:val="7"/>
            <w:tcW w:w="8351" w:type="dxa"/>
            <w:textDirection w:val="lrTb"/>
            <w:noWrap w:val="false"/>
          </w:tcPr>
          <w:p>
            <w:pPr>
              <w:ind w:firstLine="0"/>
              <w:spacing w:line="300" w:lineRule="exact"/>
              <w:rPr>
                <w:rFonts w:cs="Courier New"/>
                <w:color w:val="auto"/>
                <w:sz w:val="20"/>
                <w:szCs w:val="20"/>
                <w:highlight w:val="none"/>
              </w:rPr>
            </w:pPr>
            <w:r>
              <w:rPr>
                <w:rFonts w:cs="Courier New"/>
                <w:color w:val="auto"/>
                <w:sz w:val="20"/>
                <w:szCs w:val="20"/>
                <w:highlight w:val="none"/>
              </w:rPr>
            </w:r>
            <w:r/>
          </w:p>
        </w:tc>
      </w:tr>
    </w:tbl>
    <w:p>
      <w:pPr>
        <w:pStyle w:val="1166"/>
        <w:ind w:firstLine="442"/>
        <w:jc w:val="center"/>
        <w:tabs>
          <w:tab w:val="left" w:pos="360" w:leader="none"/>
        </w:tabs>
        <w:rPr>
          <w:rFonts w:ascii="宋体" w:hAnsi="宋体" w:cs="宋体"/>
          <w:bCs/>
          <w:color w:val="auto"/>
          <w:sz w:val="22"/>
          <w:highlight w:val="none"/>
        </w:rPr>
      </w:pPr>
      <w:r>
        <w:rPr>
          <w:rFonts w:ascii="宋体" w:hAnsi="宋体" w:cs="宋体"/>
          <w:bCs/>
          <w:color w:val="auto"/>
          <w:sz w:val="22"/>
          <w:highlight w:val="none"/>
        </w:rPr>
      </w:r>
      <w:r/>
    </w:p>
    <w:p>
      <w:pPr>
        <w:pStyle w:val="1166"/>
        <w:ind w:firstLine="442"/>
        <w:jc w:val="center"/>
        <w:tabs>
          <w:tab w:val="left" w:pos="360" w:leader="none"/>
        </w:tabs>
        <w:rPr>
          <w:rFonts w:ascii="宋体" w:hAnsi="宋体" w:cs="宋体"/>
          <w:bCs/>
          <w:color w:val="auto"/>
          <w:sz w:val="22"/>
          <w:highlight w:val="none"/>
        </w:rPr>
      </w:pPr>
      <w:r>
        <w:rPr>
          <w:rFonts w:ascii="宋体" w:hAnsi="宋体" w:cs="宋体"/>
          <w:bCs/>
          <w:color w:val="auto"/>
          <w:sz w:val="22"/>
          <w:highlight w:val="none"/>
        </w:rPr>
      </w:r>
      <w:r/>
    </w:p>
    <w:p>
      <w:pPr>
        <w:pStyle w:val="1166"/>
        <w:ind w:firstLine="442"/>
        <w:jc w:val="center"/>
        <w:tabs>
          <w:tab w:val="left" w:pos="360" w:leader="none"/>
        </w:tabs>
        <w:rPr>
          <w:rFonts w:ascii="宋体" w:hAnsi="宋体" w:cs="宋体"/>
          <w:bCs/>
          <w:color w:val="auto"/>
          <w:sz w:val="22"/>
          <w:highlight w:val="none"/>
        </w:rPr>
      </w:pPr>
      <w:r>
        <w:rPr>
          <w:rFonts w:ascii="宋体" w:hAnsi="宋体" w:cs="宋体"/>
          <w:bCs/>
          <w:color w:val="auto"/>
          <w:sz w:val="22"/>
          <w:highlight w:val="none"/>
        </w:rPr>
      </w:r>
      <w:r/>
    </w:p>
    <w:p>
      <w:pPr>
        <w:pStyle w:val="1166"/>
        <w:ind w:firstLine="442"/>
        <w:jc w:val="center"/>
        <w:tabs>
          <w:tab w:val="left" w:pos="360" w:leader="none"/>
        </w:tabs>
        <w:rPr>
          <w:rFonts w:ascii="宋体" w:hAnsi="宋体" w:cs="宋体"/>
          <w:bCs/>
          <w:color w:val="auto"/>
          <w:sz w:val="22"/>
          <w:highlight w:val="none"/>
        </w:rPr>
      </w:pPr>
      <w:r>
        <w:rPr>
          <w:rFonts w:ascii="宋体" w:hAnsi="宋体" w:cs="宋体"/>
          <w:bCs/>
          <w:color w:val="auto"/>
          <w:sz w:val="22"/>
          <w:highlight w:val="none"/>
        </w:rPr>
      </w:r>
      <w:r/>
    </w:p>
    <w:p>
      <w:pPr>
        <w:pStyle w:val="1166"/>
        <w:ind w:firstLine="442"/>
        <w:jc w:val="center"/>
        <w:tabs>
          <w:tab w:val="left" w:pos="360" w:leader="none"/>
        </w:tabs>
        <w:rPr>
          <w:rFonts w:ascii="宋体" w:hAnsi="宋体" w:cs="宋体"/>
          <w:bCs/>
          <w:color w:val="auto"/>
          <w:sz w:val="22"/>
          <w:highlight w:val="none"/>
        </w:rPr>
      </w:pPr>
      <w:r>
        <w:rPr>
          <w:rFonts w:ascii="宋体" w:hAnsi="宋体" w:cs="宋体"/>
          <w:bCs/>
          <w:color w:val="auto"/>
          <w:sz w:val="22"/>
          <w:highlight w:val="none"/>
        </w:rPr>
      </w:r>
      <w:r/>
    </w:p>
    <w:p>
      <w:pPr>
        <w:ind w:firstLine="0"/>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十二</w:t>
      </w:r>
      <w:r>
        <w:rPr>
          <w:rFonts w:hint="eastAsia" w:ascii="宋体" w:hAnsi="宋体" w:cs="宋体"/>
          <w:b/>
          <w:bCs/>
          <w:color w:val="auto"/>
          <w:sz w:val="28"/>
          <w:szCs w:val="28"/>
          <w:highlight w:val="none"/>
        </w:rPr>
        <w:t xml:space="preserve">、供应商承诺书（格式）</w:t>
      </w:r>
      <w:r/>
    </w:p>
    <w:p>
      <w:pPr>
        <w:ind w:firstLine="480"/>
        <w:rPr>
          <w:rFonts w:hint="eastAsia" w:ascii="宋体" w:hAnsi="宋体" w:cs="宋体"/>
          <w:color w:val="auto"/>
          <w:highlight w:val="none"/>
          <w:lang w:bidi="ar"/>
        </w:rPr>
      </w:pPr>
      <w:r/>
      <w:bookmarkStart w:id="928" w:name="_Toc25888"/>
      <w:r/>
      <w:bookmarkStart w:id="929" w:name="_Toc3470"/>
      <w:r/>
      <w:bookmarkStart w:id="930" w:name="_Toc32188"/>
      <w:r>
        <w:rPr>
          <w:rFonts w:hint="eastAsia" w:ascii="宋体" w:hAnsi="宋体" w:cs="宋体"/>
          <w:color w:val="auto"/>
          <w:highlight w:val="none"/>
        </w:rPr>
        <w:t xml:space="preserve">致：</w:t>
      </w:r>
      <w:r>
        <w:rPr>
          <w:rFonts w:hint="eastAsia" w:ascii="宋体" w:hAnsi="宋体" w:cs="宋体"/>
          <w:color w:val="auto"/>
          <w:highlight w:val="none"/>
          <w:lang w:bidi="ar"/>
        </w:rPr>
        <w:t xml:space="preserve">  </w:t>
      </w:r>
      <w:r>
        <w:rPr>
          <w:rFonts w:hint="eastAsia" w:ascii="宋体" w:hAnsi="宋体" w:cs="宋体"/>
          <w:color w:val="auto"/>
          <w:highlight w:val="none"/>
          <w:u w:val="single"/>
          <w:lang w:bidi="ar"/>
        </w:rPr>
        <w:t xml:space="preserve">（采购人名称）</w:t>
      </w:r>
      <w:r/>
    </w:p>
    <w:p>
      <w:pPr>
        <w:pStyle w:val="1208"/>
        <w:ind w:firstLine="720"/>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我公司参与贵单位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工程项目的投标工作，我单位郑重承诺：</w:t>
      </w:r>
      <w:r/>
    </w:p>
    <w:p>
      <w:pPr>
        <w:ind w:firstLine="720"/>
        <w:rPr>
          <w:rFonts w:hint="eastAsia" w:ascii="宋体" w:hAnsi="宋体"/>
          <w:color w:val="auto"/>
          <w:highlight w:val="none"/>
        </w:rPr>
      </w:pPr>
      <w:r>
        <w:rPr>
          <w:rFonts w:hint="eastAsia" w:ascii="宋体" w:hAnsi="宋体"/>
          <w:color w:val="auto"/>
          <w:highlight w:val="none"/>
        </w:rPr>
        <w:t xml:space="preserve">1、所报项目负责人</w:t>
      </w:r>
      <w:r>
        <w:rPr>
          <w:rFonts w:hint="eastAsia" w:ascii="宋体" w:hAnsi="宋体"/>
          <w:color w:val="auto"/>
          <w:highlight w:val="none"/>
          <w:u w:val="single"/>
        </w:rPr>
        <w:t xml:space="preserve">     （姓名）</w:t>
      </w:r>
      <w:r>
        <w:rPr>
          <w:rFonts w:hint="eastAsia" w:ascii="宋体" w:hAnsi="宋体"/>
          <w:color w:val="auto"/>
          <w:highlight w:val="none"/>
        </w:rPr>
        <w:t xml:space="preserve">同志在该项目投标期间确无在建工程；</w:t>
      </w:r>
      <w:r/>
    </w:p>
    <w:p>
      <w:pPr>
        <w:ind w:firstLine="720"/>
        <w:rPr>
          <w:rFonts w:hint="eastAsia" w:ascii="宋体" w:hAnsi="宋体"/>
          <w:color w:val="auto"/>
          <w:highlight w:val="none"/>
        </w:rPr>
      </w:pPr>
      <w:r>
        <w:rPr>
          <w:rFonts w:hint="eastAsia" w:ascii="宋体" w:hAnsi="宋体"/>
          <w:color w:val="auto"/>
          <w:highlight w:val="none"/>
        </w:rPr>
        <w:t xml:space="preserve">2、本单位及所报项目负责人</w:t>
      </w:r>
      <w:r>
        <w:rPr>
          <w:rFonts w:hint="eastAsia" w:ascii="宋体" w:hAnsi="宋体"/>
          <w:color w:val="auto"/>
          <w:highlight w:val="none"/>
          <w:u w:val="single"/>
        </w:rPr>
        <w:t xml:space="preserve">     </w:t>
      </w:r>
      <w:r>
        <w:rPr>
          <w:rFonts w:hint="eastAsia" w:ascii="宋体" w:hAnsi="宋体"/>
          <w:color w:val="auto"/>
          <w:highlight w:val="none"/>
        </w:rPr>
        <w:t xml:space="preserve">未被建设行政主管部门限制在招标项目所在地投标；</w:t>
      </w:r>
      <w:r/>
    </w:p>
    <w:p>
      <w:pPr>
        <w:pStyle w:val="1208"/>
        <w:ind w:firstLine="720"/>
        <w:rPr>
          <w:rFonts w:hint="eastAsia" w:ascii="宋体" w:hAnsi="宋体" w:cs="宋体"/>
          <w:color w:val="auto"/>
          <w:sz w:val="24"/>
          <w:highlight w:val="none"/>
          <w:lang w:bidi="ar"/>
        </w:rPr>
      </w:pPr>
      <w:r>
        <w:rPr>
          <w:rFonts w:hint="eastAsia" w:ascii="宋体" w:hAnsi="宋体"/>
          <w:color w:val="auto"/>
          <w:sz w:val="24"/>
          <w:highlight w:val="none"/>
        </w:rPr>
        <w:t xml:space="preserve">3、不</w:t>
      </w:r>
      <w:r>
        <w:rPr>
          <w:rFonts w:hint="eastAsia" w:ascii="宋体" w:hAnsi="宋体" w:cs="宋体"/>
          <w:color w:val="auto"/>
          <w:sz w:val="24"/>
          <w:highlight w:val="none"/>
          <w:lang w:bidi="ar"/>
        </w:rPr>
        <w:t xml:space="preserve">出借挂靠资质；</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将委托授权项目负责人参与投标全过程（含开评标、异议、投诉环节）工作。开评 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pStyle w:val="1208"/>
        <w:rPr>
          <w:rFonts w:hint="eastAsia" w:ascii="宋体" w:hAnsi="宋体"/>
          <w:color w:val="auto"/>
          <w:sz w:val="24"/>
          <w:highlight w:val="none"/>
        </w:rPr>
      </w:pPr>
      <w:r>
        <w:rPr>
          <w:rFonts w:hint="eastAsia" w:ascii="宋体" w:hAnsi="宋体"/>
          <w:color w:val="auto"/>
          <w:sz w:val="24"/>
          <w:highlight w:val="none"/>
        </w:rPr>
        <w:t xml:space="preserve">4、企业、法定代表人及项目负责人无不良行为；</w:t>
      </w:r>
      <w:r/>
    </w:p>
    <w:p>
      <w:pPr>
        <w:pStyle w:val="1208"/>
        <w:rPr>
          <w:rFonts w:hint="eastAsia" w:ascii="宋体" w:hAnsi="宋体" w:cs="宋体"/>
          <w:color w:val="auto"/>
          <w:sz w:val="24"/>
          <w:highlight w:val="none"/>
          <w:lang w:bidi="ar"/>
        </w:rPr>
      </w:pPr>
      <w:r>
        <w:rPr>
          <w:rFonts w:hint="eastAsia" w:ascii="宋体" w:hAnsi="宋体"/>
          <w:color w:val="auto"/>
          <w:sz w:val="24"/>
          <w:highlight w:val="none"/>
        </w:rPr>
        <w:t xml:space="preserve">5、</w:t>
      </w:r>
      <w:r>
        <w:rPr>
          <w:rFonts w:hint="eastAsia" w:ascii="宋体" w:hAnsi="宋体" w:cs="宋体"/>
          <w:color w:val="auto"/>
          <w:sz w:val="24"/>
          <w:highlight w:val="none"/>
          <w:lang w:bidi="ar"/>
        </w:rPr>
        <w:t xml:space="preserve">投标全过程（含异议、投诉环节）出示的文件资料均是真实、有效的。</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6、不违反连建发【2021】338 号文的第六条相关规定（关于规范异议投诉和信访举报的问题）。</w:t>
      </w:r>
      <w:r/>
    </w:p>
    <w:p>
      <w:pPr>
        <w:pStyle w:val="1208"/>
        <w:ind w:firstLine="720"/>
        <w:rPr>
          <w:rFonts w:hint="eastAsia" w:ascii="宋体" w:hAnsi="宋体" w:cs="宋体"/>
          <w:color w:val="auto"/>
          <w:sz w:val="24"/>
          <w:highlight w:val="none"/>
          <w:lang w:bidi="ar"/>
        </w:rPr>
      </w:pPr>
      <w:r>
        <w:rPr>
          <w:rFonts w:hint="eastAsia" w:ascii="宋体" w:hAnsi="宋体"/>
          <w:color w:val="auto"/>
          <w:sz w:val="24"/>
          <w:highlight w:val="none"/>
        </w:rPr>
        <w:t xml:space="preserve">7、我单位及法定代表人、所报项目负责人（项目经理）非失信被执行人</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8、无行贿犯罪记录承诺：</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8.1所报项目负责人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同志无行贿犯罪行为记录；或有行贿犯罪行为记</w:t>
      </w:r>
      <w:r/>
    </w:p>
    <w:p>
      <w:pPr>
        <w:pStyle w:val="1208"/>
        <w:ind w:firstLine="0"/>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录，但自记录之日起已超过 5 年；</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8.2我单位不存在下列情形：</w:t>
      </w:r>
      <w:r/>
    </w:p>
    <w:p>
      <w:pPr>
        <w:pStyle w:val="1208"/>
        <w:ind w:firstLine="720"/>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投标人近 3 年内有行贿犯罪行为且被记录，或者法定代表人有行贿犯罪记录且自记录之日起未超过 5 年的。</w:t>
      </w:r>
      <w:r/>
    </w:p>
    <w:p>
      <w:pPr>
        <w:pStyle w:val="1208"/>
        <w:ind w:firstLine="720"/>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9、我单位本次所用资质在响应有效期内为江苏省建筑市场监管与诚信信息一体化平台 “动态监管不合格资质查询”合格企业。</w:t>
      </w:r>
      <w:r/>
    </w:p>
    <w:p>
      <w:pPr>
        <w:pStyle w:val="1208"/>
        <w:ind w:firstLine="720"/>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10、所报项目负责人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在中标后不影响办理工程建设手续且工程施工期间在岗履职（自承诺之日起，项目经理具备在岗履职能力）；若我公司作出虚假承诺，则取消其中标资格，依法进行行政处罚，并将其失信行为列入企业和项目总负责人诚信记录；</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综上，我单位承诺如有虚假，愿意无条件接受被取消预审（合格）资格、投标或中标（候选人）资格、合同解除及清除出场，一切损失由我单位自行承担，同时愿意接受相关处罚，特此承诺！</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                （盖章）</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法定代表人：            （签字或盖章）</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项目负责人：            （签字）</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项目负责人证书编号：</w:t>
      </w:r>
      <w:r/>
    </w:p>
    <w:p>
      <w:pPr>
        <w:pStyle w:val="1208"/>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日期：       年   月   日</w:t>
      </w:r>
      <w:r/>
    </w:p>
    <w:p>
      <w:pPr>
        <w:ind w:firstLine="440"/>
        <w:jc w:val="center"/>
        <w:rPr>
          <w:rFonts w:hint="eastAsia" w:ascii="宋体" w:hAnsi="宋体" w:cs="宋体"/>
          <w:color w:val="auto"/>
          <w:sz w:val="22"/>
          <w:szCs w:val="22"/>
          <w:highlight w:val="none"/>
        </w:rPr>
        <w:outlineLvl w:val="0"/>
      </w:pPr>
      <w:r>
        <w:rPr>
          <w:rFonts w:hint="eastAsia" w:ascii="宋体" w:hAnsi="宋体" w:cs="宋体"/>
          <w:color w:val="auto"/>
          <w:sz w:val="22"/>
          <w:szCs w:val="22"/>
          <w:highlight w:val="none"/>
        </w:rPr>
        <w:br w:type="column"/>
      </w: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、依法缴纳税收和社会保障资金的承诺（格式）</w:t>
      </w:r>
      <w:r/>
    </w:p>
    <w:p>
      <w:pPr>
        <w:ind w:firstLine="440"/>
        <w:jc w:val="left"/>
        <w:rPr>
          <w:rFonts w:hint="eastAsia" w:ascii="宋体" w:hAnsi="宋体" w:cs="宋体"/>
          <w:color w:val="auto"/>
          <w:sz w:val="22"/>
          <w:szCs w:val="22"/>
          <w:highlight w:val="none"/>
        </w:rPr>
        <w:outlineLvl w:val="0"/>
      </w:pPr>
      <w:r>
        <w:rPr>
          <w:rFonts w:hint="eastAsia" w:ascii="宋体" w:hAnsi="宋体" w:cs="宋体"/>
          <w:color w:val="auto"/>
          <w:sz w:val="22"/>
          <w:szCs w:val="22"/>
          <w:highlight w:val="none"/>
        </w:rPr>
      </w:r>
      <w:r/>
    </w:p>
    <w:p>
      <w:pPr>
        <w:ind w:firstLine="440"/>
        <w:jc w:val="left"/>
        <w:rPr>
          <w:rFonts w:hint="eastAsia" w:ascii="宋体" w:hAnsi="宋体" w:cs="宋体"/>
          <w:b/>
          <w:bCs/>
          <w:color w:val="auto"/>
          <w:sz w:val="28"/>
          <w:szCs w:val="28"/>
          <w:highlight w:val="none"/>
          <w:u w:val="single"/>
        </w:rPr>
        <w:outlineLvl w:val="0"/>
      </w:pPr>
      <w:r>
        <w:rPr>
          <w:rFonts w:hint="eastAsia" w:ascii="宋体" w:hAnsi="宋体" w:cs="宋体"/>
          <w:color w:val="auto"/>
          <w:sz w:val="22"/>
          <w:szCs w:val="22"/>
          <w:highlight w:val="none"/>
        </w:rPr>
        <w:t xml:space="preserve">致： </w:t>
      </w:r>
      <w:r>
        <w:rPr>
          <w:rFonts w:hint="eastAsia" w:ascii="宋体" w:hAnsi="宋体" w:cs="宋体"/>
          <w:color w:val="auto"/>
          <w:sz w:val="22"/>
          <w:szCs w:val="22"/>
          <w:highlight w:val="none"/>
          <w:u w:val="single"/>
        </w:rPr>
        <w:t xml:space="preserve">    </w:t>
      </w:r>
      <w:r>
        <w:rPr>
          <w:rFonts w:hint="eastAsia" w:ascii="宋体" w:hAnsi="宋体" w:cs="宋体"/>
          <w:b/>
          <w:bCs/>
          <w:color w:val="auto"/>
          <w:sz w:val="28"/>
          <w:szCs w:val="28"/>
          <w:highlight w:val="none"/>
          <w:u w:val="single"/>
        </w:rPr>
        <w:t xml:space="preserve">             </w:t>
      </w:r>
      <w:r/>
    </w:p>
    <w:p>
      <w:pPr>
        <w:ind w:firstLine="562"/>
        <w:jc w:val="left"/>
        <w:rPr>
          <w:rFonts w:hint="eastAsia" w:ascii="宋体" w:hAnsi="宋体" w:cs="宋体"/>
          <w:color w:val="auto"/>
          <w:sz w:val="22"/>
          <w:szCs w:val="22"/>
          <w:highlight w:val="none"/>
        </w:rPr>
        <w:outlineLvl w:val="0"/>
      </w:pPr>
      <w:r>
        <w:rPr>
          <w:rFonts w:hint="eastAsia" w:ascii="宋体" w:hAnsi="宋体" w:cs="宋体"/>
          <w:b/>
          <w:bCs/>
          <w:color w:val="auto"/>
          <w:sz w:val="28"/>
          <w:szCs w:val="28"/>
          <w:highlight w:val="none"/>
        </w:rPr>
        <w:t xml:space="preserve">  </w:t>
      </w:r>
      <w:r>
        <w:rPr>
          <w:rFonts w:ascii="宋体" w:hAnsi="宋体" w:cs="宋体"/>
          <w:color w:val="auto"/>
          <w:sz w:val="22"/>
          <w:szCs w:val="22"/>
          <w:highlight w:val="none"/>
        </w:rPr>
        <w:t xml:space="preserve">我单位承诺贵单位在经营活动中依法缴纳税收和社会保障资金，愿意接受上级监管部门和各级领导审查、监督、如有不符，愿接受任何处罚</w:t>
      </w:r>
      <w:r>
        <w:rPr>
          <w:rFonts w:hint="eastAsia" w:ascii="宋体" w:hAnsi="宋体" w:cs="宋体"/>
          <w:color w:val="auto"/>
          <w:sz w:val="22"/>
          <w:szCs w:val="22"/>
          <w:highlight w:val="none"/>
        </w:rPr>
        <w:t xml:space="preserve">。</w:t>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pStyle w:val="1088"/>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00"/>
        <w:rPr>
          <w:color w:val="auto"/>
          <w:sz w:val="20"/>
          <w:szCs w:val="22"/>
          <w:highlight w:val="none"/>
        </w:rPr>
      </w:pPr>
      <w:r>
        <w:rPr>
          <w:color w:val="auto"/>
          <w:sz w:val="20"/>
          <w:szCs w:val="22"/>
          <w:highlight w:val="none"/>
        </w:rPr>
      </w:r>
      <w:r/>
    </w:p>
    <w:p>
      <w:pPr>
        <w:ind w:firstLine="440"/>
        <w:jc w:val="left"/>
        <w:rPr>
          <w:rFonts w:hint="eastAsia" w:ascii="宋体" w:hAnsi="宋体" w:cs="宋体"/>
          <w:color w:val="auto"/>
          <w:sz w:val="22"/>
          <w:szCs w:val="22"/>
          <w:highlight w:val="none"/>
        </w:rPr>
        <w:outlineLvl w:val="0"/>
      </w:pPr>
      <w:r>
        <w:rPr>
          <w:rFonts w:hint="eastAsia" w:ascii="宋体" w:hAnsi="宋体" w:cs="宋体"/>
          <w:color w:val="auto"/>
          <w:sz w:val="22"/>
          <w:szCs w:val="22"/>
          <w:highlight w:val="none"/>
        </w:rPr>
        <w:t xml:space="preserve">磋商供应商：</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（单位全称）             </w:t>
      </w:r>
      <w:r/>
    </w:p>
    <w:p>
      <w:pPr>
        <w:ind w:firstLine="440"/>
        <w:jc w:val="left"/>
        <w:rPr>
          <w:rFonts w:hint="eastAsia" w:ascii="宋体" w:hAnsi="宋体" w:cs="宋体"/>
          <w:color w:val="auto"/>
          <w:sz w:val="22"/>
          <w:szCs w:val="22"/>
          <w:highlight w:val="none"/>
        </w:rPr>
        <w:outlineLvl w:val="0"/>
      </w:pPr>
      <w:r>
        <w:rPr>
          <w:rFonts w:hint="eastAsia" w:ascii="宋体" w:hAnsi="宋体" w:cs="宋体"/>
          <w:color w:val="auto"/>
          <w:sz w:val="22"/>
          <w:szCs w:val="22"/>
          <w:highlight w:val="none"/>
        </w:rPr>
        <w:t xml:space="preserve">法定代表人或授权代理人：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（签章）</w:t>
      </w:r>
      <w:r/>
    </w:p>
    <w:p>
      <w:pPr>
        <w:ind w:firstLine="440"/>
        <w:jc w:val="left"/>
        <w:rPr>
          <w:rFonts w:hint="eastAsia" w:ascii="宋体" w:hAnsi="宋体" w:cs="宋体"/>
          <w:color w:val="auto"/>
          <w:sz w:val="22"/>
          <w:szCs w:val="22"/>
          <w:highlight w:val="none"/>
        </w:rPr>
        <w:outlineLvl w:val="0"/>
      </w:pPr>
      <w:r>
        <w:rPr>
          <w:rFonts w:hint="eastAsia" w:ascii="宋体" w:hAnsi="宋体" w:cs="宋体"/>
          <w:color w:val="auto"/>
          <w:sz w:val="22"/>
          <w:szCs w:val="22"/>
          <w:highlight w:val="none"/>
        </w:rPr>
        <w:t xml:space="preserve">日期：</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ind w:firstLine="562"/>
        <w:jc w:val="center"/>
        <w:rPr>
          <w:rFonts w:hint="eastAsia" w:ascii="宋体" w:hAnsi="宋体" w:cs="宋体"/>
          <w:color w:val="auto"/>
          <w:sz w:val="28"/>
          <w:szCs w:val="22"/>
          <w:highlight w:val="none"/>
        </w:rPr>
        <w:outlineLvl w:val="0"/>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、类似项目业绩一览表</w:t>
      </w:r>
      <w:bookmarkEnd w:id="928"/>
      <w:r/>
      <w:bookmarkEnd w:id="929"/>
      <w:r/>
      <w:bookmarkEnd w:id="930"/>
      <w:r/>
      <w:r/>
    </w:p>
    <w:tbl>
      <w:tblPr>
        <w:tblStyle w:val="908"/>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2539"/>
        <w:gridCol w:w="1237"/>
      </w:tblGrid>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t xml:space="preserve">序号</w:t>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t xml:space="preserve">合同名称</w:t>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t xml:space="preserve">签订时间</w:t>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t xml:space="preserve">服务单位名称</w:t>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t xml:space="preserve">备注</w:t>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r>
        <w:trPr>
          <w:jc w:val="center"/>
          <w:trHeight w:val="772"/>
        </w:trPr>
        <w:tc>
          <w:tcPr>
            <w:tcW w:w="1014"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4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135"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2539"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237" w:type="dxa"/>
            <w:vAlign w:val="center"/>
            <w:textDirection w:val="lrTb"/>
            <w:noWrap w:val="false"/>
          </w:tcPr>
          <w:p>
            <w:pPr>
              <w:ind w:firstLine="480"/>
              <w:jc w:val="center"/>
              <w:rPr>
                <w:rFonts w:hint="eastAsia" w:ascii="宋体" w:hAnsi="宋体" w:cs="宋体"/>
                <w:color w:val="auto"/>
                <w:szCs w:val="22"/>
                <w:highlight w:val="none"/>
              </w:rPr>
            </w:pPr>
            <w:r>
              <w:rPr>
                <w:rFonts w:hint="eastAsia" w:ascii="宋体" w:hAnsi="宋体" w:cs="宋体"/>
                <w:color w:val="auto"/>
                <w:szCs w:val="22"/>
                <w:highlight w:val="none"/>
              </w:rPr>
            </w:r>
            <w:r/>
          </w:p>
        </w:tc>
      </w:tr>
    </w:tbl>
    <w:p>
      <w:pPr>
        <w:ind w:firstLine="4620"/>
        <w:rPr>
          <w:rFonts w:hint="eastAsia" w:ascii="宋体" w:hAnsi="宋体" w:cs="宋体"/>
          <w:bCs/>
          <w:color w:val="auto"/>
          <w:sz w:val="22"/>
          <w:szCs w:val="22"/>
          <w:highlight w:val="none"/>
        </w:rPr>
      </w:pPr>
      <w:r>
        <w:rPr>
          <w:rFonts w:hint="eastAsia" w:ascii="宋体" w:hAnsi="宋体" w:cs="宋体"/>
          <w:bCs/>
          <w:color w:val="auto"/>
          <w:sz w:val="22"/>
          <w:szCs w:val="22"/>
          <w:highlight w:val="none"/>
        </w:rPr>
      </w:r>
      <w:r/>
    </w:p>
    <w:p>
      <w:pPr>
        <w:ind w:firstLine="5115"/>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磋商供应商（公章）：</w:t>
      </w:r>
      <w:r>
        <w:rPr>
          <w:rFonts w:hint="eastAsia" w:ascii="宋体" w:hAnsi="宋体" w:cs="宋体"/>
          <w:color w:val="auto"/>
          <w:sz w:val="22"/>
          <w:szCs w:val="22"/>
          <w:highlight w:val="none"/>
          <w:u w:val="single"/>
        </w:rPr>
        <w:t xml:space="preserve">        </w:t>
      </w:r>
      <w:r/>
    </w:p>
    <w:p>
      <w:pPr>
        <w:ind w:firstLine="440"/>
        <w:rPr>
          <w:rFonts w:hint="eastAsia" w:ascii="宋体" w:hAnsi="宋体" w:cs="宋体"/>
          <w:bCs/>
          <w:color w:val="auto"/>
          <w:sz w:val="22"/>
          <w:szCs w:val="22"/>
          <w:highlight w:val="none"/>
          <w:u w:val="single"/>
        </w:rPr>
      </w:pPr>
      <w:r>
        <w:rPr>
          <w:rFonts w:hint="eastAsia" w:ascii="宋体" w:hAnsi="宋体" w:cs="宋体"/>
          <w:bCs/>
          <w:color w:val="auto"/>
          <w:sz w:val="22"/>
          <w:szCs w:val="22"/>
          <w:highlight w:val="none"/>
        </w:rPr>
        <w:t xml:space="preserve">                                          法定代表人或授权代表签字：</w:t>
      </w:r>
      <w:r>
        <w:rPr>
          <w:rFonts w:hint="eastAsia" w:ascii="宋体" w:hAnsi="宋体" w:cs="宋体"/>
          <w:bCs/>
          <w:color w:val="auto"/>
          <w:sz w:val="22"/>
          <w:szCs w:val="22"/>
          <w:highlight w:val="none"/>
          <w:u w:val="single"/>
        </w:rPr>
        <w:t xml:space="preserve">     </w:t>
      </w:r>
      <w:r/>
    </w:p>
    <w:p>
      <w:pPr>
        <w:ind w:firstLine="440"/>
        <w:rPr>
          <w:rFonts w:hint="eastAsia" w:ascii="宋体" w:hAnsi="宋体" w:cs="宋体"/>
          <w:bCs/>
          <w:color w:val="auto"/>
          <w:sz w:val="22"/>
          <w:szCs w:val="22"/>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cs="宋体"/>
          <w:bCs/>
          <w:color w:val="auto"/>
          <w:sz w:val="22"/>
          <w:szCs w:val="22"/>
          <w:highlight w:val="none"/>
        </w:rPr>
        <w:t xml:space="preserve">                                          日期：</w:t>
      </w:r>
      <w:r>
        <w:rPr>
          <w:rFonts w:hint="eastAsia" w:ascii="宋体" w:hAnsi="宋体" w:cs="宋体"/>
          <w:bCs/>
          <w:color w:val="auto"/>
          <w:sz w:val="22"/>
          <w:szCs w:val="22"/>
          <w:highlight w:val="none"/>
          <w:u w:val="single"/>
        </w:rPr>
        <w:t xml:space="preserve">     </w:t>
      </w:r>
      <w:r>
        <w:rPr>
          <w:rFonts w:hint="eastAsia" w:ascii="宋体" w:hAnsi="宋体" w:cs="宋体"/>
          <w:bCs/>
          <w:color w:val="auto"/>
          <w:sz w:val="22"/>
          <w:szCs w:val="22"/>
          <w:highlight w:val="none"/>
        </w:rPr>
        <w:t xml:space="preserve">年</w:t>
      </w:r>
      <w:r>
        <w:rPr>
          <w:rFonts w:hint="eastAsia" w:ascii="宋体" w:hAnsi="宋体" w:cs="宋体"/>
          <w:bCs/>
          <w:color w:val="auto"/>
          <w:sz w:val="22"/>
          <w:szCs w:val="22"/>
          <w:highlight w:val="none"/>
          <w:u w:val="single"/>
        </w:rPr>
        <w:t xml:space="preserve">    </w:t>
      </w:r>
      <w:r>
        <w:rPr>
          <w:rFonts w:hint="eastAsia" w:ascii="宋体" w:hAnsi="宋体" w:cs="宋体"/>
          <w:bCs/>
          <w:color w:val="auto"/>
          <w:sz w:val="22"/>
          <w:szCs w:val="22"/>
          <w:highlight w:val="none"/>
        </w:rPr>
        <w:t xml:space="preserve">月</w:t>
      </w:r>
      <w:r>
        <w:rPr>
          <w:rFonts w:hint="eastAsia" w:ascii="宋体" w:hAnsi="宋体" w:cs="宋体"/>
          <w:bCs/>
          <w:color w:val="auto"/>
          <w:sz w:val="22"/>
          <w:szCs w:val="22"/>
          <w:highlight w:val="none"/>
          <w:u w:val="single"/>
        </w:rPr>
        <w:t xml:space="preserve">    </w:t>
      </w:r>
      <w:r/>
    </w:p>
    <w:p>
      <w:pPr>
        <w:ind w:firstLine="562"/>
        <w:jc w:val="center"/>
        <w:rPr>
          <w:rFonts w:hint="default" w:ascii="宋体" w:hAnsi="宋体" w:cs="宋体"/>
          <w:b/>
          <w:bCs/>
          <w:color w:val="auto"/>
          <w:sz w:val="28"/>
          <w:szCs w:val="28"/>
          <w:highlight w:val="none"/>
        </w:rPr>
        <w:outlineLvl w:val="0"/>
      </w:pPr>
      <w:r>
        <w:rPr>
          <w:rFonts w:hint="eastAsia" w:ascii="宋体" w:hAnsi="宋体" w:cs="宋体"/>
          <w:b/>
          <w:bCs/>
          <w:color w:val="auto"/>
          <w:sz w:val="28"/>
          <w:szCs w:val="28"/>
          <w:highlight w:val="none"/>
          <w:lang w:val="en-US" w:eastAsia="zh-CN"/>
        </w:rPr>
        <w:t xml:space="preserve">十五、</w:t>
      </w:r>
      <w:r>
        <w:rPr>
          <w:rFonts w:hint="eastAsia" w:ascii="宋体" w:hAnsi="宋体" w:cs="宋体"/>
          <w:b/>
          <w:bCs/>
          <w:color w:val="auto"/>
          <w:sz w:val="28"/>
          <w:szCs w:val="28"/>
          <w:highlight w:val="none"/>
        </w:rPr>
        <w:t xml:space="preserve">商务要求响应及偏离表</w:t>
      </w:r>
      <w:r/>
    </w:p>
    <w:p>
      <w:pPr>
        <w:ind w:firstLine="480"/>
        <w:jc w:val="both"/>
        <w:spacing w:line="360" w:lineRule="auto"/>
        <w:shd w:val="clear" w:color="auto" w:fill="auto"/>
        <w:rPr>
          <w:rFonts w:hint="default" w:ascii="Calibri" w:hAnsi="Calibri" w:eastAsia="宋体" w:cs="Times New Roman"/>
          <w:color w:val="auto"/>
          <w:sz w:val="21"/>
          <w:szCs w:val="2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auto"/>
          <w:sz w:val="24"/>
          <w:szCs w:val="24"/>
          <w:highlight w:val="none"/>
          <w:shd w:val="clear" w:color="auto" w:fill="auto"/>
        </w:rPr>
        <w:t xml:space="preserve">项目名称：      项目编号：    </w:t>
      </w:r>
      <w:r/>
    </w:p>
    <w:tbl>
      <w:tblPr>
        <w:tblStyle w:val="9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auto"/>
                <w:sz w:val="24"/>
                <w:szCs w:val="24"/>
                <w:highlight w:val="none"/>
                <w:shd w:val="clear" w:color="auto" w:fill="auto"/>
              </w:rPr>
              <w:t xml:space="preserve">序号</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auto"/>
                <w:sz w:val="24"/>
                <w:szCs w:val="24"/>
                <w:highlight w:val="none"/>
                <w:shd w:val="clear" w:color="auto" w:fill="auto"/>
                <w:lang w:val="en-US" w:eastAsia="zh-CN"/>
              </w:rPr>
              <w:t xml:space="preserve">采购</w:t>
            </w:r>
            <w:r>
              <w:rPr>
                <w:rFonts w:hint="eastAsia" w:ascii="宋体" w:hAnsi="宋体" w:eastAsia="宋体" w:cs="Times New Roman"/>
                <w:color w:val="auto"/>
                <w:sz w:val="24"/>
                <w:szCs w:val="24"/>
                <w:highlight w:val="none"/>
                <w:shd w:val="clear" w:color="auto" w:fill="auto"/>
              </w:rPr>
              <w:t xml:space="preserve">文件要求</w:t>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auto"/>
                <w:sz w:val="24"/>
                <w:szCs w:val="24"/>
                <w:highlight w:val="none"/>
                <w:shd w:val="clear" w:color="auto" w:fill="auto"/>
              </w:rPr>
              <w:t xml:space="preserve">投标响应情况</w:t>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auto"/>
                <w:sz w:val="24"/>
                <w:szCs w:val="24"/>
                <w:highlight w:val="none"/>
                <w:shd w:val="clear" w:color="auto" w:fill="auto"/>
              </w:rPr>
              <w:t xml:space="preserve">超出、符合或偏离</w:t>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auto"/>
                <w:sz w:val="24"/>
                <w:szCs w:val="24"/>
                <w:highlight w:val="none"/>
                <w:shd w:val="clear" w:color="auto" w:fill="auto"/>
              </w:rPr>
              <w:t xml:space="preserve">1</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auto"/>
                <w:sz w:val="24"/>
                <w:szCs w:val="24"/>
                <w:highlight w:val="none"/>
                <w:shd w:val="clear" w:color="auto" w:fill="auto"/>
              </w:rPr>
              <w:t xml:space="preserve">2</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auto"/>
                <w:sz w:val="24"/>
                <w:szCs w:val="24"/>
                <w:highlight w:val="none"/>
                <w:shd w:val="clear" w:color="auto" w:fill="auto"/>
              </w:rPr>
              <w:t xml:space="preserve">3</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t xml:space="preserve">…</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tc>
      </w:tr>
    </w:tbl>
    <w:p>
      <w:pPr>
        <w:ind w:firstLine="480"/>
        <w:spacing w:line="500" w:lineRule="exact"/>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p>
      <w:pPr>
        <w:ind w:firstLine="480"/>
        <w:spacing w:line="500" w:lineRule="exact"/>
        <w:shd w:val="clear" w:color="auto" w:fill="auto"/>
        <w:rPr>
          <w:rFonts w:hint="default" w:ascii="宋体" w:hAnsi="宋体"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auto"/>
          <w:sz w:val="24"/>
          <w:szCs w:val="24"/>
          <w:highlight w:val="none"/>
          <w:shd w:val="clear" w:color="auto" w:fill="auto"/>
        </w:rPr>
      </w:r>
      <w:r/>
    </w:p>
    <w:p>
      <w:pPr>
        <w:ind w:firstLine="480"/>
        <w:spacing w:line="360" w:lineRule="auto"/>
        <w:shd w:val="clear" w:color="auto" w:fill="auto"/>
        <w:rPr>
          <w:rFonts w:hint="default" w:ascii="Times New Roman" w:hAnsi="Times New Roman"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auto"/>
          <w:sz w:val="24"/>
          <w:szCs w:val="24"/>
          <w:highlight w:val="none"/>
          <w:shd w:val="clear" w:color="auto" w:fill="auto"/>
        </w:rPr>
        <w:t xml:space="preserve">供应商（盖章）：</w:t>
      </w:r>
      <w:r/>
    </w:p>
    <w:p>
      <w:pPr>
        <w:ind w:firstLine="480"/>
        <w:spacing w:line="360" w:lineRule="auto"/>
        <w:shd w:val="clear" w:color="auto" w:fill="auto"/>
        <w:rPr>
          <w:rFonts w:hint="default" w:ascii="Times New Roman" w:hAnsi="Times New Roman"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auto"/>
          <w:sz w:val="24"/>
          <w:szCs w:val="24"/>
          <w:highlight w:val="none"/>
          <w:shd w:val="clear" w:color="auto" w:fill="auto"/>
        </w:rPr>
        <w:t xml:space="preserve">法定代表人</w:t>
      </w:r>
      <w:r>
        <w:rPr>
          <w:rFonts w:hint="default" w:ascii="Calibri" w:hAnsi="Calibri" w:eastAsia="宋体" w:cs="Times New Roman"/>
          <w:color w:val="auto"/>
          <w:sz w:val="24"/>
          <w:szCs w:val="24"/>
          <w:highlight w:val="none"/>
          <w:shd w:val="clear" w:color="auto" w:fill="auto"/>
        </w:rPr>
        <w:t xml:space="preserve">（单位负责人）</w:t>
      </w:r>
      <w:r>
        <w:rPr>
          <w:rFonts w:hint="eastAsia" w:ascii="Times New Roman" w:hAnsi="Times New Roman" w:eastAsia="宋体" w:cs="Times New Roman"/>
          <w:color w:val="auto"/>
          <w:sz w:val="24"/>
          <w:szCs w:val="24"/>
          <w:highlight w:val="none"/>
          <w:shd w:val="clear" w:color="auto" w:fill="auto"/>
        </w:rPr>
        <w:t xml:space="preserve">或委托代理人（签字或盖章）：</w:t>
      </w:r>
      <w:r/>
    </w:p>
    <w:p>
      <w:pPr>
        <w:ind w:firstLine="480"/>
        <w:spacing w:line="500" w:lineRule="exact"/>
        <w:shd w:val="clear" w:color="auto" w:fill="auto"/>
        <w:rPr>
          <w:rFonts w:hint="default" w:ascii="Times New Roman" w:hAnsi="Times New Roman" w:eastAsia="宋体" w:cs="Times New Roman"/>
          <w:color w:val="auto"/>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auto"/>
          <w:sz w:val="24"/>
          <w:szCs w:val="24"/>
          <w:highlight w:val="none"/>
          <w:shd w:val="clear" w:color="auto" w:fill="auto"/>
        </w:rPr>
        <w:t xml:space="preserve">日期：    年     月     日</w:t>
      </w:r>
      <w:r/>
    </w:p>
    <w:p>
      <w:pPr>
        <w:pStyle w:val="939"/>
        <w:rPr>
          <w:rFonts w:hint="eastAsia"/>
          <w:color w:val="auto"/>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color w:val="auto"/>
          <w:highlight w:val="none"/>
        </w:rPr>
      </w:r>
      <w:r/>
    </w:p>
    <w:p>
      <w:pPr>
        <w:pStyle w:val="1100"/>
        <w:ind w:firstLine="482"/>
        <w:rPr>
          <w:rFonts w:hint="eastAsia" w:ascii="宋体" w:hAnsi="宋体" w:cs="宋体"/>
          <w:b/>
          <w:color w:val="auto"/>
          <w:sz w:val="24"/>
          <w:szCs w:val="28"/>
          <w:highlight w:val="none"/>
        </w:rPr>
      </w:pPr>
      <w:r>
        <w:rPr>
          <w:rFonts w:hint="eastAsia" w:ascii="宋体" w:hAnsi="宋体" w:cs="宋体"/>
          <w:b/>
          <w:color w:val="auto"/>
          <w:sz w:val="24"/>
          <w:szCs w:val="28"/>
          <w:highlight w:val="none"/>
        </w:rPr>
      </w:r>
      <w:r/>
    </w:p>
    <w:p>
      <w:pPr>
        <w:pStyle w:val="1100"/>
        <w:ind w:firstLine="482"/>
        <w:rPr>
          <w:rFonts w:hint="eastAsia" w:ascii="宋体" w:hAnsi="宋体" w:cs="宋体"/>
          <w:b/>
          <w:color w:val="auto"/>
          <w:sz w:val="24"/>
          <w:szCs w:val="28"/>
          <w:highlight w:val="none"/>
        </w:rPr>
      </w:pPr>
      <w:r>
        <w:rPr>
          <w:rFonts w:hint="eastAsia" w:ascii="宋体" w:hAnsi="宋体" w:cs="宋体"/>
          <w:b/>
          <w:color w:val="auto"/>
          <w:sz w:val="24"/>
          <w:szCs w:val="28"/>
          <w:highlight w:val="none"/>
        </w:rPr>
      </w:r>
      <w:r/>
    </w:p>
    <w:p>
      <w:pPr>
        <w:ind w:firstLine="0"/>
        <w:jc w:val="center"/>
        <w:rPr>
          <w:rFonts w:hint="eastAsia" w:ascii="宋体" w:hAnsi="宋体" w:cs="宋体"/>
          <w:b/>
          <w:color w:val="auto"/>
          <w:sz w:val="28"/>
          <w:szCs w:val="28"/>
          <w:highlight w:val="none"/>
        </w:rPr>
        <w:outlineLvl w:val="0"/>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、施工方案</w:t>
      </w:r>
      <w:r/>
    </w:p>
    <w:p>
      <w:pPr>
        <w:pStyle w:val="1112"/>
        <w:ind w:left="0" w:firstLine="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（格式自定）</w:t>
      </w:r>
      <w:r/>
    </w:p>
    <w:p>
      <w:pPr>
        <w:pStyle w:val="1088"/>
        <w:rPr>
          <w:rFonts w:hint="eastAsia" w:ascii="宋体" w:hAnsi="宋体" w:cs="宋体"/>
          <w:color w:val="auto"/>
          <w:sz w:val="24"/>
          <w:szCs w:val="18"/>
          <w:highlight w:val="none"/>
        </w:rPr>
      </w:pPr>
      <w:r>
        <w:rPr>
          <w:rFonts w:hint="eastAsia" w:ascii="宋体" w:hAnsi="宋体" w:cs="宋体"/>
          <w:color w:val="auto"/>
          <w:sz w:val="24"/>
          <w:szCs w:val="18"/>
          <w:highlight w:val="none"/>
        </w:rPr>
      </w:r>
      <w:r/>
    </w:p>
    <w:p>
      <w:pPr>
        <w:pStyle w:val="1112"/>
        <w:ind w:left="0"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项目名称：</w:t>
      </w:r>
      <w:r/>
    </w:p>
    <w:p>
      <w:pPr>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项目编号：</w:t>
      </w:r>
      <w:r/>
    </w:p>
    <w:p>
      <w:pPr>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1098"/>
        <w:ind w:firstLine="400"/>
        <w:rPr>
          <w:color w:val="auto"/>
          <w:sz w:val="20"/>
          <w:szCs w:val="18"/>
          <w:highlight w:val="none"/>
        </w:rPr>
      </w:pPr>
      <w:r>
        <w:rPr>
          <w:color w:val="auto"/>
          <w:sz w:val="20"/>
          <w:szCs w:val="18"/>
          <w:highlight w:val="none"/>
        </w:rPr>
      </w:r>
      <w:r/>
    </w:p>
    <w:p>
      <w:pPr>
        <w:pStyle w:val="1098"/>
        <w:ind w:firstLine="440"/>
        <w:rPr>
          <w:rFonts w:hint="eastAsia" w:ascii="宋体" w:hAnsi="宋体" w:cs="宋体"/>
          <w:color w:val="auto"/>
          <w:sz w:val="22"/>
          <w:szCs w:val="18"/>
          <w:highlight w:val="none"/>
        </w:rPr>
      </w:pPr>
      <w:r>
        <w:rPr>
          <w:rFonts w:hint="eastAsia" w:ascii="宋体" w:hAnsi="宋体" w:cs="宋体"/>
          <w:color w:val="auto"/>
          <w:sz w:val="22"/>
          <w:szCs w:val="18"/>
          <w:highlight w:val="none"/>
        </w:rPr>
      </w:r>
      <w:r/>
    </w:p>
    <w:p>
      <w:pPr>
        <w:pStyle w:val="1098"/>
        <w:ind w:firstLine="440"/>
        <w:rPr>
          <w:rFonts w:hint="eastAsia" w:ascii="宋体" w:hAnsi="宋体" w:cs="宋体"/>
          <w:color w:val="auto"/>
          <w:sz w:val="22"/>
          <w:szCs w:val="18"/>
          <w:highlight w:val="none"/>
        </w:rPr>
      </w:pPr>
      <w:r>
        <w:rPr>
          <w:rFonts w:hint="eastAsia" w:ascii="宋体" w:hAnsi="宋体" w:cs="宋体"/>
          <w:color w:val="auto"/>
          <w:sz w:val="22"/>
          <w:szCs w:val="18"/>
          <w:highlight w:val="none"/>
        </w:rPr>
      </w:r>
      <w:r/>
    </w:p>
    <w:p>
      <w:pPr>
        <w:ind w:firstLine="5115"/>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磋商供应商（公章）：</w:t>
      </w:r>
      <w:r>
        <w:rPr>
          <w:rFonts w:hint="eastAsia" w:ascii="宋体" w:hAnsi="宋体" w:cs="宋体"/>
          <w:color w:val="auto"/>
          <w:sz w:val="22"/>
          <w:szCs w:val="22"/>
          <w:highlight w:val="none"/>
          <w:u w:val="single"/>
        </w:rPr>
        <w:t xml:space="preserve">        </w:t>
      </w:r>
      <w:r/>
    </w:p>
    <w:p>
      <w:pPr>
        <w:ind w:firstLine="440"/>
        <w:rPr>
          <w:rFonts w:hint="eastAsia" w:ascii="宋体" w:hAnsi="宋体" w:cs="宋体"/>
          <w:bCs/>
          <w:color w:val="auto"/>
          <w:sz w:val="22"/>
          <w:szCs w:val="22"/>
          <w:highlight w:val="none"/>
          <w:u w:val="single"/>
        </w:rPr>
      </w:pPr>
      <w:r>
        <w:rPr>
          <w:rFonts w:hint="eastAsia" w:ascii="宋体" w:hAnsi="宋体" w:cs="宋体"/>
          <w:bCs/>
          <w:color w:val="auto"/>
          <w:sz w:val="22"/>
          <w:szCs w:val="22"/>
          <w:highlight w:val="none"/>
        </w:rPr>
        <w:t xml:space="preserve">                                          法定代表人或授权代表签字：</w:t>
      </w:r>
      <w:r>
        <w:rPr>
          <w:rFonts w:hint="eastAsia" w:ascii="宋体" w:hAnsi="宋体" w:cs="宋体"/>
          <w:bCs/>
          <w:color w:val="auto"/>
          <w:sz w:val="22"/>
          <w:szCs w:val="22"/>
          <w:highlight w:val="none"/>
          <w:u w:val="single"/>
        </w:rPr>
        <w:t xml:space="preserve">     </w:t>
      </w:r>
      <w:r/>
    </w:p>
    <w:p>
      <w:pPr>
        <w:ind w:firstLine="44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                                          日期：</w:t>
      </w:r>
      <w:r>
        <w:rPr>
          <w:rFonts w:hint="eastAsia" w:ascii="宋体" w:hAnsi="宋体" w:cs="宋体"/>
          <w:bCs/>
          <w:color w:val="auto"/>
          <w:sz w:val="22"/>
          <w:szCs w:val="22"/>
          <w:highlight w:val="none"/>
          <w:u w:val="single"/>
        </w:rPr>
        <w:t xml:space="preserve">     </w:t>
      </w:r>
      <w:r>
        <w:rPr>
          <w:rFonts w:hint="eastAsia" w:ascii="宋体" w:hAnsi="宋体" w:cs="宋体"/>
          <w:bCs/>
          <w:color w:val="auto"/>
          <w:sz w:val="22"/>
          <w:szCs w:val="22"/>
          <w:highlight w:val="none"/>
        </w:rPr>
        <w:t xml:space="preserve">年</w:t>
      </w:r>
      <w:r>
        <w:rPr>
          <w:rFonts w:hint="eastAsia" w:ascii="宋体" w:hAnsi="宋体" w:cs="宋体"/>
          <w:bCs/>
          <w:color w:val="auto"/>
          <w:sz w:val="22"/>
          <w:szCs w:val="22"/>
          <w:highlight w:val="none"/>
          <w:u w:val="single"/>
        </w:rPr>
        <w:t xml:space="preserve">    </w:t>
      </w:r>
      <w:r>
        <w:rPr>
          <w:rFonts w:hint="eastAsia" w:ascii="宋体" w:hAnsi="宋体" w:cs="宋体"/>
          <w:bCs/>
          <w:color w:val="auto"/>
          <w:sz w:val="22"/>
          <w:szCs w:val="22"/>
          <w:highlight w:val="none"/>
        </w:rPr>
        <w:t xml:space="preserve">月</w:t>
      </w:r>
      <w:r>
        <w:rPr>
          <w:rFonts w:hint="eastAsia" w:ascii="宋体" w:hAnsi="宋体" w:cs="宋体"/>
          <w:bCs/>
          <w:color w:val="auto"/>
          <w:sz w:val="22"/>
          <w:szCs w:val="22"/>
          <w:highlight w:val="none"/>
          <w:u w:val="single"/>
        </w:rPr>
        <w:t xml:space="preserve">    </w:t>
      </w:r>
      <w:r>
        <w:rPr>
          <w:rFonts w:hint="eastAsia" w:ascii="宋体" w:hAnsi="宋体" w:cs="宋体"/>
          <w:bCs/>
          <w:color w:val="auto"/>
          <w:sz w:val="22"/>
          <w:szCs w:val="22"/>
          <w:highlight w:val="none"/>
        </w:rPr>
        <w:t xml:space="preserve">日</w:t>
      </w:r>
      <w:r/>
    </w:p>
    <w:p>
      <w:pPr>
        <w:ind w:firstLine="482"/>
        <w:rPr>
          <w:rFonts w:hint="eastAsia" w:ascii="宋体" w:hAnsi="宋体" w:cs="宋体"/>
          <w:b/>
          <w:color w:val="auto"/>
          <w:szCs w:val="28"/>
          <w:highlight w:val="none"/>
        </w:rPr>
      </w:pPr>
      <w:r>
        <w:rPr>
          <w:rFonts w:hint="eastAsia" w:ascii="宋体" w:hAnsi="宋体" w:cs="宋体"/>
          <w:b/>
          <w:color w:val="auto"/>
          <w:szCs w:val="28"/>
          <w:highlight w:val="none"/>
        </w:rPr>
      </w:r>
      <w:r/>
    </w:p>
    <w:p>
      <w:pPr>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1098"/>
        <w:ind w:firstLine="440"/>
        <w:rPr>
          <w:rFonts w:hint="eastAsia" w:ascii="宋体" w:hAnsi="宋体" w:cs="宋体"/>
          <w:color w:val="auto"/>
          <w:sz w:val="22"/>
          <w:szCs w:val="18"/>
          <w:highlight w:val="none"/>
        </w:rPr>
      </w:pPr>
      <w:r>
        <w:rPr>
          <w:rFonts w:hint="eastAsia" w:ascii="宋体" w:hAnsi="宋体" w:cs="宋体"/>
          <w:color w:val="auto"/>
          <w:sz w:val="22"/>
          <w:szCs w:val="18"/>
          <w:highlight w:val="none"/>
        </w:rPr>
      </w:r>
      <w:r/>
    </w:p>
    <w:p>
      <w:pPr>
        <w:pStyle w:val="1098"/>
        <w:ind w:firstLine="440"/>
        <w:rPr>
          <w:rFonts w:hint="eastAsia" w:ascii="宋体" w:hAnsi="宋体" w:cs="宋体"/>
          <w:color w:val="auto"/>
          <w:sz w:val="22"/>
          <w:szCs w:val="18"/>
          <w:highlight w:val="none"/>
        </w:rPr>
      </w:pPr>
      <w:r>
        <w:rPr>
          <w:rFonts w:hint="eastAsia" w:ascii="宋体" w:hAnsi="宋体" w:cs="宋体"/>
          <w:color w:val="auto"/>
          <w:sz w:val="22"/>
          <w:szCs w:val="18"/>
          <w:highlight w:val="none"/>
        </w:rPr>
      </w:r>
      <w:r/>
    </w:p>
    <w:p>
      <w:pPr>
        <w:ind w:firstLine="0"/>
        <w:jc w:val="center"/>
        <w:pageBreakBefore/>
        <w:rPr>
          <w:rFonts w:hint="eastAsia" w:ascii="宋体" w:hAnsi="宋体" w:cs="宋体"/>
          <w:b/>
          <w:bCs/>
          <w:color w:val="auto"/>
          <w:sz w:val="28"/>
          <w:szCs w:val="28"/>
          <w:highlight w:val="none"/>
        </w:rPr>
        <w:outlineLvl w:val="0"/>
      </w:pPr>
      <w:r/>
      <w:bookmarkStart w:id="931" w:name="_Toc7264"/>
      <w:r/>
      <w:bookmarkStart w:id="932" w:name="_Toc11507"/>
      <w:r/>
      <w:bookmarkStart w:id="933" w:name="_Toc24229"/>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、其他材料</w:t>
      </w:r>
      <w:r/>
    </w:p>
    <w:p>
      <w:pPr>
        <w:ind w:firstLine="0"/>
        <w:jc w:val="center"/>
        <w:rPr>
          <w:rFonts w:hint="eastAsia" w:ascii="宋体" w:hAnsi="宋体" w:cs="宋体"/>
          <w:color w:val="auto"/>
          <w:szCs w:val="22"/>
          <w:highlight w:val="none"/>
        </w:rPr>
        <w:outlineLvl w:val="0"/>
      </w:pPr>
      <w:r/>
      <w:bookmarkStart w:id="934" w:name="_Toc4695"/>
      <w:r/>
      <w:bookmarkStart w:id="935" w:name="_Toc15866"/>
      <w:r/>
      <w:bookmarkStart w:id="936" w:name="_Toc11517_WPSOffice_Level1"/>
      <w:r/>
      <w:bookmarkStart w:id="937" w:name="_Toc11717"/>
      <w:r>
        <w:rPr>
          <w:rFonts w:hint="eastAsia" w:ascii="宋体" w:hAnsi="宋体" w:cs="宋体"/>
          <w:color w:val="auto"/>
          <w:szCs w:val="22"/>
          <w:highlight w:val="none"/>
        </w:rPr>
        <w:t xml:space="preserve">供应商认为有必要提供的材料或评分标准中需要提供的材料</w:t>
      </w:r>
      <w:bookmarkEnd w:id="934"/>
      <w:r/>
      <w:bookmarkEnd w:id="935"/>
      <w:r/>
      <w:bookmarkEnd w:id="936"/>
      <w:r/>
      <w:bookmarkEnd w:id="937"/>
      <w:r/>
      <w:r/>
    </w:p>
    <w:p>
      <w:pPr>
        <w:pStyle w:val="1088"/>
        <w:rPr>
          <w:color w:val="auto"/>
          <w:highlight w:val="none"/>
        </w:rPr>
      </w:pPr>
      <w:r>
        <w:rPr>
          <w:color w:val="auto"/>
          <w:highlight w:val="none"/>
        </w:rPr>
      </w:r>
      <w:bookmarkEnd w:id="931"/>
      <w:r/>
      <w:bookmarkEnd w:id="932"/>
      <w:r/>
      <w:bookmarkEnd w:id="933"/>
      <w:r/>
      <w:r/>
    </w:p>
    <w:p>
      <w:pPr>
        <w:rPr>
          <w:color w:val="auto"/>
          <w:highlight w:val="none"/>
        </w:rPr>
      </w:pPr>
      <w:r/>
      <w:bookmarkStart w:id="938" w:name="_Toc29233"/>
      <w:r/>
      <w:bookmarkStart w:id="939" w:name="_Toc465856615"/>
      <w:r>
        <w:rPr>
          <w:color w:val="auto"/>
          <w:highlight w:val="none"/>
        </w:rPr>
        <w:br w:type="page" w:clear="all"/>
      </w:r>
      <w:r/>
    </w:p>
    <w:p>
      <w:pPr>
        <w:pStyle w:val="1088"/>
        <w:rPr>
          <w:color w:val="auto"/>
          <w:highlight w:val="none"/>
        </w:rPr>
      </w:pPr>
      <w:r>
        <w:rPr>
          <w:color w:val="auto"/>
          <w:highlight w:val="none"/>
        </w:rPr>
        <w:t xml:space="preserve">第七章 评审方法和评审标准</w:t>
      </w:r>
      <w:bookmarkEnd w:id="938"/>
      <w:r/>
      <w:bookmarkEnd w:id="939"/>
      <w:r/>
      <w:r/>
    </w:p>
    <w:p>
      <w:pPr>
        <w:pStyle w:val="118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一、</w:t>
      </w:r>
      <w:r>
        <w:rPr>
          <w:rFonts w:ascii="Times New Roman" w:hAnsi="Times New Roman"/>
          <w:b/>
          <w:color w:val="auto"/>
          <w:highlight w:val="none"/>
        </w:rPr>
        <w:t xml:space="preserve">磋商小组：</w:t>
      </w:r>
      <w:r/>
    </w:p>
    <w:p>
      <w:pPr>
        <w:pStyle w:val="1182"/>
        <w:spacing w:line="400" w:lineRule="exact"/>
        <w:rPr>
          <w:rFonts w:ascii="Times New Roman" w:hAnsi="Times New Roman"/>
          <w:bCs/>
          <w:color w:val="auto"/>
          <w:highlight w:val="none"/>
        </w:rPr>
      </w:pPr>
      <w:r>
        <w:rPr>
          <w:rFonts w:ascii="Times New Roman" w:hAnsi="Times New Roman"/>
          <w:bCs/>
          <w:color w:val="auto"/>
          <w:highlight w:val="none"/>
        </w:rPr>
        <w:t xml:space="preserve">本采购项目磋商小组由采购人代表和评审专家组成。</w:t>
      </w:r>
      <w:r/>
    </w:p>
    <w:p>
      <w:pPr>
        <w:pStyle w:val="118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二</w:t>
      </w:r>
      <w:r>
        <w:rPr>
          <w:rFonts w:ascii="Times New Roman" w:hAnsi="Times New Roman"/>
          <w:b/>
          <w:color w:val="auto"/>
          <w:highlight w:val="none"/>
        </w:rPr>
        <w:t xml:space="preserve">、评审方法：</w:t>
      </w:r>
      <w:r>
        <w:rPr>
          <w:rFonts w:ascii="Times New Roman" w:hAnsi="Times New Roman"/>
          <w:b/>
          <w:bCs/>
          <w:color w:val="auto"/>
          <w:highlight w:val="none"/>
        </w:rPr>
        <w:t xml:space="preserve">综合评分法</w:t>
      </w:r>
      <w:r/>
    </w:p>
    <w:p>
      <w:pPr>
        <w:pStyle w:val="1182"/>
        <w:spacing w:line="400" w:lineRule="exact"/>
        <w:rPr>
          <w:rFonts w:ascii="Times New Roman" w:hAnsi="Times New Roman"/>
          <w:color w:val="auto"/>
          <w:highlight w:val="none"/>
        </w:rPr>
      </w:pPr>
      <w:r>
        <w:rPr>
          <w:rFonts w:ascii="Times New Roman" w:hAnsi="Times New Roman"/>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182"/>
        <w:spacing w:line="400" w:lineRule="exact"/>
        <w:rPr>
          <w:rFonts w:ascii="Times New Roman" w:hAnsi="Times New Roman"/>
          <w:color w:val="auto"/>
          <w:highlight w:val="none"/>
        </w:rPr>
      </w:pPr>
      <w:r>
        <w:rPr>
          <w:rFonts w:ascii="Times New Roman" w:hAnsi="Times New Roman"/>
          <w:color w:val="auto"/>
          <w:highlight w:val="none"/>
        </w:rPr>
        <w:t xml:space="preserve">综合评分法，是指响应文件满足磋商文件全部实质性要求且按评审因素的量化指标评审得分最高的供应商为成交候选供应商的评审方法。</w:t>
      </w:r>
      <w:r/>
    </w:p>
    <w:p>
      <w:pPr>
        <w:pStyle w:val="118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三、</w:t>
      </w:r>
      <w:r>
        <w:rPr>
          <w:rFonts w:ascii="Times New Roman" w:hAnsi="Times New Roman"/>
          <w:b/>
          <w:color w:val="auto"/>
          <w:highlight w:val="none"/>
        </w:rPr>
        <w:t xml:space="preserve">评审</w:t>
      </w:r>
      <w:r>
        <w:rPr>
          <w:rFonts w:ascii="Times New Roman" w:hAnsi="Times New Roman"/>
          <w:b/>
          <w:bCs/>
          <w:color w:val="auto"/>
          <w:highlight w:val="none"/>
        </w:rPr>
        <w:t xml:space="preserve">原则：</w:t>
      </w:r>
      <w:r/>
    </w:p>
    <w:p>
      <w:pPr>
        <w:pStyle w:val="1182"/>
        <w:spacing w:line="400" w:lineRule="exact"/>
        <w:rPr>
          <w:rFonts w:ascii="Times New Roman" w:hAnsi="Times New Roman"/>
          <w:bCs/>
          <w:color w:val="auto"/>
          <w:highlight w:val="none"/>
        </w:rPr>
      </w:pPr>
      <w:r>
        <w:rPr>
          <w:rFonts w:ascii="Times New Roman" w:hAnsi="Times New Roman"/>
          <w:color w:val="auto"/>
          <w:highlight w:val="none"/>
        </w:rPr>
        <w:t xml:space="preserve">磋商小组</w:t>
      </w:r>
      <w:r>
        <w:rPr>
          <w:rFonts w:ascii="Times New Roman" w:hAnsi="Times New Roman"/>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8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四、评审标准： </w:t>
      </w:r>
      <w:r/>
    </w:p>
    <w:p>
      <w:pPr>
        <w:pStyle w:val="1182"/>
        <w:spacing w:line="400" w:lineRule="exact"/>
        <w:rPr>
          <w:rFonts w:ascii="Times New Roman" w:hAnsi="Times New Roman"/>
          <w:bCs/>
          <w:color w:val="auto"/>
          <w:highlight w:val="none"/>
        </w:rPr>
      </w:pPr>
      <w:r>
        <w:rPr>
          <w:rFonts w:hint="eastAsia" w:ascii="Times New Roman" w:hAnsi="Times New Roman"/>
          <w:bCs/>
          <w:color w:val="auto"/>
          <w:highlight w:val="none"/>
        </w:rPr>
        <w:t xml:space="preserve">（</w:t>
      </w:r>
      <w:r>
        <w:rPr>
          <w:rFonts w:ascii="Times New Roman" w:hAnsi="Times New Roman"/>
          <w:bCs/>
          <w:color w:val="auto"/>
          <w:highlight w:val="none"/>
        </w:rPr>
        <w:t xml:space="preserve">一</w:t>
      </w:r>
      <w:r>
        <w:rPr>
          <w:rFonts w:hint="eastAsia" w:ascii="Times New Roman" w:hAnsi="Times New Roman"/>
          <w:bCs/>
          <w:color w:val="auto"/>
          <w:highlight w:val="none"/>
        </w:rPr>
        <w:t xml:space="preserve">）</w:t>
      </w:r>
      <w:r>
        <w:rPr>
          <w:rFonts w:ascii="Times New Roman" w:hAnsi="Times New Roman"/>
          <w:bCs/>
          <w:color w:val="auto"/>
          <w:highlight w:val="none"/>
        </w:rPr>
        <w:t xml:space="preserve">评审时，磋商小组以磋商文件为评审依据，磋商小组各成员独立对每个有效响应的文件进行评价、打分，然后汇总每个供应商每项评分因素的得分。</w:t>
      </w:r>
      <w:r/>
    </w:p>
    <w:p>
      <w:pPr>
        <w:pStyle w:val="1128"/>
        <w:ind w:firstLine="480"/>
        <w:spacing w:line="400" w:lineRule="exact"/>
        <w:tabs>
          <w:tab w:val="left" w:pos="720" w:leader="none"/>
        </w:tabs>
        <w:rPr>
          <w:rFonts w:ascii="Times New Roman" w:hAnsi="Times New Roman"/>
          <w:bCs/>
          <w:color w:val="auto"/>
          <w:highlight w:val="none"/>
        </w:rPr>
      </w:pPr>
      <w:r>
        <w:rPr>
          <w:rFonts w:hint="eastAsia" w:ascii="Times New Roman" w:hAnsi="Times New Roman"/>
          <w:bCs/>
          <w:color w:val="auto"/>
          <w:highlight w:val="none"/>
        </w:rPr>
        <w:t xml:space="preserve">（</w:t>
      </w:r>
      <w:r>
        <w:rPr>
          <w:rFonts w:ascii="Times New Roman" w:hAnsi="Times New Roman"/>
          <w:bCs/>
          <w:color w:val="auto"/>
          <w:highlight w:val="none"/>
        </w:rPr>
        <w:t xml:space="preserve">二</w:t>
      </w:r>
      <w:r>
        <w:rPr>
          <w:rFonts w:hint="eastAsia" w:ascii="Times New Roman" w:hAnsi="Times New Roman"/>
          <w:bCs/>
          <w:color w:val="auto"/>
          <w:highlight w:val="none"/>
        </w:rPr>
        <w:t xml:space="preserve">）</w:t>
      </w:r>
      <w:r>
        <w:rPr>
          <w:rFonts w:ascii="Times New Roman" w:hAnsi="Times New Roman"/>
          <w:bCs/>
          <w:color w:val="auto"/>
          <w:highlight w:val="none"/>
        </w:rPr>
        <w:t xml:space="preserve">本项目评分总分为100分，按四舍五入取至小数点后两位。</w:t>
      </w:r>
      <w:r/>
    </w:p>
    <w:p>
      <w:pPr>
        <w:pStyle w:val="1182"/>
        <w:ind w:firstLine="643"/>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综合评分法</w:t>
      </w:r>
      <w:r/>
    </w:p>
    <w:p>
      <w:pPr>
        <w:pStyle w:val="118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1、价格分：</w:t>
      </w:r>
      <w:r>
        <w:rPr>
          <w:rFonts w:hint="eastAsia" w:ascii="Times New Roman" w:hAnsi="Times New Roman"/>
          <w:b/>
          <w:bCs/>
          <w:color w:val="auto"/>
          <w:highlight w:val="none"/>
        </w:rPr>
        <w:t xml:space="preserve">30</w:t>
      </w:r>
      <w:r>
        <w:rPr>
          <w:rFonts w:ascii="Times New Roman" w:hAnsi="Times New Roman"/>
          <w:b/>
          <w:bCs/>
          <w:color w:val="auto"/>
          <w:highlight w:val="none"/>
        </w:rPr>
        <w:t xml:space="preserve">分</w:t>
      </w:r>
      <w:r/>
    </w:p>
    <w:p>
      <w:pPr>
        <w:pStyle w:val="1182"/>
        <w:spacing w:line="400" w:lineRule="exact"/>
        <w:rPr>
          <w:rFonts w:ascii="Times New Roman" w:hAnsi="Times New Roman"/>
          <w:bCs/>
          <w:color w:val="auto"/>
          <w:highlight w:val="none"/>
        </w:rPr>
      </w:pPr>
      <w:r>
        <w:rPr>
          <w:rFonts w:ascii="Times New Roman" w:hAnsi="Times New Roman"/>
          <w:bCs/>
          <w:color w:val="auto"/>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182"/>
        <w:spacing w:line="400" w:lineRule="exact"/>
        <w:rPr>
          <w:rFonts w:ascii="Times New Roman" w:hAnsi="Times New Roman"/>
          <w:bCs/>
          <w:color w:val="auto"/>
          <w:highlight w:val="none"/>
        </w:rPr>
      </w:pPr>
      <w:r>
        <w:rPr>
          <w:rFonts w:ascii="Times New Roman" w:hAnsi="Times New Roman"/>
          <w:bCs/>
          <w:color w:val="auto"/>
          <w:highlight w:val="none"/>
        </w:rPr>
        <w:t xml:space="preserve">磋商报价得分=(磋商基准价/最后磋商报价)×</w:t>
      </w:r>
      <w:r>
        <w:rPr>
          <w:rFonts w:hint="eastAsia" w:ascii="Times New Roman" w:hAnsi="Times New Roman"/>
          <w:bCs/>
          <w:color w:val="auto"/>
          <w:highlight w:val="none"/>
        </w:rPr>
        <w:t xml:space="preserve">30</w:t>
      </w:r>
      <w:r>
        <w:rPr>
          <w:rFonts w:ascii="Times New Roman" w:hAnsi="Times New Roman"/>
          <w:bCs/>
          <w:color w:val="auto"/>
          <w:highlight w:val="none"/>
        </w:rPr>
        <w:t xml:space="preserve">分</w:t>
      </w:r>
      <w:r/>
    </w:p>
    <w:p>
      <w:pPr>
        <w:pStyle w:val="1182"/>
        <w:spacing w:line="400" w:lineRule="exact"/>
        <w:rPr>
          <w:rFonts w:hint="eastAsia" w:ascii="Times New Roman" w:hAnsi="Times New Roman"/>
          <w:bCs/>
          <w:color w:val="auto"/>
          <w:highlight w:val="none"/>
        </w:rPr>
      </w:pPr>
      <w:r>
        <w:rPr>
          <w:rFonts w:ascii="Times New Roman" w:hAnsi="Times New Roman"/>
          <w:bCs/>
          <w:color w:val="auto"/>
          <w:highlight w:val="none"/>
        </w:rPr>
        <w:t xml:space="preserve">项目评审过程中，不得去掉最后报价中的最高报价和最低报价</w:t>
      </w:r>
      <w:r>
        <w:rPr>
          <w:rFonts w:hint="eastAsia" w:ascii="Times New Roman" w:hAnsi="Times New Roman"/>
          <w:bCs/>
          <w:color w:val="auto"/>
          <w:highlight w:val="none"/>
        </w:rPr>
        <w:t xml:space="preserve">，小数点后保留两位。</w:t>
      </w:r>
      <w:r/>
    </w:p>
    <w:p>
      <w:pPr>
        <w:numPr>
          <w:ilvl w:val="0"/>
          <w:numId w:val="4"/>
        </w:numPr>
        <w:ind w:firstLine="472"/>
        <w:jc w:val="left"/>
        <w:spacing w:before="120" w:after="120" w:line="400" w:lineRule="exact"/>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商务技术分：70分</w:t>
      </w:r>
      <w:r/>
    </w:p>
    <w:tbl>
      <w:tblPr>
        <w:tblStyle w:val="908"/>
        <w:tblpPr w:horzAnchor="page" w:tblpX="1342" w:vertAnchor="text" w:tblpY="1187" w:leftFromText="180" w:topFromText="0" w:rightFromText="180" w:bottomFromText="0"/>
        <w:tblW w:w="9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5"/>
        <w:gridCol w:w="8197"/>
      </w:tblGrid>
      <w:tr>
        <w:trPr>
          <w:trHeight w:val="416"/>
        </w:trPr>
        <w:tc>
          <w:tcPr>
            <w:tcBorders>
              <w:top w:val="single" w:color="auto" w:sz="4" w:space="0"/>
              <w:left w:val="single" w:color="auto" w:sz="4" w:space="0"/>
              <w:right w:val="single" w:color="auto" w:sz="4" w:space="0"/>
            </w:tcBorders>
            <w:tcW w:w="1755" w:type="dxa"/>
            <w:vAlign w:val="center"/>
            <w:textDirection w:val="lrTb"/>
            <w:noWrap w:val="false"/>
          </w:tcPr>
          <w:p>
            <w:pPr>
              <w:ind w:left="0" w:firstLine="0"/>
              <w:jc w:val="both"/>
              <w:keepLines w:val="0"/>
              <w:keepNext w:val="0"/>
              <w:pageBreakBefore w:val="0"/>
              <w:spacing w:line="40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评审内容</w:t>
            </w:r>
            <w:r/>
          </w:p>
        </w:tc>
        <w:tc>
          <w:tcPr>
            <w:tcBorders>
              <w:top w:val="single" w:color="auto" w:sz="4" w:space="0"/>
              <w:right w:val="single" w:color="auto" w:sz="4" w:space="0"/>
            </w:tcBorders>
            <w:tcW w:w="8197" w:type="dxa"/>
            <w:textDirection w:val="lrTb"/>
            <w:noWrap w:val="false"/>
          </w:tcPr>
          <w:p>
            <w:pPr>
              <w:ind w:firstLine="482"/>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评分办法</w:t>
            </w:r>
            <w:r/>
          </w:p>
        </w:tc>
      </w:tr>
      <w:tr>
        <w:trPr>
          <w:cantSplit/>
          <w:trHeight w:val="927"/>
        </w:trPr>
        <w:tc>
          <w:tcPr>
            <w:tcBorders>
              <w:left w:val="single" w:color="auto" w:sz="4" w:space="0"/>
              <w:right w:val="single" w:color="auto" w:sz="4" w:space="0"/>
            </w:tcBorders>
            <w:tcW w:w="1755" w:type="dxa"/>
            <w:vAlign w:val="center"/>
            <w:textDirection w:val="lrTb"/>
            <w:noWrap w:val="false"/>
          </w:tcPr>
          <w:p>
            <w:pPr>
              <w:pStyle w:val="929"/>
              <w:ind w:firstLine="0"/>
              <w:jc w:val="center"/>
              <w:spacing w:line="400" w:lineRule="exact"/>
              <w:tabs>
                <w:tab w:val="left" w:pos="720" w:leader="none"/>
                <w:tab w:val="clear" w:pos="91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商务响应</w:t>
            </w:r>
            <w:r/>
          </w:p>
          <w:p>
            <w:pPr>
              <w:pStyle w:val="929"/>
              <w:ind w:firstLine="0"/>
              <w:jc w:val="center"/>
              <w:spacing w:line="400" w:lineRule="exact"/>
              <w:tabs>
                <w:tab w:val="left" w:pos="720" w:leader="none"/>
                <w:tab w:val="clear" w:pos="91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p>
        </w:tc>
        <w:tc>
          <w:tcPr>
            <w:tcBorders>
              <w:right w:val="single" w:color="auto" w:sz="4" w:space="0"/>
            </w:tcBorders>
            <w:tcW w:w="8197" w:type="dxa"/>
            <w:vAlign w:val="top"/>
            <w:textDirection w:val="lrTb"/>
            <w:noWrap w:val="false"/>
          </w:tcPr>
          <w:p>
            <w:pPr>
              <w:numPr>
                <w:ilvl w:val="0"/>
                <w:numId w:val="0"/>
              </w:numPr>
              <w:ind w:left="0" w:firstLine="0"/>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供应商具有有效的环境管理体系认证</w:t>
            </w:r>
            <w:r>
              <w:rPr>
                <w:rFonts w:hint="eastAsia" w:ascii="宋体" w:hAnsi="宋体" w:cs="宋体"/>
                <w:bCs/>
                <w:color w:val="auto"/>
                <w:sz w:val="24"/>
                <w:szCs w:val="24"/>
                <w:highlight w:val="none"/>
                <w:lang w:val="en-US" w:eastAsia="zh-CN"/>
              </w:rPr>
              <w:t xml:space="preserve">的得2分；</w:t>
            </w:r>
            <w:r/>
          </w:p>
          <w:p>
            <w:pPr>
              <w:numPr>
                <w:ilvl w:val="0"/>
                <w:numId w:val="0"/>
              </w:numPr>
              <w:ind w:left="0" w:firstLine="0"/>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供应商具有有效的职业健康管理体系认证</w:t>
            </w:r>
            <w:r>
              <w:rPr>
                <w:rFonts w:hint="eastAsia" w:ascii="宋体" w:hAnsi="宋体" w:cs="宋体"/>
                <w:bCs/>
                <w:color w:val="auto"/>
                <w:sz w:val="24"/>
                <w:szCs w:val="24"/>
                <w:highlight w:val="none"/>
                <w:lang w:val="en-US" w:eastAsia="zh-CN"/>
              </w:rPr>
              <w:t xml:space="preserve">的得2分；</w:t>
            </w:r>
            <w:r/>
          </w:p>
          <w:p>
            <w:pPr>
              <w:numPr>
                <w:ilvl w:val="0"/>
                <w:numId w:val="0"/>
              </w:numPr>
              <w:ind w:left="0" w:firstLine="0"/>
              <w:spacing w:line="42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供应商具有有效的质量管理体系认证</w:t>
            </w:r>
            <w:r>
              <w:rPr>
                <w:rFonts w:hint="eastAsia" w:ascii="宋体" w:hAnsi="宋体" w:cs="宋体"/>
                <w:bCs/>
                <w:color w:val="auto"/>
                <w:sz w:val="24"/>
                <w:szCs w:val="24"/>
                <w:highlight w:val="none"/>
                <w:lang w:val="en-US" w:eastAsia="zh-CN"/>
              </w:rPr>
              <w:t xml:space="preserve">的得2分；</w:t>
            </w:r>
            <w:r/>
          </w:p>
          <w:p>
            <w:pPr>
              <w:numPr>
                <w:ilvl w:val="0"/>
                <w:numId w:val="0"/>
              </w:numPr>
              <w:ind w:left="0" w:firstLine="0"/>
              <w:spacing w:line="42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、供应商具有与本项目行业相关奖项</w:t>
            </w:r>
            <w:r>
              <w:rPr>
                <w:rFonts w:hint="eastAsia" w:ascii="宋体" w:hAnsi="宋体" w:cs="宋体"/>
                <w:bCs/>
                <w:color w:val="auto"/>
                <w:sz w:val="24"/>
                <w:szCs w:val="24"/>
                <w:highlight w:val="none"/>
                <w:lang w:val="en-US" w:eastAsia="zh-CN"/>
              </w:rPr>
              <w:t xml:space="preserve">（由相关行政部门颁发）</w:t>
            </w:r>
            <w:r>
              <w:rPr>
                <w:rFonts w:hint="eastAsia" w:ascii="宋体" w:hAnsi="宋体" w:eastAsia="宋体" w:cs="宋体"/>
                <w:bCs/>
                <w:color w:val="auto"/>
                <w:sz w:val="24"/>
                <w:szCs w:val="24"/>
                <w:highlight w:val="none"/>
                <w:lang w:val="en-US" w:eastAsia="zh-CN"/>
              </w:rPr>
              <w:t xml:space="preserve">的</w:t>
            </w:r>
            <w:r>
              <w:rPr>
                <w:rFonts w:hint="eastAsia" w:ascii="宋体" w:hAnsi="宋体" w:cs="宋体"/>
                <w:bCs/>
                <w:color w:val="auto"/>
                <w:sz w:val="24"/>
                <w:szCs w:val="24"/>
                <w:highlight w:val="none"/>
                <w:lang w:val="en-US" w:eastAsia="zh-CN"/>
              </w:rPr>
              <w:t xml:space="preserve">，每有一个</w:t>
            </w:r>
            <w:r>
              <w:rPr>
                <w:rFonts w:hint="eastAsia" w:ascii="宋体" w:hAnsi="宋体" w:eastAsia="宋体" w:cs="宋体"/>
                <w:bCs/>
                <w:color w:val="auto"/>
                <w:sz w:val="24"/>
                <w:szCs w:val="24"/>
                <w:highlight w:val="none"/>
                <w:lang w:val="en-US" w:eastAsia="zh-CN"/>
              </w:rPr>
              <w:t xml:space="preserve">市</w:t>
            </w:r>
            <w:r>
              <w:rPr>
                <w:rFonts w:hint="eastAsia" w:ascii="宋体" w:hAnsi="宋体" w:cs="宋体"/>
                <w:bCs/>
                <w:color w:val="auto"/>
                <w:sz w:val="24"/>
                <w:szCs w:val="24"/>
                <w:highlight w:val="none"/>
                <w:lang w:val="en-US" w:eastAsia="zh-CN"/>
              </w:rPr>
              <w:t xml:space="preserve">级</w:t>
            </w:r>
            <w:r>
              <w:rPr>
                <w:rFonts w:hint="eastAsia" w:ascii="宋体" w:hAnsi="宋体" w:eastAsia="宋体" w:cs="宋体"/>
                <w:bCs/>
                <w:color w:val="auto"/>
                <w:sz w:val="24"/>
                <w:szCs w:val="24"/>
                <w:highlight w:val="none"/>
                <w:lang w:val="en-US" w:eastAsia="zh-CN"/>
              </w:rPr>
              <w:t xml:space="preserve">的得</w:t>
            </w:r>
            <w:r>
              <w:rPr>
                <w:rFonts w:hint="eastAsia"/>
                <w:color w:val="auto"/>
                <w:highlight w:val="none"/>
                <w:lang w:val="en-US" w:eastAsia="zh-CN"/>
              </w:rPr>
              <w:t xml:space="preserve">1</w:t>
            </w:r>
            <w:r>
              <w:rPr>
                <w:rFonts w:hint="eastAsia" w:ascii="Times New Roman" w:eastAsia="宋体"/>
                <w:color w:val="auto"/>
                <w:highlight w:val="none"/>
                <w:lang w:val="en-US" w:eastAsia="zh-CN"/>
              </w:rPr>
              <w:t xml:space="preserve">分</w:t>
            </w:r>
            <w:r>
              <w:rPr>
                <w:rFonts w:hint="eastAsia"/>
                <w:color w:val="auto"/>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省级</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国家级</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6分；</w:t>
            </w:r>
            <w:r>
              <w:rPr>
                <w:rFonts w:hint="eastAsia" w:ascii="宋体" w:hAnsi="宋体" w:eastAsia="宋体" w:cs="宋体"/>
                <w:bCs/>
                <w:color w:val="auto"/>
                <w:sz w:val="24"/>
                <w:szCs w:val="24"/>
                <w:highlight w:val="none"/>
                <w:lang w:val="en-US" w:eastAsia="zh-CN"/>
              </w:rPr>
              <w:t xml:space="preserve">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（同一项目以</w:t>
            </w:r>
            <w:r>
              <w:rPr>
                <w:rFonts w:ascii="宋体" w:hAnsi="宋体" w:eastAsia="宋体" w:cs="宋体"/>
                <w:color w:val="auto"/>
                <w:sz w:val="24"/>
                <w:szCs w:val="24"/>
                <w:highlight w:val="none"/>
              </w:rPr>
              <w:t xml:space="preserve">最高等级计</w:t>
            </w:r>
            <w:r>
              <w:rPr>
                <w:rFonts w:hint="eastAsia" w:ascii="宋体" w:hAnsi="宋体" w:cs="宋体"/>
                <w:color w:val="auto"/>
                <w:sz w:val="24"/>
                <w:szCs w:val="24"/>
                <w:highlight w:val="none"/>
                <w:lang w:val="en-US" w:eastAsia="zh-CN"/>
              </w:rPr>
              <w:t xml:space="preserve">取</w:t>
            </w:r>
            <w:r>
              <w:rPr>
                <w:rFonts w:hint="eastAsia" w:ascii="宋体" w:hAnsi="宋体" w:cs="宋体"/>
                <w:color w:val="auto"/>
                <w:sz w:val="24"/>
                <w:szCs w:val="24"/>
                <w:highlight w:val="none"/>
                <w:lang w:eastAsia="zh-CN"/>
              </w:rPr>
              <w:t xml:space="preserve">）</w:t>
            </w:r>
            <w:r/>
          </w:p>
          <w:p>
            <w:pPr>
              <w:numPr>
                <w:ilvl w:val="0"/>
                <w:numId w:val="0"/>
              </w:numPr>
              <w:ind w:left="0" w:firstLine="0"/>
              <w:spacing w:line="420" w:lineRule="exact"/>
              <w:rPr>
                <w:rFonts w:hint="eastAsia"/>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val="en-US" w:eastAsia="zh-CN" w:bidi="ar-SA"/>
              </w:rPr>
              <w:t xml:space="preserve">1. 1-3项需</w:t>
            </w:r>
            <w:r>
              <w:rPr>
                <w:rFonts w:hint="eastAsia" w:ascii="宋体" w:hAnsi="宋体" w:eastAsia="宋体" w:cs="宋体"/>
                <w:b/>
                <w:bCs/>
                <w:color w:val="auto"/>
                <w:sz w:val="24"/>
                <w:szCs w:val="24"/>
                <w:highlight w:val="none"/>
                <w:lang w:val="en-US" w:eastAsia="zh-CN"/>
              </w:rPr>
              <w:t xml:space="preserve">提供</w:t>
            </w:r>
            <w:r>
              <w:rPr>
                <w:rFonts w:hint="eastAsia"/>
                <w:b/>
                <w:bCs/>
                <w:color w:val="auto"/>
                <w:sz w:val="24"/>
                <w:szCs w:val="24"/>
                <w:highlight w:val="none"/>
              </w:rPr>
              <w:t xml:space="preserve">有效证书的扫描件</w:t>
            </w:r>
            <w:r>
              <w:rPr>
                <w:rFonts w:hint="eastAsia" w:eastAsia="宋体"/>
                <w:b/>
                <w:bCs/>
                <w:color w:val="auto"/>
                <w:sz w:val="24"/>
                <w:szCs w:val="24"/>
                <w:highlight w:val="none"/>
                <w:lang w:val="en-US" w:eastAsia="zh-CN"/>
              </w:rPr>
              <w:t xml:space="preserve">及</w:t>
            </w:r>
            <w:r>
              <w:rPr>
                <w:rFonts w:hint="eastAsia"/>
                <w:b/>
                <w:bCs/>
                <w:color w:val="auto"/>
                <w:sz w:val="24"/>
                <w:szCs w:val="24"/>
                <w:highlight w:val="none"/>
              </w:rPr>
              <w:t xml:space="preserve">国家认证认可监督管理委员会官网查询截图</w:t>
            </w:r>
            <w:r>
              <w:rPr>
                <w:rFonts w:hint="eastAsia"/>
                <w:b/>
                <w:bCs/>
                <w:color w:val="auto"/>
                <w:sz w:val="24"/>
                <w:szCs w:val="24"/>
                <w:highlight w:val="none"/>
                <w:lang w:eastAsia="zh-CN"/>
              </w:rPr>
              <w:t xml:space="preserve">，</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p>
          <w:p>
            <w:pPr>
              <w:numPr>
                <w:ilvl w:val="0"/>
                <w:numId w:val="0"/>
              </w:numPr>
              <w:spacing w:line="420" w:lineRule="exact"/>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2.  第4项需提供相关奖项证明材料扫描件上传投标文件中，未提供不得分。</w:t>
            </w:r>
            <w:r/>
          </w:p>
        </w:tc>
      </w:tr>
      <w:tr>
        <w:trPr>
          <w:cantSplit/>
          <w:trHeight w:val="1427"/>
        </w:trPr>
        <w:tc>
          <w:tcPr>
            <w:tcBorders>
              <w:left w:val="single" w:color="auto" w:sz="4" w:space="0"/>
              <w:right w:val="single" w:color="auto" w:sz="4" w:space="0"/>
            </w:tcBorders>
            <w:tcW w:w="1755" w:type="dxa"/>
            <w:vAlign w:val="center"/>
            <w:textDirection w:val="lrTb"/>
            <w:noWrap w:val="false"/>
          </w:tcPr>
          <w:p>
            <w:pPr>
              <w:ind w:left="-120" w:right="-120"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人员配备</w:t>
            </w:r>
            <w:r/>
          </w:p>
          <w:p>
            <w:pPr>
              <w:ind w:left="-120" w:right="-120" w:firstLine="482"/>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分）</w:t>
            </w:r>
            <w:r/>
          </w:p>
        </w:tc>
        <w:tc>
          <w:tcPr>
            <w:tcBorders>
              <w:right w:val="single" w:color="auto" w:sz="4" w:space="0"/>
            </w:tcBorders>
            <w:tcW w:w="8197" w:type="dxa"/>
            <w:vAlign w:val="top"/>
            <w:textDirection w:val="lrTb"/>
            <w:noWrap w:val="false"/>
          </w:tcPr>
          <w:p>
            <w:pPr>
              <w:numPr>
                <w:ilvl w:val="0"/>
                <w:numId w:val="0"/>
              </w:numPr>
              <w:ind w:left="0" w:firstLine="0"/>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1、拟投入项目的技术负责人具有</w:t>
            </w:r>
            <w:r>
              <w:rPr>
                <w:rFonts w:ascii="SimSun" w:hAnsi="SimSun" w:eastAsia="SimSun" w:cs="SimSun"/>
                <w:color w:val="000000"/>
                <w:sz w:val="24"/>
              </w:rPr>
              <w:t xml:space="preserve">建设工程类</w:t>
            </w:r>
            <w:r>
              <w:rPr>
                <w:rFonts w:hint="eastAsia" w:ascii="宋体" w:hAnsi="宋体" w:eastAsia="宋体" w:cs="宋体"/>
                <w:bCs/>
                <w:color w:val="auto"/>
                <w:sz w:val="24"/>
                <w:szCs w:val="24"/>
                <w:highlight w:val="none"/>
                <w:lang w:val="en-US" w:eastAsia="zh-CN"/>
              </w:rPr>
              <w:t xml:space="preserve">或交通工程类高级及以上职称证书的得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分，中级职称得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本项最高得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p>
          <w:p>
            <w:pPr>
              <w:numPr>
                <w:ilvl w:val="0"/>
                <w:numId w:val="0"/>
              </w:numPr>
              <w:ind w:left="0" w:firstLine="0"/>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2、本项目配备</w:t>
            </w:r>
            <w:r>
              <w:rPr>
                <w:rFonts w:hint="eastAsia" w:ascii="宋体" w:hAnsi="宋体" w:cs="宋体"/>
                <w:bCs/>
                <w:color w:val="auto"/>
                <w:sz w:val="24"/>
                <w:szCs w:val="24"/>
                <w:highlight w:val="none"/>
                <w:lang w:val="en-US" w:eastAsia="zh-CN"/>
              </w:rPr>
              <w:t xml:space="preserve">人员</w:t>
            </w:r>
            <w:r>
              <w:rPr>
                <w:rFonts w:hint="eastAsia" w:ascii="宋体" w:hAnsi="宋体" w:eastAsia="宋体" w:cs="宋体"/>
                <w:bCs/>
                <w:color w:val="auto"/>
                <w:sz w:val="24"/>
                <w:szCs w:val="24"/>
                <w:highlight w:val="none"/>
                <w:lang w:val="en-US" w:eastAsia="zh-CN"/>
              </w:rPr>
              <w:t xml:space="preserve">（不含项目</w:t>
            </w:r>
            <w:r>
              <w:rPr>
                <w:rFonts w:hint="eastAsia" w:ascii="宋体" w:hAnsi="宋体" w:cs="宋体"/>
                <w:bCs/>
                <w:color w:val="auto"/>
                <w:sz w:val="24"/>
                <w:szCs w:val="24"/>
                <w:highlight w:val="none"/>
                <w:lang w:val="en-US" w:eastAsia="zh-CN"/>
              </w:rPr>
              <w:t xml:space="preserve">负责人</w:t>
            </w:r>
            <w:r>
              <w:rPr>
                <w:rFonts w:hint="eastAsia" w:ascii="宋体" w:hAnsi="宋体" w:eastAsia="宋体" w:cs="宋体"/>
                <w:bCs/>
                <w:color w:val="auto"/>
                <w:sz w:val="24"/>
                <w:szCs w:val="24"/>
                <w:highlight w:val="none"/>
                <w:lang w:val="en-US" w:eastAsia="zh-CN"/>
              </w:rPr>
              <w:t xml:space="preserve">）：质量员、施工员、安全员、资料员，每具有一个类别得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分，本项最高得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numPr>
                <w:ilvl w:val="0"/>
                <w:numId w:val="0"/>
              </w:numPr>
              <w:ind w:left="0" w:firstLine="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注：以上人员须提供证书扫描件加盖供应商公章以及供应商2026年</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月以来任意一个月为其缴纳的社保证明（加盖社保中心章或社保中心参保缴费证明电子专用章）材料并加盖公章，否则不得分。</w:t>
            </w:r>
            <w:r/>
          </w:p>
        </w:tc>
      </w:tr>
      <w:tr>
        <w:trPr>
          <w:cantSplit/>
          <w:trHeight w:val="274"/>
        </w:trPr>
        <w:tc>
          <w:tcPr>
            <w:tcBorders>
              <w:left w:val="single" w:color="auto" w:sz="4" w:space="0"/>
              <w:right w:val="single" w:color="auto" w:sz="4" w:space="0"/>
            </w:tcBorders>
            <w:tcW w:w="1755" w:type="dxa"/>
            <w:vAlign w:val="center"/>
            <w:textDirection w:val="lrTb"/>
            <w:noWrap w:val="false"/>
          </w:tcPr>
          <w:p>
            <w:pPr>
              <w:ind w:left="0" w:right="-120" w:firstLine="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业绩（</w:t>
            </w:r>
            <w:r>
              <w:rPr>
                <w:rFonts w:hint="eastAsia" w:ascii="宋体" w:hAnsi="宋体" w:cs="宋体"/>
                <w:b/>
                <w:bCs/>
                <w:color w:val="auto"/>
                <w:sz w:val="24"/>
                <w:szCs w:val="24"/>
                <w:highlight w:val="none"/>
                <w:lang w:val="en-US" w:eastAsia="zh-CN" w:bidi="ar-SA"/>
              </w:rPr>
              <w:t xml:space="preserve">8</w:t>
            </w:r>
            <w:r>
              <w:rPr>
                <w:rFonts w:hint="eastAsia" w:ascii="宋体" w:hAnsi="宋体" w:eastAsia="宋体" w:cs="宋体"/>
                <w:b/>
                <w:bCs/>
                <w:color w:val="auto"/>
                <w:sz w:val="24"/>
                <w:szCs w:val="24"/>
                <w:highlight w:val="none"/>
                <w:lang w:val="en-US" w:eastAsia="zh-CN" w:bidi="ar-SA"/>
              </w:rPr>
              <w:t xml:space="preserve">分）</w:t>
            </w:r>
            <w:r/>
          </w:p>
        </w:tc>
        <w:tc>
          <w:tcPr>
            <w:tcBorders>
              <w:right w:val="single" w:color="auto" w:sz="4" w:space="0"/>
            </w:tcBorders>
            <w:tcW w:w="8197" w:type="dxa"/>
            <w:vAlign w:val="top"/>
            <w:textDirection w:val="lrTb"/>
            <w:noWrap w:val="false"/>
          </w:tcPr>
          <w:p>
            <w:pPr>
              <w:pStyle w:val="912"/>
              <w:ind w:left="0" w:firstLine="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供应商自202</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年1月1日起至今，具有</w:t>
            </w:r>
            <w:r>
              <w:rPr>
                <w:rFonts w:hint="eastAsia"/>
                <w:color w:val="auto"/>
                <w:highlight w:val="none"/>
                <w:lang w:val="en-US" w:eastAsia="zh-CN"/>
              </w:rPr>
              <w:t xml:space="preserve">类似业绩（范围包含</w:t>
            </w:r>
            <w:r>
              <w:rPr>
                <w:rFonts w:hint="eastAsia" w:ascii="宋体" w:hAnsi="宋体" w:cs="宋体"/>
                <w:color w:val="auto"/>
                <w:sz w:val="24"/>
                <w:szCs w:val="24"/>
                <w:highlight w:val="none"/>
                <w:lang w:val="en-US" w:eastAsia="zh-CN"/>
              </w:rPr>
              <w:t xml:space="preserve">护栏</w:t>
            </w:r>
            <w:r>
              <w:rPr>
                <w:rFonts w:hint="eastAsia" w:ascii="宋体" w:hAnsi="宋体" w:eastAsia="宋体" w:cs="宋体"/>
                <w:color w:val="auto"/>
                <w:sz w:val="24"/>
                <w:szCs w:val="24"/>
                <w:highlight w:val="none"/>
                <w:lang w:val="en-US" w:eastAsia="zh-CN"/>
              </w:rPr>
              <w:t xml:space="preserve">或</w:t>
            </w:r>
            <w:r>
              <w:rPr>
                <w:rFonts w:ascii="宋体" w:hAnsi="宋体" w:eastAsia="宋体" w:cs="宋体"/>
                <w:color w:val="auto"/>
                <w:sz w:val="24"/>
                <w:szCs w:val="24"/>
                <w:highlight w:val="none"/>
              </w:rPr>
              <w:t xml:space="preserve">交通安全设施工程</w:t>
            </w:r>
            <w:r>
              <w:rPr>
                <w:rFonts w:hint="eastAsia"/>
                <w:color w:val="auto"/>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项目，每提供一个业绩得2分,</w:t>
            </w:r>
            <w:r>
              <w:rPr>
                <w:rFonts w:hint="eastAsia" w:ascii="宋体" w:hAnsi="宋体" w:eastAsia="宋体" w:cs="宋体"/>
                <w:bCs/>
                <w:color w:val="auto"/>
                <w:sz w:val="24"/>
                <w:szCs w:val="24"/>
                <w:highlight w:val="none"/>
                <w:lang w:val="en-US" w:eastAsia="zh-CN"/>
              </w:rPr>
              <w:t xml:space="preserve">本项最高得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pStyle w:val="912"/>
              <w:ind w:left="0" w:firstLine="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拟派项目负责人自2022年1月1日以来在本单位作为项目负责人承担过类似</w:t>
            </w:r>
            <w:r>
              <w:rPr>
                <w:rFonts w:hint="eastAsia" w:ascii="Times New Roman" w:eastAsia="宋体"/>
                <w:color w:val="auto"/>
                <w:highlight w:val="none"/>
                <w:lang w:val="en-US" w:eastAsia="zh-CN"/>
              </w:rPr>
              <w:t xml:space="preserve">（范围包含</w:t>
            </w:r>
            <w:r>
              <w:rPr>
                <w:rFonts w:hint="eastAsia" w:ascii="宋体" w:hAnsi="宋体" w:cs="宋体"/>
                <w:color w:val="auto"/>
                <w:sz w:val="24"/>
                <w:szCs w:val="24"/>
                <w:highlight w:val="none"/>
                <w:lang w:val="en-US" w:eastAsia="zh-CN"/>
              </w:rPr>
              <w:t xml:space="preserve">护栏</w:t>
            </w:r>
            <w:r>
              <w:rPr>
                <w:rFonts w:hint="eastAsia" w:ascii="宋体" w:hAnsi="宋体" w:eastAsia="宋体" w:cs="宋体"/>
                <w:color w:val="auto"/>
                <w:sz w:val="24"/>
                <w:szCs w:val="24"/>
                <w:highlight w:val="none"/>
                <w:lang w:val="en-US" w:eastAsia="zh-CN"/>
              </w:rPr>
              <w:t xml:space="preserve">或</w:t>
            </w:r>
            <w:r>
              <w:rPr>
                <w:rFonts w:ascii="宋体" w:hAnsi="宋体" w:eastAsia="宋体" w:cs="宋体"/>
                <w:color w:val="auto"/>
                <w:sz w:val="24"/>
                <w:szCs w:val="24"/>
                <w:highlight w:val="none"/>
              </w:rPr>
              <w:t xml:space="preserve">交通安全设施工程</w:t>
            </w:r>
            <w:r>
              <w:rPr>
                <w:rFonts w:hint="eastAsia" w:ascii="Times New Roman" w:eastAsia="宋体"/>
                <w:color w:val="auto"/>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业绩的，每提供一个业绩得2分，最高得4分。</w:t>
            </w:r>
            <w:r/>
          </w:p>
          <w:p>
            <w:pPr>
              <w:pStyle w:val="912"/>
              <w:ind w:left="0" w:firstLine="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注：1.同一个业绩仅计取一次得分，项目负责人业绩和企业业绩不可以重复计分。</w:t>
            </w:r>
            <w:r/>
          </w:p>
          <w:p>
            <w:pPr>
              <w:pStyle w:val="912"/>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2.供应商须提供中标通知书、施工合同、竣工验收证明，三者缺一不可，否则不得分。时间以竣工验收证明为准，扫描上传至投标文件中，未按上述要求提供证明文件， 此项不得分。</w:t>
            </w:r>
            <w:r/>
          </w:p>
        </w:tc>
      </w:tr>
      <w:tr>
        <w:trPr>
          <w:cantSplit/>
          <w:trHeight w:val="954"/>
        </w:trPr>
        <w:tc>
          <w:tcPr>
            <w:shd w:val="clear" w:color="auto" w:fill="auto"/>
            <w:tcBorders>
              <w:left w:val="single" w:color="auto" w:sz="4" w:space="0"/>
              <w:right w:val="single" w:color="auto" w:sz="4" w:space="0"/>
            </w:tcBorders>
            <w:tcW w:w="1755" w:type="dxa"/>
            <w:vAlign w:val="center"/>
            <w:textDirection w:val="lrTb"/>
            <w:noWrap w:val="false"/>
          </w:tcPr>
          <w:p>
            <w:pPr>
              <w:ind w:left="-120" w:right="-120"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技术响应</w:t>
            </w:r>
            <w:r/>
          </w:p>
          <w:p>
            <w:pPr>
              <w:ind w:left="-120" w:right="-120" w:firstLine="482"/>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（8分）</w:t>
            </w:r>
            <w:r/>
          </w:p>
        </w:tc>
        <w:tc>
          <w:tcPr>
            <w:tcBorders>
              <w:right w:val="single" w:color="auto" w:sz="4" w:space="0"/>
            </w:tcBorders>
            <w:tcW w:w="8197" w:type="dxa"/>
            <w:vAlign w:val="top"/>
            <w:textDirection w:val="lrTb"/>
            <w:noWrap w:val="false"/>
          </w:tcPr>
          <w:p>
            <w:pPr>
              <w:numPr>
                <w:ilvl w:val="0"/>
                <w:numId w:val="0"/>
              </w:numPr>
              <w:ind w:left="0" w:firstLine="0"/>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、供应商提供所投的护栏具有CNAS或CMA检测机构出具的护栏粉末涂料检验报告：</w:t>
            </w:r>
            <w:r>
              <w:rPr>
                <w:rFonts w:hint="eastAsia" w:ascii="宋体" w:hAnsi="宋体" w:eastAsia="宋体" w:cs="宋体"/>
                <w:bCs/>
                <w:color w:val="auto"/>
                <w:sz w:val="24"/>
                <w:szCs w:val="24"/>
                <w:highlight w:val="none"/>
                <w:lang w:val="en-US" w:eastAsia="zh-CN"/>
              </w:rPr>
              <w:t xml:space="preserve">耐人工气候老化性≥12000小时的得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分，≥8000小时的得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分，≥2000小时的得1分。</w:t>
            </w:r>
            <w:r/>
          </w:p>
          <w:p>
            <w:pPr>
              <w:numPr>
                <w:ilvl w:val="0"/>
                <w:numId w:val="0"/>
              </w:numPr>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bidi="ar-SA"/>
              </w:rPr>
              <w:t xml:space="preserve">供应商提供所投的护栏具有CNAS或CMA检测机构出具的护栏粉末涂料检验报告</w:t>
            </w:r>
            <w:r>
              <w:rPr>
                <w:rFonts w:hint="eastAsia" w:ascii="宋体" w:hAnsi="宋体" w:eastAsia="宋体" w:cs="宋体"/>
                <w:bCs/>
                <w:color w:val="auto"/>
                <w:sz w:val="24"/>
                <w:szCs w:val="24"/>
                <w:highlight w:val="none"/>
                <w:lang w:val="en-US" w:eastAsia="zh-CN"/>
              </w:rPr>
              <w:t xml:space="preserve">：耐中性盐雾试验≥12000小时的得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分，≥8000小时的得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分，≥2000小时的得1分。</w:t>
            </w:r>
            <w:r/>
          </w:p>
          <w:p>
            <w:pPr>
              <w:pStyle w:val="912"/>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注：上述检验报告需加盖供应商公章</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color w:val="auto"/>
                <w:sz w:val="24"/>
                <w:szCs w:val="24"/>
                <w:highlight w:val="none"/>
                <w:lang w:val="en-US" w:eastAsia="zh-CN" w:bidi="ar-SA"/>
              </w:rPr>
              <w:t xml:space="preserve">上传至</w:t>
            </w:r>
            <w:r>
              <w:rPr>
                <w:rFonts w:hint="eastAsia" w:ascii="宋体" w:hAnsi="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bidi="ar-SA"/>
              </w:rPr>
              <w:t xml:space="preserve">文件中，否则不得分。</w:t>
            </w:r>
            <w:r/>
          </w:p>
        </w:tc>
      </w:tr>
      <w:tr>
        <w:trPr>
          <w:cantSplit/>
          <w:trHeight w:val="1717"/>
        </w:trPr>
        <w:tc>
          <w:tcPr>
            <w:tcBorders>
              <w:left w:val="single" w:color="auto" w:sz="4" w:space="0"/>
            </w:tcBorders>
            <w:tcW w:w="1755" w:type="dxa"/>
            <w:vAlign w:val="center"/>
            <w:textDirection w:val="lrTb"/>
            <w:noWrap w:val="false"/>
          </w:tcPr>
          <w:p>
            <w:pPr>
              <w:ind w:firstLine="0"/>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施工组织总体设想（</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Borders>
              <w:left w:val="single" w:color="auto" w:sz="4" w:space="0"/>
            </w:tcBorders>
            <w:tcW w:w="8197"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供应商提供施工组织总体设想，内容包括但不限于总体概述、施工安排、方案针对性等。</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rPr>
              <w:t xml:space="preserve">工程概况、管理架构、四大管控目标、场地周边条件叙述详实完整。施工分段、流水作业、人机材进场计划排布科学有序，兼顾季节性施工预案。紧扣本项目独有施工重难点编制专属管控措施，无模板套话，落地指导性极强</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right="-114"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rPr>
              <w:t xml:space="preserve">仅简要写明工程基本信息与基础管理目标，缺少场地、资源配置细节。施工总体流程顺序无误，阶段划分完整，但缺少精细化进度及资源调配计划。仅采用常规通用施工对策，未结合项目特有问题优化，整体适配程度普通</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right="-114"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体概述内容极度简略，仅简单介绍项目基本情况，工期、安全、组织架构、资源配置等核心内容严重缺失。施工排布杂乱粗放，无明确施工阶段划分与资源进场计划，工序衔接合理性不足，内容高度模板化，不贴合本项目实际施工难点，参考价值极低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未见阐述不得分。</w:t>
            </w:r>
            <w:r/>
          </w:p>
        </w:tc>
      </w:tr>
      <w:tr>
        <w:trPr>
          <w:cantSplit/>
          <w:trHeight w:val="1477"/>
        </w:trPr>
        <w:tc>
          <w:tcPr>
            <w:tcBorders>
              <w:left w:val="single" w:color="auto" w:sz="4" w:space="0"/>
            </w:tcBorders>
            <w:tcW w:w="175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施工进度计划（</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4" w:space="0"/>
            </w:tcBorders>
            <w:tcW w:w="8197"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供应商提供施工进度计划，内容包括但不限于总进度计划、各阶段进度的保证措施等。</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施工总进度计划完整详尽，节点划分细化至各分部分项工程，工期排布贴合项目实际工况、逻辑严谨。进度分级管控体系完善，针对工期节点、交叉作业、季节性施工、突发工况制定清晰、精准、可落地的专项进度保障措施，完全适配本项目工期要求</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施工总进度计划内容较为详尽，明确主要施工阶段工期节点，整体工期排布基本合理。具备常规进度保障措施，内容较为清晰、基本可行，但缺少细化分项节点管控、动态调整及季节性专项保障，措施通用性强、项目针对性一般</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施工总进度计划内容粗浅、不够详尽，仅罗列大致施工工期，无分项节点与阶段划分，工期排布逻辑性一般。进度保障措施内容空洞、表述模糊，无具体管控手段和落实方式，无法有效指导工期管控，保障效果较弱</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未见阐述不得分。</w:t>
            </w:r>
            <w:r/>
          </w:p>
        </w:tc>
      </w:tr>
      <w:tr>
        <w:trPr>
          <w:cantSplit/>
          <w:trHeight w:val="712"/>
        </w:trPr>
        <w:tc>
          <w:tcPr>
            <w:tcBorders>
              <w:left w:val="single" w:color="auto" w:sz="4" w:space="0"/>
            </w:tcBorders>
            <w:tcW w:w="1755"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施工质量保证措施（</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Borders>
              <w:left w:val="single" w:color="auto" w:sz="4" w:space="0"/>
            </w:tcBorders>
            <w:tcW w:w="819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供应商提供施工质量保证措施，内容包括但不限于施工质量控制措施、分部分项工程施工过程质量控制等。</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整体施工质量控制措施科学清晰、体系完善。各分部分项工程全过程质量管控办法详实具体、针对性强，贴合项目施工实际，可落地性强，可有效保障工程施工整体质量达标</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整体质量控制措施较为清晰、基本合理。分部分项工程质量管控办法内容相对完整，但细化程度不足，多为通用常规措施，项目适配性一般，仅能满足基础质量管控要求</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SA"/>
              </w:rPr>
              <w:t xml:space="preserve">；</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施工质量整体控制措施表述模糊、逻辑性差。分部分项工程质量管控办法简陋空洞，无具体管控手段，缺乏实操性，无法有效规避施工质量问题，管控保障能力极弱</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未见阐述不得分。</w:t>
            </w:r>
            <w:r/>
          </w:p>
        </w:tc>
      </w:tr>
      <w:tr>
        <w:trPr>
          <w:cantSplit/>
          <w:trHeight w:val="562"/>
        </w:trPr>
        <w:tc>
          <w:tcPr>
            <w:tcBorders>
              <w:left w:val="single" w:color="auto" w:sz="4" w:space="0"/>
            </w:tcBorders>
            <w:tcW w:w="1755" w:type="dxa"/>
            <w:vAlign w:val="center"/>
            <w:textDirection w:val="lrTb"/>
            <w:noWrap w:val="false"/>
          </w:tcPr>
          <w:p>
            <w:pPr>
              <w:ind w:firstLine="0"/>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安全文明施工及环境保护措施（</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Borders>
              <w:left w:val="single" w:color="auto" w:sz="4" w:space="0"/>
            </w:tcBorders>
            <w:tcW w:w="819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供应商提供安全文明施工及环境保护措施，内容包括但不限于针对本项目安全文明施工、环境保护具体措施等。</w:t>
            </w:r>
            <w:r/>
          </w:p>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紧扣本项目施工实际特点编制措施，安全文明施工及环保管控内容全面合理、专项针对性强，举措细化落地，可有效排查现场隐患，切实预防各类安全、环保事故发生</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具备完整的安全文明施工及环境保护措施，整体内容较为合理，符合现场基本管控要求。多为通用常规举措，项目专项针对性一般，可基本实现现场风险防控、预防事故发生</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安全文明施工及环保措施内容简陋、排布不合理，缺少具体管控细节与实操方法，流于模板形式，无法有效管控现场风险，难以达到预防安全及环保事故的效果</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未见阐述不得分。</w:t>
            </w:r>
            <w:r/>
          </w:p>
        </w:tc>
      </w:tr>
      <w:tr>
        <w:trPr>
          <w:cantSplit/>
          <w:trHeight w:val="562"/>
        </w:trPr>
        <w:tc>
          <w:tcPr>
            <w:tcBorders>
              <w:left w:val="single" w:color="auto" w:sz="4" w:space="0"/>
            </w:tcBorders>
            <w:tcW w:w="1755" w:type="dxa"/>
            <w:vAlign w:val="center"/>
            <w:textDirection w:val="lrTb"/>
            <w:noWrap w:val="false"/>
          </w:tcPr>
          <w:p>
            <w:pPr>
              <w:ind w:right="92"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施工的重点难点分析（</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Borders>
              <w:left w:val="single" w:color="auto" w:sz="4" w:space="0"/>
            </w:tcBorders>
            <w:tcW w:w="8197" w:type="dxa"/>
            <w:vAlign w:val="top"/>
            <w:textDirection w:val="lrTb"/>
            <w:noWrap w:val="false"/>
          </w:tcPr>
          <w:p>
            <w:pPr>
              <w:ind w:right="92"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供应商提供施工的重点难点分析，内容包括但不限于关键施工技术、工艺及工程项目实施的重点、难点分析等。</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结合本项目施工特点制定安全文明施工及环保措施，内容全面合理、针对性极强。各项管控举措细化到位、可落地，能够有效防范安全隐患、规避环保问题，切实预防各类事故发生</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具备安全文明施工及环境保护相关措施，内容基本完整、较为合理。多为行业通用常规举措，项目专项针对性不足，整体可满足基础管控要求，能够一般性预防现场安全及环保事故</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安全文明施工及环保措施内容片面、表述笼统、排布不合理。无具体管控手段与实施细节，流于形式、可操作性差，无法有效管控现场风险，难以预防安全及环保事故发生</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right="92"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未见阐述不得分。</w:t>
            </w:r>
            <w:r/>
          </w:p>
        </w:tc>
      </w:tr>
      <w:tr>
        <w:trPr>
          <w:cantSplit/>
          <w:trHeight w:val="562"/>
        </w:trPr>
        <w:tc>
          <w:tcPr>
            <w:tcBorders>
              <w:left w:val="single" w:color="auto" w:sz="4" w:space="0"/>
            </w:tcBorders>
            <w:tcW w:w="1755" w:type="dxa"/>
            <w:vAlign w:val="center"/>
            <w:textDirection w:val="lrTb"/>
            <w:noWrap w:val="false"/>
          </w:tcPr>
          <w:p>
            <w:pPr>
              <w:ind w:right="92"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tcBorders>
              <w:left w:val="single" w:color="auto" w:sz="4" w:space="0"/>
            </w:tcBorders>
            <w:tcW w:w="8197" w:type="dxa"/>
            <w:vAlign w:val="center"/>
            <w:textDirection w:val="lrTb"/>
            <w:noWrap w:val="false"/>
          </w:tcPr>
          <w:p>
            <w:pPr>
              <w:ind w:right="92" w:firstLine="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针对本项目特点，供应商提供有完整、全面、可行的售后服务方案进行评分：</w:t>
            </w:r>
            <w:r/>
          </w:p>
          <w:p>
            <w:pPr>
              <w:ind w:left="0" w:firstLine="0"/>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紧密结合本项目实际特点编制售后服务方案，体系完整、内容全面，服务流程、响应机制、维保举措详实具体，贴合项目实际需求，可落地性、实操性极强</w:t>
            </w:r>
            <w:r>
              <w:rPr>
                <w:rFonts w:hint="eastAsia" w:ascii="宋体" w:hAnsi="宋体" w:eastAsia="宋体" w:cs="宋体"/>
                <w:b w:val="0"/>
                <w:bCs w:val="0"/>
                <w:color w:val="auto"/>
                <w:sz w:val="24"/>
                <w:szCs w:val="24"/>
                <w:highlight w:val="none"/>
                <w:lang w:val="en-US" w:eastAsia="zh-CN" w:bidi="ar-SA"/>
              </w:rPr>
              <w:t xml:space="preserve">的得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ind w:left="0" w:firstLine="0"/>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售后服务方案内容较为详细，整体服务框架完整、逻辑清晰，基本满足项目售后需求。多为通用服务举措，针对性稍有不足，整体具备较好的落地可行性</w:t>
            </w:r>
            <w:r>
              <w:rPr>
                <w:rFonts w:hint="eastAsia" w:ascii="宋体" w:hAnsi="宋体" w:eastAsia="宋体" w:cs="宋体"/>
                <w:b w:val="0"/>
                <w:bCs w:val="0"/>
                <w:color w:val="auto"/>
                <w:sz w:val="24"/>
                <w:szCs w:val="24"/>
                <w:highlight w:val="none"/>
                <w:lang w:val="en-US" w:eastAsia="zh-CN" w:bidi="ar-SA"/>
              </w:rPr>
              <w:t xml:space="preserve">的得3分；</w:t>
            </w:r>
            <w:r/>
          </w:p>
          <w:p>
            <w:pPr>
              <w:ind w:left="0" w:firstLine="0"/>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
              </w:rPr>
              <w:t xml:space="preserve">售后服务方案内容简略、表述单薄，服务机制、保障措施不够详细，缺少贴合本项目的专属服务内容，条款笼统模糊，整体可行性较差、参考性不足</w:t>
            </w:r>
            <w:r>
              <w:rPr>
                <w:rFonts w:hint="eastAsia" w:ascii="宋体" w:hAnsi="宋体" w:eastAsia="宋体" w:cs="宋体"/>
                <w:b w:val="0"/>
                <w:bCs w:val="0"/>
                <w:color w:val="auto"/>
                <w:sz w:val="24"/>
                <w:szCs w:val="24"/>
                <w:highlight w:val="none"/>
                <w:lang w:val="en-US" w:eastAsia="zh-CN" w:bidi="ar-SA"/>
              </w:rPr>
              <w:t xml:space="preserve">的得2分</w:t>
            </w:r>
            <w:r>
              <w:rPr>
                <w:rFonts w:hint="eastAsia" w:ascii="宋体" w:hAnsi="宋体" w:cs="宋体"/>
                <w:b w:val="0"/>
                <w:bCs w:val="0"/>
                <w:color w:val="auto"/>
                <w:sz w:val="24"/>
                <w:szCs w:val="24"/>
                <w:highlight w:val="none"/>
                <w:lang w:val="en-US" w:eastAsia="zh-CN" w:bidi="ar-SA"/>
              </w:rPr>
              <w:t xml:space="preserve">。</w:t>
            </w:r>
            <w:r/>
          </w:p>
          <w:p>
            <w:pPr>
              <w:ind w:right="92"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未见阐述不得分。</w:t>
            </w:r>
            <w:r/>
          </w:p>
        </w:tc>
      </w:tr>
    </w:tbl>
    <w:p>
      <w:pPr>
        <w:pStyle w:val="1182"/>
        <w:numPr>
          <w:ilvl w:val="0"/>
          <w:numId w:val="0"/>
        </w:numPr>
        <w:spacing w:line="400" w:lineRule="exact"/>
        <w:rPr>
          <w:rFonts w:hint="eastAsia" w:ascii="宋体" w:hAnsi="宋体"/>
          <w:b/>
          <w:bCs/>
          <w:color w:val="auto"/>
          <w:highlight w:val="none"/>
        </w:rPr>
      </w:pPr>
      <w:r>
        <w:rPr>
          <w:rFonts w:hint="eastAsia" w:ascii="宋体" w:hAnsi="宋体"/>
          <w:b/>
          <w:bCs/>
          <w:color w:val="auto"/>
          <w:highlight w:val="none"/>
        </w:rPr>
      </w:r>
      <w:r/>
    </w:p>
    <w:p>
      <w:pPr>
        <w:pStyle w:val="1128"/>
        <w:ind w:firstLine="482"/>
        <w:spacing w:line="400" w:lineRule="exact"/>
        <w:tabs>
          <w:tab w:val="left" w:pos="720" w:leader="none"/>
        </w:tabs>
        <w:rPr>
          <w:rFonts w:ascii="Times New Roman" w:hAnsi="Times New Roman"/>
          <w:b/>
          <w:bCs/>
          <w:color w:val="auto"/>
          <w:highlight w:val="none"/>
        </w:rPr>
      </w:pPr>
      <w:r>
        <w:rPr>
          <w:rFonts w:ascii="Times New Roman" w:hAnsi="Times New Roman"/>
          <w:b/>
          <w:bCs/>
          <w:color w:val="auto"/>
          <w:highlight w:val="none"/>
        </w:rPr>
        <w:t xml:space="preserve">五、成交标准：</w:t>
      </w:r>
      <w:r/>
    </w:p>
    <w:p>
      <w:pPr>
        <w:pStyle w:val="1128"/>
        <w:ind w:firstLine="600"/>
        <w:spacing w:line="400" w:lineRule="exact"/>
        <w:tabs>
          <w:tab w:val="left" w:pos="720" w:leader="none"/>
        </w:tabs>
        <w:rPr>
          <w:rFonts w:ascii="Times New Roman" w:hAnsi="Times New Roman"/>
          <w:bCs/>
          <w:color w:val="auto"/>
          <w:highlight w:val="none"/>
        </w:rPr>
      </w:pPr>
      <w:r>
        <w:rPr>
          <w:rFonts w:ascii="Times New Roman" w:hAnsi="Times New Roman"/>
          <w:bCs/>
          <w:color w:val="auto"/>
          <w:highlight w:val="none"/>
        </w:rPr>
        <w:t xml:space="preserve">磋商小组根据综合评分情况，按照评审得分由高到低顺序推荐3名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rPr>
          <w:bCs/>
          <w:color w:val="auto"/>
          <w:highlight w:val="none"/>
        </w:rPr>
      </w:pPr>
      <w:r>
        <w:rPr>
          <w:bCs/>
          <w:color w:val="auto"/>
          <w:highlight w:val="none"/>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cs="仿宋"/>
          <w:bCs/>
          <w:color w:val="auto"/>
          <w:highlight w:val="none"/>
        </w:rPr>
      </w:pPr>
      <w:r>
        <w:rPr>
          <w:rFonts w:hint="eastAsia" w:ascii="宋体" w:hAnsi="宋体" w:cs="仿宋"/>
          <w:bCs/>
          <w:color w:val="auto"/>
          <w:highlight w:val="none"/>
        </w:rPr>
        <w:t xml:space="preserve">致：</w:t>
      </w:r>
      <w:r>
        <w:rPr>
          <w:rFonts w:hint="eastAsia" w:ascii="宋体" w:hAnsi="宋体" w:cs="仿宋"/>
          <w:color w:val="auto"/>
          <w:highlight w:val="none"/>
          <w:u w:val="single"/>
        </w:rPr>
        <w:t xml:space="preserve">                                                                 </w:t>
      </w:r>
      <w:r/>
    </w:p>
    <w:p>
      <w:pPr>
        <w:spacing w:line="500" w:lineRule="exact"/>
        <w:rPr>
          <w:rFonts w:hint="eastAsia" w:ascii="黑体" w:hAnsi="黑体" w:eastAsia="黑体" w:cs="仿宋"/>
          <w:bCs/>
          <w:color w:val="auto"/>
          <w:highlight w:val="none"/>
        </w:rPr>
      </w:pPr>
      <w:r>
        <w:rPr>
          <w:rFonts w:hint="eastAsia" w:ascii="黑体" w:hAnsi="黑体" w:eastAsia="黑体" w:cs="仿宋"/>
          <w:bCs/>
          <w:color w:val="auto"/>
          <w:highlight w:val="none"/>
        </w:rPr>
        <w:t xml:space="preserve">一、质疑供应商基本信息</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质疑供应商：</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地址：</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联系人：</w:t>
      </w:r>
      <w:r>
        <w:rPr>
          <w:rFonts w:hint="eastAsia" w:ascii="宋体" w:hAnsi="宋体" w:cs="仿宋"/>
          <w:color w:val="auto"/>
          <w:highlight w:val="none"/>
          <w:u w:val="single"/>
        </w:rPr>
        <w:t xml:space="preserve">                      </w:t>
      </w: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授权代表：</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地址：</w:t>
      </w:r>
      <w:r>
        <w:rPr>
          <w:rFonts w:ascii="宋体" w:hAnsi="宋体" w:cs="仿宋"/>
          <w:color w:val="auto"/>
          <w:highlight w:val="none"/>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spacing w:line="500" w:lineRule="exact"/>
        <w:rPr>
          <w:rFonts w:hint="eastAsia" w:ascii="黑体" w:hAnsi="黑体" w:eastAsia="黑体" w:cs="仿宋"/>
          <w:bCs/>
          <w:color w:val="auto"/>
          <w:highlight w:val="none"/>
        </w:rPr>
      </w:pPr>
      <w:r>
        <w:rPr>
          <w:rFonts w:hint="eastAsia" w:ascii="黑体" w:hAnsi="黑体" w:eastAsia="黑体" w:cs="仿宋"/>
          <w:bCs/>
          <w:color w:val="auto"/>
          <w:highlight w:val="none"/>
        </w:rPr>
        <w:t xml:space="preserve">二、质疑项目基本情况</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质疑项目的名称：</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质疑项目的编号：</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包号：</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采购人名称：</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采购文件获取日期：</w:t>
      </w:r>
      <w:r>
        <w:rPr>
          <w:rFonts w:hint="eastAsia" w:ascii="宋体" w:hAnsi="宋体" w:cs="仿宋"/>
          <w:color w:val="auto"/>
          <w:highlight w:val="none"/>
          <w:u w:val="single"/>
        </w:rPr>
        <w:t xml:space="preserve">                                                   </w:t>
      </w:r>
      <w:r/>
    </w:p>
    <w:p>
      <w:pPr>
        <w:spacing w:line="500" w:lineRule="exact"/>
        <w:rPr>
          <w:rFonts w:hint="eastAsia" w:ascii="黑体" w:hAnsi="黑体" w:eastAsia="黑体" w:cs="仿宋"/>
          <w:bCs/>
          <w:color w:val="auto"/>
          <w:highlight w:val="none"/>
        </w:rPr>
      </w:pPr>
      <w:r>
        <w:rPr>
          <w:rFonts w:hint="eastAsia" w:ascii="黑体" w:hAnsi="黑体" w:eastAsia="黑体" w:cs="仿宋"/>
          <w:bCs/>
          <w:color w:val="auto"/>
          <w:highlight w:val="none"/>
        </w:rPr>
        <w:t xml:space="preserve">三、质疑事项具体内容</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质疑事项1：</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事实依据：</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rPr>
      </w:pP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法律依据：</w:t>
      </w: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u w:val="single"/>
        </w:rPr>
      </w:pPr>
      <w:r>
        <w:rPr>
          <w:rFonts w:hint="eastAsia" w:ascii="宋体" w:hAnsi="宋体" w:cs="仿宋"/>
          <w:color w:val="auto"/>
          <w:highlight w:val="none"/>
          <w:u w:val="single"/>
        </w:rPr>
        <w:t xml:space="preserve">                                                                      </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质疑事项2</w:t>
      </w:r>
      <w:r/>
    </w:p>
    <w:p>
      <w:pPr>
        <w:spacing w:line="500" w:lineRule="exact"/>
        <w:rPr>
          <w:rFonts w:hint="eastAsia" w:ascii="宋体" w:hAnsi="宋体" w:cs="仿宋"/>
          <w:color w:val="auto"/>
          <w:highlight w:val="none"/>
        </w:rPr>
      </w:pPr>
      <w:r>
        <w:rPr>
          <w:rFonts w:hint="eastAsia" w:ascii="宋体" w:hAnsi="宋体" w:cs="仿宋"/>
          <w:color w:val="auto"/>
          <w:highlight w:val="none"/>
        </w:rPr>
        <w:t xml:space="preserve">……</w:t>
      </w:r>
      <w:r/>
    </w:p>
    <w:p>
      <w:pPr>
        <w:spacing w:line="500" w:lineRule="exact"/>
        <w:rPr>
          <w:rFonts w:hint="eastAsia" w:ascii="黑体" w:hAnsi="黑体" w:eastAsia="黑体" w:cs="仿宋"/>
          <w:bCs/>
          <w:color w:val="auto"/>
          <w:highlight w:val="none"/>
        </w:rPr>
      </w:pPr>
      <w:r>
        <w:rPr>
          <w:rFonts w:hint="eastAsia" w:ascii="黑体" w:hAnsi="黑体" w:eastAsia="黑体" w:cs="仿宋"/>
          <w:bCs/>
          <w:color w:val="auto"/>
          <w:highlight w:val="none"/>
        </w:rPr>
        <w:t xml:space="preserve">四、与质疑事项相关的质疑请求</w:t>
      </w:r>
      <w:r/>
    </w:p>
    <w:p>
      <w:pPr>
        <w:spacing w:line="500" w:lineRule="exact"/>
        <w:rPr>
          <w:rFonts w:hint="eastAsia" w:ascii="宋体" w:hAnsi="宋体" w:cs="仿宋"/>
          <w:color w:val="auto"/>
          <w:highlight w:val="none"/>
          <w:u w:val="single"/>
        </w:rPr>
      </w:pPr>
      <w:r>
        <w:rPr>
          <w:rFonts w:hint="eastAsia" w:ascii="宋体" w:hAnsi="宋体" w:cs="仿宋"/>
          <w:color w:val="auto"/>
          <w:highlight w:val="none"/>
        </w:rPr>
        <w:t xml:space="preserve">请求：</w:t>
      </w:r>
      <w:r>
        <w:rPr>
          <w:rFonts w:hint="eastAsia" w:ascii="宋体" w:hAnsi="宋体" w:cs="仿宋"/>
          <w:color w:val="auto"/>
          <w:highlight w:val="none"/>
          <w:u w:val="single"/>
        </w:rPr>
        <w:t xml:space="preserve">                                                                </w:t>
      </w:r>
      <w:r/>
    </w:p>
    <w:p>
      <w:pPr>
        <w:spacing w:line="500" w:lineRule="exact"/>
        <w:rPr>
          <w:rFonts w:hint="eastAsia" w:ascii="宋体" w:hAnsi="宋体"/>
          <w:color w:val="auto"/>
          <w:highlight w:val="none"/>
        </w:rPr>
      </w:pPr>
      <w:r>
        <w:rPr>
          <w:rFonts w:hint="eastAsia" w:ascii="宋体" w:hAnsi="宋体"/>
          <w:color w:val="auto"/>
          <w:highlight w:val="none"/>
        </w:rPr>
        <w:t xml:space="preserve">签字（签章）：                   公章：                      </w:t>
      </w:r>
      <w:r/>
    </w:p>
    <w:p>
      <w:pPr>
        <w:spacing w:line="500" w:lineRule="exact"/>
        <w:rPr>
          <w:rFonts w:hint="eastAsia" w:ascii="宋体" w:hAnsi="宋体"/>
          <w:color w:val="auto"/>
          <w:highlight w:val="none"/>
        </w:rPr>
      </w:pPr>
      <w:r>
        <w:rPr>
          <w:rFonts w:hint="eastAsia" w:ascii="宋体" w:hAnsi="宋体"/>
          <w:color w:val="auto"/>
          <w:highlight w:val="none"/>
        </w:rPr>
        <w:t xml:space="preserve">日期：    </w:t>
      </w:r>
      <w:r/>
    </w:p>
    <w:p>
      <w:pPr>
        <w:spacing w:line="500" w:lineRule="exact"/>
        <w:rPr>
          <w:rFonts w:hint="eastAsia" w:ascii="宋体" w:hAnsi="宋体"/>
          <w:b/>
          <w:color w:val="auto"/>
          <w:highlight w:val="none"/>
        </w:rPr>
      </w:pPr>
      <w:r>
        <w:rPr>
          <w:rFonts w:hint="eastAsia" w:ascii="宋体" w:hAnsi="宋体"/>
          <w:b/>
          <w:color w:val="auto"/>
          <w:highlight w:val="none"/>
        </w:rPr>
        <w:t xml:space="preserve">质疑函制作说明：</w:t>
      </w:r>
      <w:r/>
    </w:p>
    <w:p>
      <w:pPr>
        <w:ind w:firstLine="480"/>
        <w:jc w:val="left"/>
        <w:spacing w:line="500" w:lineRule="exact"/>
        <w:widowControl/>
        <w:rPr>
          <w:rFonts w:hint="eastAsia" w:ascii="宋体" w:hAnsi="宋体"/>
          <w:color w:val="auto"/>
          <w:highlight w:val="none"/>
        </w:rPr>
      </w:pPr>
      <w:r>
        <w:rPr>
          <w:rFonts w:hint="eastAsia" w:ascii="宋体" w:hAnsi="宋体"/>
          <w:color w:val="auto"/>
          <w:highlight w:val="none"/>
        </w:rPr>
        <w:t xml:space="preserve">1.供应商提出质疑时，应提交质疑函和必要的证明材料。</w:t>
      </w:r>
      <w:r/>
    </w:p>
    <w:p>
      <w:pPr>
        <w:ind w:firstLine="480"/>
        <w:jc w:val="left"/>
        <w:spacing w:line="500" w:lineRule="exact"/>
        <w:widowControl/>
        <w:rPr>
          <w:rFonts w:hint="eastAsia" w:ascii="宋体" w:hAnsi="宋体"/>
          <w:color w:val="auto"/>
          <w:highlight w:val="none"/>
        </w:rPr>
      </w:pPr>
      <w:r>
        <w:rPr>
          <w:rFonts w:hint="eastAsia" w:ascii="宋体" w:hAnsi="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auto"/>
          <w:highlight w:val="none"/>
        </w:rPr>
      </w:pPr>
      <w:r>
        <w:rPr>
          <w:rFonts w:hint="eastAsia" w:ascii="宋体" w:hAnsi="宋体"/>
          <w:color w:val="auto"/>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color w:val="auto"/>
          <w:highlight w:val="none"/>
        </w:rPr>
      </w:pPr>
      <w:r>
        <w:rPr>
          <w:rFonts w:hint="eastAsia" w:ascii="宋体" w:hAnsi="宋体"/>
          <w:color w:val="auto"/>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color w:val="auto"/>
          <w:highlight w:val="none"/>
        </w:rPr>
      </w:pPr>
      <w:r>
        <w:rPr>
          <w:rFonts w:hint="eastAsia" w:ascii="宋体" w:hAnsi="宋体"/>
          <w:color w:val="auto"/>
          <w:highlight w:val="none"/>
        </w:rPr>
        <w:t xml:space="preserve">5.质疑函的质疑请求应与质疑事项相关。</w:t>
      </w:r>
      <w:r/>
    </w:p>
    <w:p>
      <w:pPr>
        <w:ind w:firstLine="480"/>
        <w:jc w:val="left"/>
        <w:spacing w:line="500" w:lineRule="exact"/>
        <w:widowControl/>
        <w:rPr>
          <w:bCs/>
          <w:color w:val="auto"/>
          <w:highlight w:val="none"/>
        </w:rPr>
      </w:pPr>
      <w:r>
        <w:rPr>
          <w:rFonts w:hint="eastAsia" w:ascii="宋体" w:hAnsi="宋体"/>
          <w:b/>
          <w:color w:val="auto"/>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华康简楷">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Verdana">
    <w:panose1 w:val="020B0604030504040204"/>
  </w:font>
  <w:font w:name="Calibri Light">
    <w:panose1 w:val="020F0302020204030204"/>
  </w:font>
  <w:font w:name="Cambria">
    <w:panose1 w:val="02040503050406030204"/>
  </w:font>
  <w:font w:name="Calibri">
    <w:panose1 w:val="020F0502020204030204"/>
  </w:font>
  <w:font w:name="MS Mincho">
    <w:panose1 w:val="02020603050405090304"/>
  </w:font>
  <w:font w:name="Tahoma">
    <w:panose1 w:val="020B0604030504040204"/>
  </w:font>
  <w:font w:name="Courier New">
    <w:panose1 w:val="02070309020205020404"/>
  </w:font>
  <w:font w:name="Arial">
    <w:panose1 w:val="020B0604020202020204"/>
  </w:font>
  <w:font w:name="SimSun">
    <w:panose1 w:val="02010600030101010101"/>
  </w:font>
  <w:font w:name="monospace">
    <w:panose1 w:val="020B0503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spacing w:line="240" w:lineRule="auto"/>
      <w:rPr>
        <w:rFonts w:ascii="Calibri" w:hAnsi="Calibri" w:eastAsia="宋体" w:cs="黑体"/>
        <w:sz w:val="21"/>
        <w:szCs w:val="22"/>
      </w:rPr>
    </w:pPr>
    <w:r>
      <w:rPr>
        <w:rFonts w:ascii="Calibri" w:hAnsi="Calibri" w:eastAsia="宋体" w:cs="黑体"/>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67</w:t>
                          </w:r>
                          <w:r>
                            <w:rPr>
                              <w:rFonts w:ascii="Calibri" w:hAnsi="Calibri" w:eastAsia="宋体" w:cs="Times New Roman"/>
                              <w:sz w:val="18"/>
                              <w:szCs w:val="18"/>
                              <w:lang w:val="en-US" w:eastAsia="zh-CN" w:bidi="ar-SA"/>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67</w:t>
                    </w:r>
                    <w:r>
                      <w:rPr>
                        <w:rFonts w:ascii="Calibri" w:hAnsi="Calibri"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fldChar w:fldCharType="begin"/>
                          </w:r>
                          <w:r>
                            <w:rPr>
                              <w:rFonts w:hint="eastAsia" w:ascii="宋体" w:hAnsi="宋体" w:eastAsia="宋体" w:cs="宋体"/>
                              <w:b w:val="0"/>
                              <w:bCs w:val="0"/>
                              <w:sz w:val="18"/>
                              <w:szCs w:val="18"/>
                              <w:lang w:val="en-US" w:eastAsia="zh-CN" w:bidi="ar-SA"/>
                            </w:rPr>
                            <w:instrText xml:space="preserve"> PAGE  \* MERGEFORMAT </w:instrText>
                          </w:r>
                          <w:r>
                            <w:rPr>
                              <w:rFonts w:hint="eastAsia" w:ascii="宋体" w:hAnsi="宋体" w:eastAsia="宋体" w:cs="宋体"/>
                              <w:b w:val="0"/>
                              <w:bCs w:val="0"/>
                              <w:sz w:val="18"/>
                              <w:szCs w:val="18"/>
                              <w:lang w:val="en-US" w:eastAsia="zh-CN" w:bidi="ar-SA"/>
                            </w:rPr>
                            <w:fldChar w:fldCharType="separate"/>
                          </w:r>
                          <w:r>
                            <w:rPr>
                              <w:rFonts w:hint="eastAsia" w:ascii="宋体" w:hAnsi="宋体" w:eastAsia="宋体" w:cs="宋体"/>
                              <w:b w:val="0"/>
                              <w:bCs w:val="0"/>
                              <w:sz w:val="18"/>
                              <w:szCs w:val="18"/>
                              <w:lang w:val="en-US" w:eastAsia="zh-CN" w:bidi="ar-SA"/>
                            </w:rPr>
                            <w:t xml:space="preserve">1</w:t>
                          </w:r>
                          <w:r>
                            <w:rPr>
                              <w:rFonts w:hint="eastAsia" w:ascii="宋体" w:hAnsi="宋体" w:eastAsia="宋体" w:cs="宋体"/>
                              <w:b w:val="0"/>
                              <w:bCs w:val="0"/>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fldChar w:fldCharType="begin"/>
                    </w:r>
                    <w:r>
                      <w:rPr>
                        <w:rFonts w:hint="eastAsia" w:ascii="宋体" w:hAnsi="宋体" w:eastAsia="宋体" w:cs="宋体"/>
                        <w:b w:val="0"/>
                        <w:bCs w:val="0"/>
                        <w:sz w:val="18"/>
                        <w:szCs w:val="18"/>
                        <w:lang w:val="en-US" w:eastAsia="zh-CN" w:bidi="ar-SA"/>
                      </w:rPr>
                      <w:instrText xml:space="preserve"> PAGE  \* MERGEFORMAT </w:instrText>
                    </w:r>
                    <w:r>
                      <w:rPr>
                        <w:rFonts w:hint="eastAsia" w:ascii="宋体" w:hAnsi="宋体" w:eastAsia="宋体" w:cs="宋体"/>
                        <w:b w:val="0"/>
                        <w:bCs w:val="0"/>
                        <w:sz w:val="18"/>
                        <w:szCs w:val="18"/>
                        <w:lang w:val="en-US" w:eastAsia="zh-CN" w:bidi="ar-SA"/>
                      </w:rPr>
                      <w:fldChar w:fldCharType="separate"/>
                    </w:r>
                    <w:r>
                      <w:rPr>
                        <w:rFonts w:hint="eastAsia" w:ascii="宋体" w:hAnsi="宋体" w:eastAsia="宋体" w:cs="宋体"/>
                        <w:b w:val="0"/>
                        <w:bCs w:val="0"/>
                        <w:sz w:val="18"/>
                        <w:szCs w:val="18"/>
                        <w:lang w:val="en-US" w:eastAsia="zh-CN" w:bidi="ar-SA"/>
                      </w:rPr>
                      <w:t xml:space="preserve">1</w:t>
                    </w:r>
                    <w:r>
                      <w:rPr>
                        <w:rFonts w:hint="eastAsia" w:ascii="宋体" w:hAnsi="宋体" w:eastAsia="宋体" w:cs="宋体"/>
                        <w:b w:val="0"/>
                        <w:bCs w:val="0"/>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pStyle w:val="111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Calibri" w:hAnsi="Calibri" w:eastAsia="宋体" w:cs="Times New Roman"/>
        <w:sz w:val="18"/>
        <w:szCs w:val="18"/>
        <w:lang w:val="en-US" w:eastAsia="zh-CN" w:bidi="ar-SA"/>
      </w:rPr>
      <w:pBdr>
        <w:bottom w:val="single" w:color="auto" w:sz="6" w:space="1"/>
      </w:pBdr>
    </w:pPr>
    <w:r>
      <w:rPr>
        <w:rFonts w:ascii="Calibri" w:hAnsi="Calibri"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0"/>
      <w:jc w:val="both"/>
      <w:rPr>
        <w:sz w:val="2"/>
        <w:szCs w:val="2"/>
      </w:rPr>
      <w:pBdr>
        <w:bottom w:val="single" w:color="000000" w:sz="8" w:space="1"/>
      </w:pBd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1 Char"/>
    <w:basedOn w:val="907"/>
    <w:link w:val="898"/>
    <w:uiPriority w:val="9"/>
    <w:rPr>
      <w:rFonts w:ascii="Arial" w:hAnsi="Arial" w:eastAsia="Arial" w:cs="Arial"/>
      <w:sz w:val="40"/>
      <w:szCs w:val="40"/>
    </w:rPr>
  </w:style>
  <w:style w:type="character" w:styleId="861">
    <w:name w:val="Heading 2 Char"/>
    <w:basedOn w:val="907"/>
    <w:link w:val="899"/>
    <w:uiPriority w:val="9"/>
    <w:rPr>
      <w:rFonts w:ascii="Arial" w:hAnsi="Arial" w:eastAsia="Arial" w:cs="Arial"/>
      <w:sz w:val="34"/>
    </w:rPr>
  </w:style>
  <w:style w:type="character" w:styleId="862">
    <w:name w:val="Heading 3 Char"/>
    <w:basedOn w:val="907"/>
    <w:link w:val="900"/>
    <w:uiPriority w:val="9"/>
    <w:rPr>
      <w:rFonts w:ascii="Arial" w:hAnsi="Arial" w:eastAsia="Arial" w:cs="Arial"/>
      <w:sz w:val="30"/>
      <w:szCs w:val="30"/>
    </w:rPr>
  </w:style>
  <w:style w:type="character" w:styleId="863">
    <w:name w:val="Heading 4 Char"/>
    <w:basedOn w:val="907"/>
    <w:link w:val="901"/>
    <w:uiPriority w:val="9"/>
    <w:rPr>
      <w:rFonts w:ascii="Arial" w:hAnsi="Arial" w:eastAsia="Arial" w:cs="Arial"/>
      <w:b/>
      <w:bCs/>
      <w:sz w:val="26"/>
      <w:szCs w:val="26"/>
    </w:rPr>
  </w:style>
  <w:style w:type="character" w:styleId="864">
    <w:name w:val="Heading 5 Char"/>
    <w:basedOn w:val="907"/>
    <w:link w:val="902"/>
    <w:uiPriority w:val="9"/>
    <w:rPr>
      <w:rFonts w:ascii="Arial" w:hAnsi="Arial" w:eastAsia="Arial" w:cs="Arial"/>
      <w:b/>
      <w:bCs/>
      <w:sz w:val="24"/>
      <w:szCs w:val="24"/>
    </w:rPr>
  </w:style>
  <w:style w:type="character" w:styleId="865">
    <w:name w:val="Heading 6 Char"/>
    <w:basedOn w:val="907"/>
    <w:link w:val="903"/>
    <w:uiPriority w:val="9"/>
    <w:rPr>
      <w:rFonts w:ascii="Arial" w:hAnsi="Arial" w:eastAsia="Arial" w:cs="Arial"/>
      <w:b/>
      <w:bCs/>
      <w:sz w:val="22"/>
      <w:szCs w:val="22"/>
    </w:rPr>
  </w:style>
  <w:style w:type="character" w:styleId="866">
    <w:name w:val="Heading 7 Char"/>
    <w:basedOn w:val="907"/>
    <w:link w:val="904"/>
    <w:uiPriority w:val="9"/>
    <w:rPr>
      <w:rFonts w:ascii="Arial" w:hAnsi="Arial" w:eastAsia="Arial" w:cs="Arial"/>
      <w:b/>
      <w:bCs/>
      <w:i/>
      <w:iCs/>
      <w:sz w:val="22"/>
      <w:szCs w:val="22"/>
    </w:rPr>
  </w:style>
  <w:style w:type="character" w:styleId="867">
    <w:name w:val="Heading 8 Char"/>
    <w:basedOn w:val="907"/>
    <w:link w:val="905"/>
    <w:uiPriority w:val="9"/>
    <w:rPr>
      <w:rFonts w:ascii="Arial" w:hAnsi="Arial" w:eastAsia="Arial" w:cs="Arial"/>
      <w:i/>
      <w:iCs/>
      <w:sz w:val="22"/>
      <w:szCs w:val="22"/>
    </w:rPr>
  </w:style>
  <w:style w:type="character" w:styleId="868">
    <w:name w:val="Heading 9 Char"/>
    <w:basedOn w:val="907"/>
    <w:link w:val="906"/>
    <w:uiPriority w:val="9"/>
    <w:rPr>
      <w:rFonts w:ascii="Arial" w:hAnsi="Arial" w:eastAsia="Arial" w:cs="Arial"/>
      <w:i/>
      <w:iCs/>
      <w:sz w:val="21"/>
      <w:szCs w:val="21"/>
    </w:rPr>
  </w:style>
  <w:style w:type="character" w:styleId="869">
    <w:name w:val="Title Char"/>
    <w:basedOn w:val="907"/>
    <w:link w:val="931"/>
    <w:uiPriority w:val="10"/>
    <w:rPr>
      <w:sz w:val="48"/>
      <w:szCs w:val="48"/>
    </w:rPr>
  </w:style>
  <w:style w:type="character" w:styleId="870">
    <w:name w:val="Subtitle Char"/>
    <w:basedOn w:val="907"/>
    <w:link w:val="922"/>
    <w:uiPriority w:val="11"/>
    <w:rPr>
      <w:sz w:val="24"/>
      <w:szCs w:val="24"/>
    </w:rPr>
  </w:style>
  <w:style w:type="character" w:styleId="871">
    <w:name w:val="Quote Char"/>
    <w:link w:val="953"/>
    <w:uiPriority w:val="29"/>
    <w:rPr>
      <w:i/>
    </w:rPr>
  </w:style>
  <w:style w:type="character" w:styleId="872">
    <w:name w:val="Intense Quote Char"/>
    <w:link w:val="955"/>
    <w:uiPriority w:val="30"/>
    <w:rPr>
      <w:i/>
    </w:rPr>
  </w:style>
  <w:style w:type="character" w:styleId="873">
    <w:name w:val="Header Char"/>
    <w:basedOn w:val="907"/>
    <w:link w:val="919"/>
    <w:uiPriority w:val="99"/>
  </w:style>
  <w:style w:type="character" w:styleId="874">
    <w:name w:val="Caption Char"/>
    <w:basedOn w:val="911"/>
    <w:link w:val="918"/>
    <w:uiPriority w:val="99"/>
  </w:style>
  <w:style w:type="table" w:styleId="875">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4">
    <w:name w:val="Footnote Text Char"/>
    <w:link w:val="923"/>
    <w:uiPriority w:val="99"/>
    <w:rPr>
      <w:sz w:val="18"/>
    </w:rPr>
  </w:style>
  <w:style w:type="character" w:styleId="895">
    <w:name w:val="Endnote Text Char"/>
    <w:link w:val="917"/>
    <w:uiPriority w:val="99"/>
    <w:rPr>
      <w:sz w:val="20"/>
    </w:rPr>
  </w:style>
  <w:style w:type="paragraph" w:styleId="896">
    <w:name w:val="TOC Heading"/>
    <w:uiPriority w:val="39"/>
    <w:unhideWhenUsed/>
  </w:style>
  <w:style w:type="paragraph" w:styleId="897"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898">
    <w:name w:val="Heading 1"/>
    <w:basedOn w:val="897"/>
    <w:next w:val="897"/>
    <w:link w:val="940"/>
    <w:uiPriority w:val="9"/>
    <w:qFormat/>
    <w:pPr>
      <w:keepLines/>
      <w:keepNext/>
      <w:spacing w:before="480" w:after="200"/>
      <w:outlineLvl w:val="0"/>
    </w:pPr>
    <w:rPr>
      <w:rFonts w:ascii="Arial" w:hAnsi="Arial" w:eastAsia="Arial" w:cs="Arial"/>
      <w:sz w:val="40"/>
      <w:szCs w:val="40"/>
    </w:rPr>
  </w:style>
  <w:style w:type="paragraph" w:styleId="899">
    <w:name w:val="Heading 2"/>
    <w:basedOn w:val="897"/>
    <w:next w:val="897"/>
    <w:link w:val="941"/>
    <w:uiPriority w:val="9"/>
    <w:unhideWhenUsed/>
    <w:qFormat/>
    <w:pPr>
      <w:keepLines/>
      <w:keepNext/>
      <w:spacing w:before="360" w:after="200"/>
      <w:outlineLvl w:val="1"/>
    </w:pPr>
    <w:rPr>
      <w:rFonts w:ascii="Arial" w:hAnsi="Arial" w:eastAsia="Arial" w:cs="Arial"/>
      <w:sz w:val="34"/>
    </w:rPr>
  </w:style>
  <w:style w:type="paragraph" w:styleId="900">
    <w:name w:val="Heading 3"/>
    <w:basedOn w:val="897"/>
    <w:next w:val="909"/>
    <w:link w:val="942"/>
    <w:uiPriority w:val="9"/>
    <w:unhideWhenUsed/>
    <w:qFormat/>
    <w:pPr>
      <w:keepLines/>
      <w:keepNext/>
      <w:spacing w:before="320" w:after="200"/>
      <w:outlineLvl w:val="2"/>
    </w:pPr>
    <w:rPr>
      <w:rFonts w:ascii="Arial" w:hAnsi="Arial" w:eastAsia="Arial" w:cs="Arial"/>
      <w:sz w:val="30"/>
      <w:szCs w:val="30"/>
    </w:rPr>
  </w:style>
  <w:style w:type="paragraph" w:styleId="901">
    <w:name w:val="Heading 4"/>
    <w:basedOn w:val="897"/>
    <w:next w:val="897"/>
    <w:link w:val="943"/>
    <w:uiPriority w:val="9"/>
    <w:unhideWhenUsed/>
    <w:qFormat/>
    <w:pPr>
      <w:keepLines/>
      <w:keepNext/>
      <w:spacing w:before="320" w:after="200"/>
      <w:outlineLvl w:val="3"/>
    </w:pPr>
    <w:rPr>
      <w:rFonts w:ascii="Arial" w:hAnsi="Arial" w:eastAsia="Arial" w:cs="Arial"/>
      <w:b/>
      <w:bCs/>
      <w:sz w:val="26"/>
      <w:szCs w:val="26"/>
    </w:rPr>
  </w:style>
  <w:style w:type="paragraph" w:styleId="902">
    <w:name w:val="Heading 5"/>
    <w:basedOn w:val="897"/>
    <w:next w:val="897"/>
    <w:link w:val="944"/>
    <w:uiPriority w:val="9"/>
    <w:unhideWhenUsed/>
    <w:qFormat/>
    <w:pPr>
      <w:keepLines/>
      <w:keepNext/>
      <w:spacing w:before="320" w:after="200"/>
      <w:outlineLvl w:val="4"/>
    </w:pPr>
    <w:rPr>
      <w:rFonts w:ascii="Arial" w:hAnsi="Arial" w:eastAsia="Arial" w:cs="Arial"/>
      <w:b/>
      <w:bCs/>
    </w:rPr>
  </w:style>
  <w:style w:type="paragraph" w:styleId="903">
    <w:name w:val="Heading 6"/>
    <w:basedOn w:val="897"/>
    <w:next w:val="897"/>
    <w:link w:val="945"/>
    <w:uiPriority w:val="9"/>
    <w:unhideWhenUsed/>
    <w:qFormat/>
    <w:pPr>
      <w:keepLines/>
      <w:keepNext/>
      <w:spacing w:before="320" w:after="200"/>
      <w:outlineLvl w:val="5"/>
    </w:pPr>
    <w:rPr>
      <w:rFonts w:ascii="Arial" w:hAnsi="Arial" w:eastAsia="Arial" w:cs="Arial"/>
      <w:b/>
      <w:bCs/>
      <w:sz w:val="22"/>
      <w:szCs w:val="22"/>
    </w:rPr>
  </w:style>
  <w:style w:type="paragraph" w:styleId="904">
    <w:name w:val="Heading 7"/>
    <w:basedOn w:val="897"/>
    <w:next w:val="897"/>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Heading 8"/>
    <w:basedOn w:val="897"/>
    <w:next w:val="897"/>
    <w:link w:val="947"/>
    <w:uiPriority w:val="9"/>
    <w:unhideWhenUsed/>
    <w:qFormat/>
    <w:pPr>
      <w:keepLines/>
      <w:keepNext/>
      <w:spacing w:before="320" w:after="200"/>
      <w:outlineLvl w:val="7"/>
    </w:pPr>
    <w:rPr>
      <w:rFonts w:ascii="Arial" w:hAnsi="Arial" w:eastAsia="Arial" w:cs="Arial"/>
      <w:i/>
      <w:iCs/>
      <w:sz w:val="22"/>
      <w:szCs w:val="22"/>
    </w:rPr>
  </w:style>
  <w:style w:type="paragraph" w:styleId="906">
    <w:name w:val="Heading 9"/>
    <w:basedOn w:val="897"/>
    <w:next w:val="897"/>
    <w:link w:val="948"/>
    <w:uiPriority w:val="9"/>
    <w:unhideWhenUsed/>
    <w:qFormat/>
    <w:pPr>
      <w:keepLines/>
      <w:keepNext/>
      <w:spacing w:before="320" w:after="200"/>
      <w:outlineLvl w:val="8"/>
    </w:pPr>
    <w:rPr>
      <w:rFonts w:ascii="Arial" w:hAnsi="Arial" w:eastAsia="Arial" w:cs="Arial"/>
      <w:i/>
      <w:iCs/>
      <w:sz w:val="21"/>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Normal Indent"/>
    <w:basedOn w:val="897"/>
    <w:uiPriority w:val="99"/>
    <w:qFormat/>
    <w:pPr>
      <w:ind w:firstLine="420"/>
    </w:pPr>
    <w:rPr>
      <w:szCs w:val="20"/>
    </w:rPr>
  </w:style>
  <w:style w:type="paragraph" w:styleId="910">
    <w:name w:val="toc 7"/>
    <w:basedOn w:val="897"/>
    <w:next w:val="897"/>
    <w:uiPriority w:val="39"/>
    <w:unhideWhenUsed/>
    <w:qFormat/>
    <w:pPr>
      <w:ind w:left="1701" w:firstLine="0"/>
      <w:spacing w:after="57"/>
    </w:pPr>
  </w:style>
  <w:style w:type="paragraph" w:styleId="911">
    <w:name w:val="Caption"/>
    <w:basedOn w:val="897"/>
    <w:next w:val="8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annotation text"/>
    <w:basedOn w:val="897"/>
    <w:link w:val="1209"/>
    <w:uiPriority w:val="99"/>
    <w:unhideWhenUsed/>
    <w:qFormat/>
    <w:pPr>
      <w:jc w:val="left"/>
    </w:pPr>
  </w:style>
  <w:style w:type="paragraph" w:styleId="913">
    <w:name w:val="toc 5"/>
    <w:basedOn w:val="897"/>
    <w:next w:val="897"/>
    <w:uiPriority w:val="39"/>
    <w:unhideWhenUsed/>
    <w:qFormat/>
    <w:pPr>
      <w:ind w:left="1134" w:firstLine="0"/>
      <w:spacing w:after="57"/>
    </w:pPr>
  </w:style>
  <w:style w:type="paragraph" w:styleId="914">
    <w:name w:val="toc 3"/>
    <w:basedOn w:val="897"/>
    <w:next w:val="897"/>
    <w:uiPriority w:val="39"/>
    <w:unhideWhenUsed/>
    <w:qFormat/>
    <w:pPr>
      <w:ind w:left="567" w:firstLine="0"/>
      <w:spacing w:after="57"/>
    </w:pPr>
  </w:style>
  <w:style w:type="paragraph" w:styleId="915">
    <w:name w:val="Plain Text"/>
    <w:uiPriority w:val="0"/>
    <w:qFormat/>
    <w:pPr>
      <w:ind w:firstLine="802"/>
      <w:jc w:val="both"/>
      <w:spacing w:line="360" w:lineRule="auto"/>
      <w:widowControl w:val="off"/>
    </w:pPr>
    <w:rPr>
      <w:rFonts w:ascii="宋体" w:hAnsi="Courier New" w:eastAsia="宋体" w:cs="Times New Roman"/>
      <w:sz w:val="21"/>
      <w:szCs w:val="20"/>
      <w:lang w:val="en-US" w:eastAsia="zh-CN" w:bidi="ar-SA"/>
    </w:rPr>
  </w:style>
  <w:style w:type="paragraph" w:styleId="916">
    <w:name w:val="toc 8"/>
    <w:basedOn w:val="897"/>
    <w:next w:val="897"/>
    <w:uiPriority w:val="39"/>
    <w:unhideWhenUsed/>
    <w:qFormat/>
    <w:pPr>
      <w:ind w:left="1984" w:firstLine="0"/>
      <w:spacing w:after="57"/>
    </w:pPr>
  </w:style>
  <w:style w:type="paragraph" w:styleId="917">
    <w:name w:val="endnote text"/>
    <w:basedOn w:val="897"/>
    <w:link w:val="1086"/>
    <w:uiPriority w:val="99"/>
    <w:semiHidden/>
    <w:unhideWhenUsed/>
    <w:qFormat/>
    <w:pPr>
      <w:spacing w:line="240" w:lineRule="auto"/>
    </w:pPr>
    <w:rPr>
      <w:sz w:val="20"/>
    </w:rPr>
  </w:style>
  <w:style w:type="paragraph" w:styleId="918">
    <w:name w:val="Footer"/>
    <w:basedOn w:val="897"/>
    <w:link w:val="959"/>
    <w:uiPriority w:val="99"/>
    <w:unhideWhenUsed/>
    <w:qFormat/>
    <w:pPr>
      <w:spacing w:line="240" w:lineRule="auto"/>
      <w:tabs>
        <w:tab w:val="center" w:pos="7143" w:leader="none"/>
        <w:tab w:val="right" w:pos="14287" w:leader="none"/>
      </w:tabs>
    </w:pPr>
  </w:style>
  <w:style w:type="paragraph" w:styleId="919">
    <w:name w:val="Header"/>
    <w:basedOn w:val="897"/>
    <w:link w:val="957"/>
    <w:uiPriority w:val="99"/>
    <w:unhideWhenUsed/>
    <w:qFormat/>
    <w:pPr>
      <w:spacing w:line="240" w:lineRule="auto"/>
      <w:tabs>
        <w:tab w:val="center" w:pos="7143" w:leader="none"/>
        <w:tab w:val="right" w:pos="14287" w:leader="none"/>
      </w:tabs>
    </w:pPr>
  </w:style>
  <w:style w:type="paragraph" w:styleId="920">
    <w:name w:val="toc 1"/>
    <w:basedOn w:val="897"/>
    <w:next w:val="897"/>
    <w:uiPriority w:val="39"/>
    <w:unhideWhenUsed/>
    <w:qFormat/>
    <w:pPr>
      <w:ind w:firstLine="0"/>
      <w:spacing w:after="57"/>
    </w:pPr>
  </w:style>
  <w:style w:type="paragraph" w:styleId="921">
    <w:name w:val="toc 4"/>
    <w:basedOn w:val="897"/>
    <w:next w:val="897"/>
    <w:uiPriority w:val="39"/>
    <w:unhideWhenUsed/>
    <w:qFormat/>
    <w:pPr>
      <w:ind w:left="850" w:firstLine="0"/>
      <w:spacing w:after="57"/>
    </w:pPr>
  </w:style>
  <w:style w:type="paragraph" w:styleId="922">
    <w:name w:val="Subtitle"/>
    <w:basedOn w:val="897"/>
    <w:next w:val="897"/>
    <w:link w:val="952"/>
    <w:uiPriority w:val="11"/>
    <w:qFormat/>
    <w:pPr>
      <w:spacing w:before="200" w:after="200"/>
    </w:pPr>
  </w:style>
  <w:style w:type="paragraph" w:styleId="923">
    <w:name w:val="footnote text"/>
    <w:basedOn w:val="897"/>
    <w:link w:val="1085"/>
    <w:uiPriority w:val="99"/>
    <w:semiHidden/>
    <w:unhideWhenUsed/>
    <w:qFormat/>
    <w:pPr>
      <w:spacing w:after="40" w:line="240" w:lineRule="auto"/>
    </w:pPr>
    <w:rPr>
      <w:sz w:val="18"/>
    </w:rPr>
  </w:style>
  <w:style w:type="paragraph" w:styleId="924">
    <w:name w:val="toc 6"/>
    <w:basedOn w:val="897"/>
    <w:next w:val="897"/>
    <w:uiPriority w:val="39"/>
    <w:unhideWhenUsed/>
    <w:qFormat/>
    <w:pPr>
      <w:ind w:left="1417" w:firstLine="0"/>
      <w:spacing w:after="57"/>
    </w:pPr>
  </w:style>
  <w:style w:type="paragraph" w:styleId="925">
    <w:name w:val="Body Text Indent 3"/>
    <w:uiPriority w:val="0"/>
    <w:qFormat/>
    <w:pPr>
      <w:ind w:left="360" w:firstLine="802"/>
      <w:jc w:val="both"/>
      <w:spacing w:line="400" w:lineRule="exact"/>
      <w:widowControl w:val="off"/>
    </w:pPr>
    <w:rPr>
      <w:rFonts w:ascii="Times New Roman" w:hAnsi="Times New Roman" w:eastAsia="宋体" w:cs="Times New Roman"/>
      <w:sz w:val="24"/>
      <w:szCs w:val="24"/>
      <w:lang w:val="en-US" w:eastAsia="zh-CN" w:bidi="ar-SA"/>
    </w:rPr>
  </w:style>
  <w:style w:type="paragraph" w:styleId="926">
    <w:name w:val="table of figures"/>
    <w:basedOn w:val="897"/>
    <w:next w:val="897"/>
    <w:uiPriority w:val="99"/>
    <w:unhideWhenUsed/>
    <w:qFormat/>
  </w:style>
  <w:style w:type="paragraph" w:styleId="927">
    <w:name w:val="toc 2"/>
    <w:basedOn w:val="897"/>
    <w:next w:val="897"/>
    <w:uiPriority w:val="39"/>
    <w:unhideWhenUsed/>
    <w:qFormat/>
    <w:pPr>
      <w:ind w:left="283" w:firstLine="0"/>
      <w:spacing w:after="57"/>
    </w:pPr>
  </w:style>
  <w:style w:type="paragraph" w:styleId="928">
    <w:name w:val="toc 9"/>
    <w:basedOn w:val="897"/>
    <w:next w:val="897"/>
    <w:uiPriority w:val="39"/>
    <w:unhideWhenUsed/>
    <w:qFormat/>
    <w:pPr>
      <w:ind w:left="2268" w:firstLine="0"/>
      <w:spacing w:after="57"/>
    </w:pPr>
  </w:style>
  <w:style w:type="paragraph" w:styleId="929">
    <w:name w:val="HTML Preformatted"/>
    <w:basedOn w:val="8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930">
    <w:name w:val="Normal (Web)"/>
    <w:basedOn w:val="897"/>
    <w:uiPriority w:val="0"/>
    <w:unhideWhenUsed/>
    <w:qFormat/>
    <w:pPr>
      <w:jc w:val="left"/>
      <w:spacing w:before="100" w:beforeAutospacing="1" w:after="100" w:afterAutospacing="1"/>
      <w:widowControl/>
    </w:pPr>
    <w:rPr>
      <w:rFonts w:ascii="宋体" w:hAnsi="宋体" w:cs="宋体"/>
    </w:rPr>
  </w:style>
  <w:style w:type="paragraph" w:styleId="931">
    <w:name w:val="Title"/>
    <w:basedOn w:val="897"/>
    <w:next w:val="897"/>
    <w:link w:val="951"/>
    <w:uiPriority w:val="10"/>
    <w:qFormat/>
    <w:pPr>
      <w:contextualSpacing/>
      <w:spacing w:before="300" w:after="200"/>
    </w:pPr>
    <w:rPr>
      <w:sz w:val="48"/>
      <w:szCs w:val="48"/>
    </w:rPr>
  </w:style>
  <w:style w:type="paragraph" w:styleId="932">
    <w:name w:val="annotation subject"/>
    <w:basedOn w:val="912"/>
    <w:next w:val="912"/>
    <w:link w:val="1210"/>
    <w:uiPriority w:val="99"/>
    <w:semiHidden/>
    <w:unhideWhenUsed/>
    <w:qFormat/>
    <w:rPr>
      <w:b/>
      <w:bCs/>
    </w:rPr>
  </w:style>
  <w:style w:type="table" w:styleId="9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basedOn w:val="907"/>
    <w:uiPriority w:val="22"/>
    <w:qFormat/>
    <w:rPr>
      <w:b/>
    </w:rPr>
  </w:style>
  <w:style w:type="character" w:styleId="935">
    <w:name w:val="endnote reference"/>
    <w:uiPriority w:val="99"/>
    <w:semiHidden/>
    <w:unhideWhenUsed/>
    <w:qFormat/>
    <w:rPr>
      <w:vertAlign w:val="superscript"/>
    </w:rPr>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annotation reference"/>
    <w:basedOn w:val="907"/>
    <w:uiPriority w:val="99"/>
    <w:semiHidden/>
    <w:unhideWhenUsed/>
    <w:qFormat/>
    <w:rPr>
      <w:sz w:val="21"/>
      <w:szCs w:val="21"/>
    </w:rPr>
  </w:style>
  <w:style w:type="character" w:styleId="938">
    <w:name w:val="footnote reference"/>
    <w:uiPriority w:val="99"/>
    <w:unhideWhenUsed/>
    <w:qFormat/>
    <w:rPr>
      <w:vertAlign w:val="superscript"/>
    </w:rPr>
  </w:style>
  <w:style w:type="paragraph" w:styleId="939" w:customStyle="1">
    <w:name w:val="Default"/>
    <w:link w:val="1153"/>
    <w:uiPriority w:val="99"/>
    <w:qFormat/>
    <w:pPr>
      <w:widowControl w:val="off"/>
    </w:pPr>
    <w:rPr>
      <w:rFonts w:ascii="MS Mincho" w:hAnsi="Calibri" w:eastAsia="MS Mincho" w:cs="Times New Roman"/>
      <w:color w:val="000000"/>
      <w:sz w:val="24"/>
      <w:szCs w:val="24"/>
      <w:lang w:val="en-US" w:eastAsia="zh-CN" w:bidi="ar-SA"/>
    </w:rPr>
  </w:style>
  <w:style w:type="character" w:styleId="940" w:customStyle="1">
    <w:name w:val="标题 1 字符1"/>
    <w:link w:val="898"/>
    <w:uiPriority w:val="9"/>
    <w:qFormat/>
    <w:rPr>
      <w:rFonts w:ascii="Arial" w:hAnsi="Arial" w:eastAsia="Arial" w:cs="Arial"/>
      <w:sz w:val="40"/>
      <w:szCs w:val="40"/>
    </w:rPr>
  </w:style>
  <w:style w:type="character" w:styleId="941" w:customStyle="1">
    <w:name w:val="标题 2 字符"/>
    <w:link w:val="899"/>
    <w:uiPriority w:val="9"/>
    <w:qFormat/>
    <w:rPr>
      <w:rFonts w:ascii="Arial" w:hAnsi="Arial" w:eastAsia="Arial" w:cs="Arial"/>
      <w:sz w:val="34"/>
    </w:rPr>
  </w:style>
  <w:style w:type="character" w:styleId="942" w:customStyle="1">
    <w:name w:val="标题 3 字符1"/>
    <w:link w:val="900"/>
    <w:uiPriority w:val="9"/>
    <w:qFormat/>
    <w:rPr>
      <w:rFonts w:ascii="Arial" w:hAnsi="Arial" w:eastAsia="Arial" w:cs="Arial"/>
      <w:sz w:val="30"/>
      <w:szCs w:val="30"/>
    </w:rPr>
  </w:style>
  <w:style w:type="character" w:styleId="943" w:customStyle="1">
    <w:name w:val="标题 4 字符1"/>
    <w:link w:val="901"/>
    <w:uiPriority w:val="9"/>
    <w:qFormat/>
    <w:rPr>
      <w:rFonts w:ascii="Arial" w:hAnsi="Arial" w:eastAsia="Arial" w:cs="Arial"/>
      <w:b/>
      <w:bCs/>
      <w:sz w:val="26"/>
      <w:szCs w:val="26"/>
    </w:rPr>
  </w:style>
  <w:style w:type="character" w:styleId="944" w:customStyle="1">
    <w:name w:val="标题 5 字符"/>
    <w:link w:val="902"/>
    <w:uiPriority w:val="9"/>
    <w:qFormat/>
    <w:rPr>
      <w:rFonts w:ascii="Arial" w:hAnsi="Arial" w:eastAsia="Arial" w:cs="Arial"/>
      <w:b/>
      <w:bCs/>
      <w:sz w:val="24"/>
      <w:szCs w:val="24"/>
    </w:rPr>
  </w:style>
  <w:style w:type="character" w:styleId="945" w:customStyle="1">
    <w:name w:val="标题 6 字符"/>
    <w:link w:val="903"/>
    <w:uiPriority w:val="9"/>
    <w:qFormat/>
    <w:rPr>
      <w:rFonts w:ascii="Arial" w:hAnsi="Arial" w:eastAsia="Arial" w:cs="Arial"/>
      <w:b/>
      <w:bCs/>
      <w:sz w:val="22"/>
      <w:szCs w:val="22"/>
    </w:rPr>
  </w:style>
  <w:style w:type="character" w:styleId="946" w:customStyle="1">
    <w:name w:val="标题 7 字符"/>
    <w:link w:val="904"/>
    <w:uiPriority w:val="9"/>
    <w:qFormat/>
    <w:rPr>
      <w:rFonts w:ascii="Arial" w:hAnsi="Arial" w:eastAsia="Arial" w:cs="Arial"/>
      <w:b/>
      <w:bCs/>
      <w:i/>
      <w:iCs/>
      <w:sz w:val="22"/>
      <w:szCs w:val="22"/>
    </w:rPr>
  </w:style>
  <w:style w:type="character" w:styleId="947" w:customStyle="1">
    <w:name w:val="标题 8 字符"/>
    <w:link w:val="905"/>
    <w:uiPriority w:val="9"/>
    <w:qFormat/>
    <w:rPr>
      <w:rFonts w:ascii="Arial" w:hAnsi="Arial" w:eastAsia="Arial" w:cs="Arial"/>
      <w:i/>
      <w:iCs/>
      <w:sz w:val="22"/>
      <w:szCs w:val="22"/>
    </w:rPr>
  </w:style>
  <w:style w:type="character" w:styleId="948" w:customStyle="1">
    <w:name w:val="标题 9 字符"/>
    <w:link w:val="906"/>
    <w:uiPriority w:val="9"/>
    <w:qFormat/>
    <w:rPr>
      <w:rFonts w:ascii="Arial" w:hAnsi="Arial" w:eastAsia="Arial" w:cs="Arial"/>
      <w:i/>
      <w:iCs/>
      <w:sz w:val="21"/>
      <w:szCs w:val="21"/>
    </w:rPr>
  </w:style>
  <w:style w:type="paragraph" w:styleId="949">
    <w:name w:val="List Paragraph"/>
    <w:basedOn w:val="897"/>
    <w:uiPriority w:val="34"/>
    <w:qFormat/>
    <w:pPr>
      <w:contextualSpacing/>
      <w:ind w:left="720"/>
    </w:pPr>
  </w:style>
  <w:style w:type="paragraph" w:styleId="950">
    <w:name w:val="No Spacing"/>
    <w:uiPriority w:val="1"/>
    <w:qFormat/>
    <w:rPr>
      <w:rFonts w:ascii="Times New Roman" w:hAnsi="Times New Roman" w:eastAsia="宋体" w:cs="Times New Roman"/>
      <w:lang w:val="en-US" w:eastAsia="zh-CN" w:bidi="ar-SA"/>
    </w:rPr>
  </w:style>
  <w:style w:type="character" w:styleId="951" w:customStyle="1">
    <w:name w:val="标题 字符"/>
    <w:link w:val="931"/>
    <w:uiPriority w:val="10"/>
    <w:qFormat/>
    <w:rPr>
      <w:sz w:val="48"/>
      <w:szCs w:val="48"/>
    </w:rPr>
  </w:style>
  <w:style w:type="character" w:styleId="952" w:customStyle="1">
    <w:name w:val="副标题 字符1"/>
    <w:link w:val="922"/>
    <w:uiPriority w:val="11"/>
    <w:qFormat/>
    <w:rPr>
      <w:sz w:val="24"/>
      <w:szCs w:val="24"/>
    </w:rPr>
  </w:style>
  <w:style w:type="paragraph" w:styleId="953">
    <w:name w:val="Quote"/>
    <w:basedOn w:val="897"/>
    <w:next w:val="897"/>
    <w:link w:val="954"/>
    <w:uiPriority w:val="29"/>
    <w:qFormat/>
    <w:pPr>
      <w:ind w:left="720" w:right="720"/>
    </w:pPr>
    <w:rPr>
      <w:i/>
    </w:rPr>
  </w:style>
  <w:style w:type="character" w:styleId="954" w:customStyle="1">
    <w:name w:val="引用 字符"/>
    <w:link w:val="953"/>
    <w:uiPriority w:val="29"/>
    <w:qFormat/>
    <w:rPr>
      <w:i/>
    </w:rPr>
  </w:style>
  <w:style w:type="paragraph" w:styleId="955">
    <w:name w:val="Intense Quote"/>
    <w:basedOn w:val="897"/>
    <w:next w:val="897"/>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字符"/>
    <w:link w:val="955"/>
    <w:uiPriority w:val="30"/>
    <w:qFormat/>
    <w:rPr>
      <w:i/>
    </w:rPr>
  </w:style>
  <w:style w:type="character" w:styleId="957" w:customStyle="1">
    <w:name w:val="页眉 字符"/>
    <w:link w:val="919"/>
    <w:uiPriority w:val="99"/>
    <w:qFormat/>
  </w:style>
  <w:style w:type="character" w:styleId="958" w:customStyle="1">
    <w:name w:val="Footer Char"/>
    <w:uiPriority w:val="99"/>
    <w:qFormat/>
  </w:style>
  <w:style w:type="character" w:styleId="959" w:customStyle="1">
    <w:name w:val="页脚 字符1"/>
    <w:link w:val="918"/>
    <w:uiPriority w:val="99"/>
    <w:qFormat/>
  </w:style>
  <w:style w:type="table" w:styleId="9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脚注文本 字符"/>
    <w:link w:val="923"/>
    <w:uiPriority w:val="99"/>
    <w:qFormat/>
    <w:rPr>
      <w:sz w:val="18"/>
    </w:rPr>
  </w:style>
  <w:style w:type="character" w:styleId="1086" w:customStyle="1">
    <w:name w:val="尾注文本 字符"/>
    <w:link w:val="917"/>
    <w:uiPriority w:val="99"/>
    <w:qFormat/>
    <w:rPr>
      <w:sz w:val="20"/>
    </w:rPr>
  </w:style>
  <w:style w:type="paragraph" w:styleId="1087" w:customStyle="1">
    <w:name w:val="TOC 标题1"/>
    <w:uiPriority w:val="39"/>
    <w:unhideWhenUsed/>
    <w:qFormat/>
    <w:rPr>
      <w:rFonts w:ascii="Times New Roman" w:hAnsi="Times New Roman" w:eastAsia="宋体" w:cs="Times New Roman"/>
      <w:lang w:val="en-US" w:eastAsia="zh-CN" w:bidi="ar-SA"/>
    </w:rPr>
  </w:style>
  <w:style w:type="paragraph" w:styleId="1088" w:customStyle="1">
    <w:name w:val="标题 11"/>
    <w:basedOn w:val="897"/>
    <w:next w:val="897"/>
    <w:link w:val="1094"/>
    <w:uiPriority w:val="0"/>
    <w:qFormat/>
    <w:pPr>
      <w:ind w:firstLine="0"/>
      <w:jc w:val="center"/>
      <w:keepLines/>
      <w:keepNext/>
      <w:tabs>
        <w:tab w:val="left" w:pos="330" w:leader="none"/>
        <w:tab w:val="left" w:pos="7020" w:leader="none"/>
      </w:tabs>
      <w:outlineLvl w:val="0"/>
    </w:pPr>
    <w:rPr>
      <w:b/>
      <w:bCs/>
      <w:sz w:val="36"/>
      <w:szCs w:val="44"/>
    </w:rPr>
  </w:style>
  <w:style w:type="paragraph" w:styleId="1089" w:customStyle="1">
    <w:name w:val="标题 211"/>
    <w:basedOn w:val="897"/>
    <w:next w:val="897"/>
    <w:uiPriority w:val="0"/>
    <w:qFormat/>
    <w:pPr>
      <w:ind w:firstLine="0"/>
      <w:keepLines/>
      <w:keepNext/>
      <w:outlineLvl w:val="1"/>
    </w:pPr>
    <w:rPr>
      <w:b/>
      <w:bCs/>
      <w:szCs w:val="32"/>
    </w:rPr>
  </w:style>
  <w:style w:type="paragraph" w:styleId="1090" w:customStyle="1">
    <w:name w:val="标题 31"/>
    <w:basedOn w:val="897"/>
    <w:next w:val="897"/>
    <w:link w:val="1095"/>
    <w:uiPriority w:val="0"/>
    <w:qFormat/>
    <w:pPr>
      <w:keepLines/>
      <w:keepNext/>
      <w:spacing w:before="260" w:after="260" w:line="416" w:lineRule="auto"/>
      <w:outlineLvl w:val="2"/>
    </w:pPr>
    <w:rPr>
      <w:b/>
      <w:bCs/>
      <w:sz w:val="32"/>
      <w:szCs w:val="32"/>
    </w:rPr>
  </w:style>
  <w:style w:type="paragraph" w:styleId="1091" w:customStyle="1">
    <w:name w:val="标题 41"/>
    <w:basedOn w:val="897"/>
    <w:next w:val="897"/>
    <w:link w:val="1096"/>
    <w:uiPriority w:val="0"/>
    <w:qFormat/>
    <w:pPr>
      <w:keepLines/>
      <w:keepNext/>
      <w:spacing w:before="280" w:after="290" w:line="376" w:lineRule="auto"/>
      <w:outlineLvl w:val="3"/>
    </w:pPr>
    <w:rPr>
      <w:rFonts w:ascii="Cambria" w:hAnsi="Cambria"/>
      <w:b/>
      <w:bCs/>
      <w:sz w:val="28"/>
      <w:szCs w:val="28"/>
    </w:rPr>
  </w:style>
  <w:style w:type="character" w:styleId="1092" w:customStyle="1">
    <w:name w:val="默认段落字体1"/>
    <w:uiPriority w:val="1"/>
    <w:unhideWhenUsed/>
    <w:qFormat/>
  </w:style>
  <w:style w:type="table" w:styleId="1093" w:customStyle="1">
    <w:name w:val="普通表格1"/>
    <w:uiPriority w:val="99"/>
    <w:unhideWhenUsed/>
    <w:qFormat/>
    <w:tblPr>
      <w:tblCellMar>
        <w:left w:w="0" w:type="dxa"/>
        <w:top w:w="0" w:type="dxa"/>
        <w:right w:w="0" w:type="dxa"/>
        <w:bottom w:w="0" w:type="dxa"/>
      </w:tblCellMar>
    </w:tblPr>
  </w:style>
  <w:style w:type="character" w:styleId="1094" w:customStyle="1">
    <w:name w:val="标题 1 字符"/>
    <w:link w:val="1088"/>
    <w:uiPriority w:val="0"/>
    <w:qFormat/>
    <w:rPr>
      <w:rFonts w:ascii="Times New Roman" w:hAnsi="Times New Roman" w:eastAsia="宋体"/>
      <w:b/>
      <w:bCs/>
      <w:sz w:val="36"/>
      <w:szCs w:val="44"/>
    </w:rPr>
  </w:style>
  <w:style w:type="character" w:styleId="1095" w:customStyle="1">
    <w:name w:val="标题 3 字符"/>
    <w:link w:val="1090"/>
    <w:uiPriority w:val="0"/>
    <w:qFormat/>
    <w:rPr>
      <w:b/>
      <w:bCs/>
      <w:sz w:val="32"/>
      <w:szCs w:val="32"/>
    </w:rPr>
  </w:style>
  <w:style w:type="character" w:styleId="1096" w:customStyle="1">
    <w:name w:val="标题 4 字符"/>
    <w:link w:val="1091"/>
    <w:uiPriority w:val="0"/>
    <w:semiHidden/>
    <w:qFormat/>
    <w:rPr>
      <w:rFonts w:ascii="Cambria" w:hAnsi="Cambria" w:eastAsia="宋体" w:cs="Times New Roman"/>
      <w:b/>
      <w:bCs/>
      <w:sz w:val="28"/>
      <w:szCs w:val="28"/>
    </w:rPr>
  </w:style>
  <w:style w:type="paragraph" w:styleId="1097" w:customStyle="1">
    <w:name w:val="目录 71"/>
    <w:basedOn w:val="897"/>
    <w:next w:val="897"/>
    <w:uiPriority w:val="0"/>
    <w:unhideWhenUsed/>
    <w:qFormat/>
    <w:pPr>
      <w:ind w:left="1050"/>
      <w:jc w:val="left"/>
    </w:pPr>
    <w:rPr>
      <w:rFonts w:ascii="Calibri" w:hAnsi="Calibri" w:cs="Calibri"/>
      <w:sz w:val="20"/>
      <w:szCs w:val="20"/>
    </w:rPr>
  </w:style>
  <w:style w:type="paragraph" w:styleId="1098" w:customStyle="1">
    <w:name w:val="正文缩进1"/>
    <w:basedOn w:val="897"/>
    <w:uiPriority w:val="0"/>
    <w:qFormat/>
    <w:pPr>
      <w:ind w:firstLine="420"/>
      <w:spacing w:line="360" w:lineRule="atLeast"/>
    </w:pPr>
    <w:rPr>
      <w:szCs w:val="20"/>
    </w:rPr>
  </w:style>
  <w:style w:type="paragraph" w:styleId="1099" w:customStyle="1">
    <w:name w:val="文档结构图1"/>
    <w:basedOn w:val="897"/>
    <w:uiPriority w:val="0"/>
    <w:semiHidden/>
    <w:qFormat/>
    <w:pPr>
      <w:shd w:val="clear" w:color="auto" w:fill="000080"/>
    </w:pPr>
  </w:style>
  <w:style w:type="paragraph" w:styleId="1100" w:customStyle="1">
    <w:name w:val="批注文字11"/>
    <w:basedOn w:val="897"/>
    <w:link w:val="1101"/>
    <w:uiPriority w:val="99"/>
    <w:qFormat/>
    <w:pPr>
      <w:jc w:val="left"/>
    </w:pPr>
    <w:rPr>
      <w:sz w:val="21"/>
    </w:rPr>
  </w:style>
  <w:style w:type="character" w:styleId="1101" w:customStyle="1">
    <w:name w:val="批注文字 字符"/>
    <w:link w:val="1100"/>
    <w:uiPriority w:val="99"/>
    <w:qFormat/>
    <w:rPr>
      <w:rFonts w:eastAsia="宋体"/>
      <w:sz w:val="21"/>
      <w:szCs w:val="24"/>
      <w:lang w:val="en-US" w:eastAsia="zh-CN" w:bidi="ar-SA"/>
    </w:rPr>
  </w:style>
  <w:style w:type="paragraph" w:styleId="1102" w:customStyle="1">
    <w:name w:val="正文文本 31"/>
    <w:basedOn w:val="897"/>
    <w:uiPriority w:val="0"/>
    <w:qFormat/>
    <w:pPr>
      <w:spacing w:after="120"/>
    </w:pPr>
    <w:rPr>
      <w:sz w:val="16"/>
      <w:szCs w:val="16"/>
    </w:rPr>
  </w:style>
  <w:style w:type="paragraph" w:styleId="1103" w:customStyle="1">
    <w:name w:val="正文文本1"/>
    <w:basedOn w:val="897"/>
    <w:next w:val="897"/>
    <w:uiPriority w:val="0"/>
    <w:qFormat/>
    <w:pPr>
      <w:jc w:val="center"/>
    </w:pPr>
  </w:style>
  <w:style w:type="paragraph" w:styleId="1104" w:customStyle="1">
    <w:name w:val="正文文本缩进1"/>
    <w:basedOn w:val="897"/>
    <w:link w:val="1105"/>
    <w:uiPriority w:val="0"/>
    <w:qFormat/>
    <w:pPr>
      <w:ind w:firstLine="301"/>
      <w:spacing w:line="200" w:lineRule="exact"/>
    </w:pPr>
    <w:rPr>
      <w:rFonts w:ascii="宋体" w:hAnsi="Courier New"/>
      <w:spacing w:val="-4"/>
      <w:sz w:val="18"/>
      <w:szCs w:val="20"/>
    </w:rPr>
  </w:style>
  <w:style w:type="character" w:styleId="1105" w:customStyle="1">
    <w:name w:val="正文文本缩进 字符"/>
    <w:link w:val="1104"/>
    <w:uiPriority w:val="0"/>
    <w:qFormat/>
    <w:rPr>
      <w:rFonts w:ascii="宋体" w:hAnsi="Courier New" w:eastAsia="宋体"/>
      <w:spacing w:val="-4"/>
      <w:sz w:val="18"/>
      <w:lang w:val="en-US" w:eastAsia="zh-CN" w:bidi="ar-SA"/>
    </w:rPr>
  </w:style>
  <w:style w:type="paragraph" w:styleId="1106" w:customStyle="1">
    <w:name w:val="索引 41"/>
    <w:basedOn w:val="897"/>
    <w:next w:val="897"/>
    <w:uiPriority w:val="0"/>
    <w:unhideWhenUsed/>
    <w:qFormat/>
    <w:pPr>
      <w:ind w:left="600"/>
    </w:pPr>
  </w:style>
  <w:style w:type="paragraph" w:styleId="1107" w:customStyle="1">
    <w:name w:val="目录 51"/>
    <w:basedOn w:val="897"/>
    <w:next w:val="897"/>
    <w:uiPriority w:val="0"/>
    <w:unhideWhenUsed/>
    <w:qFormat/>
    <w:pPr>
      <w:ind w:left="630"/>
      <w:jc w:val="left"/>
    </w:pPr>
    <w:rPr>
      <w:rFonts w:ascii="Calibri" w:hAnsi="Calibri" w:cs="Calibri"/>
      <w:sz w:val="20"/>
      <w:szCs w:val="20"/>
    </w:rPr>
  </w:style>
  <w:style w:type="paragraph" w:styleId="1108" w:customStyle="1">
    <w:name w:val="目录 31"/>
    <w:basedOn w:val="897"/>
    <w:next w:val="897"/>
    <w:uiPriority w:val="39"/>
    <w:unhideWhenUsed/>
    <w:qFormat/>
    <w:pPr>
      <w:ind w:left="210"/>
      <w:jc w:val="left"/>
    </w:pPr>
    <w:rPr>
      <w:rFonts w:ascii="Calibri" w:hAnsi="Calibri" w:cs="Calibri"/>
      <w:sz w:val="20"/>
      <w:szCs w:val="20"/>
    </w:rPr>
  </w:style>
  <w:style w:type="paragraph" w:styleId="1109" w:customStyle="1">
    <w:name w:val="纯文本1"/>
    <w:basedOn w:val="897"/>
    <w:link w:val="1110"/>
    <w:uiPriority w:val="0"/>
    <w:qFormat/>
    <w:rPr>
      <w:rFonts w:ascii="宋体" w:hAnsi="Courier New"/>
      <w:sz w:val="21"/>
      <w:szCs w:val="20"/>
    </w:rPr>
  </w:style>
  <w:style w:type="character" w:styleId="1110" w:customStyle="1">
    <w:name w:val="纯文本 字符1"/>
    <w:link w:val="1109"/>
    <w:uiPriority w:val="0"/>
    <w:qFormat/>
    <w:rPr>
      <w:rFonts w:ascii="宋体" w:hAnsi="Courier New" w:eastAsia="宋体"/>
      <w:sz w:val="21"/>
      <w:lang w:val="en-US" w:eastAsia="zh-CN" w:bidi="ar-SA"/>
    </w:rPr>
  </w:style>
  <w:style w:type="paragraph" w:styleId="1111" w:customStyle="1">
    <w:name w:val="目录 81"/>
    <w:basedOn w:val="897"/>
    <w:next w:val="897"/>
    <w:uiPriority w:val="0"/>
    <w:unhideWhenUsed/>
    <w:qFormat/>
    <w:pPr>
      <w:ind w:left="1260"/>
      <w:jc w:val="left"/>
    </w:pPr>
    <w:rPr>
      <w:rFonts w:ascii="Calibri" w:hAnsi="Calibri" w:cs="Calibri"/>
      <w:sz w:val="20"/>
      <w:szCs w:val="20"/>
    </w:rPr>
  </w:style>
  <w:style w:type="paragraph" w:styleId="1112" w:customStyle="1">
    <w:name w:val="日期1"/>
    <w:basedOn w:val="897"/>
    <w:next w:val="897"/>
    <w:uiPriority w:val="0"/>
    <w:qFormat/>
    <w:pPr>
      <w:ind w:left="100"/>
    </w:pPr>
  </w:style>
  <w:style w:type="paragraph" w:styleId="1113" w:customStyle="1">
    <w:name w:val="正文文本缩进 21"/>
    <w:basedOn w:val="897"/>
    <w:uiPriority w:val="0"/>
    <w:qFormat/>
    <w:pPr>
      <w:ind w:firstLine="412"/>
    </w:pPr>
  </w:style>
  <w:style w:type="paragraph" w:styleId="1114" w:customStyle="1">
    <w:name w:val="批注框文本1"/>
    <w:basedOn w:val="897"/>
    <w:uiPriority w:val="0"/>
    <w:semiHidden/>
    <w:qFormat/>
    <w:rPr>
      <w:sz w:val="18"/>
      <w:szCs w:val="18"/>
    </w:rPr>
  </w:style>
  <w:style w:type="paragraph" w:styleId="1115" w:customStyle="1">
    <w:name w:val="页脚11"/>
    <w:basedOn w:val="897"/>
    <w:link w:val="1116"/>
    <w:uiPriority w:val="99"/>
    <w:qFormat/>
    <w:pPr>
      <w:jc w:val="left"/>
      <w:tabs>
        <w:tab w:val="center" w:pos="4153" w:leader="none"/>
        <w:tab w:val="right" w:pos="8306" w:leader="none"/>
      </w:tabs>
    </w:pPr>
    <w:rPr>
      <w:sz w:val="18"/>
      <w:szCs w:val="18"/>
    </w:rPr>
  </w:style>
  <w:style w:type="character" w:styleId="1116" w:customStyle="1">
    <w:name w:val="页脚 字符"/>
    <w:link w:val="1115"/>
    <w:uiPriority w:val="99"/>
    <w:qFormat/>
    <w:rPr>
      <w:sz w:val="18"/>
      <w:szCs w:val="18"/>
    </w:rPr>
  </w:style>
  <w:style w:type="paragraph" w:styleId="1117" w:customStyle="1">
    <w:name w:val="页眉1"/>
    <w:basedOn w:val="89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18" w:customStyle="1">
    <w:name w:val="目录 11"/>
    <w:basedOn w:val="897"/>
    <w:next w:val="897"/>
    <w:uiPriority w:val="39"/>
    <w:qFormat/>
    <w:pPr>
      <w:jc w:val="left"/>
      <w:spacing w:before="360"/>
    </w:pPr>
    <w:rPr>
      <w:rFonts w:ascii="Calibri Light" w:hAnsi="Calibri Light"/>
      <w:b/>
      <w:bCs/>
      <w:caps/>
    </w:rPr>
  </w:style>
  <w:style w:type="paragraph" w:styleId="1119" w:customStyle="1">
    <w:name w:val="目录 41"/>
    <w:basedOn w:val="897"/>
    <w:next w:val="897"/>
    <w:uiPriority w:val="0"/>
    <w:unhideWhenUsed/>
    <w:qFormat/>
    <w:pPr>
      <w:ind w:left="420"/>
      <w:jc w:val="left"/>
    </w:pPr>
    <w:rPr>
      <w:rFonts w:ascii="Calibri" w:hAnsi="Calibri" w:cs="Calibri"/>
      <w:sz w:val="20"/>
      <w:szCs w:val="20"/>
    </w:rPr>
  </w:style>
  <w:style w:type="paragraph" w:styleId="1120" w:customStyle="1">
    <w:name w:val="副标题1"/>
    <w:basedOn w:val="897"/>
    <w:next w:val="897"/>
    <w:link w:val="1121"/>
    <w:uiPriority w:val="0"/>
    <w:qFormat/>
    <w:pPr>
      <w:jc w:val="center"/>
      <w:spacing w:before="240" w:after="60" w:line="312" w:lineRule="auto"/>
      <w:outlineLvl w:val="1"/>
    </w:pPr>
    <w:rPr>
      <w:rFonts w:ascii="Cambria" w:hAnsi="Cambria"/>
      <w:b/>
      <w:bCs/>
      <w:sz w:val="32"/>
      <w:szCs w:val="32"/>
    </w:rPr>
  </w:style>
  <w:style w:type="character" w:styleId="1121" w:customStyle="1">
    <w:name w:val="副标题 字符"/>
    <w:link w:val="1120"/>
    <w:uiPriority w:val="0"/>
    <w:qFormat/>
    <w:rPr>
      <w:rFonts w:ascii="Cambria" w:hAnsi="Cambria"/>
      <w:b/>
      <w:bCs/>
      <w:sz w:val="32"/>
      <w:szCs w:val="32"/>
    </w:rPr>
  </w:style>
  <w:style w:type="paragraph" w:styleId="1122" w:customStyle="1">
    <w:name w:val="目录 61"/>
    <w:basedOn w:val="897"/>
    <w:next w:val="897"/>
    <w:uiPriority w:val="0"/>
    <w:unhideWhenUsed/>
    <w:qFormat/>
    <w:pPr>
      <w:ind w:left="840"/>
      <w:jc w:val="left"/>
    </w:pPr>
    <w:rPr>
      <w:rFonts w:ascii="Calibri" w:hAnsi="Calibri" w:cs="Calibri"/>
      <w:sz w:val="20"/>
      <w:szCs w:val="20"/>
    </w:rPr>
  </w:style>
  <w:style w:type="paragraph" w:styleId="1123" w:customStyle="1">
    <w:name w:val="正文文本缩进 311"/>
    <w:basedOn w:val="897"/>
    <w:link w:val="1124"/>
    <w:uiPriority w:val="0"/>
    <w:qFormat/>
    <w:pPr>
      <w:ind w:left="360"/>
      <w:spacing w:line="400" w:lineRule="exact"/>
    </w:pPr>
  </w:style>
  <w:style w:type="character" w:styleId="1124" w:customStyle="1">
    <w:name w:val="正文文本缩进 3 字符"/>
    <w:link w:val="1123"/>
    <w:uiPriority w:val="0"/>
    <w:qFormat/>
    <w:rPr>
      <w:rFonts w:eastAsia="宋体"/>
      <w:sz w:val="24"/>
      <w:szCs w:val="24"/>
      <w:lang w:val="en-US" w:eastAsia="zh-CN" w:bidi="ar-SA"/>
    </w:rPr>
  </w:style>
  <w:style w:type="paragraph" w:styleId="1125" w:customStyle="1">
    <w:name w:val="目录 21"/>
    <w:basedOn w:val="897"/>
    <w:next w:val="897"/>
    <w:uiPriority w:val="39"/>
    <w:qFormat/>
    <w:pPr>
      <w:jc w:val="left"/>
      <w:spacing w:before="240"/>
    </w:pPr>
    <w:rPr>
      <w:rFonts w:ascii="Calibri" w:hAnsi="Calibri" w:cs="Calibri"/>
      <w:b/>
      <w:bCs/>
      <w:sz w:val="20"/>
      <w:szCs w:val="20"/>
    </w:rPr>
  </w:style>
  <w:style w:type="paragraph" w:styleId="1126" w:customStyle="1">
    <w:name w:val="目录 91"/>
    <w:basedOn w:val="897"/>
    <w:next w:val="897"/>
    <w:uiPriority w:val="0"/>
    <w:unhideWhenUsed/>
    <w:qFormat/>
    <w:pPr>
      <w:ind w:left="1470"/>
      <w:jc w:val="left"/>
    </w:pPr>
    <w:rPr>
      <w:rFonts w:ascii="Calibri" w:hAnsi="Calibri" w:cs="Calibri"/>
      <w:sz w:val="20"/>
      <w:szCs w:val="20"/>
    </w:rPr>
  </w:style>
  <w:style w:type="paragraph" w:styleId="1127" w:customStyle="1">
    <w:name w:val="信息标题1"/>
    <w:basedOn w:val="89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paragraph" w:styleId="1128" w:customStyle="1">
    <w:name w:val="HTML 预设格式1"/>
    <w:basedOn w:val="897"/>
    <w:link w:val="11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29" w:customStyle="1">
    <w:name w:val="HTML 预设格式 字符"/>
    <w:link w:val="1128"/>
    <w:uiPriority w:val="0"/>
    <w:qFormat/>
    <w:rPr>
      <w:rFonts w:ascii="宋体" w:hAnsi="宋体" w:cs="宋体"/>
      <w:sz w:val="24"/>
      <w:szCs w:val="24"/>
    </w:rPr>
  </w:style>
  <w:style w:type="paragraph" w:styleId="1130" w:customStyle="1">
    <w:name w:val="普通(网站)1"/>
    <w:basedOn w:val="897"/>
    <w:uiPriority w:val="99"/>
    <w:qFormat/>
    <w:pPr>
      <w:jc w:val="left"/>
      <w:spacing w:before="100" w:beforeAutospacing="1" w:after="100" w:afterAutospacing="1"/>
      <w:widowControl/>
    </w:pPr>
    <w:rPr>
      <w:rFonts w:ascii="宋体" w:hAnsi="宋体" w:cs="宋体"/>
    </w:rPr>
  </w:style>
  <w:style w:type="paragraph" w:styleId="1131" w:customStyle="1">
    <w:name w:val="批注主题1"/>
    <w:basedOn w:val="1100"/>
    <w:next w:val="1100"/>
    <w:uiPriority w:val="0"/>
    <w:semiHidden/>
    <w:qFormat/>
    <w:rPr>
      <w:b/>
      <w:bCs/>
    </w:rPr>
  </w:style>
  <w:style w:type="paragraph" w:styleId="1132" w:customStyle="1">
    <w:name w:val="正文首行缩进 211"/>
    <w:basedOn w:val="1104"/>
    <w:uiPriority w:val="0"/>
    <w:qFormat/>
    <w:pPr>
      <w:ind w:left="420" w:firstLine="420"/>
      <w:jc w:val="left"/>
      <w:spacing w:before="100" w:beforeAutospacing="1" w:after="100" w:afterAutospacing="1" w:line="360" w:lineRule="auto"/>
      <w:widowControl/>
      <w:tabs>
        <w:tab w:val="left" w:pos="1080" w:leader="none"/>
      </w:tabs>
    </w:pPr>
    <w:rPr>
      <w:rFonts w:hAnsi="宋体"/>
      <w:sz w:val="24"/>
    </w:rPr>
  </w:style>
  <w:style w:type="table" w:styleId="1133" w:customStyle="1">
    <w:name w:val="网格型1"/>
    <w:basedOn w:val="1093"/>
    <w:uiPriority w:val="0"/>
    <w:qFormat/>
    <w:pPr>
      <w:jc w:val="both"/>
      <w:widowControl w:val="off"/>
    </w:pPr>
    <w:tblPr>
      <w:tblCellMar>
        <w:left w:w="0" w:type="dxa"/>
        <w:top w:w="0" w:type="dxa"/>
        <w:right w:w="0" w:type="dxa"/>
        <w:bottom w:w="0" w:type="dxa"/>
      </w:tblCellMar>
    </w:tblPr>
  </w:style>
  <w:style w:type="character" w:styleId="1134" w:customStyle="1">
    <w:name w:val="要点1"/>
    <w:uiPriority w:val="22"/>
    <w:qFormat/>
    <w:rPr>
      <w:b/>
      <w:bCs/>
    </w:rPr>
  </w:style>
  <w:style w:type="character" w:styleId="1135" w:customStyle="1">
    <w:name w:val="页码1"/>
    <w:uiPriority w:val="0"/>
    <w:qFormat/>
  </w:style>
  <w:style w:type="character" w:styleId="1136" w:customStyle="1">
    <w:name w:val="已访问的超链接1"/>
    <w:uiPriority w:val="99"/>
    <w:qFormat/>
    <w:rPr>
      <w:color w:val="800080"/>
      <w:u w:val="none"/>
    </w:rPr>
  </w:style>
  <w:style w:type="character" w:styleId="1137" w:customStyle="1">
    <w:name w:val="HTML 定义1"/>
    <w:uiPriority w:val="0"/>
    <w:unhideWhenUsed/>
    <w:qFormat/>
  </w:style>
  <w:style w:type="character" w:styleId="1138" w:customStyle="1">
    <w:name w:val="HTML 打字机1"/>
    <w:uiPriority w:val="0"/>
    <w:unhideWhenUsed/>
    <w:qFormat/>
    <w:rPr>
      <w:rFonts w:ascii="monospace" w:hAnsi="monospace" w:eastAsia="monospace" w:cs="monospace"/>
      <w:sz w:val="20"/>
    </w:rPr>
  </w:style>
  <w:style w:type="character" w:styleId="1139" w:customStyle="1">
    <w:name w:val="HTML 缩写1"/>
    <w:uiPriority w:val="0"/>
    <w:unhideWhenUsed/>
    <w:qFormat/>
  </w:style>
  <w:style w:type="character" w:styleId="1140" w:customStyle="1">
    <w:name w:val="HTML 变量1"/>
    <w:uiPriority w:val="0"/>
    <w:unhideWhenUsed/>
    <w:qFormat/>
  </w:style>
  <w:style w:type="character" w:styleId="1141" w:customStyle="1">
    <w:name w:val="超链接1"/>
    <w:uiPriority w:val="99"/>
    <w:qFormat/>
    <w:rPr>
      <w:color w:val="0000ff"/>
      <w:u w:val="none"/>
    </w:rPr>
  </w:style>
  <w:style w:type="character" w:styleId="1142" w:customStyle="1">
    <w:name w:val="HTML 代码1"/>
    <w:uiPriority w:val="0"/>
    <w:unhideWhenUsed/>
    <w:qFormat/>
    <w:rPr>
      <w:rFonts w:ascii="monospace" w:hAnsi="monospace" w:eastAsia="monospace" w:cs="monospace"/>
      <w:sz w:val="20"/>
    </w:rPr>
  </w:style>
  <w:style w:type="character" w:styleId="1143" w:customStyle="1">
    <w:name w:val="批注引用1"/>
    <w:uiPriority w:val="0"/>
    <w:qFormat/>
    <w:rPr>
      <w:sz w:val="21"/>
      <w:szCs w:val="21"/>
    </w:rPr>
  </w:style>
  <w:style w:type="character" w:styleId="1144" w:customStyle="1">
    <w:name w:val="HTML 引文1"/>
    <w:uiPriority w:val="0"/>
    <w:unhideWhenUsed/>
    <w:qFormat/>
  </w:style>
  <w:style w:type="character" w:styleId="1145" w:customStyle="1">
    <w:name w:val="HTML 键盘1"/>
    <w:uiPriority w:val="0"/>
    <w:unhideWhenUsed/>
    <w:qFormat/>
    <w:rPr>
      <w:rFonts w:ascii="monospace" w:hAnsi="monospace" w:eastAsia="monospace" w:cs="monospace"/>
      <w:sz w:val="20"/>
    </w:rPr>
  </w:style>
  <w:style w:type="character" w:styleId="1146" w:customStyle="1">
    <w:name w:val="HTML 样本1"/>
    <w:uiPriority w:val="0"/>
    <w:unhideWhenUsed/>
    <w:qFormat/>
    <w:rPr>
      <w:rFonts w:ascii="monospace" w:hAnsi="monospace" w:eastAsia="monospace" w:cs="monospace"/>
    </w:rPr>
  </w:style>
  <w:style w:type="character" w:styleId="1147" w:customStyle="1">
    <w:name w:val="列出段落 Char"/>
    <w:link w:val="1148"/>
    <w:uiPriority w:val="0"/>
    <w:qFormat/>
    <w:rPr>
      <w:rFonts w:ascii="Calibri" w:hAnsi="Calibri"/>
      <w:sz w:val="24"/>
      <w:szCs w:val="24"/>
      <w:lang w:eastAsia="en-US" w:bidi="en-US"/>
    </w:rPr>
  </w:style>
  <w:style w:type="paragraph" w:styleId="1148" w:customStyle="1">
    <w:name w:val="列出段落1"/>
    <w:basedOn w:val="897"/>
    <w:link w:val="1147"/>
    <w:uiPriority w:val="0"/>
    <w:qFormat/>
    <w:pPr>
      <w:contextualSpacing/>
      <w:ind w:left="720"/>
      <w:jc w:val="left"/>
      <w:widowControl/>
    </w:pPr>
    <w:rPr>
      <w:rFonts w:ascii="Calibri" w:hAnsi="Calibri"/>
      <w:lang w:eastAsia="en-US" w:bidi="en-US"/>
    </w:rPr>
  </w:style>
  <w:style w:type="character" w:styleId="1149" w:customStyle="1">
    <w:name w:val="纯文本 字符"/>
    <w:uiPriority w:val="0"/>
    <w:qFormat/>
    <w:rPr>
      <w:rFonts w:ascii="宋体" w:hAnsi="Courier New" w:eastAsia="宋体"/>
      <w:sz w:val="21"/>
      <w:lang w:val="en-US" w:eastAsia="zh-CN" w:bidi="ar-SA"/>
    </w:rPr>
  </w:style>
  <w:style w:type="character" w:styleId="1150" w:customStyle="1">
    <w:name w:val="普通文字1 Char2"/>
    <w:uiPriority w:val="0"/>
    <w:qFormat/>
    <w:rPr>
      <w:rFonts w:ascii="宋体" w:hAnsi="Courier New" w:eastAsia="宋体"/>
    </w:rPr>
  </w:style>
  <w:style w:type="character" w:styleId="1151" w:customStyle="1">
    <w:name w:val="Char Char7"/>
    <w:uiPriority w:val="0"/>
    <w:qFormat/>
    <w:rPr>
      <w:rFonts w:ascii="宋体" w:hAnsi="Courier New"/>
      <w:sz w:val="21"/>
      <w:szCs w:val="21"/>
    </w:rPr>
  </w:style>
  <w:style w:type="character" w:styleId="1152" w:customStyle="1">
    <w:name w:val="纯文本 Char1"/>
    <w:uiPriority w:val="0"/>
    <w:qFormat/>
    <w:rPr>
      <w:rFonts w:ascii="宋体" w:hAnsi="Courier New"/>
      <w:sz w:val="21"/>
    </w:rPr>
  </w:style>
  <w:style w:type="character" w:styleId="1153" w:customStyle="1">
    <w:name w:val="Default Char"/>
    <w:link w:val="939"/>
    <w:uiPriority w:val="99"/>
    <w:qFormat/>
    <w:rPr>
      <w:rFonts w:ascii="MS Mincho" w:hAnsi="Calibri" w:eastAsia="MS Mincho"/>
      <w:color w:val="000000"/>
      <w:sz w:val="24"/>
      <w:szCs w:val="24"/>
      <w:lang w:val="en-US" w:eastAsia="zh-CN" w:bidi="ar-SA"/>
    </w:rPr>
  </w:style>
  <w:style w:type="character" w:styleId="1154" w:customStyle="1">
    <w:name w:val="纯文本 Char2"/>
    <w:uiPriority w:val="0"/>
    <w:qFormat/>
    <w:rPr>
      <w:rFonts w:ascii="宋体" w:hAnsi="Courier New" w:eastAsia="宋体"/>
      <w:sz w:val="21"/>
      <w:lang w:val="en-US" w:eastAsia="zh-CN" w:bidi="ar-SA"/>
    </w:rPr>
  </w:style>
  <w:style w:type="paragraph" w:styleId="1155" w:customStyle="1">
    <w:name w:val="xl76"/>
    <w:basedOn w:val="89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56" w:customStyle="1">
    <w:name w:val="xl64"/>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customStyle="1">
    <w:name w:val="Char Char1 Char Char Char"/>
    <w:basedOn w:val="897"/>
    <w:uiPriority w:val="0"/>
    <w:qFormat/>
    <w:rPr>
      <w:szCs w:val="20"/>
    </w:rPr>
  </w:style>
  <w:style w:type="paragraph" w:styleId="1158" w:customStyle="1">
    <w:name w:val="TOC 标题2"/>
    <w:basedOn w:val="1088"/>
    <w:next w:val="897"/>
    <w:uiPriority w:val="39"/>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59" w:customStyle="1">
    <w:name w:val="xl77"/>
    <w:basedOn w:val="89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60" w:customStyle="1">
    <w:name w:val="xl85"/>
    <w:basedOn w:val="897"/>
    <w:uiPriority w:val="0"/>
    <w:qFormat/>
    <w:pPr>
      <w:jc w:val="left"/>
      <w:spacing w:before="100" w:beforeAutospacing="1" w:after="100" w:afterAutospacing="1"/>
      <w:widowControl/>
    </w:pPr>
    <w:rPr>
      <w:rFonts w:ascii="宋体" w:hAnsi="宋体" w:cs="宋体"/>
    </w:rPr>
  </w:style>
  <w:style w:type="paragraph" w:styleId="1161" w:customStyle="1">
    <w:name w:val="样式1"/>
    <w:basedOn w:val="897"/>
    <w:next w:val="1091"/>
    <w:uiPriority w:val="0"/>
    <w:qFormat/>
    <w:pPr>
      <w:ind w:firstLine="420"/>
    </w:pPr>
    <w:rPr>
      <w:rFonts w:ascii="宋体" w:hAnsi="宋体"/>
      <w:szCs w:val="21"/>
    </w:rPr>
  </w:style>
  <w:style w:type="paragraph" w:styleId="1162" w:customStyle="1">
    <w:name w:val="xl70"/>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3" w:customStyle="1">
    <w:name w:val="xl86"/>
    <w:basedOn w:val="89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64" w:customStyle="1">
    <w:name w:val="段落"/>
    <w:basedOn w:val="897"/>
    <w:uiPriority w:val="0"/>
    <w:qFormat/>
    <w:rPr>
      <w:rFonts w:ascii="宋体" w:hAnsi="宋体"/>
      <w:bCs/>
      <w:szCs w:val="20"/>
    </w:rPr>
  </w:style>
  <w:style w:type="paragraph" w:styleId="1165" w:customStyle="1">
    <w:name w:val="xl87"/>
    <w:basedOn w:val="8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customStyle="1">
    <w:name w:val="Char"/>
    <w:basedOn w:val="897"/>
    <w:uiPriority w:val="0"/>
    <w:qFormat/>
    <w:pPr>
      <w:jc w:val="left"/>
      <w:spacing w:after="160" w:line="240" w:lineRule="exact"/>
      <w:widowControl/>
    </w:pPr>
    <w:rPr>
      <w:rFonts w:ascii="Arial" w:hAnsi="Arial" w:eastAsia="Times New Roman" w:cs="Verdana"/>
      <w:b/>
      <w:szCs w:val="20"/>
      <w:lang w:eastAsia="en-US"/>
    </w:rPr>
  </w:style>
  <w:style w:type="paragraph" w:styleId="1167" w:customStyle="1">
    <w:name w:val="列表段落1"/>
    <w:basedOn w:val="897"/>
    <w:uiPriority w:val="99"/>
    <w:qFormat/>
    <w:pPr>
      <w:ind w:firstLine="420"/>
    </w:pPr>
  </w:style>
  <w:style w:type="paragraph" w:styleId="1168" w:customStyle="1">
    <w:name w:val="xl66"/>
    <w:basedOn w:val="8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69" w:customStyle="1">
    <w:name w:val="xl84"/>
    <w:basedOn w:val="897"/>
    <w:uiPriority w:val="0"/>
    <w:qFormat/>
    <w:pPr>
      <w:jc w:val="center"/>
      <w:spacing w:before="100" w:beforeAutospacing="1" w:after="100" w:afterAutospacing="1"/>
      <w:widowControl/>
    </w:pPr>
    <w:rPr>
      <w:rFonts w:ascii="宋体" w:hAnsi="宋体" w:cs="宋体"/>
      <w:b/>
      <w:bCs/>
      <w:sz w:val="32"/>
      <w:szCs w:val="32"/>
    </w:rPr>
  </w:style>
  <w:style w:type="paragraph" w:styleId="1170" w:customStyle="1">
    <w:name w:val="节"/>
    <w:basedOn w:val="897"/>
    <w:uiPriority w:val="0"/>
    <w:qFormat/>
    <w:pPr>
      <w:jc w:val="center"/>
      <w:spacing w:before="240" w:after="120"/>
      <w:outlineLvl w:val="0"/>
    </w:pPr>
    <w:rPr>
      <w:rFonts w:ascii="宋体" w:hAnsi="宋体"/>
      <w:bCs/>
      <w:sz w:val="28"/>
      <w:szCs w:val="28"/>
    </w:rPr>
  </w:style>
  <w:style w:type="paragraph" w:styleId="117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xl65"/>
    <w:basedOn w:val="89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73" w:customStyle="1">
    <w:name w:val="样式 标题 2节标题 1.11.1标题2b2标题 2 Char标题 2 Char Char Char Charb2 ..."/>
    <w:basedOn w:val="1089"/>
    <w:uiPriority w:val="0"/>
    <w:qFormat/>
    <w:pPr>
      <w:ind w:left="1260" w:hanging="420"/>
      <w:tabs>
        <w:tab w:val="left" w:pos="720" w:leader="none"/>
        <w:tab w:val="left" w:pos="1260" w:leader="none"/>
      </w:tabs>
    </w:pPr>
    <w:rPr>
      <w:rFonts w:ascii="宋体" w:hAnsi="宋体"/>
      <w:sz w:val="21"/>
      <w:szCs w:val="21"/>
    </w:rPr>
  </w:style>
  <w:style w:type="paragraph" w:styleId="1174" w:customStyle="1">
    <w:name w:val="xl81"/>
    <w:basedOn w:val="89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5" w:customStyle="1">
    <w:name w:val="xl67"/>
    <w:basedOn w:val="89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76" w:customStyle="1">
    <w:name w:val="xl78"/>
    <w:basedOn w:val="8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7" w:customStyle="1">
    <w:name w:val="xl68"/>
    <w:basedOn w:val="8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78" w:customStyle="1">
    <w:name w:val="xl83"/>
    <w:basedOn w:val="89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79" w:customStyle="1">
    <w:name w:val="xl75"/>
    <w:basedOn w:val="8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80" w:customStyle="1">
    <w:name w:val="Char Char Char Char"/>
    <w:basedOn w:val="897"/>
    <w:uiPriority w:val="0"/>
    <w:semiHidden/>
    <w:qFormat/>
    <w:pPr>
      <w:jc w:val="left"/>
      <w:spacing w:after="160" w:line="240" w:lineRule="exact"/>
      <w:widowControl/>
    </w:pPr>
    <w:rPr>
      <w:rFonts w:ascii="Verdana" w:hAnsi="Verdana"/>
      <w:sz w:val="20"/>
      <w:szCs w:val="20"/>
      <w:lang w:eastAsia="en-US"/>
    </w:rPr>
  </w:style>
  <w:style w:type="paragraph" w:styleId="118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普通正文"/>
    <w:basedOn w:val="897"/>
    <w:uiPriority w:val="0"/>
    <w:qFormat/>
    <w:pPr>
      <w:ind w:firstLine="480"/>
      <w:jc w:val="left"/>
      <w:spacing w:before="120" w:after="120"/>
    </w:pPr>
    <w:rPr>
      <w:rFonts w:ascii="Arial" w:hAnsi="Arial"/>
    </w:rPr>
  </w:style>
  <w:style w:type="paragraph" w:styleId="1183" w:customStyle="1">
    <w:name w:val="xl72"/>
    <w:basedOn w:val="8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4" w:customStyle="1">
    <w:name w:val="xl82"/>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5" w:customStyle="1">
    <w:name w:val="Char Char Char Char1 Char Char Char"/>
    <w:basedOn w:val="897"/>
    <w:uiPriority w:val="0"/>
    <w:qFormat/>
    <w:rPr>
      <w:rFonts w:ascii="Tahoma" w:hAnsi="Tahoma"/>
      <w:szCs w:val="20"/>
    </w:rPr>
  </w:style>
  <w:style w:type="paragraph" w:styleId="1186" w:customStyle="1">
    <w:name w:val="xl80"/>
    <w:basedOn w:val="89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87" w:customStyle="1">
    <w:name w:val="xl73"/>
    <w:basedOn w:val="8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88" w:customStyle="1">
    <w:name w:val="xl69"/>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9" w:customStyle="1">
    <w:name w:val="xl79"/>
    <w:basedOn w:val="8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90" w:customStyle="1">
    <w:name w:val="xl71"/>
    <w:basedOn w:val="8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1" w:customStyle="1">
    <w:name w:val="小条"/>
    <w:basedOn w:val="897"/>
    <w:uiPriority w:val="0"/>
    <w:qFormat/>
    <w:rPr>
      <w:rFonts w:hAnsi="宋体"/>
      <w:bCs/>
      <w:szCs w:val="20"/>
    </w:rPr>
  </w:style>
  <w:style w:type="paragraph" w:styleId="1192" w:customStyle="1">
    <w:name w:val="xl74"/>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character" w:styleId="1193" w:customStyle="1">
    <w:name w:val="mini-outputtext"/>
    <w:uiPriority w:val="0"/>
    <w:qFormat/>
  </w:style>
  <w:style w:type="character" w:styleId="1194" w:customStyle="1">
    <w:name w:val="标题 1 Char2"/>
    <w:uiPriority w:val="0"/>
    <w:qFormat/>
    <w:rPr>
      <w:rFonts w:eastAsia="黑体"/>
      <w:b/>
      <w:bCs/>
      <w:sz w:val="32"/>
      <w:szCs w:val="44"/>
      <w:lang w:bidi="ar-SA"/>
    </w:rPr>
  </w:style>
  <w:style w:type="character" w:styleId="1195" w:customStyle="1">
    <w:name w:val="textcontents"/>
    <w:uiPriority w:val="0"/>
    <w:qFormat/>
    <w:rPr>
      <w:rFonts w:cs="Times New Roman"/>
    </w:rPr>
  </w:style>
  <w:style w:type="paragraph" w:styleId="1196" w:customStyle="1">
    <w:name w:val="Table Paragraph"/>
    <w:basedOn w:val="897"/>
    <w:uiPriority w:val="99"/>
    <w:qFormat/>
    <w:pPr>
      <w:ind w:firstLine="0"/>
      <w:jc w:val="left"/>
      <w:spacing w:line="240" w:lineRule="auto"/>
    </w:pPr>
  </w:style>
  <w:style w:type="table" w:styleId="1197" w:customStyle="1">
    <w:name w:val="Table Normal"/>
    <w:uiPriority w:val="0"/>
    <w:unhideWhenUsed/>
    <w:qFormat/>
    <w:tblPr>
      <w:tblCellMar>
        <w:left w:w="0" w:type="dxa"/>
        <w:top w:w="0" w:type="dxa"/>
        <w:right w:w="0" w:type="dxa"/>
        <w:bottom w:w="0" w:type="dxa"/>
      </w:tblCellMar>
    </w:tblPr>
  </w:style>
  <w:style w:type="character" w:styleId="1198" w:customStyle="1">
    <w:name w:val="hover"/>
    <w:uiPriority w:val="0"/>
    <w:qFormat/>
    <w:rPr>
      <w:color w:val="5fb878"/>
    </w:rPr>
  </w:style>
  <w:style w:type="character" w:styleId="1199" w:customStyle="1">
    <w:name w:val="hover1"/>
    <w:uiPriority w:val="0"/>
    <w:qFormat/>
    <w:rPr>
      <w:color w:val="5fb878"/>
    </w:rPr>
  </w:style>
  <w:style w:type="character" w:styleId="1200" w:customStyle="1">
    <w:name w:val="hover2"/>
    <w:uiPriority w:val="0"/>
    <w:qFormat/>
    <w:rPr>
      <w:color w:val="ffffff"/>
    </w:rPr>
  </w:style>
  <w:style w:type="paragraph" w:styleId="1201" w:customStyle="1">
    <w:name w:val="正文首行缩进 21"/>
    <w:basedOn w:val="1202"/>
    <w:uiPriority w:val="99"/>
    <w:qFormat/>
    <w:pPr>
      <w:ind w:left="420" w:firstLine="210"/>
      <w:spacing w:after="120" w:line="360" w:lineRule="auto"/>
    </w:pPr>
    <w:rPr>
      <w:rFonts w:hAnsi="宋体"/>
      <w:spacing w:val="0"/>
      <w:sz w:val="21"/>
      <w:szCs w:val="24"/>
    </w:rPr>
  </w:style>
  <w:style w:type="paragraph" w:styleId="1202" w:customStyle="1">
    <w:name w:val="正文文本缩进11"/>
    <w:basedOn w:val="897"/>
    <w:next w:val="1203"/>
    <w:uiPriority w:val="0"/>
    <w:qFormat/>
    <w:pPr>
      <w:ind w:firstLine="301"/>
      <w:spacing w:line="200" w:lineRule="exact"/>
    </w:pPr>
    <w:rPr>
      <w:rFonts w:ascii="宋体" w:hAnsi="Courier New"/>
      <w:spacing w:val="-4"/>
      <w:sz w:val="18"/>
      <w:szCs w:val="20"/>
    </w:rPr>
  </w:style>
  <w:style w:type="paragraph" w:styleId="1203" w:customStyle="1">
    <w:name w:val="寄信人地址1"/>
    <w:basedOn w:val="897"/>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204" w:customStyle="1">
    <w:name w:val="普通(网站)11"/>
    <w:basedOn w:val="897"/>
    <w:uiPriority w:val="0"/>
    <w:qFormat/>
    <w:pPr>
      <w:jc w:val="left"/>
      <w:spacing w:before="100" w:beforeAutospacing="1" w:after="100" w:afterAutospacing="1"/>
      <w:widowControl/>
    </w:pPr>
    <w:rPr>
      <w:rFonts w:ascii="宋体" w:hAnsi="宋体" w:cs="宋体"/>
    </w:rPr>
  </w:style>
  <w:style w:type="paragraph" w:styleId="1205" w:customStyle="1">
    <w:name w:val="标题 21"/>
    <w:basedOn w:val="897"/>
    <w:next w:val="897"/>
    <w:uiPriority w:val="0"/>
    <w:qFormat/>
    <w:pPr>
      <w:ind w:firstLine="0"/>
      <w:keepLines/>
      <w:keepNext/>
      <w:outlineLvl w:val="1"/>
    </w:pPr>
    <w:rPr>
      <w:b/>
      <w:bCs/>
      <w:szCs w:val="32"/>
    </w:rPr>
  </w:style>
  <w:style w:type="paragraph" w:styleId="1206" w:customStyle="1">
    <w:name w:val="正文文本缩进 31"/>
    <w:basedOn w:val="897"/>
    <w:uiPriority w:val="0"/>
    <w:qFormat/>
    <w:pPr>
      <w:ind w:left="360"/>
      <w:spacing w:line="400" w:lineRule="exact"/>
    </w:pPr>
  </w:style>
  <w:style w:type="paragraph" w:styleId="1207" w:customStyle="1">
    <w:name w:val="页脚1"/>
    <w:basedOn w:val="897"/>
    <w:uiPriority w:val="0"/>
    <w:qFormat/>
    <w:pPr>
      <w:jc w:val="left"/>
      <w:tabs>
        <w:tab w:val="center" w:pos="4153" w:leader="none"/>
        <w:tab w:val="right" w:pos="8306" w:leader="none"/>
      </w:tabs>
    </w:pPr>
    <w:rPr>
      <w:sz w:val="18"/>
      <w:szCs w:val="18"/>
    </w:rPr>
  </w:style>
  <w:style w:type="paragraph" w:styleId="1208" w:customStyle="1">
    <w:name w:val="批注文字1"/>
    <w:basedOn w:val="897"/>
    <w:uiPriority w:val="0"/>
    <w:qFormat/>
    <w:pPr>
      <w:jc w:val="left"/>
    </w:pPr>
    <w:rPr>
      <w:sz w:val="21"/>
    </w:rPr>
  </w:style>
  <w:style w:type="character" w:styleId="1209" w:customStyle="1">
    <w:name w:val="批注文字 字符1"/>
    <w:basedOn w:val="907"/>
    <w:link w:val="912"/>
    <w:uiPriority w:val="99"/>
    <w:qFormat/>
    <w:rPr>
      <w:sz w:val="24"/>
      <w:szCs w:val="24"/>
    </w:rPr>
  </w:style>
  <w:style w:type="character" w:styleId="1210" w:customStyle="1">
    <w:name w:val="批注主题 字符"/>
    <w:basedOn w:val="1209"/>
    <w:link w:val="932"/>
    <w:uiPriority w:val="99"/>
    <w:semiHidden/>
    <w:qFormat/>
    <w:rPr>
      <w:b/>
      <w:bCs/>
      <w:sz w:val="24"/>
      <w:szCs w:val="24"/>
    </w:rPr>
  </w:style>
  <w:style w:type="paragraph" w:styleId="1211" w:customStyle="1">
    <w:name w:val="纯文本11"/>
    <w:uiPriority w:val="0"/>
    <w:qFormat/>
    <w:pPr>
      <w:ind w:firstLine="802"/>
      <w:jc w:val="both"/>
      <w:spacing w:line="360" w:lineRule="auto"/>
      <w:widowControl w:val="off"/>
    </w:pPr>
    <w:rPr>
      <w:rFonts w:hint="default" w:ascii="宋体" w:hAnsi="Courier New" w:eastAsia="宋体" w:cs="Times New Roman"/>
      <w:sz w:val="21"/>
      <w:szCs w:val="20"/>
      <w:lang w:val="en-US" w:eastAsia="zh-CN" w:bidi="ar-SA"/>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陈岩</cp:lastModifiedBy>
  <cp:revision>16</cp:revision>
  <dcterms:created xsi:type="dcterms:W3CDTF">2018-12-19T06:46:00Z</dcterms:created>
  <dcterms:modified xsi:type="dcterms:W3CDTF">2026-08-05T08:21:47Z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eyJoZGlkIjoiZWUwZWNmZWE3OWVkYWZiY2Q2NmVmNzFhNWU1M2E3MTUiLCJ1c2VySWQiOiI5MjU1NTA0NDYifQ==</vt:lpwstr>
  </property>
  <property fmtid="{D5CDD505-2E9C-101B-9397-08002B2CF9AE}" pid="3" name="KSOProductBuildVer">
    <vt:lpwstr>2052-12.1.0.26895</vt:lpwstr>
  </property>
  <property fmtid="{D5CDD505-2E9C-101B-9397-08002B2CF9AE}" pid="4" name="ICV">
    <vt:lpwstr>3301B0AE5A504EA0B66E2EF28B3A12D7_13</vt:lpwstr>
  </property>
</Properties>
</file>