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E1ACA2">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color w:val="auto"/>
          <w:highlight w:val="none"/>
        </w:rPr>
      </w:pPr>
      <w:r>
        <w:rPr>
          <w:rFonts w:ascii="Arial" w:hAnsi="Arial" w:eastAsia="Arial" w:cs="Arial"/>
          <w:b/>
          <w:color w:val="auto"/>
          <w:sz w:val="84"/>
          <w:highlight w:val="none"/>
        </w:rPr>
        <w:t> </w:t>
      </w:r>
    </w:p>
    <w:p w14:paraId="4E7A7B5D">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color w:val="auto"/>
          <w:highlight w:val="none"/>
        </w:rPr>
      </w:pPr>
      <w:r>
        <w:rPr>
          <w:rFonts w:ascii="Arial" w:hAnsi="Arial" w:eastAsia="Arial" w:cs="Arial"/>
          <w:b/>
          <w:color w:val="auto"/>
          <w:sz w:val="84"/>
          <w:highlight w:val="none"/>
        </w:rPr>
        <w:t> </w:t>
      </w:r>
    </w:p>
    <w:p w14:paraId="77EE9FBD">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color w:val="auto"/>
          <w:highlight w:val="none"/>
        </w:rPr>
      </w:pPr>
      <w:r>
        <w:rPr>
          <w:rFonts w:ascii="黑体" w:hAnsi="黑体" w:eastAsia="黑体" w:cs="黑体"/>
          <w:b/>
          <w:color w:val="auto"/>
          <w:sz w:val="84"/>
          <w:highlight w:val="none"/>
        </w:rPr>
        <w:t>公</w:t>
      </w:r>
      <w:r>
        <w:rPr>
          <w:rFonts w:ascii="Arial" w:hAnsi="Arial" w:eastAsia="Arial" w:cs="Arial"/>
          <w:b/>
          <w:color w:val="auto"/>
          <w:sz w:val="84"/>
          <w:highlight w:val="none"/>
        </w:rPr>
        <w:t xml:space="preserve"> </w:t>
      </w:r>
      <w:r>
        <w:rPr>
          <w:rFonts w:ascii="黑体" w:hAnsi="黑体" w:eastAsia="黑体" w:cs="黑体"/>
          <w:b/>
          <w:color w:val="auto"/>
          <w:sz w:val="84"/>
          <w:highlight w:val="none"/>
        </w:rPr>
        <w:t>开</w:t>
      </w:r>
      <w:r>
        <w:rPr>
          <w:rFonts w:ascii="Arial" w:hAnsi="Arial" w:eastAsia="Arial" w:cs="Arial"/>
          <w:b/>
          <w:color w:val="auto"/>
          <w:sz w:val="84"/>
          <w:highlight w:val="none"/>
        </w:rPr>
        <w:t xml:space="preserve"> </w:t>
      </w:r>
      <w:r>
        <w:rPr>
          <w:rFonts w:ascii="黑体" w:hAnsi="黑体" w:eastAsia="黑体" w:cs="黑体"/>
          <w:b/>
          <w:color w:val="auto"/>
          <w:sz w:val="84"/>
          <w:highlight w:val="none"/>
        </w:rPr>
        <w:t>招</w:t>
      </w:r>
      <w:r>
        <w:rPr>
          <w:rFonts w:ascii="Arial" w:hAnsi="Arial" w:eastAsia="Arial" w:cs="Arial"/>
          <w:b/>
          <w:color w:val="auto"/>
          <w:sz w:val="84"/>
          <w:highlight w:val="none"/>
        </w:rPr>
        <w:t xml:space="preserve"> </w:t>
      </w:r>
      <w:r>
        <w:rPr>
          <w:rFonts w:ascii="黑体" w:hAnsi="黑体" w:eastAsia="黑体" w:cs="黑体"/>
          <w:b/>
          <w:color w:val="auto"/>
          <w:sz w:val="84"/>
          <w:highlight w:val="none"/>
        </w:rPr>
        <w:t>标</w:t>
      </w:r>
      <w:r>
        <w:rPr>
          <w:rFonts w:ascii="Arial" w:hAnsi="Arial" w:eastAsia="Arial" w:cs="Arial"/>
          <w:b/>
          <w:color w:val="auto"/>
          <w:sz w:val="84"/>
          <w:highlight w:val="none"/>
        </w:rPr>
        <w:t xml:space="preserve"> </w:t>
      </w:r>
      <w:r>
        <w:rPr>
          <w:rFonts w:ascii="黑体" w:hAnsi="黑体" w:eastAsia="黑体" w:cs="黑体"/>
          <w:b/>
          <w:color w:val="auto"/>
          <w:sz w:val="84"/>
          <w:highlight w:val="none"/>
        </w:rPr>
        <w:t>文</w:t>
      </w:r>
      <w:r>
        <w:rPr>
          <w:rFonts w:ascii="Arial" w:hAnsi="Arial" w:eastAsia="Arial" w:cs="Arial"/>
          <w:b/>
          <w:color w:val="auto"/>
          <w:sz w:val="84"/>
          <w:highlight w:val="none"/>
        </w:rPr>
        <w:t xml:space="preserve"> </w:t>
      </w:r>
      <w:r>
        <w:rPr>
          <w:rFonts w:ascii="黑体" w:hAnsi="黑体" w:eastAsia="黑体" w:cs="黑体"/>
          <w:b/>
          <w:color w:val="auto"/>
          <w:sz w:val="84"/>
          <w:highlight w:val="none"/>
        </w:rPr>
        <w:t>件</w:t>
      </w:r>
    </w:p>
    <w:p w14:paraId="6F1F9B92">
      <w:pPr>
        <w:pBdr>
          <w:top w:val="none" w:color="000000" w:sz="0" w:space="0"/>
          <w:left w:val="none" w:color="000000" w:sz="0" w:space="0"/>
          <w:bottom w:val="none" w:color="000000" w:sz="0" w:space="0"/>
          <w:right w:val="none" w:color="000000" w:sz="0" w:space="0"/>
        </w:pBdr>
        <w:spacing w:before="120" w:after="120" w:line="85" w:lineRule="atLeast"/>
        <w:ind w:left="0" w:right="0" w:firstLine="0"/>
        <w:rPr>
          <w:color w:val="auto"/>
          <w:highlight w:val="none"/>
        </w:rPr>
      </w:pPr>
      <w:r>
        <w:rPr>
          <w:rFonts w:ascii="Arial" w:hAnsi="Arial" w:eastAsia="Arial" w:cs="Arial"/>
          <w:b/>
          <w:color w:val="auto"/>
          <w:sz w:val="32"/>
          <w:highlight w:val="none"/>
        </w:rPr>
        <w:t> </w:t>
      </w:r>
    </w:p>
    <w:p w14:paraId="4BCA4035">
      <w:pPr>
        <w:pBdr>
          <w:top w:val="none" w:color="000000" w:sz="0" w:space="0"/>
          <w:left w:val="none" w:color="000000" w:sz="0" w:space="0"/>
          <w:bottom w:val="none" w:color="000000" w:sz="0" w:space="0"/>
          <w:right w:val="none" w:color="000000" w:sz="0" w:space="0"/>
        </w:pBdr>
        <w:spacing w:before="120" w:after="120" w:line="85" w:lineRule="atLeast"/>
        <w:ind w:left="1949" w:right="0" w:hanging="1606"/>
        <w:rPr>
          <w:rFonts w:ascii="宋体" w:hAnsi="宋体" w:eastAsia="宋体" w:cs="宋体"/>
          <w:b/>
          <w:color w:val="auto"/>
          <w:sz w:val="32"/>
          <w:highlight w:val="none"/>
        </w:rPr>
      </w:pPr>
    </w:p>
    <w:p w14:paraId="06184C72">
      <w:pPr>
        <w:pBdr>
          <w:top w:val="none" w:color="000000" w:sz="0" w:space="0"/>
          <w:left w:val="none" w:color="000000" w:sz="0" w:space="0"/>
          <w:bottom w:val="none" w:color="000000" w:sz="0" w:space="0"/>
          <w:right w:val="none" w:color="000000" w:sz="0" w:space="0"/>
        </w:pBdr>
        <w:spacing w:before="120" w:after="120" w:line="85" w:lineRule="atLeast"/>
        <w:ind w:left="1949" w:right="0" w:hanging="1606"/>
        <w:rPr>
          <w:rFonts w:ascii="宋体" w:hAnsi="宋体" w:eastAsia="宋体" w:cs="宋体"/>
          <w:b/>
          <w:color w:val="auto"/>
          <w:sz w:val="32"/>
          <w:highlight w:val="none"/>
        </w:rPr>
      </w:pPr>
    </w:p>
    <w:p w14:paraId="31F8956D">
      <w:pPr>
        <w:pStyle w:val="39"/>
        <w:ind w:left="0" w:leftChars="0" w:firstLine="0" w:firstLineChars="0"/>
        <w:rPr>
          <w:color w:val="auto"/>
          <w:highlight w:val="none"/>
        </w:rPr>
      </w:pPr>
    </w:p>
    <w:p w14:paraId="6CBBEBA7">
      <w:pPr>
        <w:pBdr>
          <w:top w:val="none" w:color="000000" w:sz="0" w:space="0"/>
          <w:left w:val="none" w:color="000000" w:sz="0" w:space="0"/>
          <w:bottom w:val="none" w:color="000000" w:sz="0" w:space="0"/>
          <w:right w:val="none" w:color="000000" w:sz="0" w:space="0"/>
        </w:pBdr>
        <w:spacing w:before="120" w:after="120" w:line="85" w:lineRule="atLeast"/>
        <w:ind w:left="1949" w:right="0" w:hanging="1606"/>
        <w:rPr>
          <w:rFonts w:ascii="宋体" w:hAnsi="宋体" w:eastAsia="宋体" w:cs="宋体"/>
          <w:b/>
          <w:color w:val="auto"/>
          <w:sz w:val="32"/>
          <w:highlight w:val="none"/>
        </w:rPr>
      </w:pPr>
    </w:p>
    <w:p w14:paraId="6019B742">
      <w:pPr>
        <w:pBdr>
          <w:top w:val="none" w:color="000000" w:sz="0" w:space="0"/>
          <w:left w:val="none" w:color="000000" w:sz="0" w:space="0"/>
          <w:bottom w:val="none" w:color="000000" w:sz="0" w:space="0"/>
          <w:right w:val="none" w:color="000000" w:sz="0" w:space="0"/>
        </w:pBdr>
        <w:spacing w:before="120" w:after="120" w:line="85" w:lineRule="atLeast"/>
        <w:ind w:left="2059" w:leftChars="749" w:right="0" w:hanging="411" w:hangingChars="128"/>
        <w:rPr>
          <w:rFonts w:hint="eastAsia" w:ascii="宋体" w:hAnsi="宋体" w:eastAsia="宋体" w:cs="宋体"/>
          <w:b/>
          <w:color w:val="auto"/>
          <w:sz w:val="32"/>
          <w:highlight w:val="none"/>
          <w:lang w:eastAsia="zh-CN"/>
        </w:rPr>
      </w:pPr>
      <w:r>
        <w:rPr>
          <w:rFonts w:ascii="宋体" w:hAnsi="宋体" w:eastAsia="宋体" w:cs="宋体"/>
          <w:b/>
          <w:color w:val="auto"/>
          <w:sz w:val="32"/>
          <w:highlight w:val="none"/>
        </w:rPr>
        <w:t>项目编号：</w:t>
      </w:r>
      <w:r>
        <w:rPr>
          <w:rFonts w:hint="eastAsia" w:ascii="宋体" w:hAnsi="宋体" w:eastAsia="宋体" w:cs="宋体"/>
          <w:b/>
          <w:color w:val="auto"/>
          <w:sz w:val="32"/>
          <w:highlight w:val="none"/>
          <w:lang w:val="en-US" w:eastAsia="zh-CN"/>
        </w:rPr>
        <w:t xml:space="preserve"> JSZC-320115-NJRD-G2026-0006</w:t>
      </w:r>
    </w:p>
    <w:p w14:paraId="3DDFAD9D">
      <w:pPr>
        <w:pBdr>
          <w:top w:val="none" w:color="000000" w:sz="0" w:space="0"/>
          <w:left w:val="none" w:color="000000" w:sz="0" w:space="0"/>
          <w:bottom w:val="none" w:color="000000" w:sz="0" w:space="0"/>
          <w:right w:val="none" w:color="000000" w:sz="0" w:space="0"/>
        </w:pBdr>
        <w:spacing w:before="120" w:after="120" w:line="85" w:lineRule="atLeast"/>
        <w:ind w:left="1949" w:right="0" w:hanging="1606"/>
        <w:rPr>
          <w:rFonts w:ascii="宋体" w:hAnsi="宋体" w:eastAsia="宋体" w:cs="宋体"/>
          <w:b/>
          <w:color w:val="auto"/>
          <w:sz w:val="32"/>
          <w:highlight w:val="none"/>
        </w:rPr>
      </w:pPr>
    </w:p>
    <w:p w14:paraId="0BC1EDA1">
      <w:pPr>
        <w:pBdr>
          <w:top w:val="none" w:color="000000" w:sz="0" w:space="0"/>
          <w:left w:val="none" w:color="000000" w:sz="0" w:space="0"/>
          <w:bottom w:val="none" w:color="000000" w:sz="0" w:space="0"/>
          <w:right w:val="none" w:color="000000" w:sz="0" w:space="0"/>
        </w:pBdr>
        <w:spacing w:before="120" w:after="120" w:line="85" w:lineRule="atLeast"/>
        <w:ind w:left="2059" w:leftChars="749" w:right="0" w:hanging="411" w:hangingChars="128"/>
        <w:rPr>
          <w:rFonts w:hint="eastAsia" w:eastAsia="宋体"/>
          <w:color w:val="auto"/>
          <w:highlight w:val="none"/>
          <w:lang w:eastAsia="zh-CN"/>
        </w:rPr>
      </w:pPr>
      <w:r>
        <w:rPr>
          <w:rFonts w:ascii="宋体" w:hAnsi="宋体" w:eastAsia="宋体" w:cs="宋体"/>
          <w:b/>
          <w:color w:val="auto"/>
          <w:sz w:val="32"/>
          <w:highlight w:val="none"/>
        </w:rPr>
        <w:t>项目名称：</w:t>
      </w:r>
      <w:r>
        <w:rPr>
          <w:rFonts w:hint="eastAsia" w:ascii="宋体" w:hAnsi="宋体" w:cs="宋体"/>
          <w:b/>
          <w:color w:val="auto"/>
          <w:sz w:val="32"/>
          <w:highlight w:val="none"/>
          <w:lang w:eastAsia="zh-CN"/>
        </w:rPr>
        <w:t>202</w:t>
      </w:r>
      <w:r>
        <w:rPr>
          <w:rFonts w:hint="eastAsia" w:ascii="宋体" w:hAnsi="宋体" w:cs="宋体"/>
          <w:b/>
          <w:color w:val="auto"/>
          <w:sz w:val="32"/>
          <w:highlight w:val="none"/>
          <w:lang w:val="en-US" w:eastAsia="zh-CN"/>
        </w:rPr>
        <w:t>6</w:t>
      </w:r>
      <w:r>
        <w:rPr>
          <w:rFonts w:hint="eastAsia" w:ascii="宋体" w:hAnsi="宋体" w:cs="宋体"/>
          <w:b/>
          <w:color w:val="auto"/>
          <w:sz w:val="32"/>
          <w:highlight w:val="none"/>
          <w:lang w:eastAsia="zh-CN"/>
        </w:rPr>
        <w:t>年企业公示信息中介协查服务</w:t>
      </w:r>
    </w:p>
    <w:p w14:paraId="66A85E7A">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宋体" w:hAnsi="宋体" w:eastAsia="宋体" w:cs="宋体"/>
          <w:color w:val="auto"/>
          <w:sz w:val="24"/>
          <w:highlight w:val="none"/>
        </w:rPr>
        <w:t xml:space="preserve">                            </w:t>
      </w:r>
    </w:p>
    <w:p w14:paraId="5D580EEA">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宋体" w:hAnsi="宋体" w:eastAsia="宋体" w:cs="宋体"/>
          <w:color w:val="auto"/>
          <w:sz w:val="24"/>
          <w:highlight w:val="none"/>
        </w:rPr>
        <w:t> </w:t>
      </w:r>
    </w:p>
    <w:p w14:paraId="0B906C14">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宋体" w:hAnsi="宋体" w:eastAsia="宋体" w:cs="宋体"/>
          <w:color w:val="auto"/>
          <w:sz w:val="24"/>
          <w:highlight w:val="none"/>
        </w:rPr>
        <w:t> </w:t>
      </w:r>
    </w:p>
    <w:p w14:paraId="398A8BC0">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宋体" w:hAnsi="宋体" w:eastAsia="宋体" w:cs="宋体"/>
          <w:color w:val="auto"/>
          <w:sz w:val="24"/>
          <w:highlight w:val="none"/>
        </w:rPr>
        <w:t> </w:t>
      </w:r>
    </w:p>
    <w:p w14:paraId="3796DD6F">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r>
        <w:rPr>
          <w:rFonts w:ascii="宋体" w:hAnsi="宋体" w:eastAsia="宋体" w:cs="宋体"/>
          <w:color w:val="auto"/>
          <w:sz w:val="24"/>
          <w:highlight w:val="none"/>
        </w:rPr>
        <w:t> </w:t>
      </w:r>
    </w:p>
    <w:p w14:paraId="2D053F04">
      <w:pPr>
        <w:pBdr>
          <w:top w:val="none" w:color="000000" w:sz="0" w:space="0"/>
          <w:left w:val="none" w:color="000000" w:sz="0" w:space="0"/>
          <w:bottom w:val="none" w:color="000000" w:sz="0" w:space="0"/>
          <w:right w:val="none" w:color="000000" w:sz="0" w:space="0"/>
        </w:pBdr>
        <w:spacing w:before="0" w:after="0" w:line="85" w:lineRule="atLeast"/>
        <w:ind w:left="0" w:right="0" w:firstLine="0"/>
        <w:rPr>
          <w:color w:val="auto"/>
          <w:highlight w:val="none"/>
        </w:rPr>
      </w:pPr>
    </w:p>
    <w:p w14:paraId="33AC83E9">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auto"/>
          <w:sz w:val="24"/>
          <w:highlight w:val="none"/>
        </w:rPr>
      </w:pPr>
    </w:p>
    <w:p w14:paraId="19BFF22E">
      <w:pPr>
        <w:pBdr>
          <w:top w:val="none" w:color="000000" w:sz="0" w:space="0"/>
          <w:left w:val="none" w:color="000000" w:sz="0" w:space="0"/>
          <w:bottom w:val="none" w:color="000000" w:sz="0" w:space="0"/>
          <w:right w:val="none" w:color="000000" w:sz="0" w:space="0"/>
        </w:pBdr>
        <w:spacing w:before="0" w:after="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 </w:t>
      </w:r>
    </w:p>
    <w:p w14:paraId="34EEF10B">
      <w:pPr>
        <w:pStyle w:val="39"/>
        <w:rPr>
          <w:color w:val="auto"/>
          <w:highlight w:val="none"/>
        </w:rPr>
      </w:pPr>
    </w:p>
    <w:p w14:paraId="1B30B659">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rFonts w:hint="eastAsia" w:eastAsia="宋体"/>
          <w:color w:val="auto"/>
          <w:highlight w:val="none"/>
          <w:lang w:eastAsia="zh-CN"/>
        </w:rPr>
      </w:pPr>
      <w:r>
        <w:rPr>
          <w:rFonts w:hint="eastAsia" w:ascii="宋体" w:hAnsi="宋体" w:cs="宋体"/>
          <w:b/>
          <w:color w:val="auto"/>
          <w:sz w:val="32"/>
          <w:highlight w:val="none"/>
          <w:lang w:eastAsia="zh-CN"/>
        </w:rPr>
        <w:t>南京荣大工程项目管理有限公司</w:t>
      </w:r>
    </w:p>
    <w:p w14:paraId="7580B6FE">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color w:val="auto"/>
          <w:highlight w:val="none"/>
        </w:rPr>
      </w:pPr>
      <w:r>
        <w:rPr>
          <w:rFonts w:ascii="Arial" w:hAnsi="Arial" w:eastAsia="Arial" w:cs="Arial"/>
          <w:b/>
          <w:color w:val="auto"/>
          <w:sz w:val="32"/>
          <w:highlight w:val="none"/>
        </w:rPr>
        <w:t>202</w:t>
      </w:r>
      <w:r>
        <w:rPr>
          <w:rFonts w:hint="eastAsia" w:ascii="Arial" w:hAnsi="Arial" w:eastAsia="宋体" w:cs="Arial"/>
          <w:b/>
          <w:color w:val="auto"/>
          <w:sz w:val="32"/>
          <w:highlight w:val="none"/>
          <w:lang w:val="en-US" w:eastAsia="zh-CN"/>
        </w:rPr>
        <w:t>6</w:t>
      </w:r>
      <w:r>
        <w:rPr>
          <w:rFonts w:ascii="宋体" w:hAnsi="宋体" w:eastAsia="宋体" w:cs="宋体"/>
          <w:b/>
          <w:color w:val="auto"/>
          <w:sz w:val="32"/>
          <w:highlight w:val="none"/>
        </w:rPr>
        <w:t>年</w:t>
      </w:r>
      <w:r>
        <w:rPr>
          <w:rFonts w:ascii="Arial" w:hAnsi="Arial" w:eastAsia="Arial" w:cs="Arial"/>
          <w:b/>
          <w:color w:val="auto"/>
          <w:sz w:val="32"/>
          <w:highlight w:val="none"/>
        </w:rPr>
        <w:t>0</w:t>
      </w:r>
      <w:r>
        <w:rPr>
          <w:rFonts w:hint="eastAsia" w:ascii="Arial" w:hAnsi="Arial" w:eastAsia="宋体" w:cs="Arial"/>
          <w:b/>
          <w:color w:val="auto"/>
          <w:sz w:val="32"/>
          <w:highlight w:val="none"/>
          <w:lang w:val="en-US" w:eastAsia="zh-CN"/>
        </w:rPr>
        <w:t>7</w:t>
      </w:r>
      <w:r>
        <w:rPr>
          <w:rFonts w:ascii="宋体" w:hAnsi="宋体" w:eastAsia="宋体" w:cs="宋体"/>
          <w:b/>
          <w:color w:val="auto"/>
          <w:sz w:val="32"/>
          <w:highlight w:val="none"/>
        </w:rPr>
        <w:t>月</w:t>
      </w:r>
    </w:p>
    <w:p w14:paraId="7D9EAFB7">
      <w:pPr>
        <w:pBdr>
          <w:top w:val="none" w:color="000000" w:sz="0" w:space="0"/>
          <w:left w:val="none" w:color="000000" w:sz="0" w:space="0"/>
          <w:bottom w:val="none" w:color="000000" w:sz="0" w:space="0"/>
          <w:right w:val="none" w:color="000000" w:sz="0" w:space="0"/>
        </w:pBdr>
        <w:spacing w:before="120" w:after="120" w:line="85" w:lineRule="atLeast"/>
        <w:ind w:left="0" w:right="0" w:firstLine="0"/>
        <w:jc w:val="center"/>
        <w:rPr>
          <w:color w:val="auto"/>
          <w:highlight w:val="none"/>
        </w:rPr>
      </w:pPr>
      <w:r>
        <w:rPr>
          <w:rFonts w:ascii="Arial" w:hAnsi="Arial" w:eastAsia="Arial" w:cs="Arial"/>
          <w:b/>
          <w:color w:val="auto"/>
          <w:sz w:val="32"/>
          <w:highlight w:val="none"/>
        </w:rPr>
        <w:t> </w:t>
      </w:r>
    </w:p>
    <w:p w14:paraId="3DEF7061">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2"/>
          <w:highlight w:val="none"/>
        </w:rPr>
      </w:pPr>
    </w:p>
    <w:p w14:paraId="6DAC2F2A">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2"/>
          <w:highlight w:val="none"/>
        </w:rPr>
      </w:pPr>
    </w:p>
    <w:p w14:paraId="32F61C97">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b/>
          <w:color w:val="auto"/>
          <w:sz w:val="32"/>
          <w:highlight w:val="none"/>
        </w:rPr>
      </w:pPr>
    </w:p>
    <w:p w14:paraId="180EECEE">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2"/>
          <w:highlight w:val="none"/>
        </w:rPr>
        <w:t>目</w:t>
      </w:r>
      <w:r>
        <w:rPr>
          <w:rFonts w:ascii="Calibri" w:hAnsi="Calibri" w:eastAsia="Calibri" w:cs="Calibri"/>
          <w:b/>
          <w:color w:val="auto"/>
          <w:sz w:val="32"/>
          <w:highlight w:val="none"/>
        </w:rPr>
        <w:t xml:space="preserve">  </w:t>
      </w:r>
      <w:r>
        <w:rPr>
          <w:rFonts w:ascii="宋体" w:hAnsi="宋体" w:eastAsia="宋体" w:cs="宋体"/>
          <w:b/>
          <w:color w:val="auto"/>
          <w:sz w:val="32"/>
          <w:highlight w:val="none"/>
        </w:rPr>
        <w:t>录</w:t>
      </w:r>
    </w:p>
    <w:p w14:paraId="41DD3448">
      <w:pPr>
        <w:pBdr>
          <w:top w:val="none" w:color="000000" w:sz="0" w:space="0"/>
          <w:left w:val="none" w:color="000000" w:sz="0" w:space="0"/>
          <w:bottom w:val="none" w:color="000000" w:sz="0" w:space="0"/>
          <w:right w:val="none" w:color="000000" w:sz="0" w:space="0"/>
        </w:pBdr>
        <w:spacing w:before="120" w:after="120" w:line="420" w:lineRule="atLeast"/>
        <w:ind w:left="0" w:right="0" w:firstLine="0"/>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132967134" \o "http://jszfcg.jsczt.cn/jszc/onlyoffice/7.2.1-34/web-apps/apps/documenteditor/main/index_loader.html?_dc=7.2.1-34&amp;lang=zh&amp;customer=%20&amp;logo=%20&amp;headerlogo=%2Ffavicon.ico&amp;frameEditorId=iframePage&amp;compact=true&amp;parentOrigin=http://jszfcg.jsczt.cn#_Toc132967134" </w:instrText>
      </w:r>
      <w:r>
        <w:rPr>
          <w:color w:val="auto"/>
          <w:highlight w:val="none"/>
        </w:rPr>
        <w:fldChar w:fldCharType="separate"/>
      </w:r>
      <w:r>
        <w:rPr>
          <w:rStyle w:val="259"/>
          <w:rFonts w:ascii="黑体" w:hAnsi="黑体" w:eastAsia="黑体" w:cs="黑体"/>
          <w:color w:val="auto"/>
          <w:sz w:val="28"/>
          <w:highlight w:val="none"/>
          <w:u w:val="single"/>
        </w:rPr>
        <w:t>第一章  投标邀请</w:t>
      </w:r>
      <w:r>
        <w:rPr>
          <w:rStyle w:val="259"/>
          <w:rFonts w:ascii="宋体" w:hAnsi="宋体" w:eastAsia="宋体" w:cs="宋体"/>
          <w:color w:val="auto"/>
          <w:sz w:val="28"/>
          <w:highlight w:val="none"/>
          <w:u w:val="single"/>
        </w:rPr>
        <w:tab/>
      </w:r>
      <w:r>
        <w:rPr>
          <w:rStyle w:val="259"/>
          <w:rFonts w:ascii="宋体" w:hAnsi="宋体" w:eastAsia="宋体" w:cs="宋体"/>
          <w:color w:val="auto"/>
          <w:sz w:val="28"/>
          <w:highlight w:val="none"/>
          <w:u w:val="single"/>
        </w:rPr>
        <w:t>3</w:t>
      </w:r>
      <w:r>
        <w:rPr>
          <w:rStyle w:val="259"/>
          <w:rFonts w:ascii="宋体" w:hAnsi="宋体" w:eastAsia="宋体" w:cs="宋体"/>
          <w:color w:val="auto"/>
          <w:sz w:val="28"/>
          <w:highlight w:val="none"/>
          <w:u w:val="single"/>
        </w:rPr>
        <w:fldChar w:fldCharType="end"/>
      </w:r>
    </w:p>
    <w:p w14:paraId="2DB33206">
      <w:pPr>
        <w:pBdr>
          <w:top w:val="none" w:color="000000" w:sz="0" w:space="0"/>
          <w:left w:val="none" w:color="000000" w:sz="0" w:space="0"/>
          <w:bottom w:val="none" w:color="000000" w:sz="0" w:space="0"/>
          <w:right w:val="none" w:color="000000" w:sz="0" w:space="0"/>
        </w:pBdr>
        <w:spacing w:before="120" w:after="120" w:line="420" w:lineRule="atLeast"/>
        <w:ind w:left="0" w:right="0" w:firstLine="0"/>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132967135" \o "http://jszfcg.jsczt.cn/jszc/onlyoffice/7.2.1-34/web-apps/apps/documenteditor/main/index_loader.html?_dc=7.2.1-34&amp;lang=zh&amp;customer=%20&amp;logo=%20&amp;headerlogo=%2Ffavicon.ico&amp;frameEditorId=iframePage&amp;compact=true&amp;parentOrigin=http://jszfcg.jsczt.cn#_Toc132967135" </w:instrText>
      </w:r>
      <w:r>
        <w:rPr>
          <w:color w:val="auto"/>
          <w:highlight w:val="none"/>
        </w:rPr>
        <w:fldChar w:fldCharType="separate"/>
      </w:r>
      <w:r>
        <w:rPr>
          <w:rStyle w:val="259"/>
          <w:rFonts w:ascii="黑体" w:hAnsi="黑体" w:eastAsia="黑体" w:cs="黑体"/>
          <w:color w:val="auto"/>
          <w:sz w:val="28"/>
          <w:highlight w:val="none"/>
          <w:u w:val="single"/>
        </w:rPr>
        <w:t>第二章  投标人须知</w:t>
      </w:r>
      <w:r>
        <w:rPr>
          <w:rStyle w:val="259"/>
          <w:rFonts w:ascii="宋体" w:hAnsi="宋体" w:eastAsia="宋体" w:cs="宋体"/>
          <w:color w:val="auto"/>
          <w:sz w:val="28"/>
          <w:highlight w:val="none"/>
          <w:u w:val="single"/>
        </w:rPr>
        <w:tab/>
      </w:r>
      <w:r>
        <w:rPr>
          <w:rStyle w:val="259"/>
          <w:rFonts w:ascii="宋体" w:hAnsi="宋体" w:eastAsia="宋体" w:cs="宋体"/>
          <w:color w:val="auto"/>
          <w:sz w:val="28"/>
          <w:highlight w:val="none"/>
          <w:u w:val="single"/>
        </w:rPr>
        <w:t>1</w:t>
      </w:r>
      <w:r>
        <w:rPr>
          <w:rStyle w:val="259"/>
          <w:rFonts w:hint="eastAsia" w:ascii="宋体" w:hAnsi="宋体" w:cs="宋体"/>
          <w:color w:val="auto"/>
          <w:sz w:val="28"/>
          <w:highlight w:val="none"/>
          <w:u w:val="single"/>
          <w:lang w:val="en-US" w:eastAsia="zh-CN"/>
        </w:rPr>
        <w:t>0</w:t>
      </w:r>
      <w:r>
        <w:rPr>
          <w:rStyle w:val="259"/>
          <w:rFonts w:ascii="宋体" w:hAnsi="宋体" w:eastAsia="宋体" w:cs="宋体"/>
          <w:color w:val="auto"/>
          <w:sz w:val="28"/>
          <w:highlight w:val="none"/>
          <w:u w:val="single"/>
        </w:rPr>
        <w:fldChar w:fldCharType="end"/>
      </w:r>
    </w:p>
    <w:p w14:paraId="7843D36A">
      <w:pPr>
        <w:pBdr>
          <w:top w:val="none" w:color="000000" w:sz="0" w:space="0"/>
          <w:left w:val="none" w:color="000000" w:sz="0" w:space="0"/>
          <w:bottom w:val="none" w:color="000000" w:sz="0" w:space="0"/>
          <w:right w:val="none" w:color="000000" w:sz="0" w:space="0"/>
        </w:pBdr>
        <w:spacing w:before="120" w:after="120" w:line="420" w:lineRule="atLeast"/>
        <w:ind w:left="0" w:right="0" w:firstLine="0"/>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132967136" \o "http://jszfcg.jsczt.cn/jszc/onlyoffice/7.2.1-34/web-apps/apps/documenteditor/main/index_loader.html?_dc=7.2.1-34&amp;lang=zh&amp;customer=%20&amp;logo=%20&amp;headerlogo=%2Ffavicon.ico&amp;frameEditorId=iframePage&amp;compact=true&amp;parentOrigin=http://jszfcg.jsczt.cn#_Toc132967136" </w:instrText>
      </w:r>
      <w:r>
        <w:rPr>
          <w:color w:val="auto"/>
          <w:highlight w:val="none"/>
        </w:rPr>
        <w:fldChar w:fldCharType="separate"/>
      </w:r>
      <w:r>
        <w:rPr>
          <w:rStyle w:val="259"/>
          <w:rFonts w:ascii="黑体" w:hAnsi="黑体" w:eastAsia="黑体" w:cs="黑体"/>
          <w:color w:val="auto"/>
          <w:sz w:val="28"/>
          <w:highlight w:val="none"/>
          <w:u w:val="single"/>
        </w:rPr>
        <w:t>第三章  评标方法与评标标准</w:t>
      </w:r>
      <w:r>
        <w:rPr>
          <w:rStyle w:val="259"/>
          <w:rFonts w:ascii="宋体" w:hAnsi="宋体" w:eastAsia="宋体" w:cs="宋体"/>
          <w:color w:val="auto"/>
          <w:sz w:val="28"/>
          <w:highlight w:val="none"/>
          <w:u w:val="single"/>
        </w:rPr>
        <w:t>2</w:t>
      </w:r>
      <w:r>
        <w:rPr>
          <w:rStyle w:val="259"/>
          <w:rFonts w:hint="eastAsia" w:ascii="宋体" w:hAnsi="宋体" w:cs="宋体"/>
          <w:color w:val="auto"/>
          <w:sz w:val="28"/>
          <w:highlight w:val="none"/>
          <w:u w:val="single"/>
          <w:lang w:val="en-US" w:eastAsia="zh-CN"/>
        </w:rPr>
        <w:t>2</w:t>
      </w:r>
      <w:r>
        <w:rPr>
          <w:rStyle w:val="259"/>
          <w:rFonts w:ascii="宋体" w:hAnsi="宋体" w:eastAsia="宋体" w:cs="宋体"/>
          <w:color w:val="auto"/>
          <w:sz w:val="28"/>
          <w:highlight w:val="none"/>
          <w:u w:val="single"/>
        </w:rPr>
        <w:fldChar w:fldCharType="end"/>
      </w:r>
    </w:p>
    <w:p w14:paraId="41D33218">
      <w:pPr>
        <w:pBdr>
          <w:top w:val="none" w:color="000000" w:sz="0" w:space="0"/>
          <w:left w:val="none" w:color="000000" w:sz="0" w:space="0"/>
          <w:bottom w:val="none" w:color="000000" w:sz="0" w:space="0"/>
          <w:right w:val="none" w:color="000000" w:sz="0" w:space="0"/>
        </w:pBdr>
        <w:spacing w:before="120" w:after="120" w:line="420" w:lineRule="atLeast"/>
        <w:ind w:left="0" w:right="0" w:firstLine="0"/>
        <w:rPr>
          <w:rStyle w:val="259"/>
          <w:rFonts w:hint="eastAsia" w:ascii="黑体" w:hAnsi="黑体" w:eastAsia="黑体" w:cs="黑体"/>
          <w:color w:val="auto"/>
          <w:sz w:val="28"/>
          <w:highlight w:val="none"/>
          <w:u w:val="single"/>
          <w:lang w:val="en-US" w:eastAsia="zh-CN"/>
        </w:rPr>
      </w:pPr>
      <w:r>
        <w:rPr>
          <w:rStyle w:val="259"/>
          <w:rFonts w:ascii="黑体" w:hAnsi="黑体" w:eastAsia="黑体" w:cs="黑体"/>
          <w:color w:val="auto"/>
          <w:sz w:val="28"/>
          <w:highlight w:val="none"/>
          <w:u w:val="single"/>
        </w:rPr>
        <w:fldChar w:fldCharType="begin"/>
      </w:r>
      <w:r>
        <w:rPr>
          <w:rStyle w:val="259"/>
          <w:rFonts w:ascii="黑体" w:hAnsi="黑体" w:eastAsia="黑体" w:cs="黑体"/>
          <w:color w:val="auto"/>
          <w:sz w:val="28"/>
          <w:highlight w:val="none"/>
          <w:u w:val="single"/>
        </w:rPr>
        <w:instrText xml:space="preserve"> HYPERLINK "http://jszfcg.jsczt.cn/jszc/onlyoffice/7.2.1-34/web-apps/apps/documenteditor/main/index_loader.html?_dc=7.2.1-34&amp;lang=zh&amp;customer=%20&amp;logo=%20&amp;headerlogo=%2Ffavicon.ico&amp;frameEditorId=iframePage&amp;compact=true&amp;parentOrigin=http://jszfcg.jsczt.cn#_Toc132967137" \o "http://jszfcg.jsczt.cn/jszc/onlyoffice/7.2.1-34/web-apps/apps/documenteditor/main/index_loader.html?_dc=7.2.1-34&amp;lang=zh&amp;customer=%20&amp;logo=%20&amp;headerlogo=%2Ffavicon.ico&amp;frameEditorId=iframePage&amp;compact=true&amp;parentOrigin=http://jszfcg.jsczt.cn#_Toc132967137" </w:instrText>
      </w:r>
      <w:r>
        <w:rPr>
          <w:rStyle w:val="259"/>
          <w:rFonts w:ascii="黑体" w:hAnsi="黑体" w:eastAsia="黑体" w:cs="黑体"/>
          <w:color w:val="auto"/>
          <w:sz w:val="28"/>
          <w:highlight w:val="none"/>
          <w:u w:val="single"/>
        </w:rPr>
        <w:fldChar w:fldCharType="separate"/>
      </w:r>
      <w:r>
        <w:rPr>
          <w:rStyle w:val="259"/>
          <w:rFonts w:ascii="黑体" w:hAnsi="黑体" w:eastAsia="黑体" w:cs="黑体"/>
          <w:color w:val="auto"/>
          <w:sz w:val="28"/>
          <w:highlight w:val="none"/>
          <w:u w:val="single"/>
        </w:rPr>
        <w:t>第四章 项目需求</w:t>
      </w:r>
      <w:r>
        <w:rPr>
          <w:rStyle w:val="259"/>
          <w:rFonts w:hint="eastAsia" w:ascii="宋体" w:hAnsi="宋体" w:cs="宋体"/>
          <w:color w:val="auto"/>
          <w:sz w:val="28"/>
          <w:highlight w:val="none"/>
          <w:u w:val="single"/>
          <w:lang w:val="en-US" w:eastAsia="zh-CN"/>
        </w:rPr>
        <w:t>2</w:t>
      </w:r>
      <w:r>
        <w:rPr>
          <w:rStyle w:val="259"/>
          <w:rFonts w:ascii="黑体" w:hAnsi="黑体" w:eastAsia="黑体" w:cs="黑体"/>
          <w:color w:val="auto"/>
          <w:sz w:val="28"/>
          <w:highlight w:val="none"/>
          <w:u w:val="single"/>
        </w:rPr>
        <w:fldChar w:fldCharType="end"/>
      </w:r>
      <w:r>
        <w:rPr>
          <w:rStyle w:val="259"/>
          <w:rFonts w:hint="eastAsia" w:ascii="黑体" w:hAnsi="黑体" w:eastAsia="黑体" w:cs="黑体"/>
          <w:color w:val="auto"/>
          <w:sz w:val="28"/>
          <w:highlight w:val="none"/>
          <w:u w:val="single"/>
          <w:lang w:val="en-US" w:eastAsia="zh-CN"/>
        </w:rPr>
        <w:t>8</w:t>
      </w:r>
    </w:p>
    <w:p w14:paraId="2995A220">
      <w:pPr>
        <w:pBdr>
          <w:top w:val="none" w:color="000000" w:sz="0" w:space="0"/>
          <w:left w:val="none" w:color="000000" w:sz="0" w:space="0"/>
          <w:bottom w:val="none" w:color="000000" w:sz="0" w:space="0"/>
          <w:right w:val="none" w:color="000000" w:sz="0" w:space="0"/>
        </w:pBdr>
        <w:spacing w:before="120" w:after="120" w:line="420" w:lineRule="atLeast"/>
        <w:ind w:left="0" w:right="0" w:firstLine="0"/>
        <w:rPr>
          <w:color w:val="auto"/>
          <w:highlight w:val="none"/>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132967138" \o "http://jszfcg.jsczt.cn/jszc/onlyoffice/7.2.1-34/web-apps/apps/documenteditor/main/index_loader.html?_dc=7.2.1-34&amp;lang=zh&amp;customer=%20&amp;logo=%20&amp;headerlogo=%2Ffavicon.ico&amp;frameEditorId=iframePage&amp;compact=true&amp;parentOrigin=http://jszfcg.jsczt.cn#_Toc132967138" </w:instrText>
      </w:r>
      <w:r>
        <w:rPr>
          <w:color w:val="auto"/>
          <w:highlight w:val="none"/>
        </w:rPr>
        <w:fldChar w:fldCharType="separate"/>
      </w:r>
      <w:r>
        <w:rPr>
          <w:rStyle w:val="259"/>
          <w:rFonts w:ascii="黑体" w:hAnsi="黑体" w:eastAsia="黑体" w:cs="黑体"/>
          <w:color w:val="auto"/>
          <w:sz w:val="28"/>
          <w:highlight w:val="none"/>
          <w:u w:val="single"/>
        </w:rPr>
        <w:t xml:space="preserve">第五章  </w:t>
      </w:r>
      <w:r>
        <w:rPr>
          <w:rStyle w:val="259"/>
          <w:rFonts w:hint="eastAsia" w:ascii="黑体" w:hAnsi="黑体" w:eastAsia="黑体" w:cs="黑体"/>
          <w:color w:val="auto"/>
          <w:sz w:val="28"/>
          <w:highlight w:val="none"/>
          <w:u w:val="single"/>
        </w:rPr>
        <w:t>南京市江宁区政府采购合同格式</w:t>
      </w:r>
      <w:r>
        <w:rPr>
          <w:rStyle w:val="259"/>
          <w:rFonts w:hint="eastAsia" w:ascii="黑体" w:hAnsi="黑体" w:eastAsia="黑体" w:cs="黑体"/>
          <w:color w:val="auto"/>
          <w:sz w:val="28"/>
          <w:highlight w:val="none"/>
          <w:u w:val="single"/>
          <w:lang w:val="en-US" w:eastAsia="zh-CN"/>
        </w:rPr>
        <w:t xml:space="preserve"> </w:t>
      </w:r>
      <w:r>
        <w:rPr>
          <w:rStyle w:val="259"/>
          <w:rFonts w:hint="eastAsia" w:ascii="宋体" w:hAnsi="宋体" w:cs="宋体"/>
          <w:color w:val="auto"/>
          <w:sz w:val="28"/>
          <w:highlight w:val="none"/>
          <w:u w:val="single"/>
          <w:lang w:val="en-US" w:eastAsia="zh-CN"/>
        </w:rPr>
        <w:t>38</w:t>
      </w:r>
      <w:r>
        <w:rPr>
          <w:rStyle w:val="259"/>
          <w:rFonts w:ascii="宋体" w:hAnsi="宋体" w:eastAsia="宋体" w:cs="宋体"/>
          <w:color w:val="auto"/>
          <w:sz w:val="28"/>
          <w:highlight w:val="none"/>
          <w:u w:val="single"/>
        </w:rPr>
        <w:fldChar w:fldCharType="end"/>
      </w:r>
    </w:p>
    <w:p w14:paraId="04658519">
      <w:pPr>
        <w:pBdr>
          <w:top w:val="none" w:color="000000" w:sz="0" w:space="0"/>
          <w:left w:val="none" w:color="000000" w:sz="0" w:space="0"/>
          <w:bottom w:val="none" w:color="000000" w:sz="0" w:space="0"/>
          <w:right w:val="none" w:color="000000" w:sz="0" w:space="0"/>
        </w:pBdr>
        <w:spacing w:before="120" w:after="120" w:line="420" w:lineRule="atLeast"/>
        <w:ind w:left="0" w:right="0" w:firstLine="0"/>
        <w:rPr>
          <w:rStyle w:val="259"/>
          <w:rFonts w:hint="eastAsia" w:ascii="宋体" w:hAnsi="宋体" w:eastAsia="宋体" w:cs="宋体"/>
          <w:color w:val="auto"/>
          <w:sz w:val="28"/>
          <w:highlight w:val="none"/>
          <w:u w:val="single"/>
          <w:lang w:val="en-US" w:eastAsia="zh-CN"/>
        </w:rPr>
      </w:pPr>
      <w:r>
        <w:rPr>
          <w:color w:val="auto"/>
          <w:highlight w:val="none"/>
        </w:rPr>
        <w:fldChar w:fldCharType="begin"/>
      </w:r>
      <w:r>
        <w:rPr>
          <w:color w:val="auto"/>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_Toc132967139" \o "http://jszfcg.jsczt.cn/jszc/onlyoffice/7.2.1-34/web-apps/apps/documenteditor/main/index_loader.html?_dc=7.2.1-34&amp;lang=zh&amp;customer=%20&amp;logo=%20&amp;headerlogo=%2Ffavicon.ico&amp;frameEditorId=iframePage&amp;compact=true&amp;parentOrigin=http://jszfcg.jsczt.cn#_Toc132967139" </w:instrText>
      </w:r>
      <w:r>
        <w:rPr>
          <w:color w:val="auto"/>
          <w:highlight w:val="none"/>
        </w:rPr>
        <w:fldChar w:fldCharType="separate"/>
      </w:r>
      <w:r>
        <w:rPr>
          <w:rStyle w:val="259"/>
          <w:rFonts w:ascii="黑体" w:hAnsi="黑体" w:eastAsia="黑体" w:cs="黑体"/>
          <w:color w:val="auto"/>
          <w:sz w:val="28"/>
          <w:highlight w:val="none"/>
          <w:u w:val="single"/>
        </w:rPr>
        <w:t>第六章  投标文件格式</w:t>
      </w:r>
      <w:r>
        <w:rPr>
          <w:rStyle w:val="259"/>
          <w:rFonts w:ascii="宋体" w:hAnsi="宋体" w:eastAsia="宋体" w:cs="宋体"/>
          <w:color w:val="auto"/>
          <w:sz w:val="28"/>
          <w:highlight w:val="none"/>
          <w:u w:val="single"/>
        </w:rPr>
        <w:tab/>
      </w:r>
      <w:r>
        <w:rPr>
          <w:rStyle w:val="259"/>
          <w:rFonts w:hint="eastAsia" w:ascii="宋体" w:hAnsi="宋体" w:cs="宋体"/>
          <w:color w:val="auto"/>
          <w:sz w:val="28"/>
          <w:highlight w:val="none"/>
          <w:u w:val="single"/>
          <w:lang w:val="en-US" w:eastAsia="zh-CN"/>
        </w:rPr>
        <w:t>4</w:t>
      </w:r>
      <w:r>
        <w:rPr>
          <w:rStyle w:val="259"/>
          <w:rFonts w:ascii="宋体" w:hAnsi="宋体" w:eastAsia="宋体" w:cs="宋体"/>
          <w:color w:val="auto"/>
          <w:sz w:val="28"/>
          <w:highlight w:val="none"/>
          <w:u w:val="single"/>
        </w:rPr>
        <w:fldChar w:fldCharType="end"/>
      </w:r>
      <w:r>
        <w:rPr>
          <w:rStyle w:val="259"/>
          <w:rFonts w:hint="eastAsia" w:ascii="宋体" w:hAnsi="宋体" w:cs="宋体"/>
          <w:color w:val="auto"/>
          <w:sz w:val="28"/>
          <w:highlight w:val="none"/>
          <w:u w:val="single"/>
          <w:lang w:val="en-US" w:eastAsia="zh-CN"/>
        </w:rPr>
        <w:t>4</w:t>
      </w:r>
    </w:p>
    <w:p w14:paraId="173AFFAB">
      <w:pPr>
        <w:pBdr>
          <w:top w:val="none" w:color="000000" w:sz="0" w:space="0"/>
          <w:left w:val="none" w:color="000000" w:sz="0" w:space="0"/>
          <w:bottom w:val="none" w:color="000000" w:sz="0" w:space="0"/>
          <w:right w:val="none" w:color="000000" w:sz="0" w:space="0"/>
        </w:pBdr>
        <w:spacing w:before="0" w:after="200" w:line="253" w:lineRule="atLeast"/>
        <w:ind w:left="0" w:right="0" w:firstLine="0"/>
        <w:rPr>
          <w:color w:val="auto"/>
          <w:highlight w:val="none"/>
        </w:rPr>
      </w:pPr>
      <w:r>
        <w:rPr>
          <w:rFonts w:ascii="Calibri" w:hAnsi="Calibri" w:eastAsia="Calibri" w:cs="Calibri"/>
          <w:color w:val="auto"/>
          <w:sz w:val="22"/>
          <w:highlight w:val="none"/>
        </w:rPr>
        <w:t> </w:t>
      </w:r>
    </w:p>
    <w:p w14:paraId="4CF4E43C">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70BFBF6D">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1202A0B7">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1BCF256F">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6095B493">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5090D9EE">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3433E810">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6B63C943">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4EC5D5EA">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0E01DA9B">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Calibri" w:hAnsi="Calibri" w:eastAsia="Calibri" w:cs="Calibri"/>
          <w:color w:val="auto"/>
          <w:sz w:val="21"/>
          <w:highlight w:val="none"/>
        </w:rPr>
        <w:t> </w:t>
      </w:r>
    </w:p>
    <w:p w14:paraId="3964AF83">
      <w:pPr>
        <w:pBdr>
          <w:top w:val="none" w:color="000000" w:sz="0" w:space="0"/>
          <w:left w:val="none" w:color="000000" w:sz="0" w:space="0"/>
          <w:bottom w:val="none" w:color="000000" w:sz="0" w:space="0"/>
          <w:right w:val="none" w:color="000000" w:sz="0" w:space="0"/>
        </w:pBdr>
        <w:tabs>
          <w:tab w:val="left" w:pos="7526"/>
        </w:tabs>
        <w:spacing w:before="0" w:after="200" w:line="253" w:lineRule="atLeast"/>
        <w:ind w:left="0" w:right="0" w:firstLine="0"/>
        <w:rPr>
          <w:color w:val="auto"/>
          <w:highlight w:val="none"/>
        </w:rPr>
      </w:pPr>
      <w:r>
        <w:rPr>
          <w:rFonts w:ascii="Calibri" w:hAnsi="Calibri" w:eastAsia="Calibri" w:cs="Calibri"/>
          <w:color w:val="auto"/>
          <w:sz w:val="21"/>
          <w:highlight w:val="none"/>
        </w:rPr>
        <w:tab/>
      </w:r>
    </w:p>
    <w:p w14:paraId="5EAD1730">
      <w:pPr>
        <w:pBdr>
          <w:top w:val="none" w:color="000000" w:sz="0" w:space="0"/>
          <w:left w:val="none" w:color="000000" w:sz="0" w:space="0"/>
          <w:bottom w:val="none" w:color="000000" w:sz="0" w:space="0"/>
          <w:right w:val="none" w:color="000000" w:sz="0" w:space="0"/>
        </w:pBdr>
        <w:spacing w:before="0" w:after="0" w:line="65" w:lineRule="atLeast"/>
        <w:ind w:left="0" w:right="0" w:firstLine="0"/>
        <w:rPr>
          <w:rFonts w:hint="eastAsia" w:ascii="宋体" w:hAnsi="宋体" w:eastAsia="宋体" w:cs="宋体"/>
          <w:color w:val="auto"/>
          <w:highlight w:val="none"/>
        </w:rPr>
      </w:pPr>
      <w:r>
        <w:rPr>
          <w:color w:val="auto"/>
          <w:highlight w:val="none"/>
        </w:rPr>
        <w:br w:type="page" w:clear="all"/>
      </w:r>
    </w:p>
    <w:p w14:paraId="4BFF4112">
      <w:pPr>
        <w:pBdr>
          <w:top w:val="none" w:color="000000" w:sz="0" w:space="0"/>
          <w:left w:val="none" w:color="000000" w:sz="0" w:space="0"/>
          <w:bottom w:val="none" w:color="000000" w:sz="0" w:space="0"/>
          <w:right w:val="none" w:color="000000" w:sz="0" w:space="0"/>
        </w:pBdr>
        <w:spacing w:before="0" w:after="0" w:line="65" w:lineRule="atLeast"/>
        <w:ind w:left="0" w:right="0" w:firstLine="0"/>
        <w:rPr>
          <w:color w:val="auto"/>
          <w:highlight w:val="none"/>
        </w:rPr>
      </w:pPr>
      <w:r>
        <w:rPr>
          <w:rFonts w:ascii="Calibri" w:hAnsi="Calibri" w:eastAsia="Calibri" w:cs="Calibri"/>
          <w:color w:val="auto"/>
          <w:sz w:val="21"/>
          <w:highlight w:val="none"/>
        </w:rPr>
        <w:t xml:space="preserve"> </w:t>
      </w:r>
    </w:p>
    <w:p w14:paraId="0BE1BFBF">
      <w:pPr>
        <w:pStyle w:val="2"/>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color w:val="auto"/>
          <w:sz w:val="44"/>
          <w:highlight w:val="none"/>
        </w:rPr>
        <w:t>第一章  投标邀请</w:t>
      </w:r>
    </w:p>
    <w:p w14:paraId="532DBEBA">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hint="eastAsia" w:ascii="宋体" w:hAnsi="宋体" w:cs="宋体"/>
          <w:color w:val="auto"/>
          <w:sz w:val="24"/>
          <w:highlight w:val="none"/>
          <w:u w:val="single"/>
          <w:lang w:eastAsia="zh-CN"/>
        </w:rPr>
        <w:t>南京荣大工程项目管理有限公司</w:t>
      </w:r>
      <w:r>
        <w:rPr>
          <w:rFonts w:ascii="宋体" w:hAnsi="宋体" w:eastAsia="宋体" w:cs="宋体"/>
          <w:color w:val="auto"/>
          <w:sz w:val="24"/>
          <w:highlight w:val="none"/>
          <w:u w:val="none"/>
        </w:rPr>
        <w:t>受</w:t>
      </w:r>
      <w:r>
        <w:rPr>
          <w:rFonts w:hint="eastAsia" w:ascii="宋体" w:hAnsi="宋体" w:cs="宋体"/>
          <w:color w:val="auto"/>
          <w:sz w:val="24"/>
          <w:highlight w:val="none"/>
          <w:u w:val="none"/>
          <w:lang w:val="en-US" w:eastAsia="zh-CN"/>
        </w:rPr>
        <w:t xml:space="preserve"> </w:t>
      </w:r>
      <w:r>
        <w:rPr>
          <w:rFonts w:hint="eastAsia" w:ascii="宋体" w:hAnsi="宋体" w:cs="宋体"/>
          <w:color w:val="auto"/>
          <w:sz w:val="24"/>
          <w:highlight w:val="none"/>
          <w:u w:val="single"/>
          <w:lang w:eastAsia="zh-CN"/>
        </w:rPr>
        <w:t>南京市江宁区市场监督管理局</w:t>
      </w:r>
      <w:r>
        <w:rPr>
          <w:rFonts w:ascii="宋体" w:hAnsi="宋体" w:eastAsia="宋体" w:cs="宋体"/>
          <w:color w:val="auto"/>
          <w:sz w:val="24"/>
          <w:highlight w:val="none"/>
        </w:rPr>
        <w:t>（以下简称采购人）的委托，就其所需的</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lang w:eastAsia="zh-CN"/>
        </w:rPr>
        <w:t>年企业公示信息中介协查服务</w:t>
      </w:r>
      <w:r>
        <w:rPr>
          <w:rFonts w:ascii="宋体" w:hAnsi="宋体" w:eastAsia="宋体" w:cs="宋体"/>
          <w:color w:val="auto"/>
          <w:sz w:val="24"/>
          <w:highlight w:val="none"/>
        </w:rPr>
        <w:t>进行公开招标采购，现欢迎符合相关条件的合格供应商投标。</w:t>
      </w:r>
    </w:p>
    <w:p w14:paraId="3CD2A883">
      <w:pPr>
        <w:keepNext w:val="0"/>
        <w:keepLines w:val="0"/>
        <w:pageBreakBefore w:val="0"/>
        <w:widowControl/>
        <w:numPr>
          <w:ilvl w:val="0"/>
          <w:numId w:val="1"/>
        </w:numPr>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2" w:firstLineChars="200"/>
        <w:jc w:val="both"/>
        <w:textAlignment w:val="auto"/>
        <w:rPr>
          <w:rFonts w:ascii="宋体" w:hAnsi="宋体" w:eastAsia="宋体" w:cs="宋体"/>
          <w:b/>
          <w:color w:val="auto"/>
          <w:sz w:val="24"/>
          <w:highlight w:val="none"/>
        </w:rPr>
      </w:pPr>
      <w:r>
        <w:rPr>
          <w:rFonts w:hint="eastAsia" w:ascii="宋体" w:hAnsi="宋体" w:cs="宋体"/>
          <w:b/>
          <w:color w:val="auto"/>
          <w:sz w:val="24"/>
          <w:highlight w:val="none"/>
          <w:lang w:val="en-US" w:eastAsia="zh-CN"/>
        </w:rPr>
        <w:t>项目</w:t>
      </w:r>
      <w:r>
        <w:rPr>
          <w:rFonts w:ascii="宋体" w:hAnsi="宋体" w:eastAsia="宋体" w:cs="宋体"/>
          <w:b/>
          <w:color w:val="auto"/>
          <w:sz w:val="24"/>
          <w:highlight w:val="none"/>
        </w:rPr>
        <w:t>编号及项目名称</w:t>
      </w:r>
    </w:p>
    <w:p w14:paraId="3C57A50D">
      <w:pPr>
        <w:keepNext w:val="0"/>
        <w:keepLines w:val="0"/>
        <w:pageBreakBefore w:val="0"/>
        <w:widowControl/>
        <w:numPr>
          <w:ilvl w:val="0"/>
          <w:numId w:val="0"/>
        </w:numPr>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440" w:leftChars="0" w:right="0" w:rightChars="0" w:firstLine="40" w:firstLineChars="0"/>
        <w:jc w:val="both"/>
        <w:textAlignment w:val="auto"/>
        <w:rPr>
          <w:color w:val="auto"/>
          <w:highlight w:val="none"/>
        </w:rPr>
      </w:pPr>
      <w:r>
        <w:rPr>
          <w:rFonts w:hint="eastAsia" w:ascii="宋体" w:hAnsi="宋体" w:cs="宋体"/>
          <w:color w:val="auto"/>
          <w:sz w:val="24"/>
          <w:highlight w:val="none"/>
          <w:lang w:val="en-US" w:eastAsia="zh-CN"/>
        </w:rPr>
        <w:t>1、</w:t>
      </w:r>
      <w:r>
        <w:rPr>
          <w:rFonts w:ascii="宋体" w:hAnsi="宋体" w:eastAsia="宋体" w:cs="宋体"/>
          <w:color w:val="auto"/>
          <w:sz w:val="24"/>
          <w:highlight w:val="none"/>
        </w:rPr>
        <w:t>项目编号：</w:t>
      </w:r>
      <w:r>
        <w:rPr>
          <w:rFonts w:hint="eastAsia" w:ascii="宋体" w:hAnsi="宋体" w:eastAsia="宋体" w:cs="宋体"/>
          <w:color w:val="auto"/>
          <w:sz w:val="24"/>
          <w:highlight w:val="none"/>
          <w:lang w:val="en-US" w:eastAsia="zh-CN"/>
        </w:rPr>
        <w:t>JSZC-320115-NJRD-G2026-0006</w:t>
      </w:r>
    </w:p>
    <w:p w14:paraId="0757020B">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eastAsia="宋体"/>
          <w:color w:val="auto"/>
          <w:highlight w:val="none"/>
          <w:u w:val="single"/>
          <w:shd w:val="clear" w:color="FFFFFF" w:fill="D9D9D9"/>
          <w:lang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ascii="宋体" w:hAnsi="宋体" w:eastAsia="宋体" w:cs="宋体"/>
          <w:color w:val="auto"/>
          <w:sz w:val="24"/>
          <w:highlight w:val="none"/>
        </w:rPr>
        <w:t>项目名称：</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年企业公示信息中介协查服务</w:t>
      </w:r>
    </w:p>
    <w:p w14:paraId="31308717">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2" w:firstLineChars="200"/>
        <w:jc w:val="both"/>
        <w:textAlignment w:val="auto"/>
        <w:rPr>
          <w:color w:val="auto"/>
          <w:highlight w:val="none"/>
        </w:rPr>
      </w:pPr>
      <w:r>
        <w:rPr>
          <w:rFonts w:ascii="宋体" w:hAnsi="宋体" w:eastAsia="宋体" w:cs="宋体"/>
          <w:b/>
          <w:color w:val="auto"/>
          <w:sz w:val="24"/>
          <w:highlight w:val="none"/>
        </w:rPr>
        <w:t>二、招标项目简要说明、预算金额及最高限价</w:t>
      </w:r>
    </w:p>
    <w:p w14:paraId="2C2BE0FF">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hint="eastAsia" w:ascii="宋体" w:hAnsi="宋体" w:cs="宋体"/>
          <w:color w:val="auto"/>
          <w:sz w:val="24"/>
          <w:highlight w:val="none"/>
          <w:lang w:val="en-US" w:eastAsia="zh-CN"/>
        </w:rPr>
        <w:t>2.1、</w:t>
      </w:r>
      <w:r>
        <w:rPr>
          <w:rFonts w:ascii="宋体" w:hAnsi="宋体" w:eastAsia="宋体" w:cs="宋体"/>
          <w:color w:val="auto"/>
          <w:sz w:val="24"/>
          <w:highlight w:val="none"/>
        </w:rPr>
        <w:t>招标项目简要说明</w:t>
      </w:r>
    </w:p>
    <w:p w14:paraId="57A37AB6">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hint="eastAsia" w:ascii="宋体" w:hAnsi="宋体" w:eastAsia="宋体" w:cs="宋体"/>
          <w:color w:val="auto"/>
          <w:sz w:val="24"/>
          <w:highlight w:val="none"/>
          <w:lang w:eastAsia="zh-CN"/>
        </w:rPr>
        <w:t>南京市江宁区市场监督管理局</w:t>
      </w:r>
      <w:r>
        <w:rPr>
          <w:rFonts w:ascii="宋体" w:hAnsi="宋体" w:eastAsia="宋体" w:cs="宋体"/>
          <w:color w:val="auto"/>
          <w:sz w:val="24"/>
          <w:highlight w:val="none"/>
        </w:rPr>
        <w:t>按照《企业信息公示暂行条例》和</w:t>
      </w:r>
      <w:r>
        <w:rPr>
          <w:rFonts w:hint="eastAsia" w:ascii="宋体" w:hAnsi="宋体" w:eastAsia="宋体" w:cs="宋体"/>
          <w:color w:val="auto"/>
          <w:sz w:val="24"/>
          <w:highlight w:val="none"/>
        </w:rPr>
        <w:t>《企业公示信息抽查办法》</w:t>
      </w:r>
      <w:r>
        <w:rPr>
          <w:rFonts w:ascii="宋体" w:hAnsi="宋体" w:eastAsia="宋体" w:cs="宋体"/>
          <w:color w:val="auto"/>
          <w:sz w:val="24"/>
          <w:highlight w:val="none"/>
        </w:rPr>
        <w:t>的要求，组织开展企业公示信息情况抽查。现拟公开遴选一批中介服务机构对企业年度报告和即时公示信息中的出资情况、投资情况、资产经营状况、从业人员等情况的真实性、合法性进行协查，对</w:t>
      </w:r>
      <w:r>
        <w:rPr>
          <w:rFonts w:hint="eastAsia" w:ascii="宋体" w:hAnsi="宋体" w:eastAsia="宋体" w:cs="宋体"/>
          <w:color w:val="auto"/>
          <w:sz w:val="24"/>
          <w:highlight w:val="none"/>
          <w:lang w:val="en-US" w:eastAsia="zh-CN"/>
        </w:rPr>
        <w:t>每个</w:t>
      </w:r>
      <w:r>
        <w:rPr>
          <w:rFonts w:ascii="宋体" w:hAnsi="宋体" w:eastAsia="宋体" w:cs="宋体"/>
          <w:color w:val="auto"/>
          <w:sz w:val="24"/>
          <w:highlight w:val="none"/>
        </w:rPr>
        <w:t>被查企业出具书面协查报告。本招标项目的最小招标单位为分包，按每个分包进行投标、评标。本招标文件所有内容未做特别标注或说明即适用所有分包。具体详见采购文件第四章项目需求。</w:t>
      </w:r>
    </w:p>
    <w:p w14:paraId="2E6A6D2B">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hint="eastAsia" w:ascii="宋体" w:hAnsi="宋体" w:cs="宋体"/>
          <w:color w:val="auto"/>
          <w:sz w:val="24"/>
          <w:highlight w:val="none"/>
          <w:lang w:val="en-US" w:eastAsia="zh-CN"/>
        </w:rPr>
        <w:t>2.2、</w:t>
      </w:r>
      <w:r>
        <w:rPr>
          <w:rFonts w:ascii="宋体" w:hAnsi="宋体" w:eastAsia="宋体" w:cs="宋体"/>
          <w:color w:val="auto"/>
          <w:sz w:val="24"/>
          <w:highlight w:val="none"/>
        </w:rPr>
        <w:t>预算金</w:t>
      </w:r>
    </w:p>
    <w:p w14:paraId="274C9222">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ascii="宋体" w:hAnsi="宋体" w:eastAsia="宋体" w:cs="宋体"/>
          <w:color w:val="auto"/>
          <w:sz w:val="24"/>
          <w:highlight w:val="none"/>
        </w:rPr>
        <w:t>本项目</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ascii="宋体" w:hAnsi="宋体" w:eastAsia="宋体" w:cs="宋体"/>
          <w:color w:val="auto"/>
          <w:sz w:val="24"/>
          <w:highlight w:val="none"/>
        </w:rPr>
        <w:t>度预算为人民币</w:t>
      </w:r>
      <w:r>
        <w:rPr>
          <w:rFonts w:hint="eastAsia" w:ascii="宋体" w:hAnsi="宋体" w:cs="宋体"/>
          <w:color w:val="auto"/>
          <w:sz w:val="24"/>
          <w:highlight w:val="none"/>
          <w:lang w:val="en-US" w:eastAsia="zh-CN"/>
        </w:rPr>
        <w:t>200</w:t>
      </w:r>
      <w:r>
        <w:rPr>
          <w:rFonts w:ascii="宋体" w:hAnsi="宋体" w:eastAsia="宋体" w:cs="宋体"/>
          <w:color w:val="auto"/>
          <w:sz w:val="24"/>
          <w:highlight w:val="none"/>
        </w:rPr>
        <w:t>万元，分设</w:t>
      </w:r>
      <w:r>
        <w:rPr>
          <w:rFonts w:hint="eastAsia" w:ascii="宋体" w:hAnsi="宋体" w:cs="宋体"/>
          <w:color w:val="auto"/>
          <w:sz w:val="24"/>
          <w:highlight w:val="none"/>
          <w:lang w:val="en-US" w:eastAsia="zh-CN"/>
        </w:rPr>
        <w:t>7</w:t>
      </w:r>
      <w:r>
        <w:rPr>
          <w:rFonts w:ascii="宋体" w:hAnsi="宋体" w:eastAsia="宋体" w:cs="宋体"/>
          <w:color w:val="auto"/>
          <w:sz w:val="24"/>
          <w:highlight w:val="none"/>
        </w:rPr>
        <w:t>个分包，各分包预算金额请见招标文件中《项目分包明细与分包预算金额、服务清单一览表》。</w:t>
      </w:r>
      <w:r>
        <w:rPr>
          <w:rFonts w:ascii="宋体" w:hAnsi="宋体" w:eastAsia="宋体" w:cs="宋体"/>
          <w:b/>
          <w:color w:val="auto"/>
          <w:sz w:val="24"/>
          <w:highlight w:val="none"/>
        </w:rPr>
        <w:t>投标供应商可兼投但不得兼中，只能中其中一个分包，每个分包选取一家供应商中标。</w:t>
      </w:r>
    </w:p>
    <w:p w14:paraId="43C9E96D">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firstLineChars="200"/>
        <w:jc w:val="both"/>
        <w:textAlignment w:val="auto"/>
        <w:rPr>
          <w:color w:val="auto"/>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ascii="宋体" w:hAnsi="宋体" w:eastAsia="宋体" w:cs="宋体"/>
          <w:color w:val="auto"/>
          <w:sz w:val="24"/>
          <w:highlight w:val="none"/>
        </w:rPr>
        <w:t>本项目按照总价形式进行报价，超过相应分包预算的为无效报价，按无效投标处理。</w:t>
      </w:r>
    </w:p>
    <w:p w14:paraId="3126CE58">
      <w:pPr>
        <w:keepNext w:val="0"/>
        <w:keepLines w:val="0"/>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firstLineChars="200"/>
        <w:jc w:val="both"/>
        <w:textAlignment w:val="auto"/>
        <w:rPr>
          <w:rFonts w:ascii="宋体" w:hAnsi="宋体" w:eastAsia="宋体" w:cs="宋体"/>
          <w:color w:val="auto"/>
          <w:sz w:val="24"/>
          <w:highlight w:val="none"/>
        </w:rPr>
      </w:pPr>
      <w:r>
        <w:rPr>
          <w:rFonts w:hint="eastAsia" w:ascii="宋体" w:hAnsi="宋体" w:cs="宋体"/>
          <w:color w:val="auto"/>
          <w:sz w:val="24"/>
          <w:highlight w:val="none"/>
          <w:u w:val="none"/>
          <w:lang w:val="en-US" w:eastAsia="zh-CN"/>
        </w:rPr>
        <w:t>2.3、</w:t>
      </w:r>
      <w:r>
        <w:rPr>
          <w:rFonts w:ascii="宋体" w:hAnsi="宋体" w:eastAsia="宋体" w:cs="宋体"/>
          <w:color w:val="auto"/>
          <w:sz w:val="24"/>
          <w:highlight w:val="none"/>
        </w:rPr>
        <w:t>《项目分包明细与分包预算金额、服务清单一览表》</w:t>
      </w:r>
    </w:p>
    <w:tbl>
      <w:tblPr>
        <w:tblStyle w:val="34"/>
        <w:tblW w:w="981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1"/>
        <w:gridCol w:w="2500"/>
        <w:gridCol w:w="2276"/>
        <w:gridCol w:w="1722"/>
        <w:gridCol w:w="2009"/>
      </w:tblGrid>
      <w:tr w14:paraId="38AB8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1311" w:type="dxa"/>
            <w:vAlign w:val="center"/>
          </w:tcPr>
          <w:p w14:paraId="116BE7E2">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分包号</w:t>
            </w:r>
          </w:p>
        </w:tc>
        <w:tc>
          <w:tcPr>
            <w:tcW w:w="2500" w:type="dxa"/>
            <w:vAlign w:val="center"/>
          </w:tcPr>
          <w:p w14:paraId="1276FA8E">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分包名称</w:t>
            </w:r>
          </w:p>
        </w:tc>
        <w:tc>
          <w:tcPr>
            <w:tcW w:w="2276" w:type="dxa"/>
            <w:vAlign w:val="center"/>
          </w:tcPr>
          <w:p w14:paraId="6514003B">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协查区域</w:t>
            </w:r>
          </w:p>
        </w:tc>
        <w:tc>
          <w:tcPr>
            <w:tcW w:w="1722" w:type="dxa"/>
            <w:vAlign w:val="center"/>
          </w:tcPr>
          <w:p w14:paraId="3531DFB3">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预算金额</w:t>
            </w:r>
          </w:p>
          <w:p w14:paraId="377EF702">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（万元）</w:t>
            </w:r>
          </w:p>
        </w:tc>
        <w:tc>
          <w:tcPr>
            <w:tcW w:w="2009" w:type="dxa"/>
            <w:vAlign w:val="center"/>
          </w:tcPr>
          <w:p w14:paraId="52C8F930">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最少协查</w:t>
            </w:r>
          </w:p>
          <w:p w14:paraId="4AA931C0">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数量（户）</w:t>
            </w:r>
          </w:p>
        </w:tc>
      </w:tr>
      <w:tr w14:paraId="4D64E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1311" w:type="dxa"/>
            <w:vAlign w:val="center"/>
          </w:tcPr>
          <w:p w14:paraId="54BD339A">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500" w:type="dxa"/>
            <w:vAlign w:val="center"/>
          </w:tcPr>
          <w:p w14:paraId="1773AAA9">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lang w:eastAsia="zh-CN"/>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1</w:t>
            </w:r>
          </w:p>
        </w:tc>
        <w:tc>
          <w:tcPr>
            <w:tcW w:w="2276" w:type="dxa"/>
            <w:vAlign w:val="center"/>
          </w:tcPr>
          <w:p w14:paraId="2847434D">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ind w:leftChars="0" w:firstLine="480" w:firstLineChars="200"/>
              <w:jc w:val="center"/>
              <w:textAlignment w:val="auto"/>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秣陵</w:t>
            </w:r>
            <w:r>
              <w:rPr>
                <w:rFonts w:hint="eastAsia" w:ascii="宋体" w:hAnsi="宋体" w:cs="宋体"/>
                <w:b w:val="0"/>
                <w:bCs w:val="0"/>
                <w:color w:val="auto"/>
                <w:sz w:val="24"/>
                <w:szCs w:val="24"/>
                <w:highlight w:val="none"/>
                <w:vertAlign w:val="baseline"/>
                <w:lang w:val="en-US" w:eastAsia="zh-CN" w:bidi="ar-SA"/>
              </w:rPr>
              <w:t>、</w:t>
            </w:r>
          </w:p>
          <w:p w14:paraId="73350DD3">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ind w:left="0" w:leftChars="0" w:firstLine="480" w:firstLineChars="200"/>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淳化、湖熟</w:t>
            </w:r>
          </w:p>
        </w:tc>
        <w:tc>
          <w:tcPr>
            <w:tcW w:w="1722" w:type="dxa"/>
            <w:vAlign w:val="center"/>
          </w:tcPr>
          <w:p w14:paraId="5AB3065F">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36</w:t>
            </w:r>
          </w:p>
        </w:tc>
        <w:tc>
          <w:tcPr>
            <w:tcW w:w="2009" w:type="dxa"/>
            <w:vAlign w:val="center"/>
          </w:tcPr>
          <w:p w14:paraId="469281AB">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vertAlign w:val="baseline"/>
                <w:lang w:val="en-US" w:eastAsia="zh-CN" w:bidi="ar-SA"/>
              </w:rPr>
              <w:t>336</w:t>
            </w:r>
          </w:p>
        </w:tc>
      </w:tr>
      <w:tr w14:paraId="7DCD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311" w:type="dxa"/>
            <w:vAlign w:val="center"/>
          </w:tcPr>
          <w:p w14:paraId="5952B5D8">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500" w:type="dxa"/>
            <w:vAlign w:val="center"/>
          </w:tcPr>
          <w:p w14:paraId="0FB5F40E">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2</w:t>
            </w:r>
          </w:p>
        </w:tc>
        <w:tc>
          <w:tcPr>
            <w:tcW w:w="2276" w:type="dxa"/>
            <w:vAlign w:val="center"/>
          </w:tcPr>
          <w:p w14:paraId="1554F603">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东山</w:t>
            </w:r>
          </w:p>
        </w:tc>
        <w:tc>
          <w:tcPr>
            <w:tcW w:w="1722" w:type="dxa"/>
            <w:vAlign w:val="center"/>
          </w:tcPr>
          <w:p w14:paraId="593A22EA">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30</w:t>
            </w:r>
          </w:p>
        </w:tc>
        <w:tc>
          <w:tcPr>
            <w:tcW w:w="2009" w:type="dxa"/>
            <w:vAlign w:val="center"/>
          </w:tcPr>
          <w:p w14:paraId="4C1B2AA8">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280</w:t>
            </w:r>
          </w:p>
        </w:tc>
      </w:tr>
      <w:tr w14:paraId="10BD6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1311" w:type="dxa"/>
            <w:vAlign w:val="center"/>
          </w:tcPr>
          <w:p w14:paraId="48C30609">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2500" w:type="dxa"/>
            <w:vAlign w:val="center"/>
          </w:tcPr>
          <w:p w14:paraId="076963D1">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3</w:t>
            </w:r>
          </w:p>
        </w:tc>
        <w:tc>
          <w:tcPr>
            <w:tcW w:w="2276" w:type="dxa"/>
            <w:vAlign w:val="center"/>
          </w:tcPr>
          <w:p w14:paraId="68DF80A8">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开发区</w:t>
            </w:r>
          </w:p>
        </w:tc>
        <w:tc>
          <w:tcPr>
            <w:tcW w:w="1722" w:type="dxa"/>
            <w:vAlign w:val="center"/>
          </w:tcPr>
          <w:p w14:paraId="7D325CC2">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30</w:t>
            </w:r>
          </w:p>
        </w:tc>
        <w:tc>
          <w:tcPr>
            <w:tcW w:w="2009" w:type="dxa"/>
            <w:vAlign w:val="center"/>
          </w:tcPr>
          <w:p w14:paraId="5F2C19A3">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280</w:t>
            </w:r>
          </w:p>
        </w:tc>
      </w:tr>
      <w:tr w14:paraId="16A44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1311" w:type="dxa"/>
            <w:vAlign w:val="center"/>
          </w:tcPr>
          <w:p w14:paraId="7B14A0A0">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500" w:type="dxa"/>
            <w:vAlign w:val="center"/>
          </w:tcPr>
          <w:p w14:paraId="322FEAE6">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4</w:t>
            </w:r>
          </w:p>
        </w:tc>
        <w:tc>
          <w:tcPr>
            <w:tcW w:w="2276" w:type="dxa"/>
            <w:vAlign w:val="center"/>
          </w:tcPr>
          <w:p w14:paraId="6037D172">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高新区</w:t>
            </w:r>
          </w:p>
        </w:tc>
        <w:tc>
          <w:tcPr>
            <w:tcW w:w="1722" w:type="dxa"/>
            <w:vAlign w:val="center"/>
          </w:tcPr>
          <w:p w14:paraId="015FDE2E">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30</w:t>
            </w:r>
          </w:p>
        </w:tc>
        <w:tc>
          <w:tcPr>
            <w:tcW w:w="2009" w:type="dxa"/>
            <w:vAlign w:val="center"/>
          </w:tcPr>
          <w:p w14:paraId="30FB5A4B">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280</w:t>
            </w:r>
          </w:p>
        </w:tc>
      </w:tr>
      <w:tr w14:paraId="52DF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1311" w:type="dxa"/>
            <w:vAlign w:val="center"/>
          </w:tcPr>
          <w:p w14:paraId="41256579">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2500" w:type="dxa"/>
            <w:vAlign w:val="center"/>
          </w:tcPr>
          <w:p w14:paraId="69EBB617">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5</w:t>
            </w:r>
          </w:p>
        </w:tc>
        <w:tc>
          <w:tcPr>
            <w:tcW w:w="2276" w:type="dxa"/>
            <w:vAlign w:val="center"/>
          </w:tcPr>
          <w:p w14:paraId="3BF4C49C">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麒麟、汤山</w:t>
            </w:r>
          </w:p>
        </w:tc>
        <w:tc>
          <w:tcPr>
            <w:tcW w:w="1722" w:type="dxa"/>
            <w:vAlign w:val="center"/>
          </w:tcPr>
          <w:p w14:paraId="078E2D27">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25</w:t>
            </w:r>
          </w:p>
        </w:tc>
        <w:tc>
          <w:tcPr>
            <w:tcW w:w="2009" w:type="dxa"/>
            <w:vAlign w:val="center"/>
          </w:tcPr>
          <w:p w14:paraId="04E38338">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233</w:t>
            </w:r>
          </w:p>
        </w:tc>
      </w:tr>
      <w:tr w14:paraId="2D335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1311" w:type="dxa"/>
            <w:vAlign w:val="center"/>
          </w:tcPr>
          <w:p w14:paraId="33CF774D">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w:t>
            </w:r>
          </w:p>
        </w:tc>
        <w:tc>
          <w:tcPr>
            <w:tcW w:w="2500" w:type="dxa"/>
            <w:vAlign w:val="center"/>
          </w:tcPr>
          <w:p w14:paraId="2AE95A10">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6</w:t>
            </w:r>
          </w:p>
        </w:tc>
        <w:tc>
          <w:tcPr>
            <w:tcW w:w="2276" w:type="dxa"/>
            <w:vAlign w:val="center"/>
          </w:tcPr>
          <w:p w14:paraId="11E11F2C">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滨江、</w:t>
            </w:r>
          </w:p>
          <w:p w14:paraId="29B392AE">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横溪、江宁</w:t>
            </w:r>
          </w:p>
        </w:tc>
        <w:tc>
          <w:tcPr>
            <w:tcW w:w="1722" w:type="dxa"/>
            <w:vAlign w:val="center"/>
          </w:tcPr>
          <w:p w14:paraId="19A60CE0">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25</w:t>
            </w:r>
          </w:p>
        </w:tc>
        <w:tc>
          <w:tcPr>
            <w:tcW w:w="2009" w:type="dxa"/>
            <w:vAlign w:val="center"/>
          </w:tcPr>
          <w:p w14:paraId="7443282F">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233</w:t>
            </w:r>
          </w:p>
        </w:tc>
      </w:tr>
      <w:tr w14:paraId="5E635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trPr>
        <w:tc>
          <w:tcPr>
            <w:tcW w:w="1311" w:type="dxa"/>
            <w:vAlign w:val="center"/>
          </w:tcPr>
          <w:p w14:paraId="10B96BF5">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7</w:t>
            </w:r>
          </w:p>
        </w:tc>
        <w:tc>
          <w:tcPr>
            <w:tcW w:w="2500" w:type="dxa"/>
            <w:vAlign w:val="center"/>
          </w:tcPr>
          <w:p w14:paraId="67F942DE">
            <w:pPr>
              <w:pStyle w:val="39"/>
              <w:keepNext w:val="0"/>
              <w:keepLines w:val="0"/>
              <w:pageBreakBefore w:val="0"/>
              <w:widowControl/>
              <w:kinsoku/>
              <w:wordWrap/>
              <w:overflowPunct/>
              <w:topLinePunct w:val="0"/>
              <w:autoSpaceDE/>
              <w:autoSpaceDN/>
              <w:bidi w:val="0"/>
              <w:adjustRightInd/>
              <w:snapToGrid/>
              <w:spacing w:after="0" w:line="360" w:lineRule="auto"/>
              <w:ind w:firstLine="0" w:firstLineChars="0"/>
              <w:jc w:val="center"/>
              <w:textAlignment w:val="auto"/>
              <w:rPr>
                <w:rFonts w:hint="default" w:ascii="宋体" w:hAnsi="宋体" w:eastAsia="宋体" w:cs="宋体"/>
                <w:b w:val="0"/>
                <w:bCs w:val="0"/>
                <w:color w:val="auto"/>
                <w:sz w:val="24"/>
                <w:szCs w:val="24"/>
                <w:highlight w:val="none"/>
                <w:vertAlign w:val="baseline"/>
                <w:lang w:val="en-US"/>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7</w:t>
            </w:r>
          </w:p>
        </w:tc>
        <w:tc>
          <w:tcPr>
            <w:tcW w:w="2276" w:type="dxa"/>
            <w:vAlign w:val="center"/>
          </w:tcPr>
          <w:p w14:paraId="06E572F7">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禄口、</w:t>
            </w:r>
          </w:p>
          <w:p w14:paraId="0DCE1C0C">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谷里、科室</w:t>
            </w:r>
          </w:p>
        </w:tc>
        <w:tc>
          <w:tcPr>
            <w:tcW w:w="1722" w:type="dxa"/>
            <w:vAlign w:val="center"/>
          </w:tcPr>
          <w:p w14:paraId="72993A20">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24</w:t>
            </w:r>
          </w:p>
        </w:tc>
        <w:tc>
          <w:tcPr>
            <w:tcW w:w="2009" w:type="dxa"/>
            <w:vAlign w:val="center"/>
          </w:tcPr>
          <w:p w14:paraId="23CAD953">
            <w:pPr>
              <w:pStyle w:val="13"/>
              <w:keepNext w:val="0"/>
              <w:keepLines w:val="0"/>
              <w:pageBreakBefore w:val="0"/>
              <w:widowControl w:val="0"/>
              <w:numPr>
                <w:ilvl w:val="0"/>
                <w:numId w:val="0"/>
              </w:numPr>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225</w:t>
            </w:r>
          </w:p>
        </w:tc>
      </w:tr>
    </w:tbl>
    <w:p w14:paraId="460D7065">
      <w:pPr>
        <w:pStyle w:val="39"/>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cs="Times New Roman"/>
          <w:bCs/>
          <w:color w:val="auto"/>
          <w:kern w:val="2"/>
          <w:sz w:val="24"/>
          <w:szCs w:val="24"/>
          <w:highlight w:val="none"/>
          <w:lang w:val="en-US" w:eastAsia="zh-CN" w:bidi="ar-SA"/>
        </w:rPr>
        <w:t>2.4</w:t>
      </w:r>
      <w:r>
        <w:rPr>
          <w:rFonts w:hint="eastAsia" w:ascii="宋体" w:hAnsi="宋体" w:eastAsia="宋体" w:cs="Times New Roman"/>
          <w:bCs/>
          <w:color w:val="auto"/>
          <w:kern w:val="2"/>
          <w:sz w:val="24"/>
          <w:szCs w:val="24"/>
          <w:highlight w:val="none"/>
          <w:lang w:val="en-US" w:eastAsia="zh-CN" w:bidi="ar-SA"/>
        </w:rPr>
        <w:t>.服务完成标准：</w:t>
      </w:r>
    </w:p>
    <w:p w14:paraId="7BF89B78">
      <w:pPr>
        <w:pStyle w:val="39"/>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宋体" w:hAnsi="宋体" w:cs="Times New Roman"/>
          <w:bCs/>
          <w:color w:val="auto"/>
          <w:kern w:val="2"/>
          <w:sz w:val="24"/>
          <w:szCs w:val="24"/>
          <w:highlight w:val="none"/>
          <w:lang w:val="en-US" w:eastAsia="zh-CN" w:bidi="ar-SA"/>
        </w:rPr>
      </w:pPr>
      <w:r>
        <w:rPr>
          <w:rFonts w:hint="eastAsia" w:ascii="宋体" w:hAnsi="宋体" w:cs="Times New Roman"/>
          <w:bCs/>
          <w:color w:val="auto"/>
          <w:kern w:val="2"/>
          <w:sz w:val="24"/>
          <w:szCs w:val="24"/>
          <w:highlight w:val="none"/>
          <w:lang w:val="en-US" w:eastAsia="zh-CN" w:bidi="ar-SA"/>
        </w:rPr>
        <w:t>（1）供应商完成采购人分配的协查户数，对每户协查对象出具协查报告，其中已取得必要的协查资料、有完整明确公示信息协查结论的出具“有协查结论”报告，因检查对象联系不上或不提供资料或其他客观原因导致对部分企业无法明确具体结论，出具“无法核实查证”报告。分配的协查对象全部出具协查报告视为完成要求的工作数量。</w:t>
      </w:r>
      <w:r>
        <w:rPr>
          <w:rFonts w:hint="eastAsia" w:ascii="宋体" w:hAnsi="宋体" w:cs="Times New Roman"/>
          <w:bCs/>
          <w:color w:val="auto"/>
          <w:kern w:val="2"/>
          <w:sz w:val="24"/>
          <w:szCs w:val="24"/>
          <w:highlight w:val="none"/>
          <w:lang w:val="en-US" w:eastAsia="zh-CN" w:bidi="ar-SA"/>
        </w:rPr>
        <w:br w:type="textWrapping"/>
      </w:r>
      <w:r>
        <w:rPr>
          <w:rFonts w:hint="eastAsia" w:ascii="宋体" w:hAnsi="宋体" w:cs="Times New Roman"/>
          <w:bCs/>
          <w:color w:val="auto"/>
          <w:kern w:val="2"/>
          <w:sz w:val="24"/>
          <w:szCs w:val="24"/>
          <w:highlight w:val="none"/>
          <w:lang w:val="en-US" w:eastAsia="zh-CN" w:bidi="ar-SA"/>
        </w:rPr>
        <w:t xml:space="preserve">    （2）供应商未按时完成协查户数数量，对未完成户数按1200元/户扣除合同款项并追究违约责任。   </w:t>
      </w:r>
    </w:p>
    <w:p w14:paraId="35C136C1">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cs="Times New Roman"/>
          <w:bCs/>
          <w:color w:val="auto"/>
          <w:kern w:val="2"/>
          <w:sz w:val="24"/>
          <w:szCs w:val="24"/>
          <w:highlight w:val="none"/>
          <w:lang w:val="en-US" w:eastAsia="zh-CN" w:bidi="ar-SA"/>
        </w:rPr>
      </w:pPr>
      <w:r>
        <w:rPr>
          <w:rFonts w:hint="eastAsia" w:ascii="宋体" w:hAnsi="宋体" w:cs="Times New Roman"/>
          <w:bCs/>
          <w:color w:val="auto"/>
          <w:kern w:val="2"/>
          <w:sz w:val="24"/>
          <w:szCs w:val="24"/>
          <w:highlight w:val="none"/>
          <w:lang w:val="en-US" w:eastAsia="zh-CN" w:bidi="ar-SA"/>
        </w:rPr>
        <w:t>（3）本项目的中标供应商对每一户协查对象均需出具协查报告，如被抽查企业已按要求提供相关材料，《企业公示信息协查报告》中应当载明具体的“一致”“修改后一致”或“不一致”协查结论；如因检查对象联系不上或不提供资料或其他客观原因导致协查报告中无法载明具体协查结论的，协查报告中应载明具体情况及有关证明材料。</w:t>
      </w:r>
    </w:p>
    <w:p w14:paraId="257A3174">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right="0" w:firstLine="480" w:firstLineChars="200"/>
        <w:jc w:val="both"/>
        <w:textAlignment w:val="auto"/>
        <w:rPr>
          <w:rFonts w:hint="default" w:ascii="宋体" w:hAnsi="宋体" w:cs="Times New Roman"/>
          <w:bCs/>
          <w:color w:val="auto"/>
          <w:kern w:val="2"/>
          <w:sz w:val="24"/>
          <w:szCs w:val="24"/>
          <w:highlight w:val="none"/>
          <w:lang w:val="en-US" w:eastAsia="zh-CN" w:bidi="ar-SA"/>
        </w:rPr>
      </w:pPr>
      <w:r>
        <w:rPr>
          <w:rFonts w:hint="eastAsia" w:ascii="宋体" w:hAnsi="宋体" w:cs="Times New Roman"/>
          <w:bCs/>
          <w:color w:val="auto"/>
          <w:kern w:val="2"/>
          <w:sz w:val="24"/>
          <w:szCs w:val="24"/>
          <w:highlight w:val="none"/>
          <w:lang w:val="en-US" w:eastAsia="zh-CN" w:bidi="ar-SA"/>
        </w:rPr>
        <w:t>（4）采购人如增加相关协查户数，增加的户数应不超过最少协查户数的20%，采购人不另外支付费用，供应商需按时完成协查任务。</w:t>
      </w:r>
    </w:p>
    <w:p w14:paraId="1781F251">
      <w:pPr>
        <w:pStyle w:val="39"/>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宋体" w:hAnsi="宋体" w:cs="Times New Roman"/>
          <w:bCs/>
          <w:color w:val="auto"/>
          <w:kern w:val="2"/>
          <w:sz w:val="24"/>
          <w:szCs w:val="24"/>
          <w:highlight w:val="none"/>
          <w:lang w:val="en-US" w:eastAsia="zh-CN" w:bidi="ar-SA"/>
        </w:rPr>
      </w:pPr>
      <w:r>
        <w:rPr>
          <w:rFonts w:hint="eastAsia" w:ascii="宋体" w:hAnsi="宋体" w:cs="Times New Roman"/>
          <w:bCs/>
          <w:color w:val="auto"/>
          <w:kern w:val="2"/>
          <w:sz w:val="24"/>
          <w:szCs w:val="24"/>
          <w:highlight w:val="none"/>
          <w:lang w:val="en-US" w:eastAsia="zh-CN" w:bidi="ar-SA"/>
        </w:rPr>
        <w:t>2.5、投标文件制作要求</w:t>
      </w:r>
    </w:p>
    <w:p w14:paraId="3366E424">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right="0" w:firstLine="482" w:firstLineChars="200"/>
        <w:jc w:val="both"/>
        <w:textAlignment w:val="auto"/>
        <w:rPr>
          <w:rFonts w:hint="eastAsia" w:ascii="宋体" w:hAnsi="宋体" w:cs="Times New Roman"/>
          <w:bCs/>
          <w:color w:val="auto"/>
          <w:kern w:val="2"/>
          <w:sz w:val="24"/>
          <w:szCs w:val="24"/>
          <w:highlight w:val="none"/>
          <w:lang w:val="en-US" w:eastAsia="zh-CN" w:bidi="ar-SA"/>
        </w:rPr>
      </w:pPr>
      <w:r>
        <w:rPr>
          <w:rFonts w:hint="eastAsia" w:ascii="宋体" w:hAnsi="宋体" w:cs="Times New Roman"/>
          <w:b/>
          <w:bCs w:val="0"/>
          <w:color w:val="auto"/>
          <w:kern w:val="2"/>
          <w:sz w:val="24"/>
          <w:szCs w:val="24"/>
          <w:highlight w:val="none"/>
          <w:lang w:val="en-US" w:eastAsia="zh-CN" w:bidi="ar-SA"/>
        </w:rPr>
        <w:t>因此次招标分包较多，各分包项目要求和评分标准均一致，评审时按分包评审，投标人如投标多个分包，但须清晰标明该投标文件适用的所有投标分包号。</w:t>
      </w:r>
      <w:r>
        <w:rPr>
          <w:rFonts w:hint="eastAsia" w:ascii="宋体" w:hAnsi="宋体" w:cs="Times New Roman"/>
          <w:bCs/>
          <w:color w:val="auto"/>
          <w:kern w:val="2"/>
          <w:sz w:val="24"/>
          <w:szCs w:val="24"/>
          <w:highlight w:val="none"/>
          <w:lang w:val="en-US" w:eastAsia="zh-CN" w:bidi="ar-SA"/>
        </w:rPr>
        <w:t>招标文件如有不同要求的分包或投标人有不同响应内容的分包，投标人须在投标文件目录和正文内容中清晰明确标注所投分包号的不同内容以示区别，投标人需承担标注不清晰不明确或不一致造成的不利后果。</w:t>
      </w:r>
    </w:p>
    <w:p w14:paraId="0AC61FD8">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2.6、评审顺序</w:t>
      </w:r>
    </w:p>
    <w:p w14:paraId="6B5D53CC">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cs="Times New Roman"/>
          <w:b w:val="0"/>
          <w:bCs/>
          <w:color w:val="auto"/>
          <w:kern w:val="2"/>
          <w:sz w:val="24"/>
          <w:szCs w:val="24"/>
          <w:highlight w:val="none"/>
          <w:lang w:val="en-US" w:eastAsia="zh-CN" w:bidi="ar-SA"/>
        </w:rPr>
      </w:pPr>
      <w:r>
        <w:rPr>
          <w:rFonts w:hint="eastAsia" w:ascii="宋体" w:hAnsi="宋体" w:cs="Times New Roman"/>
          <w:b w:val="0"/>
          <w:bCs/>
          <w:color w:val="auto"/>
          <w:kern w:val="2"/>
          <w:sz w:val="24"/>
          <w:szCs w:val="24"/>
          <w:highlight w:val="none"/>
          <w:lang w:val="en-US" w:eastAsia="zh-CN" w:bidi="ar-SA"/>
        </w:rPr>
        <w:t>评审时按照分包1、分包2、分包3……分包7的顺序依次评审，投标人投标多个分包的，一旦投标人确定为分包1综合得分排名第一的拟中标人，仍可参加后续所投分包的评审，但即使该投标人在分包2评审时总分排名第一，亦不作为拟中标候选人推荐，由排名第二的投标人递补，以此规则和顺序依次类推。</w:t>
      </w:r>
    </w:p>
    <w:p w14:paraId="6B5DDD73">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cs="Times New Roman"/>
          <w:b w:val="0"/>
          <w:bCs/>
          <w:color w:val="auto"/>
          <w:kern w:val="2"/>
          <w:sz w:val="24"/>
          <w:szCs w:val="24"/>
          <w:highlight w:val="none"/>
          <w:lang w:val="en-US" w:eastAsia="zh-CN" w:bidi="ar-SA"/>
        </w:rPr>
      </w:pPr>
      <w:r>
        <w:rPr>
          <w:rFonts w:hint="eastAsia" w:ascii="宋体" w:hAnsi="宋体" w:cs="Times New Roman"/>
          <w:b w:val="0"/>
          <w:bCs/>
          <w:color w:val="auto"/>
          <w:kern w:val="2"/>
          <w:sz w:val="24"/>
          <w:szCs w:val="24"/>
          <w:highlight w:val="none"/>
          <w:lang w:val="en-US" w:eastAsia="zh-CN" w:bidi="ar-SA"/>
        </w:rPr>
        <w:t>2.7、服务期限：服务期限为自合同签订之日起1年。</w:t>
      </w:r>
    </w:p>
    <w:p w14:paraId="53C36FA6">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right="0" w:firstLine="482" w:firstLineChars="200"/>
        <w:jc w:val="both"/>
        <w:textAlignment w:val="auto"/>
        <w:rPr>
          <w:rFonts w:hint="eastAsia" w:ascii="宋体" w:hAnsi="宋体" w:cs="Times New Roman"/>
          <w:b/>
          <w:bCs w:val="0"/>
          <w:color w:val="auto"/>
          <w:kern w:val="2"/>
          <w:sz w:val="24"/>
          <w:szCs w:val="24"/>
          <w:highlight w:val="none"/>
          <w:lang w:val="en-US" w:eastAsia="zh-CN" w:bidi="ar-SA"/>
        </w:rPr>
      </w:pPr>
      <w:r>
        <w:rPr>
          <w:rFonts w:hint="eastAsia" w:ascii="宋体" w:hAnsi="宋体" w:cs="Times New Roman"/>
          <w:b/>
          <w:bCs w:val="0"/>
          <w:color w:val="auto"/>
          <w:kern w:val="2"/>
          <w:sz w:val="24"/>
          <w:szCs w:val="24"/>
          <w:highlight w:val="none"/>
          <w:lang w:val="en-US" w:eastAsia="zh-CN" w:bidi="ar-SA"/>
        </w:rPr>
        <w:t>2.8、本项目所属行业：租赁和商务服务业</w:t>
      </w:r>
    </w:p>
    <w:p w14:paraId="3BF3B1F4">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2"/>
        <w:jc w:val="both"/>
        <w:textAlignment w:val="auto"/>
        <w:rPr>
          <w:color w:val="auto"/>
          <w:highlight w:val="none"/>
        </w:rPr>
      </w:pPr>
      <w:r>
        <w:rPr>
          <w:rFonts w:ascii="宋体" w:hAnsi="宋体" w:eastAsia="宋体" w:cs="宋体"/>
          <w:b/>
          <w:color w:val="auto"/>
          <w:sz w:val="24"/>
          <w:highlight w:val="none"/>
        </w:rPr>
        <w:t>三、供应商资格要求</w:t>
      </w:r>
    </w:p>
    <w:p w14:paraId="01638D0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b/>
          <w:bCs/>
          <w:color w:val="auto"/>
          <w:highlight w:val="none"/>
        </w:rPr>
      </w:pPr>
      <w:r>
        <w:rPr>
          <w:rFonts w:hint="eastAsia" w:ascii="宋体" w:hAnsi="宋体" w:cs="宋体"/>
          <w:b/>
          <w:bCs/>
          <w:color w:val="auto"/>
          <w:sz w:val="24"/>
          <w:highlight w:val="none"/>
          <w:u w:val="none"/>
          <w:lang w:val="en-US" w:eastAsia="zh-CN"/>
        </w:rPr>
        <w:t>3.1、</w:t>
      </w:r>
      <w:r>
        <w:rPr>
          <w:rFonts w:hint="eastAsia" w:ascii="宋体" w:hAnsi="宋体" w:eastAsia="宋体" w:cs="宋体"/>
          <w:b/>
          <w:bCs/>
          <w:color w:val="auto"/>
          <w:sz w:val="24"/>
          <w:highlight w:val="none"/>
          <w:u w:val="none"/>
          <w:lang w:val="en-US" w:eastAsia="zh-CN"/>
        </w:rPr>
        <w:t>满足</w:t>
      </w:r>
      <w:r>
        <w:rPr>
          <w:rFonts w:ascii="宋体" w:hAnsi="宋体" w:eastAsia="宋体" w:cs="宋体"/>
          <w:b/>
          <w:bCs/>
          <w:color w:val="auto"/>
          <w:sz w:val="24"/>
          <w:highlight w:val="none"/>
          <w:u w:val="none"/>
        </w:rPr>
        <w:t>《中华人民共和国政府采购法》第二十二条规定：</w:t>
      </w:r>
    </w:p>
    <w:p w14:paraId="4F643CD5">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（1）具有独立承担民事责任的能力（提供法人或者其他组织的营业执照，自然人的身份证明。）；</w:t>
      </w:r>
    </w:p>
    <w:p w14:paraId="0C61032B">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（2）具有良好的商业信誉和健全的财务会计制度（近半年任一月份的财务状况报告（至少包括资产负债表和利润表，法人或者其他组织成立未满一年的可以不提供））；</w:t>
      </w:r>
    </w:p>
    <w:p w14:paraId="022DC462">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（3）具有履行合同所必需的设备和专业技术能力（根据项目需求提供履行合同所必需的设备和专业技术能力的证明材料）；</w:t>
      </w:r>
    </w:p>
    <w:p w14:paraId="3FECFAF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（4）有依法缴纳税收和社会保障资金的良好记录（提供近半年任一月份的依法缴纳税收和社会保障资金的相关材料）；</w:t>
      </w:r>
    </w:p>
    <w:p w14:paraId="271AB516">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（5）参加政府采购活动前三年内，在经营活动中没有重大违法记录，提供参加政府采购活动前3年内在经营活动中没有重大违法记录的书面声明；</w:t>
      </w:r>
    </w:p>
    <w:p w14:paraId="1CF40A99">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（6）法律、行政法规规定的其他条件；</w:t>
      </w:r>
    </w:p>
    <w:p w14:paraId="445A6240">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备注：依据南京市财政局“关于在政府采购中推行信用承诺制的通知”，政府采购供应商只需在资格审查环节提供满足相应条件的书面承诺书（信用承诺书格式见附件），不再需要提供证明材料。供应商在中标（成交）后，应按采购文件要求，将由信用承诺书替代的证明材料提交采购人或采购代理机构核验。经核验无误后，由采购人或采购代理机构发出中标（成交）通知书。</w:t>
      </w:r>
    </w:p>
    <w:p w14:paraId="7F83B0F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其中不适用信用承诺的情形：</w:t>
      </w:r>
    </w:p>
    <w:p w14:paraId="2679FC2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（1）供应商被列入严重失信主体名单；</w:t>
      </w:r>
    </w:p>
    <w:p w14:paraId="0DD942F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（2）被相关监管部门作出行政处罚且尚在处罚有效期内；</w:t>
      </w:r>
    </w:p>
    <w:p w14:paraId="3BCDBD68">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（3）其他法律、行政法规规定的不适用信用承诺的情形。</w:t>
      </w:r>
    </w:p>
    <w:p w14:paraId="5C1C6717">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（4）第（5）条所称重大违法记录，是指供应商因违法经营受到刑事处罚或者责令停产停业、吊销许可证或者执照、较大数额罚款等行政处罚。</w:t>
      </w:r>
    </w:p>
    <w:p w14:paraId="1396923A">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color w:val="auto"/>
          <w:highlight w:val="none"/>
          <w:lang w:eastAsia="zh-CN"/>
        </w:rPr>
      </w:pPr>
      <w:r>
        <w:rPr>
          <w:rFonts w:hint="eastAsia" w:ascii="宋体" w:hAnsi="宋体" w:eastAsia="宋体" w:cs="宋体"/>
          <w:color w:val="auto"/>
          <w:sz w:val="24"/>
          <w:highlight w:val="none"/>
          <w:lang w:val="zh-CN" w:eastAsia="zh-CN"/>
        </w:rPr>
        <w:t>如确定为成交供应商提供的核查证明材料存在问题，将按市财政局文件的处罚标准执行。</w:t>
      </w:r>
    </w:p>
    <w:p w14:paraId="48C780D3">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b/>
          <w:bCs/>
          <w:color w:val="auto"/>
          <w:highlight w:val="none"/>
        </w:rPr>
      </w:pPr>
      <w:r>
        <w:rPr>
          <w:rFonts w:hint="eastAsia" w:ascii="宋体" w:hAnsi="宋体" w:cs="宋体"/>
          <w:b/>
          <w:bCs/>
          <w:color w:val="auto"/>
          <w:sz w:val="24"/>
          <w:highlight w:val="none"/>
          <w:lang w:val="en-US" w:eastAsia="zh-CN"/>
        </w:rPr>
        <w:t>3.2、</w:t>
      </w:r>
      <w:r>
        <w:rPr>
          <w:rFonts w:ascii="宋体" w:hAnsi="宋体" w:eastAsia="宋体" w:cs="宋体"/>
          <w:b/>
          <w:bCs/>
          <w:color w:val="auto"/>
          <w:sz w:val="24"/>
          <w:highlight w:val="none"/>
        </w:rPr>
        <w:t>本项目的特定资格要求：</w:t>
      </w:r>
    </w:p>
    <w:p w14:paraId="6EDB2A6D">
      <w:pPr>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jc w:val="both"/>
        <w:textAlignment w:val="auto"/>
        <w:rPr>
          <w:rFonts w:hint="eastAsia" w:eastAsia="宋体"/>
          <w:color w:val="auto"/>
          <w:highlight w:val="none"/>
          <w:lang w:eastAsia="zh-CN"/>
        </w:rPr>
      </w:pPr>
      <w:r>
        <w:rPr>
          <w:rFonts w:ascii="宋体" w:hAnsi="宋体" w:eastAsia="宋体" w:cs="宋体"/>
          <w:color w:val="auto"/>
          <w:sz w:val="24"/>
          <w:highlight w:val="none"/>
        </w:rPr>
        <w:t>投标供应商应获得会计师事务所执业许可或获得税务师事务所行政登记中至少一项</w:t>
      </w:r>
      <w:r>
        <w:rPr>
          <w:rFonts w:ascii="宋体" w:hAnsi="宋体" w:eastAsia="宋体" w:cs="宋体"/>
          <w:color w:val="auto"/>
          <w:sz w:val="24"/>
          <w:highlight w:val="none"/>
          <w:u w:val="none"/>
        </w:rPr>
        <w:t>(</w:t>
      </w:r>
      <w:r>
        <w:rPr>
          <w:rFonts w:ascii="宋体" w:hAnsi="宋体" w:eastAsia="宋体" w:cs="宋体"/>
          <w:color w:val="auto"/>
          <w:sz w:val="24"/>
          <w:highlight w:val="none"/>
        </w:rPr>
        <w:t>提供《会计师事务所执业证书》或《税务师事务所行政登记证书》</w:t>
      </w:r>
      <w:r>
        <w:rPr>
          <w:rFonts w:hint="eastAsia" w:ascii="宋体" w:hAnsi="宋体" w:eastAsia="宋体" w:cs="宋体"/>
          <w:color w:val="auto"/>
          <w:sz w:val="24"/>
          <w:highlight w:val="none"/>
        </w:rPr>
        <w:t>复印件并加盖CA电子公章</w:t>
      </w:r>
      <w:r>
        <w:rPr>
          <w:rFonts w:hint="eastAsia" w:ascii="宋体" w:hAnsi="宋体" w:cs="宋体"/>
          <w:color w:val="auto"/>
          <w:sz w:val="24"/>
          <w:highlight w:val="none"/>
          <w:lang w:eastAsia="zh-CN"/>
        </w:rPr>
        <w:t>。）。</w:t>
      </w:r>
    </w:p>
    <w:p w14:paraId="40537B41">
      <w:pPr>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leftChars="0" w:right="0" w:rightChars="0" w:firstLine="482" w:firstLineChars="200"/>
        <w:jc w:val="both"/>
        <w:textAlignment w:val="auto"/>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en-US" w:eastAsia="zh-CN"/>
        </w:rPr>
        <w:t>3.3、</w:t>
      </w:r>
      <w:r>
        <w:rPr>
          <w:rFonts w:ascii="宋体" w:hAnsi="宋体" w:eastAsia="宋体" w:cs="宋体"/>
          <w:b/>
          <w:bCs/>
          <w:color w:val="auto"/>
          <w:sz w:val="24"/>
          <w:highlight w:val="none"/>
        </w:rPr>
        <w:t>落实政府采购政策需满足的资格要求：</w:t>
      </w:r>
      <w:r>
        <w:rPr>
          <w:rFonts w:hint="eastAsia" w:ascii="宋体" w:hAnsi="宋体" w:eastAsia="宋体" w:cs="宋体"/>
          <w:color w:val="auto"/>
          <w:sz w:val="24"/>
          <w:highlight w:val="none"/>
          <w:lang w:val="zh-CN"/>
        </w:rPr>
        <w:t>如属于专门面向中小企业采购的项目，供应商应为中小微企业/监狱企业/残疾人福利性单位。非中小微企业/监狱企业/残疾人福利性单位，供应商投标为无效投标（供应商须提供中小企业声明函/残疾人福利性单位声明函/属于监狱企业的证明文件编入响应文件）。</w:t>
      </w:r>
    </w:p>
    <w:p w14:paraId="3470BC2C">
      <w:pPr>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80" w:leftChars="0" w:right="0" w:rightChars="0"/>
        <w:jc w:val="both"/>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3.4、</w:t>
      </w:r>
      <w:r>
        <w:rPr>
          <w:rFonts w:ascii="宋体" w:hAnsi="宋体" w:eastAsia="宋体" w:cs="宋体"/>
          <w:b/>
          <w:bCs/>
          <w:color w:val="auto"/>
          <w:sz w:val="24"/>
          <w:highlight w:val="none"/>
        </w:rPr>
        <w:t>本项目不接受联合体投标；</w:t>
      </w:r>
    </w:p>
    <w:p w14:paraId="3E8A51EC">
      <w:pPr>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80" w:leftChars="0" w:right="0" w:rightChars="0"/>
        <w:jc w:val="both"/>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3.5、</w:t>
      </w:r>
      <w:r>
        <w:rPr>
          <w:rFonts w:ascii="宋体" w:hAnsi="宋体" w:eastAsia="宋体" w:cs="宋体"/>
          <w:b/>
          <w:bCs/>
          <w:color w:val="auto"/>
          <w:sz w:val="24"/>
          <w:highlight w:val="none"/>
        </w:rPr>
        <w:t>本项目不接受进口产品投标；</w:t>
      </w:r>
    </w:p>
    <w:p w14:paraId="3736512D">
      <w:pPr>
        <w:pageBreakBefore w:val="0"/>
        <w:widowControl/>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480" w:leftChars="0" w:right="0" w:rightChars="0"/>
        <w:jc w:val="both"/>
        <w:textAlignment w:val="auto"/>
        <w:rPr>
          <w:rFonts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3.6、</w:t>
      </w:r>
      <w:r>
        <w:rPr>
          <w:rFonts w:ascii="宋体" w:hAnsi="宋体" w:eastAsia="宋体" w:cs="宋体"/>
          <w:b/>
          <w:bCs/>
          <w:color w:val="auto"/>
          <w:sz w:val="24"/>
          <w:highlight w:val="none"/>
        </w:rPr>
        <w:t>拒绝下述供应商参加本次采购活动：</w:t>
      </w:r>
    </w:p>
    <w:p w14:paraId="6A73CE9E">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（1）供应商单位负责人为同一人或者存在直接控股、管理关系的不同供应商，不得参加同一合同项下的政府采购活动。</w:t>
      </w:r>
    </w:p>
    <w:p w14:paraId="3485BD25">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（2）凡为采购项目提供整体设计、规范编制或者项目管理、监理、检测等服务的供应商，不得再参加本项目的采购活动。</w:t>
      </w:r>
    </w:p>
    <w:p w14:paraId="630BD46B">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afterAutospacing="0" w:line="360" w:lineRule="auto"/>
        <w:ind w:left="0" w:right="0" w:firstLine="480"/>
        <w:jc w:val="both"/>
        <w:textAlignment w:va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（3）供应商被“信用中国”网站、“中国政府采购网”列入失信被执行人、重大税收违法案件当事人名单、政府采购严重违法失信行为记录名单。</w:t>
      </w:r>
    </w:p>
    <w:p w14:paraId="2E1592E6">
      <w:pPr>
        <w:pStyle w:val="5"/>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3.7、</w:t>
      </w:r>
      <w:r>
        <w:rPr>
          <w:rFonts w:hint="eastAsia" w:ascii="宋体" w:hAnsi="宋体" w:eastAsia="宋体" w:cs="宋体"/>
          <w:b/>
          <w:bCs/>
          <w:color w:val="auto"/>
          <w:sz w:val="24"/>
          <w:szCs w:val="24"/>
          <w:highlight w:val="none"/>
        </w:rPr>
        <w:t>南京市政府采购供应商信用记录表</w:t>
      </w:r>
    </w:p>
    <w:p w14:paraId="7ACDF91D">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Autospacing="0" w:after="0" w:line="360" w:lineRule="auto"/>
        <w:ind w:left="0" w:right="0" w:firstLine="48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经法定代表人签名盖章后作为投标（响应）文件的组成部分提交给采购代理机构或采购人。</w:t>
      </w:r>
    </w:p>
    <w:p w14:paraId="700A9881">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供应商诚信档案注册登记，按以下程序进行：</w:t>
      </w:r>
    </w:p>
    <w:p w14:paraId="56B60F6F">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①登录“信用南京”或“南京市政府采购网”网站， 点击“ 南京政府采购供应商诚信档案管理系统”，在用户登录界面点击“新用户注册”；</w:t>
      </w:r>
    </w:p>
    <w:p w14:paraId="403D7195">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②在“新用户注册”界面，供应商自行设置用户名、登录密码，如实填写《南京市政府采购供应商诚信档案注册登记表》，并进行信用承诺确认后，提交注册申请；</w:t>
      </w:r>
    </w:p>
    <w:p w14:paraId="2D9BF5B3">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afterAutospacing="0" w:line="360" w:lineRule="auto"/>
        <w:ind w:left="0" w:right="0" w:firstLine="48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③系统审核后，供应商即可登录系统进行相关功能操作。</w:t>
      </w:r>
    </w:p>
    <w:p w14:paraId="21405EA2">
      <w:pPr>
        <w:pStyle w:val="5"/>
        <w:pageBreakBefore w:val="0"/>
        <w:widowControl/>
        <w:numPr>
          <w:ilvl w:val="0"/>
          <w:numId w:val="2"/>
        </w:numPr>
        <w:kinsoku/>
        <w:wordWrap/>
        <w:overflowPunct/>
        <w:topLinePunct w:val="0"/>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获取采购文件</w:t>
      </w:r>
    </w:p>
    <w:p w14:paraId="2E232682">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Autospacing="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时间：202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年</w:t>
      </w:r>
      <w:r>
        <w:rPr>
          <w:rFonts w:hint="eastAsia" w:ascii="宋体" w:hAnsi="宋体" w:cs="宋体"/>
          <w:color w:val="auto"/>
          <w:sz w:val="24"/>
          <w:highlight w:val="none"/>
          <w:lang w:val="en-US" w:eastAsia="zh-CN"/>
        </w:rPr>
        <w:t xml:space="preserve"> 7</w:t>
      </w:r>
      <w:r>
        <w:rPr>
          <w:rFonts w:hint="eastAsia" w:ascii="宋体" w:hAnsi="宋体" w:eastAsia="宋体" w:cs="宋体"/>
          <w:color w:val="auto"/>
          <w:sz w:val="24"/>
          <w:highlight w:val="none"/>
          <w:lang w:val="en-US" w:eastAsia="zh-CN"/>
        </w:rPr>
        <w:t xml:space="preserve">月 </w:t>
      </w:r>
      <w:r>
        <w:rPr>
          <w:rFonts w:hint="eastAsia" w:ascii="宋体" w:hAnsi="宋体" w:cs="宋体"/>
          <w:color w:val="auto"/>
          <w:sz w:val="24"/>
          <w:highlight w:val="none"/>
          <w:lang w:val="en-US" w:eastAsia="zh-CN"/>
        </w:rPr>
        <w:t xml:space="preserve">14 </w:t>
      </w:r>
      <w:r>
        <w:rPr>
          <w:rFonts w:hint="eastAsia" w:ascii="宋体" w:hAnsi="宋体" w:eastAsia="宋体" w:cs="宋体"/>
          <w:color w:val="auto"/>
          <w:sz w:val="24"/>
          <w:highlight w:val="none"/>
          <w:lang w:val="en-US" w:eastAsia="zh-CN"/>
        </w:rPr>
        <w:t>日至202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年</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lang w:val="en-US" w:eastAsia="zh-CN"/>
        </w:rPr>
        <w:t xml:space="preserve">月 </w:t>
      </w:r>
      <w:r>
        <w:rPr>
          <w:rFonts w:hint="eastAsia" w:ascii="宋体" w:hAnsi="宋体" w:cs="宋体"/>
          <w:color w:val="auto"/>
          <w:sz w:val="24"/>
          <w:highlight w:val="none"/>
          <w:lang w:val="en-US" w:eastAsia="zh-CN"/>
        </w:rPr>
        <w:t xml:space="preserve">20 </w:t>
      </w:r>
      <w:r>
        <w:rPr>
          <w:rFonts w:hint="eastAsia" w:ascii="宋体" w:hAnsi="宋体" w:eastAsia="宋体" w:cs="宋体"/>
          <w:color w:val="auto"/>
          <w:sz w:val="24"/>
          <w:highlight w:val="none"/>
          <w:lang w:val="en-US" w:eastAsia="zh-CN"/>
        </w:rPr>
        <w:t>日 （北京时间）</w:t>
      </w:r>
    </w:p>
    <w:p w14:paraId="119B9271">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地点：江苏政府采购网“苏采云”系统</w:t>
      </w:r>
    </w:p>
    <w:p w14:paraId="021F42B4">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获取方式：供应商登陆江苏政府采购网，在网站首页点击“苏采云”系统自行免费下载</w:t>
      </w:r>
    </w:p>
    <w:p w14:paraId="6FFABA28">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售价：0.00元。</w:t>
      </w:r>
    </w:p>
    <w:p w14:paraId="5821A3FC">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五、响应文件提交</w:t>
      </w:r>
    </w:p>
    <w:p w14:paraId="706A7C23">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截止时间：202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 xml:space="preserve">年 </w:t>
      </w:r>
      <w:r>
        <w:rPr>
          <w:rFonts w:hint="eastAsia" w:ascii="宋体" w:hAnsi="宋体" w:cs="宋体"/>
          <w:color w:val="auto"/>
          <w:sz w:val="24"/>
          <w:highlight w:val="none"/>
          <w:lang w:val="en-US" w:eastAsia="zh-CN"/>
        </w:rPr>
        <w:t xml:space="preserve">8 </w:t>
      </w:r>
      <w:r>
        <w:rPr>
          <w:rFonts w:hint="eastAsia" w:ascii="宋体" w:hAnsi="宋体" w:eastAsia="宋体" w:cs="宋体"/>
          <w:color w:val="auto"/>
          <w:sz w:val="24"/>
          <w:highlight w:val="none"/>
          <w:lang w:val="en-US" w:eastAsia="zh-CN"/>
        </w:rPr>
        <w:t>月</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 xml:space="preserve"> 日</w:t>
      </w:r>
      <w:r>
        <w:rPr>
          <w:rFonts w:hint="eastAsia" w:ascii="宋体" w:hAnsi="宋体" w:cs="宋体"/>
          <w:color w:val="auto"/>
          <w:sz w:val="24"/>
          <w:highlight w:val="none"/>
          <w:lang w:val="en-US" w:eastAsia="zh-CN"/>
        </w:rPr>
        <w:t xml:space="preserve"> 09 </w:t>
      </w:r>
      <w:r>
        <w:rPr>
          <w:rFonts w:hint="eastAsia" w:ascii="宋体" w:hAnsi="宋体" w:eastAsia="宋体" w:cs="宋体"/>
          <w:color w:val="auto"/>
          <w:sz w:val="24"/>
          <w:highlight w:val="none"/>
          <w:lang w:val="en-US" w:eastAsia="zh-CN"/>
        </w:rPr>
        <w:t>点</w:t>
      </w:r>
      <w:r>
        <w:rPr>
          <w:rFonts w:hint="eastAsia" w:ascii="宋体" w:hAnsi="宋体" w:cs="宋体"/>
          <w:color w:val="auto"/>
          <w:sz w:val="24"/>
          <w:highlight w:val="none"/>
          <w:lang w:val="en-US" w:eastAsia="zh-CN"/>
        </w:rPr>
        <w:t xml:space="preserve"> 30</w:t>
      </w:r>
      <w:r>
        <w:rPr>
          <w:rFonts w:hint="eastAsia" w:ascii="宋体" w:hAnsi="宋体" w:eastAsia="宋体" w:cs="宋体"/>
          <w:color w:val="auto"/>
          <w:sz w:val="24"/>
          <w:highlight w:val="none"/>
          <w:lang w:val="en-US" w:eastAsia="zh-CN"/>
        </w:rPr>
        <w:t>分（北京时间）</w:t>
      </w:r>
    </w:p>
    <w:p w14:paraId="4CC1B60B">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提交响应文件地点：江苏省政府采购交易系统（以下简称“苏采云系统”）网上开标大厅</w:t>
      </w:r>
    </w:p>
    <w:p w14:paraId="738F276E">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六、开启</w:t>
      </w:r>
    </w:p>
    <w:p w14:paraId="2A4E4F80">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时间：202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 xml:space="preserve">年 </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lang w:val="en-US" w:eastAsia="zh-CN"/>
        </w:rPr>
        <w:t xml:space="preserve">月 </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日</w:t>
      </w:r>
      <w:r>
        <w:rPr>
          <w:rFonts w:hint="eastAsia" w:ascii="宋体" w:hAnsi="宋体" w:cs="宋体"/>
          <w:color w:val="auto"/>
          <w:sz w:val="24"/>
          <w:highlight w:val="none"/>
          <w:lang w:val="en-US" w:eastAsia="zh-CN"/>
        </w:rPr>
        <w:t xml:space="preserve"> 09</w:t>
      </w:r>
      <w:r>
        <w:rPr>
          <w:rFonts w:hint="eastAsia" w:ascii="宋体" w:hAnsi="宋体" w:eastAsia="宋体" w:cs="宋体"/>
          <w:color w:val="auto"/>
          <w:sz w:val="24"/>
          <w:highlight w:val="none"/>
          <w:lang w:val="en-US" w:eastAsia="zh-CN"/>
        </w:rPr>
        <w:t>点</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lang w:val="en-US" w:eastAsia="zh-CN"/>
        </w:rPr>
        <w:t>分（北京时间）</w:t>
      </w:r>
    </w:p>
    <w:p w14:paraId="2AEB23FC">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right="0"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地点：江苏省政府采购交易系统（以下简称“苏采云系统”）网上开标大厅</w:t>
      </w:r>
    </w:p>
    <w:p w14:paraId="603010F8">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b/>
          <w:bCs/>
          <w:color w:val="auto"/>
          <w:sz w:val="24"/>
          <w:highlight w:val="none"/>
          <w:lang w:val="en-US" w:eastAsia="zh-CN"/>
        </w:rPr>
      </w:pPr>
      <w:bookmarkStart w:id="0" w:name="_Toc26308"/>
      <w:bookmarkEnd w:id="0"/>
      <w:bookmarkStart w:id="1" w:name="_Toc23729"/>
      <w:bookmarkEnd w:id="1"/>
      <w:r>
        <w:rPr>
          <w:rFonts w:hint="eastAsia" w:ascii="宋体" w:hAnsi="宋体" w:eastAsia="宋体" w:cs="宋体"/>
          <w:b/>
          <w:bCs/>
          <w:color w:val="auto"/>
          <w:sz w:val="24"/>
          <w:highlight w:val="none"/>
          <w:lang w:val="en-US" w:eastAsia="zh-CN"/>
        </w:rPr>
        <w:t>七、公告期限</w:t>
      </w:r>
    </w:p>
    <w:p w14:paraId="61EF5EA7">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自本公告发布之日起3个工作日。</w:t>
      </w:r>
    </w:p>
    <w:p w14:paraId="6C23F8D8">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八、其他补充事宜</w:t>
      </w:r>
    </w:p>
    <w:p w14:paraId="56CBE44A">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（1）本项目在南京公共采购信息网、江苏政府采购网、中国政府采购网网站发布公告。</w:t>
      </w:r>
    </w:p>
    <w:p w14:paraId="5A855656">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628BA8EA">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操作手册下载地址：http://www.ccgp-jiangsu.gov.cn/jiangsu/zlxz/ee/ee3a4bc5a3454aa2b0d9312230633ce9.html</w:t>
      </w:r>
    </w:p>
    <w:p w14:paraId="1C46C7BC">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leftChars="0" w:right="0" w:firstLine="573" w:firstLineChars="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首次登录“苏采云”系统的新用户，登录网址后，点击“用户注册”--“新CA办理指南”--获取CA后绑定、登录系统--采购项目参与--下载采购文件（文件后缀名为“.kedt”）。 </w:t>
      </w:r>
    </w:p>
    <w:p w14:paraId="6C7B68F2">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leftChars="0" w:right="0" w:firstLine="573" w:firstLineChars="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“苏采云”南京地区客服热线025-83633744、025-83633743。</w:t>
      </w:r>
    </w:p>
    <w:p w14:paraId="210C3F88">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 勘察现场或答疑：无</w:t>
      </w:r>
    </w:p>
    <w:p w14:paraId="750E0F41">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九、对本次采购提出询问，请按以下方式联系。</w:t>
      </w:r>
    </w:p>
    <w:p w14:paraId="0E447C3E">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bookmarkStart w:id="2" w:name="_Toc349"/>
      <w:bookmarkEnd w:id="2"/>
      <w:bookmarkStart w:id="3" w:name="_Toc28359096"/>
      <w:bookmarkStart w:id="4" w:name="_Toc35393806"/>
      <w:bookmarkStart w:id="5" w:name="_Toc28359019"/>
      <w:bookmarkStart w:id="6" w:name="_Toc35393637"/>
      <w:r>
        <w:rPr>
          <w:rFonts w:hint="eastAsia" w:ascii="宋体" w:hAnsi="宋体" w:eastAsia="宋体" w:cs="宋体"/>
          <w:color w:val="auto"/>
          <w:sz w:val="24"/>
          <w:highlight w:val="none"/>
          <w:lang w:val="zh-CN" w:eastAsia="zh-CN"/>
        </w:rPr>
        <w:t>1.采购人信息</w:t>
      </w:r>
    </w:p>
    <w:p w14:paraId="34278273">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名    称：南京市江宁区市场监督管理局</w:t>
      </w:r>
    </w:p>
    <w:p w14:paraId="4805E8CB">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地    址：</w:t>
      </w:r>
      <w:r>
        <w:rPr>
          <w:rFonts w:ascii="宋体" w:hAnsi="宋体" w:eastAsia="宋体" w:cs="宋体"/>
          <w:color w:val="auto"/>
          <w:sz w:val="24"/>
          <w:highlight w:val="none"/>
        </w:rPr>
        <w:t>南京市</w:t>
      </w:r>
      <w:r>
        <w:rPr>
          <w:rFonts w:hint="eastAsia" w:ascii="宋体" w:hAnsi="宋体" w:cs="宋体"/>
          <w:color w:val="auto"/>
          <w:sz w:val="24"/>
          <w:highlight w:val="none"/>
          <w:lang w:val="en-US" w:eastAsia="zh-CN"/>
        </w:rPr>
        <w:t>江宁区金箔路666号</w:t>
      </w:r>
    </w:p>
    <w:p w14:paraId="35F7BB0D">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联 系 人：</w:t>
      </w:r>
      <w:r>
        <w:rPr>
          <w:rFonts w:hint="eastAsia" w:ascii="宋体" w:hAnsi="宋体" w:cs="宋体"/>
          <w:color w:val="auto"/>
          <w:sz w:val="24"/>
          <w:highlight w:val="none"/>
          <w:lang w:val="en-US" w:eastAsia="zh-CN"/>
        </w:rPr>
        <w:t>张先生</w:t>
      </w:r>
    </w:p>
    <w:p w14:paraId="1149B327">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联系方式：</w:t>
      </w:r>
      <w:r>
        <w:rPr>
          <w:rFonts w:hint="eastAsia" w:ascii="宋体" w:hAnsi="宋体" w:cs="宋体"/>
          <w:color w:val="auto"/>
          <w:sz w:val="24"/>
          <w:highlight w:val="none"/>
          <w:lang w:val="en-US" w:eastAsia="zh-CN"/>
        </w:rPr>
        <w:t>025-52193636</w:t>
      </w:r>
    </w:p>
    <w:p w14:paraId="6FF4A6C0">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2.采购代理机构信息</w:t>
      </w:r>
    </w:p>
    <w:p w14:paraId="31C2707D">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名    称：</w:t>
      </w:r>
      <w:bookmarkEnd w:id="3"/>
      <w:bookmarkEnd w:id="4"/>
      <w:bookmarkEnd w:id="5"/>
      <w:bookmarkEnd w:id="6"/>
      <w:r>
        <w:rPr>
          <w:rFonts w:hint="eastAsia" w:ascii="宋体" w:hAnsi="宋体" w:eastAsia="宋体" w:cs="宋体"/>
          <w:color w:val="auto"/>
          <w:sz w:val="24"/>
          <w:highlight w:val="none"/>
          <w:lang w:val="zh-CN" w:eastAsia="zh-CN"/>
        </w:rPr>
        <w:t>南京荣大工程项目管理有限公司</w:t>
      </w:r>
      <w:r>
        <w:rPr>
          <w:rFonts w:hint="eastAsia" w:ascii="宋体" w:hAnsi="宋体" w:cs="宋体"/>
          <w:color w:val="auto"/>
          <w:sz w:val="24"/>
          <w:highlight w:val="none"/>
          <w:lang w:val="en-US" w:eastAsia="zh-CN"/>
        </w:rPr>
        <w:t xml:space="preserve"> </w:t>
      </w:r>
    </w:p>
    <w:p w14:paraId="1689121B">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联系人：</w:t>
      </w:r>
      <w:r>
        <w:rPr>
          <w:rFonts w:hint="eastAsia" w:ascii="宋体" w:hAnsi="宋体" w:cs="宋体"/>
          <w:color w:val="auto"/>
          <w:sz w:val="24"/>
          <w:highlight w:val="none"/>
          <w:lang w:val="en-US" w:eastAsia="zh-CN"/>
        </w:rPr>
        <w:t>贺工</w:t>
      </w:r>
    </w:p>
    <w:p w14:paraId="215703FB">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电话：</w:t>
      </w:r>
      <w:r>
        <w:rPr>
          <w:rFonts w:hint="eastAsia" w:ascii="宋体" w:hAnsi="宋体" w:cs="宋体"/>
          <w:color w:val="auto"/>
          <w:sz w:val="24"/>
          <w:highlight w:val="none"/>
          <w:lang w:val="zh-CN" w:eastAsia="zh-CN"/>
        </w:rPr>
        <w:t>17705141491</w:t>
      </w:r>
    </w:p>
    <w:p w14:paraId="3505F40B">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电子邮箱：2446065589@qq.com</w:t>
      </w:r>
    </w:p>
    <w:p w14:paraId="450930EC">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地址：南京市江宁区东山街道潭园西路121号</w:t>
      </w:r>
    </w:p>
    <w:p w14:paraId="29D91F55">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8.3项目联系方式</w:t>
      </w:r>
    </w:p>
    <w:p w14:paraId="0189C7F1">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项目联系人：</w:t>
      </w:r>
      <w:r>
        <w:rPr>
          <w:rFonts w:hint="eastAsia" w:ascii="宋体" w:hAnsi="宋体" w:cs="宋体"/>
          <w:color w:val="auto"/>
          <w:sz w:val="24"/>
          <w:highlight w:val="none"/>
          <w:lang w:val="zh-CN" w:eastAsia="zh-CN"/>
        </w:rPr>
        <w:t>贺工</w:t>
      </w:r>
    </w:p>
    <w:p w14:paraId="5792E28E">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jc w:val="both"/>
        <w:textAlignment w:val="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eastAsia="zh-CN"/>
        </w:rPr>
        <w:t>电话：</w:t>
      </w:r>
      <w:r>
        <w:rPr>
          <w:rFonts w:hint="eastAsia" w:ascii="宋体" w:hAnsi="宋体" w:cs="宋体"/>
          <w:color w:val="auto"/>
          <w:sz w:val="24"/>
          <w:highlight w:val="none"/>
          <w:lang w:val="zh-CN" w:eastAsia="zh-CN"/>
        </w:rPr>
        <w:t>17705141491</w:t>
      </w:r>
    </w:p>
    <w:p w14:paraId="281610C5">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color w:val="auto"/>
          <w:highlight w:val="none"/>
        </w:rPr>
        <w:br w:type="page" w:clear="all"/>
      </w:r>
    </w:p>
    <w:p w14:paraId="64E12789">
      <w:pPr>
        <w:pBdr>
          <w:top w:val="none" w:color="000000" w:sz="0" w:space="0"/>
          <w:left w:val="none" w:color="000000" w:sz="0" w:space="0"/>
          <w:bottom w:val="none" w:color="000000" w:sz="0" w:space="0"/>
          <w:right w:val="none" w:color="000000" w:sz="0" w:space="0"/>
        </w:pBdr>
        <w:spacing w:before="0" w:after="0"/>
        <w:ind w:left="0" w:right="0" w:firstLine="0"/>
        <w:rPr>
          <w:color w:val="auto"/>
          <w:highlight w:val="none"/>
        </w:rPr>
      </w:pPr>
      <w:r>
        <w:rPr>
          <w:rFonts w:ascii="宋体" w:hAnsi="宋体" w:eastAsia="宋体" w:cs="宋体"/>
          <w:b/>
          <w:color w:val="auto"/>
          <w:sz w:val="24"/>
          <w:highlight w:val="none"/>
        </w:rPr>
        <w:t xml:space="preserve"> </w:t>
      </w:r>
    </w:p>
    <w:p w14:paraId="68083FF4">
      <w:pPr>
        <w:pStyle w:val="2"/>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color w:val="auto"/>
          <w:sz w:val="44"/>
          <w:highlight w:val="none"/>
        </w:rPr>
        <w:t>第二章  投标人须知</w:t>
      </w:r>
    </w:p>
    <w:p w14:paraId="2E7B4AF4">
      <w:pPr>
        <w:keepNext w:val="0"/>
        <w:keepLines w:val="0"/>
        <w:pageBreakBefore w:val="0"/>
        <w:widowControl/>
        <w:kinsoku/>
        <w:wordWrap/>
        <w:overflowPunct/>
        <w:topLinePunct w:val="0"/>
        <w:autoSpaceDE/>
        <w:autoSpaceDN/>
        <w:bidi w:val="0"/>
        <w:adjustRightInd/>
        <w:snapToGrid/>
        <w:spacing w:after="0" w:line="360" w:lineRule="auto"/>
        <w:ind w:left="19"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一、总则</w:t>
      </w:r>
    </w:p>
    <w:p w14:paraId="16851E01">
      <w:pPr>
        <w:pStyle w:val="13"/>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1、适用法律</w:t>
      </w:r>
    </w:p>
    <w:p w14:paraId="673BB3AE">
      <w:pPr>
        <w:pStyle w:val="13"/>
        <w:keepNext w:val="0"/>
        <w:keepLines w:val="0"/>
        <w:pageBreakBefore w:val="0"/>
        <w:widowControl/>
        <w:kinsoku/>
        <w:wordWrap/>
        <w:overflowPunct/>
        <w:topLinePunct w:val="0"/>
        <w:autoSpaceDE/>
        <w:autoSpaceDN/>
        <w:bidi w:val="0"/>
        <w:adjustRightInd/>
        <w:snapToGrid/>
        <w:spacing w:after="0" w:line="360" w:lineRule="auto"/>
        <w:ind w:right="9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pacing w:val="-9"/>
          <w:sz w:val="24"/>
          <w:szCs w:val="24"/>
          <w:highlight w:val="none"/>
        </w:rPr>
        <w:t xml:space="preserve"> 《中华人民共和国政府采购法》、《中华人民共和国政府采购法实施条例》、《政府采购货物和服务招标投标管理办法》等有关法律、规章和规定等。</w:t>
      </w:r>
    </w:p>
    <w:p w14:paraId="1BAE2169">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2、定义</w:t>
      </w:r>
    </w:p>
    <w:p w14:paraId="741D4260">
      <w:pPr>
        <w:pStyle w:val="346"/>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2.1</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供应商</w:t>
      </w:r>
      <w:r>
        <w:rPr>
          <w:rFonts w:hint="eastAsia" w:ascii="宋体" w:hAnsi="宋体" w:eastAsia="宋体" w:cs="宋体"/>
          <w:color w:val="auto"/>
          <w:spacing w:val="-12"/>
          <w:sz w:val="24"/>
          <w:szCs w:val="24"/>
          <w:highlight w:val="none"/>
        </w:rPr>
        <w:t>”是指参加投标竞争，并符合招标文件规定资格条件的法人、其他组织或者自然人。</w:t>
      </w:r>
    </w:p>
    <w:p w14:paraId="4945654C">
      <w:pPr>
        <w:pStyle w:val="346"/>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2.2</w:t>
      </w:r>
      <w:r>
        <w:rPr>
          <w:rFonts w:hint="eastAsia" w:ascii="宋体" w:hAnsi="宋体" w:eastAsia="宋体" w:cs="宋体"/>
          <w:color w:val="auto"/>
          <w:sz w:val="24"/>
          <w:szCs w:val="24"/>
          <w:highlight w:val="none"/>
        </w:rPr>
        <w:t>“服务”指本招标文件中所述</w:t>
      </w:r>
      <w:r>
        <w:rPr>
          <w:rFonts w:hint="eastAsia" w:ascii="宋体" w:hAnsi="宋体" w:eastAsia="宋体" w:cs="宋体"/>
          <w:b/>
          <w:color w:val="auto"/>
          <w:sz w:val="24"/>
          <w:szCs w:val="24"/>
          <w:highlight w:val="none"/>
        </w:rPr>
        <w:t>产品</w:t>
      </w:r>
      <w:r>
        <w:rPr>
          <w:rFonts w:hint="eastAsia" w:ascii="宋体" w:hAnsi="宋体" w:eastAsia="宋体" w:cs="宋体"/>
          <w:color w:val="auto"/>
          <w:sz w:val="24"/>
          <w:szCs w:val="24"/>
          <w:highlight w:val="none"/>
        </w:rPr>
        <w:t>及相关服务。</w:t>
      </w:r>
    </w:p>
    <w:p w14:paraId="45B3A795">
      <w:pPr>
        <w:pStyle w:val="346"/>
        <w:keepNext w:val="0"/>
        <w:keepLines w:val="0"/>
        <w:pageBreakBefore w:val="0"/>
        <w:widowControl/>
        <w:kinsoku/>
        <w:wordWrap/>
        <w:overflowPunct/>
        <w:topLinePunct w:val="0"/>
        <w:autoSpaceDE/>
        <w:autoSpaceDN/>
        <w:bidi w:val="0"/>
        <w:adjustRightInd/>
        <w:snapToGrid/>
        <w:spacing w:after="0" w:line="360" w:lineRule="auto"/>
        <w:ind w:left="0" w:leftChars="0" w:firstLine="479" w:firstLineChars="222"/>
        <w:textAlignment w:val="auto"/>
        <w:rPr>
          <w:rFonts w:hint="eastAsia" w:ascii="宋体" w:hAnsi="宋体" w:eastAsia="宋体" w:cs="宋体"/>
          <w:color w:val="auto"/>
          <w:spacing w:val="-12"/>
          <w:sz w:val="24"/>
          <w:szCs w:val="24"/>
          <w:highlight w:val="none"/>
        </w:rPr>
      </w:pPr>
      <w:r>
        <w:rPr>
          <w:rFonts w:hint="eastAsia" w:ascii="宋体" w:hAnsi="宋体" w:eastAsia="宋体" w:cs="宋体"/>
          <w:color w:val="auto"/>
          <w:spacing w:val="-12"/>
          <w:sz w:val="24"/>
          <w:szCs w:val="24"/>
          <w:highlight w:val="none"/>
          <w:lang w:val="en-US"/>
        </w:rPr>
        <w:t>2.3</w:t>
      </w:r>
      <w:r>
        <w:rPr>
          <w:rFonts w:hint="eastAsia" w:ascii="宋体" w:hAnsi="宋体" w:eastAsia="宋体" w:cs="宋体"/>
          <w:color w:val="auto"/>
          <w:spacing w:val="-12"/>
          <w:sz w:val="24"/>
          <w:szCs w:val="24"/>
          <w:highlight w:val="none"/>
        </w:rPr>
        <w:t>“用户或使用单位”是指使用服务的单位。</w:t>
      </w:r>
    </w:p>
    <w:p w14:paraId="19D13DA8">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5139"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3、政策功能</w:t>
      </w:r>
    </w:p>
    <w:p w14:paraId="78BF33E0">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3.1</w:t>
      </w:r>
      <w:r>
        <w:rPr>
          <w:rFonts w:hint="eastAsia" w:ascii="宋体" w:hAnsi="宋体" w:eastAsia="宋体" w:cs="宋体"/>
          <w:b w:val="0"/>
          <w:bCs/>
          <w:color w:val="auto"/>
          <w:sz w:val="24"/>
          <w:szCs w:val="24"/>
          <w:highlight w:val="none"/>
        </w:rPr>
        <w:t>中小企业、监狱企业、残疾人福利性单位相关政策</w:t>
      </w:r>
    </w:p>
    <w:p w14:paraId="77D7921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zh-CN"/>
        </w:rPr>
        <w:t>在政府采购活动中，供应商提供的货物或者服务符合下列情形的，享受中小企业扶持政策：</w:t>
      </w:r>
    </w:p>
    <w:p w14:paraId="3C6118ED">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在货物</w:t>
      </w:r>
      <w:r>
        <w:rPr>
          <w:rFonts w:hint="eastAsia" w:ascii="宋体" w:hAnsi="宋体" w:eastAsia="宋体" w:cs="宋体"/>
          <w:b w:val="0"/>
          <w:bCs/>
          <w:color w:val="auto"/>
          <w:sz w:val="24"/>
          <w:szCs w:val="24"/>
          <w:highlight w:val="none"/>
        </w:rPr>
        <w:t>采购</w:t>
      </w:r>
      <w:r>
        <w:rPr>
          <w:rFonts w:hint="eastAsia" w:ascii="宋体" w:hAnsi="宋体" w:eastAsia="宋体" w:cs="宋体"/>
          <w:b w:val="0"/>
          <w:bCs/>
          <w:color w:val="auto"/>
          <w:sz w:val="24"/>
          <w:szCs w:val="24"/>
          <w:highlight w:val="none"/>
          <w:lang w:val="zh-CN"/>
        </w:rPr>
        <w:t>项目中，</w:t>
      </w:r>
      <w:r>
        <w:rPr>
          <w:rFonts w:hint="eastAsia" w:ascii="宋体" w:hAnsi="宋体" w:eastAsia="宋体" w:cs="宋体"/>
          <w:b w:val="0"/>
          <w:bCs/>
          <w:color w:val="auto"/>
          <w:sz w:val="24"/>
          <w:szCs w:val="24"/>
          <w:highlight w:val="none"/>
        </w:rPr>
        <w:t>全部</w:t>
      </w:r>
      <w:r>
        <w:rPr>
          <w:rFonts w:hint="eastAsia" w:ascii="宋体" w:hAnsi="宋体" w:eastAsia="宋体" w:cs="宋体"/>
          <w:b w:val="0"/>
          <w:bCs/>
          <w:color w:val="auto"/>
          <w:sz w:val="24"/>
          <w:szCs w:val="24"/>
          <w:highlight w:val="none"/>
          <w:lang w:val="zh-CN"/>
        </w:rPr>
        <w:t>货物由中小企业制造；</w:t>
      </w:r>
    </w:p>
    <w:p w14:paraId="51C1E1A3">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在服务</w:t>
      </w:r>
      <w:r>
        <w:rPr>
          <w:rFonts w:hint="eastAsia" w:ascii="宋体" w:hAnsi="宋体" w:eastAsia="宋体" w:cs="宋体"/>
          <w:b w:val="0"/>
          <w:bCs/>
          <w:color w:val="auto"/>
          <w:sz w:val="24"/>
          <w:szCs w:val="24"/>
          <w:highlight w:val="none"/>
        </w:rPr>
        <w:t>采购</w:t>
      </w:r>
      <w:r>
        <w:rPr>
          <w:rFonts w:hint="eastAsia" w:ascii="宋体" w:hAnsi="宋体" w:eastAsia="宋体" w:cs="宋体"/>
          <w:b w:val="0"/>
          <w:bCs/>
          <w:color w:val="auto"/>
          <w:sz w:val="24"/>
          <w:szCs w:val="24"/>
          <w:highlight w:val="none"/>
          <w:lang w:val="zh-CN"/>
        </w:rPr>
        <w:t>项目中，服务由中小企业承接。</w:t>
      </w:r>
    </w:p>
    <w:p w14:paraId="37748E3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0FBF72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3</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zh-CN"/>
        </w:rPr>
        <w:t>中小企业参加政府采购活动，应当出具《中小企业声明函》，否则不享受相关中小企业</w:t>
      </w:r>
      <w:r>
        <w:rPr>
          <w:rFonts w:hint="eastAsia" w:ascii="宋体" w:hAnsi="宋体" w:eastAsia="宋体" w:cs="宋体"/>
          <w:b w:val="0"/>
          <w:bCs/>
          <w:color w:val="auto"/>
          <w:sz w:val="24"/>
          <w:szCs w:val="24"/>
          <w:highlight w:val="none"/>
        </w:rPr>
        <w:t>支持</w:t>
      </w:r>
      <w:r>
        <w:rPr>
          <w:rFonts w:hint="eastAsia" w:ascii="宋体" w:hAnsi="宋体" w:eastAsia="宋体" w:cs="宋体"/>
          <w:b w:val="0"/>
          <w:bCs/>
          <w:color w:val="auto"/>
          <w:sz w:val="24"/>
          <w:szCs w:val="24"/>
          <w:highlight w:val="none"/>
          <w:lang w:val="zh-CN"/>
        </w:rPr>
        <w:t>政策。</w:t>
      </w:r>
    </w:p>
    <w:p w14:paraId="09E322B4">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4</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对于专门面向中小企业或小型、微型企业的项目，只面向中小企业或小型、微型企业采购。对于非专门面向中小企业的项目，对小微企业报价给予10%—20%（工程项目为3%—5%）的扣除，用扣除后的价格参与评审。</w:t>
      </w:r>
    </w:p>
    <w:p w14:paraId="04F14A02">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5</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监狱和戒毒企业（简称监狱企业）视同小型、微型企业</w:t>
      </w:r>
      <w:r>
        <w:rPr>
          <w:rFonts w:hint="eastAsia" w:ascii="宋体" w:hAnsi="宋体" w:eastAsia="宋体" w:cs="宋体"/>
          <w:b w:val="0"/>
          <w:bCs/>
          <w:color w:val="auto"/>
          <w:sz w:val="24"/>
          <w:szCs w:val="24"/>
          <w:highlight w:val="none"/>
          <w:lang w:val="zh-CN"/>
        </w:rPr>
        <w:t>。</w:t>
      </w:r>
      <w:r>
        <w:rPr>
          <w:rFonts w:hint="eastAsia" w:ascii="宋体" w:hAnsi="宋体" w:eastAsia="宋体" w:cs="宋体"/>
          <w:b w:val="0"/>
          <w:bCs/>
          <w:color w:val="auto"/>
          <w:sz w:val="24"/>
          <w:szCs w:val="24"/>
          <w:highlight w:val="none"/>
        </w:rPr>
        <w:t>按照</w:t>
      </w:r>
      <w:r>
        <w:rPr>
          <w:rFonts w:hint="eastAsia" w:ascii="宋体" w:hAnsi="宋体" w:eastAsia="宋体" w:cs="宋体"/>
          <w:b w:val="0"/>
          <w:bCs/>
          <w:color w:val="auto"/>
          <w:sz w:val="24"/>
          <w:szCs w:val="24"/>
          <w:highlight w:val="none"/>
          <w:lang w:val="zh-CN"/>
        </w:rPr>
        <w:t>《关于政府采购支持监狱企业发展有关问题的通知》（财库〔2014〕68号）</w:t>
      </w:r>
      <w:r>
        <w:rPr>
          <w:rFonts w:hint="eastAsia" w:ascii="宋体" w:hAnsi="宋体" w:eastAsia="宋体" w:cs="宋体"/>
          <w:b w:val="0"/>
          <w:bCs/>
          <w:color w:val="auto"/>
          <w:sz w:val="24"/>
          <w:szCs w:val="24"/>
          <w:highlight w:val="none"/>
        </w:rPr>
        <w:t>规定，</w:t>
      </w:r>
      <w:r>
        <w:rPr>
          <w:rFonts w:hint="eastAsia" w:ascii="宋体" w:hAnsi="宋体" w:eastAsia="宋体" w:cs="宋体"/>
          <w:b w:val="0"/>
          <w:bCs/>
          <w:color w:val="auto"/>
          <w:sz w:val="24"/>
          <w:szCs w:val="24"/>
          <w:highlight w:val="none"/>
          <w:lang w:val="zh-CN"/>
        </w:rPr>
        <w:t>监狱企业需提供由省级以上监狱管理局、戒毒管理局(含新疆生产建设兵团)出具的属于监狱企业的证明文件。</w:t>
      </w:r>
    </w:p>
    <w:p w14:paraId="0DCEEDC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6</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zh-CN"/>
        </w:rPr>
        <w:t>残疾人福利性单位</w:t>
      </w:r>
      <w:r>
        <w:rPr>
          <w:rFonts w:hint="eastAsia" w:ascii="宋体" w:hAnsi="宋体" w:eastAsia="宋体" w:cs="宋体"/>
          <w:b w:val="0"/>
          <w:bCs/>
          <w:color w:val="auto"/>
          <w:sz w:val="24"/>
          <w:szCs w:val="24"/>
          <w:highlight w:val="none"/>
        </w:rPr>
        <w:t>视同小型、微型企业</w:t>
      </w:r>
      <w:r>
        <w:rPr>
          <w:rFonts w:hint="eastAsia" w:ascii="宋体" w:hAnsi="宋体" w:eastAsia="宋体" w:cs="宋体"/>
          <w:b w:val="0"/>
          <w:bCs/>
          <w:color w:val="auto"/>
          <w:sz w:val="24"/>
          <w:szCs w:val="24"/>
          <w:highlight w:val="none"/>
          <w:lang w:val="zh-CN"/>
        </w:rPr>
        <w:t>。</w:t>
      </w:r>
      <w:r>
        <w:rPr>
          <w:rFonts w:hint="eastAsia" w:ascii="宋体" w:hAnsi="宋体" w:eastAsia="宋体" w:cs="宋体"/>
          <w:b w:val="0"/>
          <w:bCs/>
          <w:color w:val="auto"/>
          <w:sz w:val="24"/>
          <w:szCs w:val="24"/>
          <w:highlight w:val="none"/>
        </w:rPr>
        <w:t>按照《关于促进残疾人就业政府采购政策的通知》（财库〔2017〕141号）规定，残疾人福利单位需</w:t>
      </w:r>
      <w:r>
        <w:rPr>
          <w:rFonts w:hint="eastAsia" w:ascii="宋体" w:hAnsi="宋体" w:eastAsia="宋体" w:cs="宋体"/>
          <w:b w:val="0"/>
          <w:bCs/>
          <w:color w:val="auto"/>
          <w:sz w:val="24"/>
          <w:szCs w:val="24"/>
          <w:highlight w:val="none"/>
          <w:lang w:val="zh-CN"/>
        </w:rPr>
        <w:t>提供《残疾人福利性单位声明函》。</w:t>
      </w:r>
    </w:p>
    <w:p w14:paraId="4759467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7</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4%-6%（工程项目为1%—2%）的扣除，用扣除后的价格参加评审。</w:t>
      </w:r>
    </w:p>
    <w:p w14:paraId="216BA99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8</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p>
    <w:p w14:paraId="2D03F67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3.2 节能产品、环境标志产品政策</w:t>
      </w:r>
    </w:p>
    <w:p w14:paraId="54D212AB">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（1）政府采购节能产品、环境标志产品实施品目清单管理。</w:t>
      </w:r>
    </w:p>
    <w:p w14:paraId="3E0F01E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（2）拟采购产品属于节能产品、环境标志产品品目清单规定必须强制采购的，实行强制采购。</w:t>
      </w:r>
    </w:p>
    <w:p w14:paraId="62E47EF1">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（3）拟采购产品属于节能产品、环境标志产品品目清单规定优先采购的，在性能、技术、服务等指标同等条件下，实行优先采购。</w:t>
      </w:r>
    </w:p>
    <w:p w14:paraId="57DE8EE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（4）参加政府采购活动的节能产品、环境标志产品供应商应当提供国家确定的认证机构出具的、处于有效期之内的节能产品、环境标志产品认证证书。</w:t>
      </w:r>
    </w:p>
    <w:p w14:paraId="7B441EF6">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3.3 进口产品政策</w:t>
      </w:r>
    </w:p>
    <w:p w14:paraId="671FB0A7">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（1）除在招标文件另有规定外，不允许进口产品参加。进口产品认定依照《财政部关于政府采购进口产品管理有关问题的通知》（财办库〔2008〕248号）的规定。</w:t>
      </w:r>
    </w:p>
    <w:p w14:paraId="57785DD9">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（2）允许进口产品参加的，满足需求的国内产品可以参加。</w:t>
      </w:r>
    </w:p>
    <w:p w14:paraId="3F90664F">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（3）允许进口产品参加的，优先采购向我国企业转让技术、与我国企业签订消化吸收再创新方案的供应商的进口产品。</w:t>
      </w:r>
    </w:p>
    <w:p w14:paraId="5A518AB7">
      <w:pPr>
        <w:keepNext w:val="0"/>
        <w:keepLines w:val="0"/>
        <w:pageBreakBefore w:val="0"/>
        <w:widowControl/>
        <w:numPr>
          <w:ilvl w:val="0"/>
          <w:numId w:val="3"/>
        </w:numPr>
        <w:kinsoku/>
        <w:wordWrap/>
        <w:overflowPunct/>
        <w:topLinePunct w:val="0"/>
        <w:autoSpaceDE/>
        <w:autoSpaceDN/>
        <w:bidi w:val="0"/>
        <w:adjustRightInd/>
        <w:snapToGrid/>
        <w:spacing w:after="0" w:line="360" w:lineRule="auto"/>
        <w:ind w:left="19"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w:t>
      </w:r>
    </w:p>
    <w:p w14:paraId="13683EB8">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lef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4、招标文件组成</w:t>
      </w:r>
    </w:p>
    <w:p w14:paraId="59D8D42A">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0" w:rightChars="0" w:firstLine="456" w:firstLineChars="200"/>
        <w:jc w:val="both"/>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rPr>
        <w:t>4.1</w:t>
      </w:r>
      <w:r>
        <w:rPr>
          <w:rFonts w:hint="eastAsia" w:ascii="宋体" w:hAnsi="宋体" w:eastAsia="宋体" w:cs="宋体"/>
          <w:color w:val="auto"/>
          <w:spacing w:val="-6"/>
          <w:sz w:val="24"/>
          <w:szCs w:val="24"/>
          <w:highlight w:val="none"/>
        </w:rPr>
        <w:t>招标文件组成：投标邀请、投标人须知、评标方法与评标标准</w:t>
      </w:r>
      <w:r>
        <w:rPr>
          <w:rFonts w:hint="eastAsia" w:ascii="宋体" w:hAnsi="宋体" w:cs="宋体"/>
          <w:color w:val="auto"/>
          <w:spacing w:val="-6"/>
          <w:sz w:val="24"/>
          <w:szCs w:val="24"/>
          <w:highlight w:val="none"/>
          <w:lang w:eastAsia="zh-CN"/>
        </w:rPr>
        <w:t>、</w:t>
      </w:r>
      <w:r>
        <w:rPr>
          <w:rFonts w:hint="eastAsia" w:ascii="宋体" w:hAnsi="宋体" w:cs="宋体"/>
          <w:color w:val="auto"/>
          <w:spacing w:val="-6"/>
          <w:sz w:val="24"/>
          <w:szCs w:val="24"/>
          <w:highlight w:val="none"/>
          <w:lang w:val="en-US" w:eastAsia="zh-CN"/>
        </w:rPr>
        <w:t>项目需求、采购合同格式、</w:t>
      </w:r>
      <w:r>
        <w:rPr>
          <w:rFonts w:hint="eastAsia" w:ascii="宋体" w:hAnsi="宋体" w:eastAsia="宋体" w:cs="宋体"/>
          <w:color w:val="auto"/>
          <w:spacing w:val="-6"/>
          <w:sz w:val="24"/>
          <w:szCs w:val="24"/>
          <w:highlight w:val="none"/>
        </w:rPr>
        <w:t>投标文件格式等。</w:t>
      </w:r>
    </w:p>
    <w:p w14:paraId="5B8A6CBA">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0" w:rightChars="0" w:firstLine="456" w:firstLineChars="200"/>
        <w:jc w:val="both"/>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rPr>
        <w:t>4.2</w:t>
      </w:r>
      <w:r>
        <w:rPr>
          <w:rFonts w:hint="eastAsia" w:ascii="宋体" w:hAnsi="宋体" w:eastAsia="宋体" w:cs="宋体"/>
          <w:color w:val="auto"/>
          <w:spacing w:val="-6"/>
          <w:sz w:val="24"/>
          <w:szCs w:val="24"/>
          <w:highlight w:val="none"/>
        </w:rPr>
        <w:t>招标的最小单位是包。招标服务数量及技术要求中未分包的，供应商对要求提供的服务不得部分投标；招标服务数量及技术要求中已经分包的，应当以包为单位投标。</w:t>
      </w:r>
    </w:p>
    <w:p w14:paraId="646CBB04">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0" w:rightChars="0" w:firstLine="456" w:firstLineChars="200"/>
        <w:jc w:val="both"/>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rPr>
        <w:t>4.3</w:t>
      </w:r>
      <w:r>
        <w:rPr>
          <w:rFonts w:hint="eastAsia" w:ascii="宋体" w:hAnsi="宋体" w:eastAsia="宋体" w:cs="宋体"/>
          <w:color w:val="auto"/>
          <w:spacing w:val="-6"/>
          <w:sz w:val="24"/>
          <w:szCs w:val="24"/>
          <w:highlight w:val="none"/>
        </w:rPr>
        <w:t>招标文件如果要求供应商提交备选投标方案的，供应商可以提交备选方案；否则，备选方案将被拒绝。</w:t>
      </w:r>
    </w:p>
    <w:p w14:paraId="5D6CA525">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5、</w:t>
      </w:r>
      <w:r>
        <w:rPr>
          <w:rFonts w:hint="eastAsia" w:ascii="宋体" w:hAnsi="宋体" w:eastAsia="宋体" w:cs="宋体"/>
          <w:b/>
          <w:color w:val="auto"/>
          <w:sz w:val="24"/>
          <w:szCs w:val="24"/>
          <w:highlight w:val="none"/>
        </w:rPr>
        <w:t>招标文件的澄清、修改</w:t>
      </w:r>
    </w:p>
    <w:p w14:paraId="09FC7B9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5.1</w:t>
      </w:r>
      <w:r>
        <w:rPr>
          <w:rFonts w:hint="eastAsia" w:ascii="宋体" w:hAnsi="宋体" w:eastAsia="宋体" w:cs="宋体"/>
          <w:color w:val="auto"/>
          <w:sz w:val="24"/>
          <w:szCs w:val="24"/>
          <w:highlight w:val="none"/>
        </w:rPr>
        <w:t>代理机构对已发出的招标文件进行必要澄清或者修改的，将在招标文件要求提交投标文件截止时间</w:t>
      </w:r>
      <w:r>
        <w:rPr>
          <w:rFonts w:hint="eastAsia" w:ascii="宋体" w:hAnsi="宋体" w:eastAsia="宋体" w:cs="宋体"/>
          <w:b/>
          <w:color w:val="auto"/>
          <w:sz w:val="24"/>
          <w:szCs w:val="24"/>
          <w:highlight w:val="none"/>
          <w:u w:val="single"/>
        </w:rPr>
        <w:t>十五日</w:t>
      </w:r>
      <w:r>
        <w:rPr>
          <w:rFonts w:hint="eastAsia" w:ascii="宋体" w:hAnsi="宋体" w:eastAsia="宋体" w:cs="宋体"/>
          <w:color w:val="auto"/>
          <w:sz w:val="24"/>
          <w:szCs w:val="24"/>
          <w:highlight w:val="none"/>
        </w:rPr>
        <w:t>前，在原招标公告媒体发布更正公告，该澄清或者修改的内容为招标文件的组成部分。</w:t>
      </w:r>
    </w:p>
    <w:p w14:paraId="146C5A01">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5.2</w:t>
      </w:r>
      <w:r>
        <w:rPr>
          <w:rFonts w:hint="eastAsia" w:ascii="宋体" w:hAnsi="宋体" w:eastAsia="宋体" w:cs="宋体"/>
          <w:color w:val="auto"/>
          <w:sz w:val="24"/>
          <w:szCs w:val="24"/>
          <w:highlight w:val="none"/>
        </w:rPr>
        <w:t>代理机构在招标文件要求提交投标文件截止时间三日前，有权决定延长投标截止时间和开标时间，并在原采购信息发布媒体上发布变更公告。</w:t>
      </w:r>
    </w:p>
    <w:p w14:paraId="56EA2C70">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5.3</w:t>
      </w:r>
      <w:r>
        <w:rPr>
          <w:rFonts w:hint="eastAsia" w:ascii="宋体" w:hAnsi="宋体" w:eastAsia="宋体" w:cs="宋体"/>
          <w:color w:val="auto"/>
          <w:sz w:val="24"/>
          <w:szCs w:val="24"/>
          <w:highlight w:val="none"/>
        </w:rPr>
        <w:t xml:space="preserve">供应商应在投标截止时间前关注原采购信息发布媒体上有关本招标项目有无变更公告。  </w:t>
      </w:r>
    </w:p>
    <w:p w14:paraId="0D4093C7">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19" w:right="1147"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三、投标</w:t>
      </w:r>
    </w:p>
    <w:p w14:paraId="679B3661">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6、投标文件的语言、计量单位、货币和编制</w:t>
      </w:r>
    </w:p>
    <w:p w14:paraId="4BE7784A">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0" w:rightChars="0" w:firstLine="452" w:firstLineChars="200"/>
        <w:jc w:val="both"/>
        <w:textAlignment w:val="auto"/>
        <w:rPr>
          <w:rFonts w:hint="eastAsia" w:ascii="宋体" w:hAnsi="宋体" w:eastAsia="宋体" w:cs="宋体"/>
          <w:color w:val="auto"/>
          <w:spacing w:val="-7"/>
          <w:sz w:val="24"/>
          <w:szCs w:val="24"/>
          <w:highlight w:val="none"/>
          <w:lang w:val="en-US"/>
        </w:rPr>
      </w:pPr>
      <w:r>
        <w:rPr>
          <w:rFonts w:hint="eastAsia" w:ascii="宋体" w:hAnsi="宋体" w:eastAsia="宋体" w:cs="宋体"/>
          <w:color w:val="auto"/>
          <w:spacing w:val="-7"/>
          <w:sz w:val="24"/>
          <w:szCs w:val="24"/>
          <w:highlight w:val="none"/>
          <w:lang w:val="en-US"/>
        </w:rPr>
        <w:t>6.1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6941C594">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783" w:firstLine="452" w:firstLineChars="200"/>
        <w:jc w:val="both"/>
        <w:textAlignment w:val="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rPr>
        <w:t>6.2</w:t>
      </w:r>
      <w:r>
        <w:rPr>
          <w:rFonts w:hint="eastAsia" w:ascii="宋体" w:hAnsi="宋体" w:eastAsia="宋体" w:cs="宋体"/>
          <w:color w:val="auto"/>
          <w:spacing w:val="-7"/>
          <w:sz w:val="24"/>
          <w:szCs w:val="24"/>
          <w:highlight w:val="none"/>
        </w:rPr>
        <w:t>供应商所使用的计量单位应为国家法定计量单位。</w:t>
      </w:r>
    </w:p>
    <w:p w14:paraId="0ECDB0FD">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783" w:firstLine="452" w:firstLineChars="200"/>
        <w:jc w:val="both"/>
        <w:textAlignment w:val="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rPr>
        <w:t>6.3</w:t>
      </w:r>
      <w:r>
        <w:rPr>
          <w:rFonts w:hint="eastAsia" w:ascii="宋体" w:hAnsi="宋体" w:eastAsia="宋体" w:cs="宋体"/>
          <w:color w:val="auto"/>
          <w:spacing w:val="-7"/>
          <w:sz w:val="24"/>
          <w:szCs w:val="24"/>
          <w:highlight w:val="none"/>
        </w:rPr>
        <w:t>供应商应用人民币报价。</w:t>
      </w:r>
    </w:p>
    <w:p w14:paraId="18EBB9C8">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0" w:rightChars="0" w:firstLine="452" w:firstLineChars="200"/>
        <w:jc w:val="both"/>
        <w:textAlignment w:val="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rPr>
        <w:t>6.4</w:t>
      </w:r>
      <w:r>
        <w:rPr>
          <w:rFonts w:hint="eastAsia" w:ascii="宋体" w:hAnsi="宋体" w:eastAsia="宋体" w:cs="宋体"/>
          <w:color w:val="auto"/>
          <w:spacing w:val="-7"/>
          <w:sz w:val="24"/>
          <w:szCs w:val="24"/>
          <w:highlight w:val="none"/>
        </w:rPr>
        <w:t>投标文件应字迹清楚、内容齐全、不得涂改。如有修改，修改处须有供应商公章和法定代表人或其授权的供应商代表签字。</w:t>
      </w:r>
    </w:p>
    <w:p w14:paraId="7604F70F">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0" w:rightChars="0" w:firstLine="452" w:firstLineChars="200"/>
        <w:jc w:val="both"/>
        <w:textAlignment w:val="auto"/>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lang w:val="en-US"/>
        </w:rPr>
        <w:t>6.5</w:t>
      </w:r>
      <w:r>
        <w:rPr>
          <w:rFonts w:hint="eastAsia" w:ascii="宋体" w:hAnsi="宋体" w:eastAsia="宋体" w:cs="宋体"/>
          <w:color w:val="auto"/>
          <w:spacing w:val="-7"/>
          <w:sz w:val="24"/>
          <w:szCs w:val="24"/>
          <w:highlight w:val="none"/>
        </w:rPr>
        <w:t xml:space="preserve">供应商应在投标文件中写清相应的项目编号、项目名称、供应商全称、地址、电话、传真等。    </w:t>
      </w:r>
    </w:p>
    <w:p w14:paraId="0509378E">
      <w:pPr>
        <w:pStyle w:val="346"/>
        <w:keepNext w:val="0"/>
        <w:keepLines w:val="0"/>
        <w:pageBreakBefore w:val="0"/>
        <w:widowControl/>
        <w:numPr>
          <w:ilvl w:val="0"/>
          <w:numId w:val="4"/>
        </w:numPr>
        <w:tabs>
          <w:tab w:val="left" w:pos="0"/>
        </w:tabs>
        <w:kinsoku/>
        <w:wordWrap/>
        <w:overflowPunct/>
        <w:topLinePunct w:val="0"/>
        <w:autoSpaceDE/>
        <w:autoSpaceDN/>
        <w:bidi w:val="0"/>
        <w:adjustRightInd/>
        <w:snapToGrid/>
        <w:spacing w:after="0" w:line="360" w:lineRule="auto"/>
        <w:ind w:left="0" w:leftChars="0" w:right="679" w:firstLine="454" w:firstLineChars="200"/>
        <w:textAlignment w:val="auto"/>
        <w:rPr>
          <w:rFonts w:hint="eastAsia" w:ascii="宋体" w:hAnsi="宋体" w:eastAsia="宋体" w:cs="宋体"/>
          <w:b/>
          <w:color w:val="auto"/>
          <w:spacing w:val="-7"/>
          <w:sz w:val="24"/>
          <w:szCs w:val="24"/>
          <w:highlight w:val="none"/>
        </w:rPr>
      </w:pPr>
      <w:r>
        <w:rPr>
          <w:rFonts w:hint="eastAsia" w:ascii="宋体" w:hAnsi="宋体" w:eastAsia="宋体" w:cs="宋体"/>
          <w:b/>
          <w:color w:val="auto"/>
          <w:spacing w:val="-7"/>
          <w:sz w:val="24"/>
          <w:szCs w:val="24"/>
          <w:highlight w:val="none"/>
        </w:rPr>
        <w:t>联合投标</w:t>
      </w:r>
    </w:p>
    <w:p w14:paraId="4D9FA8AE">
      <w:pPr>
        <w:pStyle w:val="346"/>
        <w:keepNext w:val="0"/>
        <w:keepLines w:val="0"/>
        <w:pageBreakBefore w:val="0"/>
        <w:widowControl/>
        <w:numPr>
          <w:ilvl w:val="0"/>
          <w:numId w:val="0"/>
        </w:numPr>
        <w:tabs>
          <w:tab w:val="left" w:pos="0"/>
        </w:tabs>
        <w:kinsoku/>
        <w:wordWrap/>
        <w:overflowPunct/>
        <w:topLinePunct w:val="0"/>
        <w:autoSpaceDE/>
        <w:autoSpaceDN/>
        <w:bidi w:val="0"/>
        <w:adjustRightInd/>
        <w:snapToGrid/>
        <w:spacing w:after="0" w:line="360" w:lineRule="auto"/>
        <w:ind w:leftChars="0" w:right="679" w:rightChars="0" w:firstLine="480" w:firstLineChars="200"/>
        <w:textAlignment w:val="auto"/>
        <w:rPr>
          <w:rFonts w:hint="eastAsia" w:ascii="宋体" w:hAnsi="宋体" w:eastAsia="宋体" w:cs="宋体"/>
          <w:b/>
          <w:color w:val="auto"/>
          <w:spacing w:val="-1"/>
          <w:sz w:val="24"/>
          <w:szCs w:val="24"/>
          <w:highlight w:val="none"/>
        </w:rPr>
      </w:pPr>
      <w:r>
        <w:rPr>
          <w:rFonts w:hint="eastAsia" w:ascii="宋体" w:hAnsi="宋体" w:eastAsia="宋体" w:cs="宋体"/>
          <w:color w:val="auto"/>
          <w:sz w:val="24"/>
          <w:szCs w:val="24"/>
          <w:highlight w:val="none"/>
        </w:rPr>
        <w:t>7.1</w:t>
      </w:r>
      <w:r>
        <w:rPr>
          <w:rFonts w:hint="eastAsia" w:ascii="宋体" w:hAnsi="宋体" w:eastAsia="宋体" w:cs="宋体"/>
          <w:color w:val="auto"/>
          <w:spacing w:val="-58"/>
          <w:sz w:val="24"/>
          <w:szCs w:val="24"/>
          <w:highlight w:val="none"/>
        </w:rPr>
        <w:t xml:space="preserve"> </w:t>
      </w:r>
      <w:r>
        <w:rPr>
          <w:rFonts w:hint="eastAsia" w:ascii="宋体" w:hAnsi="宋体" w:eastAsia="宋体" w:cs="宋体"/>
          <w:b/>
          <w:color w:val="auto"/>
          <w:spacing w:val="-1"/>
          <w:sz w:val="24"/>
          <w:szCs w:val="24"/>
          <w:highlight w:val="none"/>
        </w:rPr>
        <w:t>本次采购不接受联合体投标。</w:t>
      </w:r>
    </w:p>
    <w:p w14:paraId="37DEE293">
      <w:pPr>
        <w:keepNext w:val="0"/>
        <w:keepLines w:val="0"/>
        <w:pageBreakBefore w:val="0"/>
        <w:widowControl/>
        <w:kinsoku/>
        <w:wordWrap/>
        <w:overflowPunct/>
        <w:topLinePunct w:val="0"/>
        <w:autoSpaceDE/>
        <w:autoSpaceDN/>
        <w:bidi w:val="0"/>
        <w:adjustRightInd/>
        <w:snapToGrid/>
        <w:spacing w:after="0" w:line="360" w:lineRule="auto"/>
        <w:ind w:right="6439"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8、投标费用</w:t>
      </w:r>
    </w:p>
    <w:p w14:paraId="60DA54A5">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8.1供应商应承担所有与准备和参加投标有关的费用。</w:t>
      </w:r>
    </w:p>
    <w:p w14:paraId="52C799E5">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8.2</w:t>
      </w:r>
      <w:r>
        <w:rPr>
          <w:rFonts w:hint="eastAsia" w:ascii="宋体" w:hAnsi="宋体" w:eastAsia="宋体" w:cs="宋体"/>
          <w:color w:val="auto"/>
          <w:sz w:val="24"/>
          <w:szCs w:val="24"/>
          <w:highlight w:val="none"/>
        </w:rPr>
        <w:t>招标代理费：按照国家计委《招标代理服务收费管理暂行办法》的通知【计价格（2002）1980号】文件标准</w:t>
      </w:r>
      <w:r>
        <w:rPr>
          <w:rFonts w:hint="eastAsia" w:ascii="宋体" w:hAnsi="宋体" w:cs="宋体"/>
          <w:color w:val="auto"/>
          <w:sz w:val="24"/>
          <w:szCs w:val="24"/>
          <w:highlight w:val="none"/>
          <w:lang w:val="en-US" w:eastAsia="zh-CN"/>
        </w:rPr>
        <w:t>90%</w:t>
      </w:r>
      <w:r>
        <w:rPr>
          <w:rFonts w:hint="eastAsia" w:ascii="宋体" w:hAnsi="宋体" w:eastAsia="宋体" w:cs="宋体"/>
          <w:color w:val="auto"/>
          <w:sz w:val="24"/>
          <w:szCs w:val="24"/>
          <w:highlight w:val="none"/>
        </w:rPr>
        <w:t>执行。无论投标人是否将该费用在报价中列明，均视为已含在投标价格中。这部分费用由中标单位在领取中标通知书时一次性支付。专家评审费按实际支付发生费用计取</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由采购人支付</w:t>
      </w:r>
      <w:r>
        <w:rPr>
          <w:rFonts w:hint="eastAsia" w:ascii="宋体" w:hAnsi="宋体" w:cs="宋体"/>
          <w:color w:val="auto"/>
          <w:sz w:val="24"/>
          <w:szCs w:val="24"/>
          <w:highlight w:val="none"/>
          <w:lang w:eastAsia="zh-CN"/>
        </w:rPr>
        <w:t>。</w:t>
      </w:r>
    </w:p>
    <w:p w14:paraId="2865CB3F">
      <w:pPr>
        <w:keepNext w:val="0"/>
        <w:keepLines w:val="0"/>
        <w:pageBreakBefore w:val="0"/>
        <w:widowControl/>
        <w:kinsoku/>
        <w:wordWrap/>
        <w:overflowPunct/>
        <w:topLinePunct w:val="0"/>
        <w:autoSpaceDE/>
        <w:autoSpaceDN/>
        <w:bidi w:val="0"/>
        <w:adjustRightInd/>
        <w:snapToGrid/>
        <w:spacing w:after="0" w:line="360" w:lineRule="auto"/>
        <w:ind w:right="335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9、投标文件组成</w:t>
      </w:r>
    </w:p>
    <w:p w14:paraId="403E8522">
      <w:pPr>
        <w:pStyle w:val="346"/>
        <w:keepNext w:val="0"/>
        <w:keepLines w:val="0"/>
        <w:pageBreakBefore w:val="0"/>
        <w:widowControl/>
        <w:tabs>
          <w:tab w:val="left" w:pos="1666"/>
        </w:tabs>
        <w:kinsoku/>
        <w:wordWrap/>
        <w:overflowPunct/>
        <w:topLinePunct w:val="0"/>
        <w:autoSpaceDE/>
        <w:autoSpaceDN/>
        <w:bidi w:val="0"/>
        <w:adjustRightInd/>
        <w:snapToGrid/>
        <w:spacing w:after="0" w:line="360" w:lineRule="auto"/>
        <w:ind w:left="0" w:leftChars="0" w:right="0" w:rightChars="0" w:firstLine="476"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color w:val="auto"/>
          <w:spacing w:val="-1"/>
          <w:sz w:val="24"/>
          <w:szCs w:val="24"/>
          <w:highlight w:val="none"/>
          <w:lang w:val="en-US"/>
        </w:rPr>
        <w:t>9.1</w:t>
      </w:r>
      <w:r>
        <w:rPr>
          <w:rFonts w:hint="eastAsia" w:ascii="宋体" w:hAnsi="宋体" w:eastAsia="宋体" w:cs="宋体"/>
          <w:color w:val="auto"/>
          <w:spacing w:val="-1"/>
          <w:sz w:val="24"/>
          <w:szCs w:val="24"/>
          <w:highlight w:val="none"/>
        </w:rPr>
        <w:t>供应商应当根据招标文件要求编制投标文件，投标文件应对招标文件提出的要求和条件作出实质性响应，</w:t>
      </w:r>
      <w:r>
        <w:rPr>
          <w:rFonts w:hint="eastAsia" w:ascii="宋体" w:hAnsi="宋体" w:eastAsia="宋体" w:cs="宋体"/>
          <w:b/>
          <w:color w:val="auto"/>
          <w:sz w:val="24"/>
          <w:szCs w:val="24"/>
          <w:highlight w:val="none"/>
        </w:rPr>
        <w:t>对带星号</w:t>
      </w:r>
      <w:r>
        <w:rPr>
          <w:rFonts w:hint="eastAsia" w:ascii="宋体" w:hAnsi="宋体" w:eastAsia="宋体" w:cs="宋体"/>
          <w:b/>
          <w:color w:val="auto"/>
          <w:spacing w:val="3"/>
          <w:sz w:val="24"/>
          <w:szCs w:val="24"/>
          <w:highlight w:val="none"/>
        </w:rPr>
        <w:t>（</w:t>
      </w:r>
      <w:r>
        <w:rPr>
          <w:rFonts w:hint="eastAsia" w:ascii="宋体" w:hAnsi="宋体" w:eastAsia="宋体" w:cs="宋体"/>
          <w:b/>
          <w:color w:val="auto"/>
          <w:spacing w:val="2"/>
          <w:sz w:val="24"/>
          <w:szCs w:val="24"/>
          <w:highlight w:val="none"/>
        </w:rPr>
        <w:t>“★或*”）</w:t>
      </w:r>
      <w:r>
        <w:rPr>
          <w:rFonts w:hint="eastAsia" w:ascii="宋体" w:hAnsi="宋体" w:eastAsia="宋体" w:cs="宋体"/>
          <w:b/>
          <w:color w:val="auto"/>
          <w:sz w:val="24"/>
          <w:szCs w:val="24"/>
          <w:highlight w:val="none"/>
        </w:rPr>
        <w:t>的技术条款必须在投标文件中提供技术支持资料（如白皮书、彩页、手册、检测报告等），未提供技术支持资料的，评审时不予认可。</w:t>
      </w:r>
    </w:p>
    <w:p w14:paraId="6F1CF085">
      <w:pPr>
        <w:pStyle w:val="346"/>
        <w:keepNext w:val="0"/>
        <w:keepLines w:val="0"/>
        <w:pageBreakBefore w:val="0"/>
        <w:widowControl/>
        <w:tabs>
          <w:tab w:val="left" w:pos="1666"/>
        </w:tabs>
        <w:kinsoku/>
        <w:wordWrap/>
        <w:overflowPunct/>
        <w:topLinePunct w:val="0"/>
        <w:autoSpaceDE/>
        <w:autoSpaceDN/>
        <w:bidi w:val="0"/>
        <w:adjustRightInd/>
        <w:snapToGrid/>
        <w:spacing w:after="0" w:line="360" w:lineRule="auto"/>
        <w:ind w:left="0" w:leftChars="0" w:right="0" w:rightChars="0" w:firstLine="476" w:firstLineChars="200"/>
        <w:jc w:val="both"/>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rPr>
        <w:t>9.2</w:t>
      </w:r>
      <w:r>
        <w:rPr>
          <w:rFonts w:hint="eastAsia" w:ascii="宋体" w:hAnsi="宋体" w:eastAsia="宋体" w:cs="宋体"/>
          <w:color w:val="auto"/>
          <w:spacing w:val="-1"/>
          <w:sz w:val="24"/>
          <w:szCs w:val="24"/>
          <w:highlight w:val="none"/>
        </w:rPr>
        <w:t>供应商根据招标文件载明的标的采购项目实际情况，拟在中标后将中标项目的非主体、非关键性工作交由他人完成的，应当在投标文件中载明。</w:t>
      </w:r>
    </w:p>
    <w:p w14:paraId="65BDD3B5">
      <w:pPr>
        <w:pStyle w:val="346"/>
        <w:keepNext w:val="0"/>
        <w:keepLines w:val="0"/>
        <w:pageBreakBefore w:val="0"/>
        <w:widowControl/>
        <w:tabs>
          <w:tab w:val="left" w:pos="1666"/>
        </w:tabs>
        <w:kinsoku/>
        <w:wordWrap/>
        <w:overflowPunct/>
        <w:topLinePunct w:val="0"/>
        <w:autoSpaceDE/>
        <w:autoSpaceDN/>
        <w:bidi w:val="0"/>
        <w:adjustRightInd/>
        <w:snapToGrid/>
        <w:spacing w:after="0" w:line="360" w:lineRule="auto"/>
        <w:ind w:left="0" w:leftChars="0" w:right="0" w:rightChars="0" w:firstLine="476" w:firstLineChars="200"/>
        <w:jc w:val="both"/>
        <w:textAlignment w:val="auto"/>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rPr>
        <w:t>9.3</w:t>
      </w:r>
      <w:r>
        <w:rPr>
          <w:rFonts w:hint="eastAsia" w:ascii="宋体" w:hAnsi="宋体" w:eastAsia="宋体" w:cs="宋体"/>
          <w:color w:val="auto"/>
          <w:spacing w:val="-1"/>
          <w:sz w:val="24"/>
          <w:szCs w:val="24"/>
          <w:highlight w:val="none"/>
        </w:rPr>
        <w:t>投标文件由商务部分、技术部分、价格部分，以及其他部分组成。</w:t>
      </w:r>
    </w:p>
    <w:p w14:paraId="58F0D68E">
      <w:pPr>
        <w:pStyle w:val="346"/>
        <w:keepNext w:val="0"/>
        <w:keepLines w:val="0"/>
        <w:pageBreakBefore w:val="0"/>
        <w:widowControl/>
        <w:tabs>
          <w:tab w:val="left" w:pos="0"/>
        </w:tabs>
        <w:kinsoku/>
        <w:wordWrap/>
        <w:overflowPunct/>
        <w:topLinePunct w:val="0"/>
        <w:autoSpaceDE/>
        <w:autoSpaceDN/>
        <w:bidi w:val="0"/>
        <w:adjustRightInd/>
        <w:snapToGrid/>
        <w:spacing w:after="0" w:line="360" w:lineRule="auto"/>
        <w:ind w:left="0" w:leftChars="0" w:right="203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10、投标文件的商务部分</w:t>
      </w:r>
    </w:p>
    <w:p w14:paraId="7883C5BA">
      <w:pPr>
        <w:pStyle w:val="13"/>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10.1商务部分是证明供应商有资格参加投标和中标后有能力履行合同的文件，这些文件应能满足招标的要求，包括但不限于下列文件，</w:t>
      </w:r>
      <w:r>
        <w:rPr>
          <w:rFonts w:hint="eastAsia" w:ascii="宋体" w:hAnsi="宋体" w:eastAsia="宋体" w:cs="宋体"/>
          <w:b/>
          <w:color w:val="auto"/>
          <w:sz w:val="24"/>
          <w:szCs w:val="24"/>
          <w:highlight w:val="none"/>
        </w:rPr>
        <w:t>其中加*项目不得有缺失或无效</w:t>
      </w:r>
      <w:r>
        <w:rPr>
          <w:rFonts w:hint="eastAsia" w:ascii="宋体" w:hAnsi="宋体" w:eastAsia="宋体" w:cs="宋体"/>
          <w:color w:val="auto"/>
          <w:sz w:val="24"/>
          <w:szCs w:val="24"/>
          <w:highlight w:val="none"/>
        </w:rPr>
        <w:t>。</w:t>
      </w:r>
    </w:p>
    <w:p w14:paraId="7279416C">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rPr>
        <w:t>1）</w:t>
      </w:r>
      <w:r>
        <w:rPr>
          <w:rFonts w:hint="eastAsia" w:ascii="宋体" w:hAnsi="宋体" w:eastAsia="宋体" w:cs="宋体"/>
          <w:bCs/>
          <w:color w:val="auto"/>
          <w:sz w:val="24"/>
          <w:szCs w:val="24"/>
          <w:highlight w:val="none"/>
        </w:rPr>
        <w:t>*投标函（投标申请及声明）；</w:t>
      </w:r>
    </w:p>
    <w:p w14:paraId="1A1871B1">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*法定代表人授权委托书原件及委托代理人的身份证复印件；</w:t>
      </w:r>
    </w:p>
    <w:p w14:paraId="56BDDF5E">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*开标一览表；</w:t>
      </w:r>
    </w:p>
    <w:p w14:paraId="1C779585">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default"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4</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 xml:space="preserve">第一章投标邀请中 </w:t>
      </w:r>
      <w:r>
        <w:rPr>
          <w:rFonts w:hint="eastAsia" w:ascii="宋体" w:hAnsi="宋体" w:cs="宋体"/>
          <w:bCs/>
          <w:color w:val="auto"/>
          <w:sz w:val="24"/>
          <w:szCs w:val="24"/>
          <w:highlight w:val="none"/>
          <w:lang w:val="en-US" w:eastAsia="zh-CN"/>
        </w:rPr>
        <w:t>3.1满足《中华人民共和国政府采购法》第二十二条规定要求的证明材料；</w:t>
      </w:r>
    </w:p>
    <w:p w14:paraId="15DF79F7">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 xml:space="preserve">*第一章投标邀请中 </w:t>
      </w:r>
      <w:r>
        <w:rPr>
          <w:rFonts w:hint="eastAsia" w:ascii="宋体" w:hAnsi="宋体" w:cs="宋体"/>
          <w:bCs/>
          <w:color w:val="auto"/>
          <w:sz w:val="24"/>
          <w:szCs w:val="24"/>
          <w:highlight w:val="none"/>
          <w:lang w:val="en-US" w:eastAsia="zh-CN"/>
        </w:rPr>
        <w:t>3.2</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本项目的特定资格要求的证明材料</w:t>
      </w:r>
      <w:r>
        <w:rPr>
          <w:rFonts w:hint="eastAsia" w:ascii="宋体" w:hAnsi="宋体" w:eastAsia="宋体" w:cs="宋体"/>
          <w:bCs/>
          <w:color w:val="auto"/>
          <w:sz w:val="24"/>
          <w:szCs w:val="24"/>
          <w:highlight w:val="none"/>
        </w:rPr>
        <w:t>；</w:t>
      </w:r>
    </w:p>
    <w:p w14:paraId="60EB958C">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lang w:val="en-US"/>
        </w:rPr>
        <w:t>*</w:t>
      </w:r>
      <w:r>
        <w:rPr>
          <w:rFonts w:hint="eastAsia" w:ascii="宋体" w:hAnsi="宋体" w:eastAsia="宋体" w:cs="宋体"/>
          <w:bCs/>
          <w:color w:val="auto"/>
          <w:sz w:val="24"/>
          <w:szCs w:val="24"/>
          <w:highlight w:val="none"/>
        </w:rPr>
        <w:t>《商务条款响应表》</w:t>
      </w:r>
      <w:r>
        <w:rPr>
          <w:rFonts w:hint="eastAsia" w:ascii="宋体" w:hAnsi="宋体" w:cs="宋体"/>
          <w:bCs/>
          <w:color w:val="auto"/>
          <w:sz w:val="24"/>
          <w:szCs w:val="24"/>
          <w:highlight w:val="none"/>
          <w:lang w:eastAsia="zh-CN"/>
        </w:rPr>
        <w:t>；</w:t>
      </w:r>
    </w:p>
    <w:p w14:paraId="65194F8D">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bCs/>
          <w:color w:val="auto"/>
          <w:sz w:val="24"/>
          <w:szCs w:val="24"/>
          <w:highlight w:val="none"/>
          <w:lang w:val="en-US" w:eastAsia="zh-CN"/>
        </w:rPr>
        <w:t>中小企业声明函；</w:t>
      </w:r>
    </w:p>
    <w:p w14:paraId="0692672B">
      <w:pPr>
        <w:ind w:firstLine="480" w:firstLineChars="200"/>
        <w:rPr>
          <w:rFonts w:hint="default"/>
          <w:color w:val="auto"/>
          <w:highlight w:val="none"/>
          <w:lang w:val="en-US" w:eastAsia="zh-CN"/>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南京市政府采购投标人信用记录表暨信用承诺书；</w:t>
      </w:r>
    </w:p>
    <w:p w14:paraId="4C0C6374">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供应商认为需要提供的其他资格证明文件和商务资料等。</w:t>
      </w:r>
    </w:p>
    <w:p w14:paraId="7A4CE037">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11、投标文件的技术部分</w:t>
      </w:r>
    </w:p>
    <w:p w14:paraId="56500137">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11.1</w:t>
      </w:r>
      <w:r>
        <w:rPr>
          <w:rFonts w:hint="eastAsia" w:ascii="宋体" w:hAnsi="宋体" w:eastAsia="宋体" w:cs="宋体"/>
          <w:color w:val="auto"/>
          <w:sz w:val="24"/>
          <w:szCs w:val="24"/>
          <w:highlight w:val="none"/>
        </w:rPr>
        <w:t>技术部分是证明供应商提供的产品和服务是合格的、并符合招标文件要求的证明文件，以及对投标报价表中的服务的详细说明，这些文件可以是文字资料、图纸和数据等。</w:t>
      </w:r>
    </w:p>
    <w:p w14:paraId="5F646B87">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11.2</w:t>
      </w:r>
      <w:r>
        <w:rPr>
          <w:rFonts w:hint="eastAsia" w:ascii="宋体" w:hAnsi="宋体" w:eastAsia="宋体" w:cs="宋体"/>
          <w:color w:val="auto"/>
          <w:sz w:val="24"/>
          <w:szCs w:val="24"/>
          <w:highlight w:val="none"/>
        </w:rPr>
        <w:t>若技术性能无特殊说明，则按国家有关部门最新颁布的标准及规范为准；</w:t>
      </w:r>
    </w:p>
    <w:p w14:paraId="4576AB99">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11.3</w:t>
      </w:r>
      <w:r>
        <w:rPr>
          <w:rFonts w:hint="eastAsia" w:ascii="宋体" w:hAnsi="宋体" w:eastAsia="宋体" w:cs="宋体"/>
          <w:color w:val="auto"/>
          <w:sz w:val="24"/>
          <w:szCs w:val="24"/>
          <w:highlight w:val="none"/>
        </w:rPr>
        <w:t>投标文件应按照招标文件要求提供技术资料、文件和有关证明，包括但不限于其中加*项目不得有缺失或无效：</w:t>
      </w:r>
    </w:p>
    <w:p w14:paraId="0EC85E07">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9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pacing w:val="3"/>
          <w:sz w:val="24"/>
          <w:szCs w:val="24"/>
          <w:highlight w:val="none"/>
        </w:rPr>
        <w:t>（</w:t>
      </w:r>
      <w:r>
        <w:rPr>
          <w:rFonts w:hint="eastAsia" w:ascii="宋体" w:hAnsi="宋体" w:eastAsia="宋体" w:cs="宋体"/>
          <w:bCs/>
          <w:color w:val="auto"/>
          <w:spacing w:val="3"/>
          <w:sz w:val="24"/>
          <w:szCs w:val="24"/>
          <w:highlight w:val="none"/>
          <w:lang w:val="en-US"/>
        </w:rPr>
        <w:t>1）</w:t>
      </w:r>
      <w:r>
        <w:rPr>
          <w:rFonts w:hint="eastAsia" w:ascii="宋体" w:hAnsi="宋体" w:eastAsia="宋体" w:cs="宋体"/>
          <w:bCs/>
          <w:color w:val="auto"/>
          <w:spacing w:val="3"/>
          <w:sz w:val="24"/>
          <w:szCs w:val="24"/>
          <w:highlight w:val="none"/>
          <w:lang w:val="zh-CN"/>
        </w:rPr>
        <w:t>项目组成员一览表</w:t>
      </w:r>
      <w:r>
        <w:rPr>
          <w:rFonts w:hint="eastAsia" w:ascii="宋体" w:hAnsi="宋体" w:eastAsia="宋体" w:cs="宋体"/>
          <w:bCs/>
          <w:color w:val="auto"/>
          <w:sz w:val="24"/>
          <w:szCs w:val="24"/>
          <w:highlight w:val="none"/>
        </w:rPr>
        <w:t>；</w:t>
      </w:r>
    </w:p>
    <w:p w14:paraId="7ABF3BE6">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*质量保证及服务承诺；</w:t>
      </w:r>
    </w:p>
    <w:p w14:paraId="49D0642F">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3</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*项目</w:t>
      </w:r>
      <w:r>
        <w:rPr>
          <w:rFonts w:hint="eastAsia" w:ascii="宋体" w:hAnsi="宋体" w:eastAsia="宋体" w:cs="宋体"/>
          <w:bCs/>
          <w:color w:val="auto"/>
          <w:sz w:val="24"/>
          <w:szCs w:val="24"/>
          <w:highlight w:val="none"/>
          <w:lang w:val="en-US"/>
        </w:rPr>
        <w:t>实施方案</w:t>
      </w:r>
      <w:r>
        <w:rPr>
          <w:rFonts w:hint="eastAsia" w:ascii="宋体" w:hAnsi="宋体" w:eastAsia="宋体" w:cs="宋体"/>
          <w:bCs/>
          <w:color w:val="auto"/>
          <w:sz w:val="24"/>
          <w:szCs w:val="24"/>
          <w:highlight w:val="none"/>
        </w:rPr>
        <w:t>；</w:t>
      </w:r>
    </w:p>
    <w:p w14:paraId="4DA2F37A">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4</w:t>
      </w:r>
      <w:r>
        <w:rPr>
          <w:rFonts w:hint="eastAsia" w:ascii="宋体" w:hAnsi="宋体" w:eastAsia="宋体" w:cs="宋体"/>
          <w:color w:val="auto"/>
          <w:sz w:val="24"/>
          <w:szCs w:val="24"/>
          <w:highlight w:val="none"/>
        </w:rPr>
        <w:t>）*《技术条款偏离表》</w:t>
      </w:r>
      <w:r>
        <w:rPr>
          <w:rFonts w:hint="eastAsia" w:ascii="宋体" w:hAnsi="宋体" w:cs="宋体"/>
          <w:color w:val="auto"/>
          <w:sz w:val="24"/>
          <w:szCs w:val="24"/>
          <w:highlight w:val="none"/>
          <w:lang w:eastAsia="zh-CN"/>
        </w:rPr>
        <w:t>；</w:t>
      </w:r>
    </w:p>
    <w:p w14:paraId="6DB482ED">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rPr>
        <w:t>5</w:t>
      </w:r>
      <w:r>
        <w:rPr>
          <w:rFonts w:hint="eastAsia" w:ascii="宋体" w:hAnsi="宋体" w:eastAsia="宋体" w:cs="宋体"/>
          <w:bCs/>
          <w:color w:val="auto"/>
          <w:sz w:val="24"/>
          <w:szCs w:val="24"/>
          <w:highlight w:val="none"/>
        </w:rPr>
        <w:t>）投标人认为需要提供的其他证明文件。</w:t>
      </w:r>
    </w:p>
    <w:p w14:paraId="531D73D2">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423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12、投标文件的价格部分</w:t>
      </w:r>
    </w:p>
    <w:p w14:paraId="632DD640">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12.1</w:t>
      </w:r>
      <w:r>
        <w:rPr>
          <w:rFonts w:hint="eastAsia" w:ascii="宋体" w:hAnsi="宋体" w:eastAsia="宋体" w:cs="宋体"/>
          <w:color w:val="auto"/>
          <w:sz w:val="24"/>
          <w:szCs w:val="24"/>
          <w:highlight w:val="none"/>
        </w:rPr>
        <w:t>价格部分是对投标货物及服务价格构成的说明，每一项服务仅接受一个价格。</w:t>
      </w:r>
    </w:p>
    <w:p w14:paraId="77EF1A4B">
      <w:pPr>
        <w:pStyle w:val="346"/>
        <w:keepNext w:val="0"/>
        <w:keepLines w:val="0"/>
        <w:pageBreakBefore w:val="0"/>
        <w:widowControl/>
        <w:tabs>
          <w:tab w:val="left" w:pos="1776"/>
        </w:tabs>
        <w:kinsoku/>
        <w:wordWrap/>
        <w:overflowPunct/>
        <w:topLinePunct w:val="0"/>
        <w:autoSpaceDE/>
        <w:autoSpaceDN/>
        <w:bidi w:val="0"/>
        <w:adjustRightInd/>
        <w:snapToGrid/>
        <w:spacing w:after="0"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12.2</w:t>
      </w:r>
      <w:r>
        <w:rPr>
          <w:rFonts w:hint="eastAsia" w:ascii="宋体" w:hAnsi="宋体" w:eastAsia="宋体" w:cs="宋体"/>
          <w:b/>
          <w:color w:val="auto"/>
          <w:sz w:val="24"/>
          <w:szCs w:val="24"/>
          <w:highlight w:val="none"/>
        </w:rPr>
        <w:t>政府采购提倡公平竞争，反对低于成本、串通报价、哄抬价格等恶意竞争行为，任何盲目压价、低于成本报价、串通哄抬报价等价格将会被拒绝。报价应低于市场平均价。</w:t>
      </w:r>
    </w:p>
    <w:p w14:paraId="3128912A">
      <w:pPr>
        <w:pStyle w:val="346"/>
        <w:keepNext w:val="0"/>
        <w:keepLines w:val="0"/>
        <w:pageBreakBefore w:val="0"/>
        <w:widowControl/>
        <w:tabs>
          <w:tab w:val="left" w:pos="1776"/>
        </w:tabs>
        <w:kinsoku/>
        <w:wordWrap/>
        <w:overflowPunct/>
        <w:topLinePunct w:val="0"/>
        <w:autoSpaceDE/>
        <w:autoSpaceDN/>
        <w:bidi w:val="0"/>
        <w:adjustRightInd/>
        <w:snapToGrid/>
        <w:spacing w:after="0" w:line="360" w:lineRule="auto"/>
        <w:ind w:left="0" w:leftChars="0" w:right="0" w:rightChars="0" w:firstLine="482" w:firstLineChars="200"/>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12.3投标报价：包括但不限于完成文件所确定的服务范围所需的全部费用，及其相应税费、政策性文件规定及实施过程中所有风险、责任等各项应有费用， 不论其在采购文件中是否有提及。投标供应商应根据上述因素自行考虑含入投标报价。</w:t>
      </w:r>
    </w:p>
    <w:p w14:paraId="2B276F9A">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 本项目执行财库〔2026〕2号《关于推动解决政府采购异常低价问题相关工作的通知》的相关规定。</w:t>
      </w:r>
    </w:p>
    <w:p w14:paraId="3FA2A2FE">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12.4.1评审中出现下列情形之一的，评审委员会应当启动异常低价投标（响应）审查程序： </w:t>
      </w:r>
    </w:p>
    <w:p w14:paraId="4BD8A955">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 </w:t>
      </w:r>
    </w:p>
    <w:p w14:paraId="4312692A">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 </w:t>
      </w:r>
    </w:p>
    <w:p w14:paraId="49C0EF1D">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 </w:t>
      </w:r>
    </w:p>
    <w:p w14:paraId="764E9682">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 </w:t>
      </w:r>
    </w:p>
    <w:p w14:paraId="52BEBE4A">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相关法律法规对供应商报价有规定的，从其规定。 </w:t>
      </w:r>
    </w:p>
    <w:p w14:paraId="45FC7BB8">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p>
    <w:p w14:paraId="7718D7F7">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7F8663D">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12.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供应商的任何错漏、优惠、竞争性报价不得作为减轻责任、减少服务、增加收费、降低质量的理由。在验收过程中，如发现有漏项、缺件，投标方应无条件、无偿补齐，所发生的一切费用，视为已包含在投标方的最终投标报价中。</w:t>
      </w:r>
    </w:p>
    <w:p w14:paraId="2E24D9D0">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12.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供应商应在《开标一览表》、《投标分项报价》等标明提供货物及服务的</w:t>
      </w:r>
      <w:r>
        <w:rPr>
          <w:rFonts w:hint="eastAsia" w:ascii="宋体" w:hAnsi="宋体" w:eastAsia="宋体" w:cs="宋体"/>
          <w:b/>
          <w:color w:val="auto"/>
          <w:sz w:val="24"/>
          <w:szCs w:val="24"/>
          <w:highlight w:val="none"/>
        </w:rPr>
        <w:t>单价、总价以及分项</w:t>
      </w:r>
      <w:r>
        <w:rPr>
          <w:rFonts w:hint="eastAsia" w:ascii="宋体" w:hAnsi="宋体" w:eastAsia="宋体" w:cs="宋体"/>
          <w:color w:val="auto"/>
          <w:spacing w:val="-2"/>
          <w:sz w:val="24"/>
          <w:szCs w:val="24"/>
          <w:highlight w:val="none"/>
        </w:rPr>
        <w:t>报价。供应商系</w:t>
      </w:r>
      <w:r>
        <w:rPr>
          <w:rFonts w:hint="eastAsia" w:ascii="宋体" w:hAnsi="宋体" w:eastAsia="宋体" w:cs="宋体"/>
          <w:b/>
          <w:color w:val="auto"/>
          <w:spacing w:val="-1"/>
          <w:sz w:val="24"/>
          <w:szCs w:val="24"/>
          <w:highlight w:val="none"/>
        </w:rPr>
        <w:t>小企业</w:t>
      </w:r>
      <w:r>
        <w:rPr>
          <w:rFonts w:hint="eastAsia" w:ascii="宋体" w:hAnsi="宋体" w:eastAsia="宋体" w:cs="宋体"/>
          <w:b/>
          <w:color w:val="auto"/>
          <w:sz w:val="24"/>
          <w:szCs w:val="24"/>
          <w:highlight w:val="none"/>
        </w:rPr>
        <w:t>（</w:t>
      </w:r>
      <w:r>
        <w:rPr>
          <w:rFonts w:hint="eastAsia" w:ascii="宋体" w:hAnsi="宋体" w:eastAsia="宋体" w:cs="宋体"/>
          <w:b/>
          <w:color w:val="auto"/>
          <w:spacing w:val="-3"/>
          <w:sz w:val="24"/>
          <w:szCs w:val="24"/>
          <w:highlight w:val="none"/>
        </w:rPr>
        <w:t>含小型、微型企业、监狱企业</w:t>
      </w:r>
      <w:r>
        <w:rPr>
          <w:rFonts w:hint="eastAsia" w:ascii="宋体" w:hAnsi="宋体" w:eastAsia="宋体" w:cs="宋体"/>
          <w:b/>
          <w:color w:val="auto"/>
          <w:spacing w:val="-5"/>
          <w:sz w:val="24"/>
          <w:szCs w:val="24"/>
          <w:highlight w:val="none"/>
        </w:rPr>
        <w:t>），</w:t>
      </w:r>
      <w:r>
        <w:rPr>
          <w:rFonts w:hint="eastAsia" w:ascii="宋体" w:hAnsi="宋体" w:eastAsia="宋体" w:cs="宋体"/>
          <w:color w:val="auto"/>
          <w:spacing w:val="-5"/>
          <w:sz w:val="24"/>
          <w:szCs w:val="24"/>
          <w:highlight w:val="none"/>
        </w:rPr>
        <w:t>须在《开标一览表》、《投标分项报价》中注明。</w:t>
      </w:r>
    </w:p>
    <w:p w14:paraId="207ECB67">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60" w:firstLineChars="200"/>
        <w:textAlignment w:val="auto"/>
        <w:rPr>
          <w:rFonts w:hint="eastAsia" w:ascii="宋体" w:hAnsi="宋体" w:eastAsia="宋体" w:cs="宋体"/>
          <w:color w:val="auto"/>
          <w:spacing w:val="-3"/>
          <w:sz w:val="24"/>
          <w:szCs w:val="24"/>
          <w:highlight w:val="none"/>
        </w:rPr>
      </w:pPr>
      <w:r>
        <w:rPr>
          <w:rFonts w:hint="eastAsia" w:ascii="宋体" w:hAnsi="宋体" w:eastAsia="宋体" w:cs="宋体"/>
          <w:color w:val="auto"/>
          <w:spacing w:val="-5"/>
          <w:sz w:val="24"/>
          <w:szCs w:val="24"/>
          <w:highlight w:val="none"/>
          <w:lang w:val="en-US"/>
        </w:rPr>
        <w:t>12.</w:t>
      </w:r>
      <w:r>
        <w:rPr>
          <w:rFonts w:hint="eastAsia" w:ascii="宋体" w:hAnsi="宋体" w:cs="宋体"/>
          <w:color w:val="auto"/>
          <w:spacing w:val="-5"/>
          <w:sz w:val="24"/>
          <w:szCs w:val="24"/>
          <w:highlight w:val="none"/>
          <w:lang w:val="en-US" w:eastAsia="zh-CN"/>
        </w:rPr>
        <w:t>7</w:t>
      </w:r>
      <w:r>
        <w:rPr>
          <w:rFonts w:hint="eastAsia" w:ascii="宋体" w:hAnsi="宋体" w:eastAsia="宋体" w:cs="宋体"/>
          <w:color w:val="auto"/>
          <w:spacing w:val="-5"/>
          <w:sz w:val="24"/>
          <w:szCs w:val="24"/>
          <w:highlight w:val="none"/>
        </w:rPr>
        <w:t>投标供</w:t>
      </w:r>
      <w:r>
        <w:rPr>
          <w:rFonts w:hint="eastAsia" w:ascii="宋体" w:hAnsi="宋体" w:eastAsia="宋体" w:cs="宋体"/>
          <w:color w:val="auto"/>
          <w:spacing w:val="-3"/>
          <w:sz w:val="24"/>
          <w:szCs w:val="24"/>
          <w:highlight w:val="none"/>
        </w:rPr>
        <w:t>应商应充分考虑到市场价格变动，以及项目实施过程中的不可预见因素，一旦成交，如果有漏项，视同让利。</w:t>
      </w:r>
    </w:p>
    <w:p w14:paraId="72BCC828">
      <w:pPr>
        <w:pStyle w:val="346"/>
        <w:keepNext w:val="0"/>
        <w:keepLines w:val="0"/>
        <w:pageBreakBefore w:val="0"/>
        <w:widowControl/>
        <w:tabs>
          <w:tab w:val="left" w:pos="1824"/>
        </w:tabs>
        <w:kinsoku/>
        <w:wordWrap/>
        <w:overflowPunct/>
        <w:topLinePunct w:val="0"/>
        <w:autoSpaceDE/>
        <w:autoSpaceDN/>
        <w:bidi w:val="0"/>
        <w:adjustRightInd/>
        <w:snapToGrid/>
        <w:spacing w:after="0" w:line="360" w:lineRule="auto"/>
        <w:ind w:left="0" w:leftChars="0" w:right="0" w:rightChars="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13、投标文件的其他部分</w:t>
      </w:r>
    </w:p>
    <w:p w14:paraId="1E9DC578">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其他部分由供应商根据编制投标文件需要提供的其他相关文件。</w:t>
      </w:r>
    </w:p>
    <w:p w14:paraId="53CDC388">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rPr>
        <w:t>4</w:t>
      </w:r>
      <w:r>
        <w:rPr>
          <w:rFonts w:hint="eastAsia" w:ascii="宋体" w:hAnsi="宋体" w:eastAsia="宋体" w:cs="宋体"/>
          <w:b/>
          <w:color w:val="auto"/>
          <w:sz w:val="24"/>
          <w:szCs w:val="24"/>
          <w:highlight w:val="none"/>
        </w:rPr>
        <w:t>、投标有效期</w:t>
      </w:r>
    </w:p>
    <w:p w14:paraId="073EA7B4">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14.1 </w:t>
      </w:r>
      <w:r>
        <w:rPr>
          <w:rFonts w:hint="eastAsia" w:ascii="宋体" w:hAnsi="宋体" w:eastAsia="宋体" w:cs="宋体"/>
          <w:color w:val="auto"/>
          <w:sz w:val="24"/>
          <w:szCs w:val="24"/>
          <w:highlight w:val="none"/>
        </w:rPr>
        <w:t>自开标之日起90天内投标有效。</w:t>
      </w:r>
    </w:p>
    <w:p w14:paraId="0B7979CB">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14.2 </w:t>
      </w:r>
      <w:r>
        <w:rPr>
          <w:rFonts w:hint="eastAsia" w:ascii="宋体" w:hAnsi="宋体" w:eastAsia="宋体" w:cs="宋体"/>
          <w:color w:val="auto"/>
          <w:sz w:val="24"/>
          <w:szCs w:val="24"/>
          <w:highlight w:val="none"/>
        </w:rPr>
        <w:t>在特殊情况下，在原投标有效期截止之前，代理机构可要求供应商同意延长投标有效期， 这种要求与答复均以书面形式提交。</w:t>
      </w:r>
    </w:p>
    <w:p w14:paraId="1173A30B">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rPr>
        <w:t>5</w:t>
      </w:r>
      <w:r>
        <w:rPr>
          <w:rFonts w:hint="eastAsia" w:ascii="宋体" w:hAnsi="宋体" w:eastAsia="宋体" w:cs="宋体"/>
          <w:b/>
          <w:color w:val="auto"/>
          <w:sz w:val="24"/>
          <w:szCs w:val="24"/>
          <w:highlight w:val="none"/>
        </w:rPr>
        <w:t>、投标文件签署</w:t>
      </w:r>
    </w:p>
    <w:p w14:paraId="268A9EDB">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.1 投标文件的正本和副本均由供应商法定代表人或经正式授权并对供应商有约束力的委托代理人签字。</w:t>
      </w:r>
    </w:p>
    <w:p w14:paraId="02087CAD">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16、投标文件的递交</w:t>
      </w:r>
    </w:p>
    <w:p w14:paraId="4EFA4BEC">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16.1</w:t>
      </w:r>
      <w:r>
        <w:rPr>
          <w:rFonts w:hint="default" w:ascii="宋体" w:hAnsi="宋体" w:cs="宋体"/>
          <w:color w:val="auto"/>
          <w:sz w:val="24"/>
          <w:szCs w:val="24"/>
          <w:highlight w:val="none"/>
          <w:lang w:val="en-US" w:eastAsia="zh-CN"/>
        </w:rPr>
        <w:t>投标文件应于规定时间内在“苏采云”政府采购交易系统网上开标大厅递交。</w:t>
      </w:r>
    </w:p>
    <w:p w14:paraId="6567279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2" w:firstLineChars="20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17、诚实信用：</w:t>
      </w:r>
    </w:p>
    <w:p w14:paraId="7B58DCDE">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17.1 供应商之间不得相互串通报价，不得妨碍其他供应商的公平竞争，不得损害采购人或者其他供应商的合法权益。</w:t>
      </w:r>
    </w:p>
    <w:p w14:paraId="6307AF1C">
      <w:pPr>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17.2 供应商不得以向代理机构工作人员、评审小组成员行贿或者采取其他不正当手段谋取成交。</w:t>
      </w:r>
    </w:p>
    <w:p w14:paraId="0A63B929">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18</w:t>
      </w:r>
      <w:r>
        <w:rPr>
          <w:rFonts w:hint="eastAsia" w:ascii="宋体" w:hAnsi="宋体" w:eastAsia="宋体" w:cs="宋体"/>
          <w:b/>
          <w:color w:val="auto"/>
          <w:sz w:val="24"/>
          <w:szCs w:val="24"/>
          <w:highlight w:val="none"/>
        </w:rPr>
        <w:t>、投标文件的</w:t>
      </w:r>
      <w:r>
        <w:rPr>
          <w:rFonts w:hint="eastAsia" w:ascii="宋体" w:hAnsi="宋体" w:eastAsia="宋体" w:cs="宋体"/>
          <w:b/>
          <w:color w:val="auto"/>
          <w:sz w:val="24"/>
          <w:szCs w:val="24"/>
          <w:highlight w:val="none"/>
          <w:lang w:val="en-US"/>
        </w:rPr>
        <w:t>修改</w:t>
      </w:r>
      <w:r>
        <w:rPr>
          <w:rFonts w:hint="eastAsia" w:ascii="宋体" w:hAnsi="宋体" w:eastAsia="宋体" w:cs="宋体"/>
          <w:b/>
          <w:color w:val="auto"/>
          <w:sz w:val="24"/>
          <w:szCs w:val="24"/>
          <w:highlight w:val="none"/>
        </w:rPr>
        <w:t>和</w:t>
      </w:r>
      <w:r>
        <w:rPr>
          <w:rFonts w:hint="eastAsia" w:ascii="宋体" w:hAnsi="宋体" w:eastAsia="宋体" w:cs="宋体"/>
          <w:b/>
          <w:color w:val="auto"/>
          <w:sz w:val="24"/>
          <w:szCs w:val="24"/>
          <w:highlight w:val="none"/>
          <w:lang w:val="en-US"/>
        </w:rPr>
        <w:t>撤回</w:t>
      </w:r>
    </w:p>
    <w:p w14:paraId="4B3C4D9E">
      <w:pPr>
        <w:keepNext w:val="0"/>
        <w:keepLines w:val="0"/>
        <w:pageBreakBefore w:val="0"/>
        <w:widowControl/>
        <w:kinsoku/>
        <w:wordWrap/>
        <w:overflowPunct/>
        <w:topLinePunct w:val="0"/>
        <w:autoSpaceDE/>
        <w:autoSpaceDN/>
        <w:bidi w:val="0"/>
        <w:adjustRightInd/>
        <w:snapToGrid/>
        <w:spacing w:after="0" w:line="360" w:lineRule="auto"/>
        <w:ind w:right="4670" w:firstLine="480" w:firstLineChars="200"/>
        <w:textAlignment w:val="auto"/>
        <w:rPr>
          <w:rFonts w:hint="eastAsia" w:ascii="宋体" w:hAnsi="宋体" w:eastAsia="宋体" w:cs="宋体"/>
          <w:b w:val="0"/>
          <w:bCs/>
          <w:color w:val="auto"/>
          <w:sz w:val="24"/>
          <w:szCs w:val="24"/>
          <w:highlight w:val="none"/>
          <w:lang w:val="en-US"/>
        </w:rPr>
      </w:pPr>
      <w:r>
        <w:rPr>
          <w:rFonts w:hint="eastAsia" w:ascii="宋体" w:hAnsi="宋体" w:cs="宋体"/>
          <w:b w:val="0"/>
          <w:bCs/>
          <w:color w:val="auto"/>
          <w:sz w:val="24"/>
          <w:szCs w:val="24"/>
          <w:highlight w:val="none"/>
          <w:lang w:val="en-US" w:eastAsia="zh-CN"/>
        </w:rPr>
        <w:t>18.1</w:t>
      </w:r>
      <w:r>
        <w:rPr>
          <w:rFonts w:hint="eastAsia" w:ascii="宋体" w:hAnsi="宋体" w:eastAsia="宋体" w:cs="宋体"/>
          <w:b w:val="0"/>
          <w:bCs/>
          <w:color w:val="auto"/>
          <w:sz w:val="24"/>
          <w:szCs w:val="24"/>
          <w:highlight w:val="none"/>
          <w:lang w:val="en-US"/>
        </w:rPr>
        <w:t xml:space="preserve"> 电子响应文件的撤回</w:t>
      </w:r>
    </w:p>
    <w:p w14:paraId="1C0DCBBD">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18.1.1</w:t>
      </w:r>
      <w:r>
        <w:rPr>
          <w:rFonts w:hint="eastAsia" w:ascii="宋体" w:hAnsi="宋体" w:eastAsia="宋体" w:cs="宋体"/>
          <w:color w:val="auto"/>
          <w:sz w:val="24"/>
          <w:szCs w:val="24"/>
          <w:highlight w:val="none"/>
          <w:lang w:val="en-US"/>
        </w:rPr>
        <w:t>供应商可在提交响应文件截止时间前，撤回其电子响应文件，具体操作方法见《操作手册》。</w:t>
      </w:r>
    </w:p>
    <w:p w14:paraId="3EF27E98">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lang w:val="en-US"/>
        </w:rPr>
        <w:t>.</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rPr>
        <w:t xml:space="preserve"> 供应商撤回电子响应文件，则认为其不再参与本项目</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val="en-US"/>
        </w:rPr>
        <w:t>活动。</w:t>
      </w:r>
    </w:p>
    <w:p w14:paraId="72A3AB73">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lang w:val="en-US"/>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响应文件的修改</w:t>
      </w:r>
    </w:p>
    <w:p w14:paraId="6FD28B01">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.1 供应商可在提交响应文件截止时间前，对其电子响应文件进行修改，具体操作方法见《操作手册》。</w:t>
      </w:r>
    </w:p>
    <w:p w14:paraId="2F223710">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.2 在提交响应文件截止时间之后，供应商不得对其电子响应文件作任何修改。</w:t>
      </w:r>
    </w:p>
    <w:p w14:paraId="637CE5DB">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rPr>
        <w:t>.3 在提交响应文件截止时间至磋商文件中规定的有效期满之间的这段时间内，供应商不得撤回其响应文件。</w:t>
      </w:r>
    </w:p>
    <w:p w14:paraId="79BAB978">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rPr>
        <w:t>、响应文件解密</w:t>
      </w:r>
    </w:p>
    <w:p w14:paraId="48C80797">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rPr>
        <w:t>.1 供应商应当按照《操作手册》规定，在苏采云系统规定的时间内对响应文件进行解密。</w:t>
      </w:r>
    </w:p>
    <w:p w14:paraId="55E29EB0">
      <w:pPr>
        <w:keepNext w:val="0"/>
        <w:keepLines w:val="0"/>
        <w:pageBreakBefore w:val="0"/>
        <w:widowControl/>
        <w:kinsoku/>
        <w:wordWrap/>
        <w:overflowPunct/>
        <w:topLinePunct w:val="0"/>
        <w:autoSpaceDE/>
        <w:autoSpaceDN/>
        <w:bidi w:val="0"/>
        <w:adjustRightInd/>
        <w:snapToGrid/>
        <w:spacing w:after="0" w:line="360" w:lineRule="auto"/>
        <w:ind w:left="19" w:right="467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四、开标、评标与确定中标供应商</w:t>
      </w:r>
    </w:p>
    <w:p w14:paraId="3CB0FA2E">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19</w:t>
      </w:r>
      <w:r>
        <w:rPr>
          <w:rFonts w:hint="eastAsia" w:ascii="宋体" w:hAnsi="宋体" w:eastAsia="宋体" w:cs="宋体"/>
          <w:b/>
          <w:color w:val="auto"/>
          <w:sz w:val="24"/>
          <w:szCs w:val="24"/>
          <w:highlight w:val="none"/>
        </w:rPr>
        <w:t>、开标</w:t>
      </w:r>
    </w:p>
    <w:p w14:paraId="301B4E23">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19.1代理机构在招标公告中规定的时间和地点组织公开开标。投标人按照《操作手册》规定参加开标活动，并在“苏采云”系统规定的时间内对投标文件进行解密。“苏采云”系统公布各投标人名称和投标价格。</w:t>
      </w:r>
    </w:p>
    <w:p w14:paraId="69ED5290">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19.2投标人在开标过程中涉及到的投标文件解密、开标结果确认等工作，应按照《操作手册》规定执行。</w:t>
      </w:r>
    </w:p>
    <w:p w14:paraId="66602981">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19.3投标人不足3家的，不得开标。</w:t>
      </w:r>
    </w:p>
    <w:p w14:paraId="75428261">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19.4投标人如果对开标过程和开标结果有疑义，应当根据《操作手册》规定提出，“苏采云”系统中《开标记录表》公布后5分钟内未提出的，视同认可开标结果。</w:t>
      </w:r>
    </w:p>
    <w:p w14:paraId="0D606C0E">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19.5公开招标数额标准以上的采购项目，投标截止后投标人不足3家或者通过资格审查或符合性审查的投标人不足3家的，除采购任务取消情形外，按照以下方式处理：</w:t>
      </w:r>
    </w:p>
    <w:p w14:paraId="1F1C86D4">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（1）招标文件存在不合理条款或者招标程序不符合规定的，采购人、采购代理机构改正后依法重新招标；</w:t>
      </w:r>
    </w:p>
    <w:p w14:paraId="0653A3BE">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（2）招标文件没有不合理条款、招标程序符合规定，需要采用其他采购方式采购的，采购人依法报财政部门批准，经批准后，可变更为其他采购方式采购。</w:t>
      </w:r>
    </w:p>
    <w:p w14:paraId="2FA7AA0E">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20</w:t>
      </w:r>
      <w:r>
        <w:rPr>
          <w:rFonts w:hint="eastAsia" w:ascii="宋体" w:hAnsi="宋体" w:eastAsia="宋体" w:cs="宋体"/>
          <w:b/>
          <w:color w:val="auto"/>
          <w:sz w:val="24"/>
          <w:szCs w:val="24"/>
          <w:highlight w:val="none"/>
        </w:rPr>
        <w:t>、评标</w:t>
      </w:r>
    </w:p>
    <w:p w14:paraId="20697396">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2"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20</w:t>
      </w:r>
      <w:r>
        <w:rPr>
          <w:rFonts w:hint="eastAsia" w:ascii="宋体" w:hAnsi="宋体" w:eastAsia="宋体" w:cs="宋体"/>
          <w:b/>
          <w:color w:val="auto"/>
          <w:sz w:val="24"/>
          <w:szCs w:val="24"/>
          <w:highlight w:val="none"/>
          <w:lang w:val="en-US"/>
        </w:rPr>
        <w:t xml:space="preserve">.1 </w:t>
      </w:r>
      <w:r>
        <w:rPr>
          <w:rFonts w:hint="eastAsia" w:ascii="宋体" w:hAnsi="宋体" w:eastAsia="宋体" w:cs="宋体"/>
          <w:b/>
          <w:color w:val="auto"/>
          <w:sz w:val="24"/>
          <w:szCs w:val="24"/>
          <w:highlight w:val="none"/>
        </w:rPr>
        <w:t>评标组织</w:t>
      </w:r>
    </w:p>
    <w:p w14:paraId="034DC060">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20.1.1 评标工作由代理机构负责组织，具体评标事务由依法组建的评标委员会负责，并独立履行下列职责：</w:t>
      </w:r>
    </w:p>
    <w:p w14:paraId="6309E95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（1）审查投标文件是否符合招标文件要求，并作出评价；</w:t>
      </w:r>
    </w:p>
    <w:p w14:paraId="54855BD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（2）要求供应商对投标文件有关事项作出解释或者澄清；</w:t>
      </w:r>
    </w:p>
    <w:p w14:paraId="3426E42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（3）推荐中标候选供应商名单，或者按照招标文件规定直接确定供应商；</w:t>
      </w:r>
    </w:p>
    <w:p w14:paraId="0AE91AD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（4）向财政部门报告非法干预评标工作的行为。</w:t>
      </w:r>
    </w:p>
    <w:p w14:paraId="2D705CCE">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20.1.2 评标委员会由采购人代表和有关技术、经济等方面的专家组成，独立开展评审工作。</w:t>
      </w:r>
    </w:p>
    <w:p w14:paraId="1D9E29A4">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20.2 评标程序</w:t>
      </w:r>
    </w:p>
    <w:p w14:paraId="63D6D68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20.2.1 </w:t>
      </w:r>
      <w:r>
        <w:rPr>
          <w:rFonts w:hint="eastAsia" w:ascii="宋体" w:hAnsi="宋体" w:eastAsia="宋体" w:cs="宋体"/>
          <w:b/>
          <w:bCs w:val="0"/>
          <w:color w:val="auto"/>
          <w:sz w:val="24"/>
          <w:szCs w:val="24"/>
          <w:highlight w:val="none"/>
          <w:lang w:val="en-US" w:eastAsia="zh-CN" w:bidi="ar-SA"/>
        </w:rPr>
        <w:t>投标文件的资格性检查</w:t>
      </w:r>
      <w:r>
        <w:rPr>
          <w:rFonts w:hint="eastAsia" w:ascii="宋体" w:hAnsi="宋体" w:eastAsia="宋体" w:cs="宋体"/>
          <w:b w:val="0"/>
          <w:bCs/>
          <w:color w:val="auto"/>
          <w:sz w:val="24"/>
          <w:szCs w:val="24"/>
          <w:highlight w:val="none"/>
          <w:lang w:val="en-US" w:eastAsia="zh-CN" w:bidi="ar-SA"/>
        </w:rPr>
        <w:t>。公开招标采购项目开标结束后，采购人或者采购代理机构应当依法对投标人的资格进行审查。合格投标人不足3家的，不得评标。</w:t>
      </w:r>
    </w:p>
    <w:p w14:paraId="097C50F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20.2.2 </w:t>
      </w:r>
      <w:r>
        <w:rPr>
          <w:rFonts w:hint="eastAsia" w:ascii="宋体" w:hAnsi="宋体" w:eastAsia="宋体" w:cs="宋体"/>
          <w:b/>
          <w:bCs w:val="0"/>
          <w:color w:val="auto"/>
          <w:sz w:val="24"/>
          <w:szCs w:val="24"/>
          <w:highlight w:val="none"/>
          <w:lang w:val="en-US" w:eastAsia="zh-CN" w:bidi="ar-SA"/>
        </w:rPr>
        <w:t>投标文件的符合性检查</w:t>
      </w:r>
      <w:r>
        <w:rPr>
          <w:rFonts w:hint="eastAsia" w:ascii="宋体" w:hAnsi="宋体" w:eastAsia="宋体" w:cs="宋体"/>
          <w:b w:val="0"/>
          <w:bCs/>
          <w:color w:val="auto"/>
          <w:sz w:val="24"/>
          <w:szCs w:val="24"/>
          <w:highlight w:val="none"/>
          <w:lang w:val="en-US" w:eastAsia="zh-CN" w:bidi="ar-SA"/>
        </w:rPr>
        <w:t>。评标委员会对通过资格性检查的投标人的投标文件进行符合性审查，以确定其是否满足招标文件的实质性要求。</w:t>
      </w:r>
    </w:p>
    <w:p w14:paraId="6DA958C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20.2.2.1 实质性要求是指本招标文件中用带星号（“★或*”）、“必须或须”或“应（应当）”等其他文字说明的商务和技术要求。</w:t>
      </w:r>
    </w:p>
    <w:p w14:paraId="4CA35DF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20.2.2.2 有下列情形之一的予以废标，同时将废标理由通知所有供应商：</w:t>
      </w:r>
    </w:p>
    <w:p w14:paraId="67B4BF60">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1</w:t>
      </w:r>
      <w:r>
        <w:rPr>
          <w:rFonts w:hint="eastAsia" w:ascii="宋体" w:hAnsi="宋体" w:eastAsia="宋体" w:cs="宋体"/>
          <w:b w:val="0"/>
          <w:bCs/>
          <w:color w:val="auto"/>
          <w:sz w:val="24"/>
          <w:szCs w:val="24"/>
          <w:highlight w:val="none"/>
          <w:lang w:val="en-US" w:eastAsia="zh-CN" w:bidi="ar-SA"/>
        </w:rPr>
        <w:t>）出现影响采购公正的违法、违规行为的；</w:t>
      </w:r>
    </w:p>
    <w:p w14:paraId="43842C77">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2</w:t>
      </w:r>
      <w:r>
        <w:rPr>
          <w:rFonts w:hint="eastAsia" w:ascii="宋体" w:hAnsi="宋体" w:eastAsia="宋体" w:cs="宋体"/>
          <w:b w:val="0"/>
          <w:bCs/>
          <w:color w:val="auto"/>
          <w:sz w:val="24"/>
          <w:szCs w:val="24"/>
          <w:highlight w:val="none"/>
          <w:lang w:val="en-US" w:eastAsia="zh-CN" w:bidi="ar-SA"/>
        </w:rPr>
        <w:t>）因重大变故，采购任务取消的。</w:t>
      </w:r>
    </w:p>
    <w:p w14:paraId="1E438C3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3</w:t>
      </w:r>
      <w:r>
        <w:rPr>
          <w:rFonts w:hint="eastAsia" w:ascii="宋体" w:hAnsi="宋体" w:eastAsia="宋体" w:cs="宋体"/>
          <w:b w:val="0"/>
          <w:bCs/>
          <w:color w:val="auto"/>
          <w:sz w:val="24"/>
          <w:szCs w:val="24"/>
          <w:highlight w:val="none"/>
          <w:lang w:val="en-US" w:eastAsia="zh-CN" w:bidi="ar-SA"/>
        </w:rPr>
        <w:t>）不具备招标文件中规定资格条件的；</w:t>
      </w:r>
    </w:p>
    <w:p w14:paraId="5C959F5D">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4</w:t>
      </w:r>
      <w:r>
        <w:rPr>
          <w:rFonts w:hint="eastAsia" w:ascii="宋体" w:hAnsi="宋体" w:eastAsia="宋体" w:cs="宋体"/>
          <w:b w:val="0"/>
          <w:bCs/>
          <w:color w:val="auto"/>
          <w:sz w:val="24"/>
          <w:szCs w:val="24"/>
          <w:highlight w:val="none"/>
          <w:lang w:val="en-US" w:eastAsia="zh-CN" w:bidi="ar-SA"/>
        </w:rPr>
        <w:t>）未实质性响应采购需求的；</w:t>
      </w:r>
    </w:p>
    <w:p w14:paraId="25D0FAB9">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5</w:t>
      </w:r>
      <w:r>
        <w:rPr>
          <w:rFonts w:hint="eastAsia" w:ascii="宋体" w:hAnsi="宋体" w:eastAsia="宋体" w:cs="宋体"/>
          <w:b w:val="0"/>
          <w:bCs/>
          <w:color w:val="auto"/>
          <w:sz w:val="24"/>
          <w:szCs w:val="24"/>
          <w:highlight w:val="none"/>
          <w:lang w:val="en-US" w:eastAsia="zh-CN" w:bidi="ar-SA"/>
        </w:rPr>
        <w:t>）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w:t>
      </w:r>
    </w:p>
    <w:p w14:paraId="16F8C662">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6</w:t>
      </w:r>
      <w:r>
        <w:rPr>
          <w:rFonts w:hint="eastAsia" w:ascii="宋体" w:hAnsi="宋体" w:eastAsia="宋体" w:cs="宋体"/>
          <w:b w:val="0"/>
          <w:bCs/>
          <w:color w:val="auto"/>
          <w:sz w:val="24"/>
          <w:szCs w:val="24"/>
          <w:highlight w:val="none"/>
          <w:lang w:val="en-US" w:eastAsia="zh-CN" w:bidi="ar-SA"/>
        </w:rPr>
        <w:t>）报价超过招标文件中规定的预算金额或者最高限价的；</w:t>
      </w:r>
    </w:p>
    <w:p w14:paraId="7EDE0433">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7</w:t>
      </w:r>
      <w:r>
        <w:rPr>
          <w:rFonts w:hint="eastAsia" w:ascii="宋体" w:hAnsi="宋体" w:eastAsia="宋体" w:cs="宋体"/>
          <w:b w:val="0"/>
          <w:bCs/>
          <w:color w:val="auto"/>
          <w:sz w:val="24"/>
          <w:szCs w:val="24"/>
          <w:highlight w:val="none"/>
          <w:lang w:val="en-US" w:eastAsia="zh-CN" w:bidi="ar-SA"/>
        </w:rPr>
        <w:t>）招标文件中的打“★”或“*”项缺失或者未实质性响应的；</w:t>
      </w:r>
    </w:p>
    <w:p w14:paraId="4F04E2CF">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（8）</w:t>
      </w:r>
      <w:r>
        <w:rPr>
          <w:rFonts w:hint="eastAsia" w:ascii="宋体" w:hAnsi="宋体" w:eastAsia="宋体" w:cs="宋体"/>
          <w:b w:val="0"/>
          <w:bCs/>
          <w:color w:val="auto"/>
          <w:sz w:val="24"/>
          <w:szCs w:val="24"/>
          <w:highlight w:val="none"/>
          <w:lang w:val="en-US" w:eastAsia="zh-CN" w:bidi="ar-SA"/>
        </w:rPr>
        <w:t>未按要求盖章和签字；</w:t>
      </w:r>
    </w:p>
    <w:p w14:paraId="237133CD">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9</w:t>
      </w:r>
      <w:r>
        <w:rPr>
          <w:rFonts w:hint="eastAsia" w:ascii="宋体" w:hAnsi="宋体" w:eastAsia="宋体" w:cs="宋体"/>
          <w:b w:val="0"/>
          <w:bCs/>
          <w:color w:val="auto"/>
          <w:sz w:val="24"/>
          <w:szCs w:val="24"/>
          <w:highlight w:val="none"/>
          <w:lang w:val="en-US" w:eastAsia="zh-CN" w:bidi="ar-SA"/>
        </w:rPr>
        <w:t>） 投标文件含有采购人不能接受的附加条件的;</w:t>
      </w:r>
    </w:p>
    <w:p w14:paraId="2D2C1664">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w:t>
      </w:r>
      <w:r>
        <w:rPr>
          <w:rFonts w:hint="eastAsia" w:ascii="宋体" w:hAnsi="宋体" w:cs="宋体"/>
          <w:b w:val="0"/>
          <w:bCs/>
          <w:color w:val="auto"/>
          <w:sz w:val="24"/>
          <w:szCs w:val="24"/>
          <w:highlight w:val="none"/>
          <w:lang w:val="en-US" w:eastAsia="zh-CN" w:bidi="ar-SA"/>
        </w:rPr>
        <w:t>10</w:t>
      </w:r>
      <w:r>
        <w:rPr>
          <w:rFonts w:hint="eastAsia" w:ascii="宋体" w:hAnsi="宋体" w:eastAsia="宋体" w:cs="宋体"/>
          <w:b w:val="0"/>
          <w:bCs/>
          <w:color w:val="auto"/>
          <w:sz w:val="24"/>
          <w:szCs w:val="24"/>
          <w:highlight w:val="none"/>
          <w:lang w:val="en-US" w:eastAsia="zh-CN" w:bidi="ar-SA"/>
        </w:rPr>
        <w:t>）投标人在“苏采云”系统规定的时间内未成功解密电子投标文件的；</w:t>
      </w:r>
    </w:p>
    <w:p w14:paraId="03F83D0C">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w:t>
      </w:r>
      <w:r>
        <w:rPr>
          <w:rFonts w:hint="eastAsia" w:ascii="宋体" w:hAnsi="宋体" w:cs="宋体"/>
          <w:b w:val="0"/>
          <w:bCs/>
          <w:color w:val="auto"/>
          <w:sz w:val="24"/>
          <w:szCs w:val="24"/>
          <w:highlight w:val="none"/>
          <w:lang w:val="en-US" w:eastAsia="zh-CN" w:bidi="ar-SA"/>
        </w:rPr>
        <w:t>1</w:t>
      </w:r>
      <w:r>
        <w:rPr>
          <w:rFonts w:hint="eastAsia" w:ascii="宋体" w:hAnsi="宋体" w:eastAsia="宋体" w:cs="宋体"/>
          <w:b w:val="0"/>
          <w:bCs/>
          <w:color w:val="auto"/>
          <w:sz w:val="24"/>
          <w:szCs w:val="24"/>
          <w:highlight w:val="none"/>
          <w:lang w:val="en-US" w:eastAsia="zh-CN" w:bidi="ar-SA"/>
        </w:rPr>
        <w:t>）投标人未按照招标文件要求上传电子投标文件的；</w:t>
      </w:r>
    </w:p>
    <w:p w14:paraId="1F82CBDA">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w:t>
      </w:r>
      <w:r>
        <w:rPr>
          <w:rFonts w:hint="eastAsia" w:ascii="宋体" w:hAnsi="宋体" w:cs="宋体"/>
          <w:b w:val="0"/>
          <w:bCs/>
          <w:color w:val="auto"/>
          <w:sz w:val="24"/>
          <w:szCs w:val="24"/>
          <w:highlight w:val="none"/>
          <w:lang w:val="en-US" w:eastAsia="zh-CN" w:bidi="ar-SA"/>
        </w:rPr>
        <w:t>2</w:t>
      </w:r>
      <w:r>
        <w:rPr>
          <w:rFonts w:hint="eastAsia" w:ascii="宋体" w:hAnsi="宋体" w:eastAsia="宋体" w:cs="宋体"/>
          <w:b w:val="0"/>
          <w:bCs/>
          <w:color w:val="auto"/>
          <w:sz w:val="24"/>
          <w:szCs w:val="24"/>
          <w:highlight w:val="none"/>
          <w:lang w:val="en-US" w:eastAsia="zh-CN" w:bidi="ar-SA"/>
        </w:rPr>
        <w:t>）不符合法律、法规和竞争性磋商文件规定的其他实质性要求的。</w:t>
      </w:r>
    </w:p>
    <w:p w14:paraId="5A396C75">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20.2.2.3 在评标期间，出现符合专业条件的供应商或者对招标文件作出实质性响应的供应商不足三家情形的，比照 </w:t>
      </w:r>
      <w:r>
        <w:rPr>
          <w:rFonts w:hint="eastAsia" w:ascii="宋体" w:hAnsi="宋体" w:cs="宋体"/>
          <w:b w:val="0"/>
          <w:bCs/>
          <w:color w:val="auto"/>
          <w:sz w:val="24"/>
          <w:szCs w:val="24"/>
          <w:highlight w:val="none"/>
          <w:lang w:val="en-US" w:eastAsia="zh-CN" w:bidi="ar-SA"/>
        </w:rPr>
        <w:t>19.5</w:t>
      </w:r>
      <w:r>
        <w:rPr>
          <w:rFonts w:hint="eastAsia" w:ascii="宋体" w:hAnsi="宋体" w:eastAsia="宋体" w:cs="宋体"/>
          <w:b w:val="0"/>
          <w:bCs/>
          <w:color w:val="auto"/>
          <w:sz w:val="24"/>
          <w:szCs w:val="24"/>
          <w:highlight w:val="none"/>
          <w:lang w:val="en-US" w:eastAsia="zh-CN" w:bidi="ar-SA"/>
        </w:rPr>
        <w:t>款执行。</w:t>
      </w:r>
    </w:p>
    <w:p w14:paraId="218FD938">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20.2.3 澄清有关问题。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p>
    <w:p w14:paraId="77F8D116">
      <w:pPr>
        <w:keepNext w:val="0"/>
        <w:keepLines w:val="0"/>
        <w:pageBreakBefore w:val="0"/>
        <w:widowControl/>
        <w:kinsoku/>
        <w:wordWrap/>
        <w:overflowPunct/>
        <w:topLinePunct w:val="0"/>
        <w:autoSpaceDE/>
        <w:autoSpaceDN/>
        <w:bidi w:val="0"/>
        <w:adjustRightInd/>
        <w:snapToGrid/>
        <w:spacing w:after="0" w:line="360" w:lineRule="auto"/>
        <w:ind w:firstLine="480" w:firstLineChars="200"/>
        <w:textAlignment w:val="auto"/>
        <w:rPr>
          <w:rFonts w:hint="eastAsia"/>
          <w:color w:val="auto"/>
          <w:highlight w:val="none"/>
        </w:rPr>
      </w:pPr>
      <w:r>
        <w:rPr>
          <w:rFonts w:hint="eastAsia" w:ascii="宋体" w:hAnsi="宋体" w:eastAsia="宋体" w:cs="宋体"/>
          <w:b w:val="0"/>
          <w:bCs/>
          <w:color w:val="auto"/>
          <w:sz w:val="24"/>
          <w:szCs w:val="24"/>
          <w:highlight w:val="none"/>
          <w:lang w:val="en-US" w:eastAsia="zh-CN" w:bidi="ar-SA"/>
        </w:rPr>
        <w:t>20.2.4 比较与评价。按照招标文件中规定的评标方法和标准，对资格性检查和符合性检查合格的投标文件进行商务和技术评估，综合比较与评价。</w:t>
      </w:r>
    </w:p>
    <w:p w14:paraId="1962C0BB">
      <w:pPr>
        <w:keepNext w:val="0"/>
        <w:keepLines w:val="0"/>
        <w:pageBreakBefore w:val="0"/>
        <w:widowControl/>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b/>
          <w:color w:val="auto"/>
          <w:sz w:val="24"/>
          <w:szCs w:val="24"/>
          <w:highlight w:val="none"/>
          <w:lang w:val="en-US"/>
        </w:rPr>
      </w:pPr>
      <w:r>
        <w:rPr>
          <w:rFonts w:hint="eastAsia" w:ascii="宋体" w:hAnsi="宋体" w:cs="宋体"/>
          <w:b/>
          <w:color w:val="auto"/>
          <w:sz w:val="24"/>
          <w:szCs w:val="24"/>
          <w:highlight w:val="none"/>
          <w:lang w:val="en-US" w:eastAsia="zh-CN"/>
        </w:rPr>
        <w:t>21</w:t>
      </w:r>
      <w:r>
        <w:rPr>
          <w:rFonts w:hint="eastAsia" w:ascii="宋体" w:hAnsi="宋体" w:eastAsia="宋体" w:cs="宋体"/>
          <w:b/>
          <w:color w:val="auto"/>
          <w:sz w:val="24"/>
          <w:szCs w:val="24"/>
          <w:highlight w:val="none"/>
          <w:lang w:val="en-US"/>
        </w:rPr>
        <w:t>、评标办法</w:t>
      </w:r>
    </w:p>
    <w:p w14:paraId="395CD234">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21.1</w:t>
      </w:r>
      <w:r>
        <w:rPr>
          <w:rFonts w:hint="eastAsia" w:ascii="宋体" w:hAnsi="宋体" w:eastAsia="宋体" w:cs="宋体"/>
          <w:b/>
          <w:color w:val="auto"/>
          <w:sz w:val="24"/>
          <w:szCs w:val="24"/>
          <w:highlight w:val="none"/>
        </w:rPr>
        <w:t>评标方法和标准</w:t>
      </w:r>
    </w:p>
    <w:p w14:paraId="49778090">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21</w:t>
      </w:r>
      <w:r>
        <w:rPr>
          <w:rFonts w:hint="eastAsia" w:ascii="宋体" w:hAnsi="宋体" w:eastAsia="宋体" w:cs="宋体"/>
          <w:bCs/>
          <w:color w:val="auto"/>
          <w:sz w:val="24"/>
          <w:szCs w:val="24"/>
          <w:highlight w:val="none"/>
          <w:lang w:val="en-US"/>
        </w:rPr>
        <w:t>.1.1</w:t>
      </w:r>
      <w:r>
        <w:rPr>
          <w:rFonts w:hint="eastAsia" w:ascii="宋体" w:hAnsi="宋体" w:eastAsia="宋体" w:cs="宋体"/>
          <w:bCs/>
          <w:color w:val="auto"/>
          <w:sz w:val="24"/>
          <w:szCs w:val="24"/>
          <w:highlight w:val="none"/>
        </w:rPr>
        <w:t>采用综合评分法。即在最大限度地满足招标文件实质性要求前提下，按照招标文件中规定的各项因素进行综合评审后，以评标总得分最高的投标人作为中标候选供应商或者中标供应商的评标方法。</w:t>
      </w:r>
    </w:p>
    <w:p w14:paraId="0CFEDA5E">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21</w:t>
      </w:r>
      <w:r>
        <w:rPr>
          <w:rFonts w:hint="eastAsia" w:ascii="宋体" w:hAnsi="宋体" w:eastAsia="宋体" w:cs="宋体"/>
          <w:bCs/>
          <w:color w:val="auto"/>
          <w:sz w:val="24"/>
          <w:szCs w:val="24"/>
          <w:highlight w:val="none"/>
          <w:lang w:val="en-US"/>
        </w:rPr>
        <w:t>.1.2</w:t>
      </w:r>
      <w:r>
        <w:rPr>
          <w:rFonts w:hint="eastAsia" w:ascii="宋体" w:hAnsi="宋体" w:eastAsia="宋体" w:cs="宋体"/>
          <w:bCs/>
          <w:color w:val="auto"/>
          <w:sz w:val="24"/>
          <w:szCs w:val="24"/>
          <w:highlight w:val="none"/>
        </w:rPr>
        <w:t>综合评分的主要因素是：评分标准详见第三章。</w:t>
      </w:r>
    </w:p>
    <w:p w14:paraId="03FDE922">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22</w:t>
      </w:r>
      <w:r>
        <w:rPr>
          <w:rFonts w:hint="eastAsia" w:ascii="宋体" w:hAnsi="宋体" w:eastAsia="宋体" w:cs="宋体"/>
          <w:b/>
          <w:color w:val="auto"/>
          <w:sz w:val="24"/>
          <w:szCs w:val="24"/>
          <w:highlight w:val="none"/>
        </w:rPr>
        <w:t>、确定中标供应商</w:t>
      </w:r>
    </w:p>
    <w:p w14:paraId="7D2D784E">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22.1</w:t>
      </w:r>
      <w:r>
        <w:rPr>
          <w:rFonts w:hint="eastAsia" w:ascii="宋体" w:hAnsi="宋体" w:eastAsia="宋体" w:cs="宋体"/>
          <w:b w:val="0"/>
          <w:bCs/>
          <w:color w:val="auto"/>
          <w:sz w:val="24"/>
          <w:szCs w:val="24"/>
          <w:highlight w:val="none"/>
          <w:lang w:val="en-US" w:eastAsia="zh-CN"/>
        </w:rPr>
        <w:t>本项目分</w:t>
      </w:r>
      <w:r>
        <w:rPr>
          <w:rFonts w:hint="eastAsia" w:ascii="宋体" w:hAnsi="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val="en-US" w:eastAsia="zh-CN"/>
        </w:rPr>
        <w:t>个包进行采购，每个包</w:t>
      </w:r>
      <w:r>
        <w:rPr>
          <w:rFonts w:hint="eastAsia" w:ascii="宋体" w:hAnsi="宋体" w:eastAsia="宋体" w:cs="宋体"/>
          <w:b w:val="0"/>
          <w:bCs/>
          <w:color w:val="auto"/>
          <w:sz w:val="24"/>
          <w:szCs w:val="24"/>
          <w:highlight w:val="none"/>
        </w:rPr>
        <w:t>综合比较与评价后按照得分高低顺序对供应商进行排列。得分相同的，按投标报价由低到高顺序排列。得分且投标报价相同的，按技术指标优劣顺序排列。本项目共分</w:t>
      </w:r>
      <w:r>
        <w:rPr>
          <w:rFonts w:hint="eastAsia" w:ascii="宋体" w:hAnsi="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个包，各供应商可以参与一个或多个包的竞争，但最多只能中标一个包。按照</w:t>
      </w:r>
      <w:r>
        <w:rPr>
          <w:rFonts w:hint="eastAsia" w:ascii="宋体" w:hAnsi="宋体" w:cs="宋体"/>
          <w:b w:val="0"/>
          <w:bCs/>
          <w:color w:val="auto"/>
          <w:sz w:val="24"/>
          <w:szCs w:val="24"/>
          <w:highlight w:val="none"/>
          <w:lang w:val="en-US" w:eastAsia="zh-CN"/>
        </w:rPr>
        <w:t>分</w:t>
      </w:r>
      <w:r>
        <w:rPr>
          <w:rFonts w:ascii="宋体" w:hAnsi="宋体" w:eastAsia="宋体" w:cs="宋体"/>
          <w:color w:val="auto"/>
          <w:sz w:val="24"/>
          <w:highlight w:val="none"/>
        </w:rPr>
        <w:t>包</w:t>
      </w:r>
      <w:r>
        <w:rPr>
          <w:rFonts w:hint="eastAsia" w:ascii="宋体" w:hAnsi="宋体" w:cs="宋体"/>
          <w:color w:val="auto"/>
          <w:sz w:val="24"/>
          <w:highlight w:val="none"/>
          <w:lang w:val="en-US" w:eastAsia="zh-CN"/>
        </w:rPr>
        <w:t>1</w:t>
      </w: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2</w:t>
      </w: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3</w:t>
      </w: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7</w:t>
      </w:r>
      <w:r>
        <w:rPr>
          <w:rFonts w:hint="eastAsia" w:ascii="宋体" w:hAnsi="宋体" w:cs="宋体"/>
          <w:b w:val="0"/>
          <w:bCs/>
          <w:color w:val="auto"/>
          <w:sz w:val="24"/>
          <w:szCs w:val="24"/>
          <w:highlight w:val="none"/>
          <w:lang w:val="en-US" w:eastAsia="zh-CN"/>
        </w:rPr>
        <w:t>的</w:t>
      </w:r>
      <w:r>
        <w:rPr>
          <w:rFonts w:hint="eastAsia" w:ascii="宋体" w:hAnsi="宋体" w:eastAsia="宋体" w:cs="宋体"/>
          <w:b w:val="0"/>
          <w:bCs/>
          <w:color w:val="auto"/>
          <w:sz w:val="24"/>
          <w:szCs w:val="24"/>
          <w:highlight w:val="none"/>
        </w:rPr>
        <w:t>顺序评标、中标。每个包取得分最高者为中标供应商，同一供应商若已在前一包中被推荐为中标供应商，在后续其他包中不再被推荐为中标供应商，由排名其后的投标人递补，以此类推。评审小组认为，排在前面的成交候选供应商的最低报价或者某些分项报价明显不合理或者低于成本，有可能影响服务质量和不能诚信履约的，应当要求其在规定的期限内提供书面文件予以解释说明，并提交相关证明材料；否则，评审小组可以取消该供应商的成交候选资格，按顺序由排在后面的成交候选供应商递补，以此类推。</w:t>
      </w:r>
    </w:p>
    <w:p w14:paraId="3C16728B">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22.2</w:t>
      </w:r>
      <w:r>
        <w:rPr>
          <w:rFonts w:hint="eastAsia" w:ascii="宋体" w:hAnsi="宋体" w:eastAsia="宋体" w:cs="宋体"/>
          <w:b w:val="0"/>
          <w:bCs/>
          <w:color w:val="auto"/>
          <w:sz w:val="24"/>
          <w:szCs w:val="24"/>
          <w:highlight w:val="none"/>
        </w:rPr>
        <w:t>中标供应商确定后，将在财政部门指定的政府采购信息发布媒体上公告，并向中标供应商发出中标通知书。</w:t>
      </w:r>
    </w:p>
    <w:p w14:paraId="3E905D8C">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22.3</w:t>
      </w:r>
      <w:r>
        <w:rPr>
          <w:rFonts w:hint="eastAsia" w:ascii="宋体" w:hAnsi="宋体" w:eastAsia="宋体" w:cs="宋体"/>
          <w:b w:val="0"/>
          <w:bCs/>
          <w:color w:val="auto"/>
          <w:sz w:val="24"/>
          <w:szCs w:val="24"/>
          <w:highlight w:val="none"/>
        </w:rPr>
        <w:t>中标通知书对采购人和中标供应商具有同等法律效力。</w:t>
      </w:r>
    </w:p>
    <w:p w14:paraId="19966B81">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22.4</w:t>
      </w:r>
      <w:r>
        <w:rPr>
          <w:rFonts w:hint="eastAsia" w:ascii="宋体" w:hAnsi="宋体" w:eastAsia="宋体" w:cs="宋体"/>
          <w:b w:val="0"/>
          <w:bCs/>
          <w:color w:val="auto"/>
          <w:sz w:val="24"/>
          <w:szCs w:val="24"/>
          <w:highlight w:val="none"/>
        </w:rPr>
        <w:t>中标通知书发出后，采购人或中标供应商拒绝签订合同的，拒绝签订合同的一方应至少向另一方支付与投标保证金相等的补偿金，以及为招标、投标所发生的有关费用和双方商定的其他补偿。</w:t>
      </w:r>
    </w:p>
    <w:p w14:paraId="220220F9">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22.5</w:t>
      </w:r>
      <w:r>
        <w:rPr>
          <w:rFonts w:hint="eastAsia" w:ascii="宋体" w:hAnsi="宋体" w:eastAsia="宋体" w:cs="宋体"/>
          <w:b w:val="0"/>
          <w:bCs/>
          <w:color w:val="auto"/>
          <w:sz w:val="24"/>
          <w:szCs w:val="24"/>
          <w:highlight w:val="none"/>
        </w:rPr>
        <w:t>中标通知书发出后，中标供应商无正当理由不与采购人签订合同的，情节严重的，由财政部门将其列入不良行为记录名单，在一至三年内禁止参加南京市政府采购活动，并予以通报。</w:t>
      </w:r>
    </w:p>
    <w:p w14:paraId="0CE9B09F">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22.6</w:t>
      </w:r>
      <w:r>
        <w:rPr>
          <w:rFonts w:hint="eastAsia" w:ascii="宋体" w:hAnsi="宋体" w:eastAsia="宋体" w:cs="宋体"/>
          <w:b w:val="0"/>
          <w:bCs/>
          <w:color w:val="auto"/>
          <w:sz w:val="24"/>
          <w:szCs w:val="24"/>
          <w:highlight w:val="none"/>
        </w:rPr>
        <w:t>代理机构对未中标的投标人不作未中标原因的解释。</w:t>
      </w:r>
    </w:p>
    <w:p w14:paraId="3740C202">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22.7</w:t>
      </w:r>
      <w:r>
        <w:rPr>
          <w:rFonts w:hint="eastAsia" w:ascii="宋体" w:hAnsi="宋体" w:eastAsia="宋体" w:cs="宋体"/>
          <w:b w:val="0"/>
          <w:bCs/>
          <w:color w:val="auto"/>
          <w:sz w:val="24"/>
          <w:szCs w:val="24"/>
          <w:highlight w:val="none"/>
        </w:rPr>
        <w:t>所有投标文件都将作为档案保存，不论中标与否，代理机构均不退回。</w:t>
      </w:r>
    </w:p>
    <w:p w14:paraId="49450E28">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22.8</w:t>
      </w:r>
      <w:r>
        <w:rPr>
          <w:rFonts w:hint="eastAsia" w:ascii="宋体" w:hAnsi="宋体" w:eastAsia="宋体" w:cs="宋体"/>
          <w:b w:val="0"/>
          <w:bCs/>
          <w:color w:val="auto"/>
          <w:sz w:val="24"/>
          <w:szCs w:val="24"/>
          <w:highlight w:val="none"/>
        </w:rPr>
        <w:t>中标单位须提供纸质版投标文件</w:t>
      </w:r>
      <w:r>
        <w:rPr>
          <w:rFonts w:hint="eastAsia" w:ascii="宋体" w:hAnsi="宋体" w:eastAsia="宋体" w:cs="宋体"/>
          <w:b w:val="0"/>
          <w:bCs/>
          <w:color w:val="auto"/>
          <w:sz w:val="24"/>
          <w:szCs w:val="24"/>
          <w:highlight w:val="none"/>
          <w:lang w:val="en-US" w:eastAsia="zh-CN"/>
        </w:rPr>
        <w:t>至</w:t>
      </w:r>
      <w:r>
        <w:rPr>
          <w:rFonts w:hint="eastAsia" w:ascii="宋体" w:hAnsi="宋体" w:eastAsia="宋体" w:cs="宋体"/>
          <w:b w:val="0"/>
          <w:bCs/>
          <w:color w:val="auto"/>
          <w:sz w:val="24"/>
          <w:szCs w:val="24"/>
          <w:highlight w:val="none"/>
        </w:rPr>
        <w:t>代理公司备案</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文件内容与电子投标文件内容一致）</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纸质</w:t>
      </w:r>
      <w:r>
        <w:rPr>
          <w:rFonts w:hint="eastAsia" w:ascii="宋体" w:hAnsi="宋体" w:eastAsia="宋体" w:cs="宋体"/>
          <w:b w:val="0"/>
          <w:bCs/>
          <w:color w:val="auto"/>
          <w:sz w:val="24"/>
          <w:szCs w:val="24"/>
          <w:highlight w:val="none"/>
        </w:rPr>
        <w:t>投标文件须一正两副(均需盖章签字）</w:t>
      </w:r>
    </w:p>
    <w:p w14:paraId="64622A40">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rPr>
        <w:t>、编写评标报告</w:t>
      </w:r>
    </w:p>
    <w:p w14:paraId="79ECD406">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 评标委员会根据全体评标成员签字的原始评标记录和评标结果编写评标报告。</w:t>
      </w:r>
    </w:p>
    <w:p w14:paraId="15613484">
      <w:pPr>
        <w:pStyle w:val="346"/>
        <w:keepNext w:val="0"/>
        <w:keepLines w:val="0"/>
        <w:pageBreakBefore w:val="0"/>
        <w:widowControl/>
        <w:tabs>
          <w:tab w:val="left" w:pos="1827"/>
        </w:tabs>
        <w:kinsoku/>
        <w:wordWrap/>
        <w:overflowPunct/>
        <w:topLinePunct w:val="0"/>
        <w:autoSpaceDE/>
        <w:autoSpaceDN/>
        <w:bidi w:val="0"/>
        <w:adjustRightInd/>
        <w:snapToGrid/>
        <w:spacing w:after="0" w:line="360" w:lineRule="auto"/>
        <w:ind w:left="0" w:leftChars="0" w:firstLine="482" w:firstLineChars="200"/>
        <w:jc w:val="both"/>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cs="宋体"/>
          <w:b/>
          <w:color w:val="auto"/>
          <w:sz w:val="24"/>
          <w:szCs w:val="24"/>
          <w:highlight w:val="none"/>
          <w:lang w:val="en-US" w:eastAsia="zh-CN"/>
        </w:rPr>
        <w:t>4</w:t>
      </w:r>
      <w:r>
        <w:rPr>
          <w:rFonts w:hint="eastAsia" w:ascii="宋体" w:hAnsi="宋体" w:eastAsia="宋体" w:cs="宋体"/>
          <w:b/>
          <w:color w:val="auto"/>
          <w:sz w:val="24"/>
          <w:szCs w:val="24"/>
          <w:highlight w:val="none"/>
        </w:rPr>
        <w:t>、评标过程的保密性</w:t>
      </w:r>
    </w:p>
    <w:p w14:paraId="0BD7FF0F">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rPr>
        <w:t>.1</w:t>
      </w:r>
      <w:r>
        <w:rPr>
          <w:rFonts w:hint="eastAsia" w:ascii="宋体" w:hAnsi="宋体" w:eastAsia="宋体" w:cs="宋体"/>
          <w:bCs/>
          <w:color w:val="auto"/>
          <w:sz w:val="24"/>
          <w:szCs w:val="24"/>
          <w:highlight w:val="none"/>
        </w:rPr>
        <w:t>代理机构将采取必要措施，保证评标在严格保密的情况下进行。</w:t>
      </w:r>
    </w:p>
    <w:p w14:paraId="04F2906C">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rPr>
        <w:t>.2</w:t>
      </w:r>
      <w:r>
        <w:rPr>
          <w:rFonts w:hint="eastAsia" w:ascii="宋体" w:hAnsi="宋体" w:eastAsia="宋体" w:cs="宋体"/>
          <w:bCs/>
          <w:color w:val="auto"/>
          <w:sz w:val="24"/>
          <w:szCs w:val="24"/>
          <w:highlight w:val="none"/>
        </w:rPr>
        <w:t>任何单位和个人不得非法干预、影响评标办法的确定，以及评标过程和结果。</w:t>
      </w:r>
    </w:p>
    <w:p w14:paraId="5A95AEB1">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rPr>
        <w:t>.3</w:t>
      </w:r>
      <w:r>
        <w:rPr>
          <w:rFonts w:hint="eastAsia" w:ascii="宋体" w:hAnsi="宋体" w:eastAsia="宋体" w:cs="宋体"/>
          <w:bCs/>
          <w:color w:val="auto"/>
          <w:sz w:val="24"/>
          <w:szCs w:val="24"/>
          <w:highlight w:val="none"/>
        </w:rPr>
        <w:t>凡是与审查、澄清、评价和比较投标的有关资料等，均不向供应商及与评标无关的其他人员透露。</w:t>
      </w:r>
      <w:r>
        <w:rPr>
          <w:rFonts w:hint="eastAsia" w:ascii="宋体" w:hAnsi="宋体" w:eastAsia="宋体" w:cs="宋体"/>
          <w:bCs/>
          <w:color w:val="auto"/>
          <w:sz w:val="24"/>
          <w:szCs w:val="24"/>
          <w:highlight w:val="none"/>
          <w:lang w:val="en-US"/>
        </w:rPr>
        <w:t xml:space="preserve">              </w:t>
      </w:r>
    </w:p>
    <w:p w14:paraId="0CADC6D5">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2" w:firstLineChars="200"/>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2</w:t>
      </w:r>
      <w:r>
        <w:rPr>
          <w:rFonts w:hint="eastAsia" w:ascii="宋体" w:hAnsi="宋体" w:cs="宋体"/>
          <w:b/>
          <w:color w:val="auto"/>
          <w:sz w:val="24"/>
          <w:szCs w:val="24"/>
          <w:highlight w:val="none"/>
          <w:lang w:val="en-US" w:eastAsia="zh-CN"/>
        </w:rPr>
        <w:t>5</w:t>
      </w:r>
      <w:r>
        <w:rPr>
          <w:rFonts w:hint="eastAsia" w:ascii="宋体" w:hAnsi="宋体" w:eastAsia="宋体" w:cs="宋体"/>
          <w:b/>
          <w:color w:val="auto"/>
          <w:sz w:val="24"/>
          <w:szCs w:val="24"/>
          <w:highlight w:val="none"/>
          <w:lang w:val="en-US"/>
        </w:rPr>
        <w:t>、签订合同</w:t>
      </w:r>
    </w:p>
    <w:p w14:paraId="48054B24">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rPr>
        <w:t>.1</w:t>
      </w:r>
      <w:r>
        <w:rPr>
          <w:rFonts w:hint="eastAsia" w:ascii="宋体" w:hAnsi="宋体" w:eastAsia="宋体" w:cs="宋体"/>
          <w:bCs/>
          <w:color w:val="auto"/>
          <w:sz w:val="24"/>
          <w:szCs w:val="24"/>
          <w:highlight w:val="none"/>
        </w:rPr>
        <w:t>中标供应商应当自中标通知书发出之日起三十日内，按照招标文件和中标供应商投标文件的约定与采购人签订采购合同，所签订的合同不得对招标文件和中标供应商投标文件作实质性修改。</w:t>
      </w:r>
    </w:p>
    <w:p w14:paraId="78BE1C2A">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rPr>
        <w:t>.2</w:t>
      </w:r>
      <w:r>
        <w:rPr>
          <w:rFonts w:hint="eastAsia" w:ascii="宋体" w:hAnsi="宋体" w:eastAsia="宋体" w:cs="宋体"/>
          <w:bCs/>
          <w:color w:val="auto"/>
          <w:sz w:val="24"/>
          <w:szCs w:val="24"/>
          <w:highlight w:val="none"/>
        </w:rPr>
        <w:t>采购人不得向中标供应商提出任何不合理的要求作为签订合同的条件，不得与中标供应商私下订立背离合同实质性内容的协议。</w:t>
      </w:r>
    </w:p>
    <w:p w14:paraId="5A3A05BC">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rPr>
        <w:t>.3</w:t>
      </w:r>
      <w:r>
        <w:rPr>
          <w:rFonts w:hint="eastAsia" w:ascii="宋体" w:hAnsi="宋体" w:eastAsia="宋体" w:cs="宋体"/>
          <w:bCs/>
          <w:color w:val="auto"/>
          <w:sz w:val="24"/>
          <w:szCs w:val="24"/>
          <w:highlight w:val="none"/>
        </w:rPr>
        <w:t>中标供应商拒绝与采购人签订合同，或因不可抗力或者自身原因不能履行政府采购合同的，采购人可以按照评审报告推荐的中标候选人名单排序，确定下一候选人为中标供应商，也可以重新开展政府采购活动。</w:t>
      </w:r>
    </w:p>
    <w:p w14:paraId="3933415B">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rPr>
        <w:t>.4</w:t>
      </w:r>
      <w:r>
        <w:rPr>
          <w:rFonts w:hint="eastAsia" w:ascii="宋体" w:hAnsi="宋体" w:eastAsia="宋体" w:cs="宋体"/>
          <w:bCs/>
          <w:color w:val="auto"/>
          <w:sz w:val="24"/>
          <w:szCs w:val="24"/>
          <w:highlight w:val="none"/>
        </w:rPr>
        <w:t>采购合同履行中，采购人需追加与合同标的相同的服务的，在不改变合同其他条款的前提下，可以与供应商协商签订补充合同，但所有补充合同的采购金额不得超过原合同采购金额的百分之十。</w:t>
      </w:r>
    </w:p>
    <w:p w14:paraId="1116764C">
      <w:pPr>
        <w:keepNext w:val="0"/>
        <w:keepLines w:val="0"/>
        <w:pageBreakBefore w:val="0"/>
        <w:widowControl/>
        <w:numPr>
          <w:ilvl w:val="0"/>
          <w:numId w:val="5"/>
        </w:numPr>
        <w:kinsoku/>
        <w:wordWrap/>
        <w:overflowPunct/>
        <w:topLinePunct w:val="0"/>
        <w:autoSpaceDE/>
        <w:autoSpaceDN/>
        <w:bidi w:val="0"/>
        <w:adjustRightInd/>
        <w:snapToGrid/>
        <w:spacing w:after="0" w:line="360" w:lineRule="auto"/>
        <w:ind w:left="19" w:right="4010"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询问、质疑、投诉和诚实信用</w:t>
      </w:r>
    </w:p>
    <w:p w14:paraId="642220F7">
      <w:pPr>
        <w:keepNext w:val="0"/>
        <w:keepLines w:val="0"/>
        <w:pageBreakBefore w:val="0"/>
        <w:widowControl/>
        <w:kinsoku/>
        <w:wordWrap/>
        <w:overflowPunct/>
        <w:topLinePunct w:val="0"/>
        <w:autoSpaceDE/>
        <w:autoSpaceDN/>
        <w:bidi w:val="0"/>
        <w:adjustRightInd/>
        <w:snapToGrid/>
        <w:spacing w:after="0" w:line="360" w:lineRule="auto"/>
        <w:ind w:right="5990" w:firstLine="482" w:firstLineChars="200"/>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2</w:t>
      </w: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lang w:val="en-US"/>
        </w:rPr>
        <w:t>、询问</w:t>
      </w:r>
    </w:p>
    <w:p w14:paraId="7C0F7302">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.1 供应商对招标活动事项有疑问的，可以向代理机构或采购人提出询问，代理机构或采购人将在两个工作日内作出答复，但答复的内容不涉及商业秘密。</w:t>
      </w:r>
    </w:p>
    <w:p w14:paraId="6514B76E">
      <w:pPr>
        <w:keepNext w:val="0"/>
        <w:keepLines w:val="0"/>
        <w:pageBreakBefore w:val="0"/>
        <w:widowControl/>
        <w:kinsoku/>
        <w:wordWrap/>
        <w:overflowPunct/>
        <w:topLinePunct w:val="0"/>
        <w:autoSpaceDE/>
        <w:autoSpaceDN/>
        <w:bidi w:val="0"/>
        <w:adjustRightInd/>
        <w:snapToGrid/>
        <w:spacing w:after="0" w:line="360" w:lineRule="auto"/>
        <w:ind w:right="5990" w:firstLine="482" w:firstLineChars="200"/>
        <w:textAlignment w:val="auto"/>
        <w:rPr>
          <w:rFonts w:hint="eastAsia" w:ascii="宋体" w:hAnsi="宋体" w:eastAsia="宋体" w:cs="宋体"/>
          <w:b/>
          <w:color w:val="auto"/>
          <w:sz w:val="24"/>
          <w:szCs w:val="24"/>
          <w:highlight w:val="none"/>
          <w:lang w:val="en-US"/>
        </w:rPr>
      </w:pPr>
      <w:r>
        <w:rPr>
          <w:rFonts w:hint="eastAsia" w:ascii="宋体" w:hAnsi="宋体" w:cs="宋体"/>
          <w:b/>
          <w:color w:val="auto"/>
          <w:sz w:val="24"/>
          <w:szCs w:val="24"/>
          <w:highlight w:val="none"/>
          <w:lang w:val="en-US" w:eastAsia="zh-CN"/>
        </w:rPr>
        <w:t>27</w:t>
      </w:r>
      <w:r>
        <w:rPr>
          <w:rFonts w:hint="eastAsia" w:ascii="宋体" w:hAnsi="宋体" w:eastAsia="宋体" w:cs="宋体"/>
          <w:b/>
          <w:color w:val="auto"/>
          <w:sz w:val="24"/>
          <w:szCs w:val="24"/>
          <w:highlight w:val="none"/>
          <w:lang w:val="en-US"/>
        </w:rPr>
        <w:t>、质疑</w:t>
      </w:r>
    </w:p>
    <w:p w14:paraId="0C70319E">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rPr>
        <w:t>.1</w:t>
      </w:r>
      <w:r>
        <w:rPr>
          <w:rFonts w:hint="eastAsia" w:ascii="宋体" w:hAnsi="宋体" w:eastAsia="宋体" w:cs="宋体"/>
          <w:bCs/>
          <w:color w:val="auto"/>
          <w:sz w:val="24"/>
          <w:szCs w:val="24"/>
          <w:highlight w:val="none"/>
        </w:rPr>
        <w:t>供应商认为采购文件、采购过程和中标结果使自己的合法权益受到损害的，可以在知道或者应当知道其权益受到损害之日起七个工作日内，将质疑文件原件送达代理机构。供应商提出质疑时，须一次性提出全部问题及相关质疑资料，代理机构将依法作出答复，但答复的内容不涉及商业秘密。</w:t>
      </w:r>
    </w:p>
    <w:p w14:paraId="527F3781">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rPr>
        <w:t>.2</w:t>
      </w:r>
      <w:r>
        <w:rPr>
          <w:rFonts w:hint="eastAsia" w:ascii="宋体" w:hAnsi="宋体" w:eastAsia="宋体" w:cs="宋体"/>
          <w:bCs/>
          <w:color w:val="auto"/>
          <w:sz w:val="24"/>
          <w:szCs w:val="24"/>
          <w:highlight w:val="none"/>
        </w:rPr>
        <w:t>质疑文件应包括以下主要内容，并按照“谁主张、谁举证”的原则，附上相关证明材料。否则，代理机构或采购人不予受理：</w:t>
      </w:r>
    </w:p>
    <w:p w14:paraId="370121DB">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right="677"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rPr>
        <w:t>1</w:t>
      </w:r>
      <w:r>
        <w:rPr>
          <w:rFonts w:hint="eastAsia" w:ascii="宋体" w:hAnsi="宋体" w:eastAsia="宋体" w:cs="宋体"/>
          <w:color w:val="auto"/>
          <w:spacing w:val="-6"/>
          <w:sz w:val="24"/>
          <w:szCs w:val="24"/>
          <w:highlight w:val="none"/>
        </w:rPr>
        <w:t>）质疑项目名称、项目编号、包号、招标公告发布时间、开标时间；</w:t>
      </w:r>
    </w:p>
    <w:p w14:paraId="6A03460A">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right="677"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rPr>
        <w:t>2</w:t>
      </w:r>
      <w:r>
        <w:rPr>
          <w:rFonts w:hint="eastAsia" w:ascii="宋体" w:hAnsi="宋体" w:eastAsia="宋体" w:cs="宋体"/>
          <w:color w:val="auto"/>
          <w:spacing w:val="-6"/>
          <w:sz w:val="24"/>
          <w:szCs w:val="24"/>
          <w:highlight w:val="none"/>
        </w:rPr>
        <w:t>）提起质疑的日期、具体的质疑事项及事实根据（具体条款）；</w:t>
      </w:r>
    </w:p>
    <w:p w14:paraId="4E605229">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right="677"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rPr>
        <w:t>3</w:t>
      </w:r>
      <w:r>
        <w:rPr>
          <w:rFonts w:hint="eastAsia" w:ascii="宋体" w:hAnsi="宋体" w:eastAsia="宋体" w:cs="宋体"/>
          <w:color w:val="auto"/>
          <w:spacing w:val="-6"/>
          <w:sz w:val="24"/>
          <w:szCs w:val="24"/>
          <w:highlight w:val="none"/>
        </w:rPr>
        <w:t>）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17DC73D5">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right="677"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rPr>
        <w:t>4</w:t>
      </w:r>
      <w:r>
        <w:rPr>
          <w:rFonts w:hint="eastAsia" w:ascii="宋体" w:hAnsi="宋体" w:eastAsia="宋体" w:cs="宋体"/>
          <w:color w:val="auto"/>
          <w:spacing w:val="-6"/>
          <w:sz w:val="24"/>
          <w:szCs w:val="24"/>
          <w:highlight w:val="none"/>
        </w:rPr>
        <w:t>）质疑供应商名称、地址、邮编、联系人、联系电话（包括座机、手机、传真号码等）；</w:t>
      </w:r>
    </w:p>
    <w:p w14:paraId="526119A3">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right="677"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rPr>
        <w:t>5</w:t>
      </w:r>
      <w:r>
        <w:rPr>
          <w:rFonts w:hint="eastAsia" w:ascii="宋体" w:hAnsi="宋体" w:eastAsia="宋体" w:cs="宋体"/>
          <w:color w:val="auto"/>
          <w:spacing w:val="-6"/>
          <w:sz w:val="24"/>
          <w:szCs w:val="24"/>
          <w:highlight w:val="none"/>
        </w:rPr>
        <w:t>）质疑文件应当署名，质疑人为自然人的，应当由本人签字并附有效身份证明；质疑人为法人或其他组织的，应当由法定代表人签字并加盖单位公章。</w:t>
      </w:r>
    </w:p>
    <w:p w14:paraId="4D493667">
      <w:pPr>
        <w:pStyle w:val="346"/>
        <w:keepNext w:val="0"/>
        <w:keepLines w:val="0"/>
        <w:pageBreakBefore w:val="0"/>
        <w:widowControl/>
        <w:tabs>
          <w:tab w:val="left" w:pos="1823"/>
        </w:tabs>
        <w:kinsoku/>
        <w:wordWrap/>
        <w:overflowPunct/>
        <w:topLinePunct w:val="0"/>
        <w:autoSpaceDE/>
        <w:autoSpaceDN/>
        <w:bidi w:val="0"/>
        <w:adjustRightInd/>
        <w:snapToGrid/>
        <w:spacing w:after="0" w:line="360" w:lineRule="auto"/>
        <w:ind w:left="0" w:leftChars="0" w:right="677"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rPr>
        <w:t>6</w:t>
      </w:r>
      <w:r>
        <w:rPr>
          <w:rFonts w:hint="eastAsia" w:ascii="宋体" w:hAnsi="宋体" w:eastAsia="宋体" w:cs="宋体"/>
          <w:color w:val="auto"/>
          <w:spacing w:val="-6"/>
          <w:sz w:val="24"/>
          <w:szCs w:val="24"/>
          <w:highlight w:val="none"/>
        </w:rPr>
        <w:t>）供应商委托代理质疑的，应当向被质疑人提交授权委托书，并载明委托代理的具体权限和事项。</w:t>
      </w:r>
    </w:p>
    <w:p w14:paraId="26B93F1F">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rPr>
        <w:t>.3</w:t>
      </w:r>
      <w:r>
        <w:rPr>
          <w:rFonts w:hint="eastAsia" w:ascii="宋体" w:hAnsi="宋体" w:eastAsia="宋体" w:cs="宋体"/>
          <w:bCs/>
          <w:color w:val="auto"/>
          <w:sz w:val="24"/>
          <w:szCs w:val="24"/>
          <w:highlight w:val="none"/>
        </w:rPr>
        <w:t>质疑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p>
    <w:p w14:paraId="75F084C9">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rPr>
        <w:t>.4</w:t>
      </w:r>
      <w:r>
        <w:rPr>
          <w:rFonts w:hint="eastAsia" w:ascii="宋体" w:hAnsi="宋体" w:eastAsia="宋体" w:cs="宋体"/>
          <w:bCs/>
          <w:color w:val="auto"/>
          <w:sz w:val="24"/>
          <w:szCs w:val="24"/>
          <w:highlight w:val="none"/>
        </w:rPr>
        <w:t>代理机构在收到供应商的书面质疑后将及时组织调查核实，在七个工作日内作出答复，并以书面或在网站公告形式通知质疑供应商和其他有关供应商，答复的内容不涉及商业秘密。代理机构遵循“谁过错谁负担”的原则，有过错的一方承担调查论证费用。</w:t>
      </w:r>
    </w:p>
    <w:p w14:paraId="48D6D4FD">
      <w:pPr>
        <w:keepNext w:val="0"/>
        <w:keepLines w:val="0"/>
        <w:pageBreakBefore w:val="0"/>
        <w:widowControl/>
        <w:kinsoku/>
        <w:wordWrap/>
        <w:overflowPunct/>
        <w:topLinePunct w:val="0"/>
        <w:autoSpaceDE/>
        <w:autoSpaceDN/>
        <w:bidi w:val="0"/>
        <w:adjustRightInd/>
        <w:snapToGrid/>
        <w:spacing w:after="0" w:line="360" w:lineRule="auto"/>
        <w:ind w:right="5990" w:firstLine="482" w:firstLineChars="200"/>
        <w:textAlignment w:val="auto"/>
        <w:rPr>
          <w:rFonts w:hint="eastAsia" w:ascii="宋体" w:hAnsi="宋体" w:eastAsia="宋体" w:cs="宋体"/>
          <w:b/>
          <w:color w:val="auto"/>
          <w:sz w:val="24"/>
          <w:szCs w:val="24"/>
          <w:highlight w:val="none"/>
          <w:lang w:val="en-US"/>
        </w:rPr>
      </w:pPr>
      <w:r>
        <w:rPr>
          <w:rFonts w:hint="eastAsia" w:ascii="宋体" w:hAnsi="宋体" w:cs="宋体"/>
          <w:b/>
          <w:color w:val="auto"/>
          <w:sz w:val="24"/>
          <w:szCs w:val="24"/>
          <w:highlight w:val="none"/>
          <w:lang w:val="en-US" w:eastAsia="zh-CN"/>
        </w:rPr>
        <w:t>28</w:t>
      </w:r>
      <w:r>
        <w:rPr>
          <w:rFonts w:hint="eastAsia" w:ascii="宋体" w:hAnsi="宋体" w:eastAsia="宋体" w:cs="宋体"/>
          <w:b/>
          <w:color w:val="auto"/>
          <w:sz w:val="24"/>
          <w:szCs w:val="24"/>
          <w:highlight w:val="none"/>
          <w:lang w:val="en-US"/>
        </w:rPr>
        <w:t>、投诉</w:t>
      </w:r>
    </w:p>
    <w:p w14:paraId="1BCB9D91">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.1质疑供应商对代理机构的答复不满意，或代理机构未在规定的时间内作出答复的，可以在答复期满后十五个工作日内向采购项目同级财政部门投诉。</w:t>
      </w:r>
    </w:p>
    <w:p w14:paraId="0D20DA2C">
      <w:pPr>
        <w:keepNext w:val="0"/>
        <w:keepLines w:val="0"/>
        <w:pageBreakBefore w:val="0"/>
        <w:widowControl/>
        <w:kinsoku/>
        <w:wordWrap/>
        <w:overflowPunct/>
        <w:topLinePunct w:val="0"/>
        <w:autoSpaceDE/>
        <w:autoSpaceDN/>
        <w:bidi w:val="0"/>
        <w:adjustRightInd/>
        <w:snapToGrid/>
        <w:spacing w:after="0" w:line="360" w:lineRule="auto"/>
        <w:ind w:right="5990" w:firstLine="482" w:firstLineChars="200"/>
        <w:textAlignment w:val="auto"/>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2</w:t>
      </w:r>
      <w:r>
        <w:rPr>
          <w:rFonts w:hint="eastAsia" w:ascii="宋体" w:hAnsi="宋体" w:cs="宋体"/>
          <w:b/>
          <w:color w:val="auto"/>
          <w:sz w:val="24"/>
          <w:szCs w:val="24"/>
          <w:highlight w:val="none"/>
          <w:lang w:val="en-US" w:eastAsia="zh-CN"/>
        </w:rPr>
        <w:t>9</w:t>
      </w:r>
      <w:r>
        <w:rPr>
          <w:rFonts w:hint="eastAsia" w:ascii="宋体" w:hAnsi="宋体" w:eastAsia="宋体" w:cs="宋体"/>
          <w:b/>
          <w:color w:val="auto"/>
          <w:sz w:val="24"/>
          <w:szCs w:val="24"/>
          <w:highlight w:val="none"/>
          <w:lang w:val="en-US"/>
        </w:rPr>
        <w:t>、诚实信用</w:t>
      </w:r>
    </w:p>
    <w:p w14:paraId="34AA84F4">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rPr>
        <w:t>.1</w:t>
      </w:r>
      <w:r>
        <w:rPr>
          <w:rFonts w:hint="eastAsia" w:ascii="宋体" w:hAnsi="宋体" w:eastAsia="宋体" w:cs="宋体"/>
          <w:bCs/>
          <w:color w:val="auto"/>
          <w:sz w:val="24"/>
          <w:szCs w:val="24"/>
          <w:highlight w:val="none"/>
        </w:rPr>
        <w:t>供应商之间不得相互串通投标报价，不得妨碍其他供应商的公平竞争，不得损害采购人和其他供应商的合法权益。</w:t>
      </w:r>
    </w:p>
    <w:p w14:paraId="4B35A057">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rPr>
        <w:t>.2</w:t>
      </w:r>
      <w:r>
        <w:rPr>
          <w:rFonts w:hint="eastAsia" w:ascii="宋体" w:hAnsi="宋体" w:eastAsia="宋体" w:cs="宋体"/>
          <w:bCs/>
          <w:color w:val="auto"/>
          <w:sz w:val="24"/>
          <w:szCs w:val="24"/>
          <w:highlight w:val="none"/>
        </w:rPr>
        <w:t>供应商不得以向代理机构工作人员、评标委员会成员行贿或者采取其他不正当手段谋取中标。经查实供应商有此行为的，政府采购管理部门将供应商列入不良行为记录名单，按照《政府采购法》有关规定处理。</w:t>
      </w:r>
    </w:p>
    <w:p w14:paraId="6EC2BB4D">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rPr>
        <w:t>.3</w:t>
      </w:r>
      <w:r>
        <w:rPr>
          <w:rFonts w:hint="eastAsia" w:ascii="宋体" w:hAnsi="宋体" w:eastAsia="宋体" w:cs="宋体"/>
          <w:bCs/>
          <w:color w:val="auto"/>
          <w:sz w:val="24"/>
          <w:szCs w:val="24"/>
          <w:highlight w:val="none"/>
        </w:rPr>
        <w:t>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054BA184">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rPr>
        <w:t>4</w:t>
      </w:r>
      <w:r>
        <w:rPr>
          <w:rFonts w:hint="eastAsia" w:ascii="宋体" w:hAnsi="宋体" w:eastAsia="宋体" w:cs="宋体"/>
          <w:bCs/>
          <w:color w:val="auto"/>
          <w:sz w:val="24"/>
          <w:szCs w:val="24"/>
          <w:highlight w:val="none"/>
        </w:rPr>
        <w:t>供应商不得虚假承诺，否则，按照提供虚假材料谋取中标成交处理。</w:t>
      </w:r>
    </w:p>
    <w:p w14:paraId="30C7F385">
      <w:pPr>
        <w:pStyle w:val="346"/>
        <w:keepNext w:val="0"/>
        <w:keepLines w:val="0"/>
        <w:pageBreakBefore w:val="0"/>
        <w:widowControl/>
        <w:tabs>
          <w:tab w:val="left" w:pos="1929"/>
        </w:tabs>
        <w:kinsoku/>
        <w:wordWrap/>
        <w:overflowPunct/>
        <w:topLinePunct w:val="0"/>
        <w:autoSpaceDE/>
        <w:autoSpaceDN/>
        <w:bidi w:val="0"/>
        <w:adjustRightInd/>
        <w:snapToGrid/>
        <w:spacing w:after="0" w:line="360" w:lineRule="auto"/>
        <w:ind w:left="0" w:leftChars="0" w:right="31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rPr>
        <w:t>2</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en-US"/>
        </w:rPr>
        <w:t>.5</w:t>
      </w:r>
      <w:r>
        <w:rPr>
          <w:rFonts w:hint="eastAsia" w:ascii="宋体" w:hAnsi="宋体" w:eastAsia="宋体" w:cs="宋体"/>
          <w:bCs/>
          <w:color w:val="auto"/>
          <w:sz w:val="24"/>
          <w:szCs w:val="24"/>
          <w:highlight w:val="none"/>
        </w:rPr>
        <w:t>供应商应自觉遵守开标、评标纪律，扰乱开标评标现场秩序的，属于失信行为，根据《江苏省政府采购供应商监督管理暂行办法》，失信行为将被记入供应商诚信档案。</w:t>
      </w:r>
    </w:p>
    <w:p w14:paraId="406B8392">
      <w:pPr>
        <w:rPr>
          <w:color w:val="auto"/>
          <w:highlight w:val="none"/>
        </w:rPr>
      </w:pPr>
    </w:p>
    <w:p w14:paraId="02F73C6A">
      <w:pPr>
        <w:pStyle w:val="2"/>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color w:val="auto"/>
          <w:sz w:val="44"/>
          <w:highlight w:val="none"/>
          <w:u w:val="none"/>
        </w:rPr>
        <w:t>第</w:t>
      </w:r>
      <w:r>
        <w:rPr>
          <w:rFonts w:hint="eastAsia" w:ascii="黑体" w:hAnsi="黑体" w:eastAsia="黑体" w:cs="黑体"/>
          <w:color w:val="auto"/>
          <w:sz w:val="44"/>
          <w:highlight w:val="none"/>
          <w:u w:val="none"/>
          <w:lang w:val="en-US" w:eastAsia="zh-CN"/>
        </w:rPr>
        <w:t>三</w:t>
      </w:r>
      <w:r>
        <w:rPr>
          <w:rFonts w:ascii="黑体" w:hAnsi="黑体" w:eastAsia="黑体" w:cs="黑体"/>
          <w:color w:val="auto"/>
          <w:sz w:val="44"/>
          <w:highlight w:val="none"/>
          <w:u w:val="none"/>
        </w:rPr>
        <w:t>章</w:t>
      </w:r>
      <w:r>
        <w:rPr>
          <w:rFonts w:ascii="黑体" w:hAnsi="黑体" w:eastAsia="黑体" w:cs="黑体"/>
          <w:color w:val="auto"/>
          <w:sz w:val="44"/>
          <w:highlight w:val="none"/>
        </w:rPr>
        <w:t xml:space="preserve">  </w:t>
      </w:r>
      <w:r>
        <w:rPr>
          <w:rFonts w:ascii="黑体" w:hAnsi="黑体" w:eastAsia="黑体" w:cs="黑体"/>
          <w:color w:val="auto"/>
          <w:sz w:val="44"/>
          <w:highlight w:val="none"/>
          <w:u w:val="none"/>
        </w:rPr>
        <w:t>评标方法与评标标准</w:t>
      </w:r>
    </w:p>
    <w:p w14:paraId="2896B05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ind w:right="0" w:firstLine="480" w:firstLineChars="200"/>
        <w:jc w:val="both"/>
        <w:textAlignment w:val="auto"/>
        <w:rPr>
          <w:color w:val="auto"/>
          <w:highlight w:val="none"/>
        </w:rPr>
      </w:pPr>
      <w:r>
        <w:rPr>
          <w:rFonts w:ascii="宋体" w:hAnsi="宋体" w:eastAsia="宋体" w:cs="宋体"/>
          <w:color w:val="auto"/>
          <w:sz w:val="24"/>
          <w:highlight w:val="none"/>
        </w:rPr>
        <w:t>本项目采用综合评分法，总分为</w:t>
      </w:r>
      <w:r>
        <w:rPr>
          <w:rFonts w:ascii="Arial" w:hAnsi="Arial" w:eastAsia="Arial" w:cs="Arial"/>
          <w:color w:val="auto"/>
          <w:sz w:val="24"/>
          <w:highlight w:val="none"/>
        </w:rPr>
        <w:t>100</w:t>
      </w:r>
      <w:r>
        <w:rPr>
          <w:rFonts w:ascii="宋体" w:hAnsi="宋体" w:eastAsia="宋体" w:cs="宋体"/>
          <w:color w:val="auto"/>
          <w:sz w:val="24"/>
          <w:highlight w:val="none"/>
        </w:rPr>
        <w:t>分，将全部评委评分直接进行算术平均计算，小数点后按四舍五入规则保留</w:t>
      </w:r>
      <w:r>
        <w:rPr>
          <w:rFonts w:ascii="Arial" w:hAnsi="Arial" w:eastAsia="Arial" w:cs="Arial"/>
          <w:color w:val="auto"/>
          <w:sz w:val="24"/>
          <w:highlight w:val="none"/>
        </w:rPr>
        <w:t>2</w:t>
      </w:r>
      <w:r>
        <w:rPr>
          <w:rFonts w:ascii="宋体" w:hAnsi="宋体" w:eastAsia="宋体" w:cs="宋体"/>
          <w:color w:val="auto"/>
          <w:sz w:val="24"/>
          <w:highlight w:val="none"/>
        </w:rPr>
        <w:t>位。评标结果按评审后得分由高到低顺序排列。得分相同的，按投标报价由低到高顺序排列。得分且投标报价相同的，按主要技术指标优劣顺序排列，由评标委员会确定中标候选人。</w:t>
      </w:r>
    </w:p>
    <w:p w14:paraId="3653D9BA">
      <w:pPr>
        <w:pBdr>
          <w:top w:val="none" w:color="000000" w:sz="0" w:space="0"/>
          <w:left w:val="none" w:color="000000" w:sz="0" w:space="0"/>
          <w:bottom w:val="none" w:color="000000" w:sz="0" w:space="0"/>
          <w:right w:val="none" w:color="000000" w:sz="0" w:space="0"/>
        </w:pBdr>
        <w:spacing w:before="120" w:after="120" w:line="85" w:lineRule="atLeast"/>
        <w:ind w:left="0" w:right="0" w:firstLine="319"/>
        <w:jc w:val="both"/>
        <w:rPr>
          <w:color w:val="auto"/>
          <w:highlight w:val="none"/>
        </w:rPr>
      </w:pPr>
      <w:r>
        <w:rPr>
          <w:rFonts w:ascii="微软雅黑" w:hAnsi="微软雅黑" w:eastAsia="微软雅黑" w:cs="微软雅黑"/>
          <w:b/>
          <w:color w:val="auto"/>
          <w:sz w:val="24"/>
          <w:highlight w:val="none"/>
        </w:rPr>
        <w:t>（如无特别说明即适用所有分包）</w:t>
      </w:r>
    </w:p>
    <w:tbl>
      <w:tblPr>
        <w:tblStyle w:val="33"/>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992"/>
        <w:gridCol w:w="6870"/>
        <w:gridCol w:w="675"/>
      </w:tblGrid>
      <w:tr w14:paraId="32B58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26619965">
            <w:pPr>
              <w:widowControl w:val="0"/>
              <w:spacing w:after="0" w:line="360" w:lineRule="auto"/>
              <w:jc w:val="cente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序号</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449AD17">
            <w:pPr>
              <w:widowControl w:val="0"/>
              <w:spacing w:after="0" w:line="360" w:lineRule="auto"/>
              <w:jc w:val="cente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评分</w:t>
            </w:r>
          </w:p>
          <w:p w14:paraId="3A5E5A64">
            <w:pPr>
              <w:widowControl w:val="0"/>
              <w:spacing w:after="0" w:line="360" w:lineRule="auto"/>
              <w:jc w:val="cente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因素</w:t>
            </w:r>
          </w:p>
        </w:tc>
        <w:tc>
          <w:tcPr>
            <w:tcW w:w="6870" w:type="dxa"/>
            <w:tcBorders>
              <w:top w:val="single" w:color="auto" w:sz="4" w:space="0"/>
              <w:left w:val="single" w:color="auto" w:sz="4" w:space="0"/>
              <w:bottom w:val="single" w:color="auto" w:sz="4" w:space="0"/>
              <w:right w:val="single" w:color="auto" w:sz="4" w:space="0"/>
            </w:tcBorders>
            <w:noWrap w:val="0"/>
            <w:vAlign w:val="center"/>
          </w:tcPr>
          <w:p w14:paraId="23900774">
            <w:pPr>
              <w:widowControl w:val="0"/>
              <w:spacing w:after="0" w:line="360" w:lineRule="auto"/>
              <w:jc w:val="cente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评审标准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3C54FE8E">
            <w:pPr>
              <w:widowControl w:val="0"/>
              <w:spacing w:after="0" w:line="360" w:lineRule="auto"/>
              <w:jc w:val="cente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分值</w:t>
            </w:r>
          </w:p>
        </w:tc>
      </w:tr>
      <w:tr w14:paraId="35F2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37557D6D">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1</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42743C2">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价格</w:t>
            </w:r>
          </w:p>
        </w:tc>
        <w:tc>
          <w:tcPr>
            <w:tcW w:w="6870" w:type="dxa"/>
            <w:tcBorders>
              <w:top w:val="single" w:color="auto" w:sz="4" w:space="0"/>
              <w:left w:val="single" w:color="auto" w:sz="4" w:space="0"/>
              <w:bottom w:val="single" w:color="auto" w:sz="4" w:space="0"/>
              <w:right w:val="single" w:color="auto" w:sz="4" w:space="0"/>
            </w:tcBorders>
            <w:noWrap w:val="0"/>
            <w:vAlign w:val="center"/>
          </w:tcPr>
          <w:p w14:paraId="27E5C61D">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val="zh-CN"/>
              </w:rPr>
              <w:t>价格分统一采用低价优先法，即满足招标文件要求且投标价格最低的投标报价为评标基准价，其价格分为满分。其他投标人的价格分统一按照下列公式计算： 投标报价得分＝（评标基准价/投标报价）×1</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val="zh-CN"/>
              </w:rPr>
              <w:t>。小数点后按四舍五入规则保留2位小数。</w:t>
            </w:r>
          </w:p>
          <w:p w14:paraId="0F858FD1">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本项目执行财库〔2026〕2号《关于推动解决政府采购异常低价问题相关工作的通知》的相关规定。</w:t>
            </w:r>
          </w:p>
          <w:p w14:paraId="53ACA0B8">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1、评审中出现下列情形之一的，评审委员会应当启动异常低价投标（响应）审查程序： </w:t>
            </w:r>
          </w:p>
          <w:p w14:paraId="4ECB8DBE">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（1）投标（响应）报价低于全部通过符合性审查供应商投标（响应）报价平均值50%的，即投标（响应）报价&lt;全部通过符合性审查供应商投标（响应）报价平均值×50%； </w:t>
            </w:r>
          </w:p>
          <w:p w14:paraId="45E953A7">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（2）投标（响应）报价低于通过符合性审查的次低报价供应商投标（响应）报价50%的，即投标（响应）报价&lt;通过符合性审查的次低报价供应商投标（响应）报价×50%； </w:t>
            </w:r>
          </w:p>
          <w:p w14:paraId="74E76496">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（3）投标（响应）报价低于采购项目最高限价</w:t>
            </w:r>
            <w:r>
              <w:rPr>
                <w:rFonts w:hint="eastAsia" w:ascii="宋体" w:hAnsi="宋体" w:cs="宋体"/>
                <w:color w:val="auto"/>
                <w:sz w:val="21"/>
                <w:szCs w:val="21"/>
                <w:highlight w:val="none"/>
                <w:lang w:val="zh-CN" w:eastAsia="zh-CN"/>
              </w:rPr>
              <w:t>4</w:t>
            </w:r>
            <w:r>
              <w:rPr>
                <w:rFonts w:hint="eastAsia" w:ascii="宋体" w:hAnsi="宋体" w:cs="宋体"/>
                <w:color w:val="auto"/>
                <w:sz w:val="21"/>
                <w:szCs w:val="21"/>
                <w:highlight w:val="none"/>
                <w:lang w:val="zh-CN"/>
              </w:rPr>
              <w:t>5%的，即投标（响应）报价&lt;采购项目最高限价×</w:t>
            </w:r>
            <w:r>
              <w:rPr>
                <w:rFonts w:hint="eastAsia" w:ascii="宋体" w:hAnsi="宋体" w:cs="宋体"/>
                <w:color w:val="auto"/>
                <w:sz w:val="21"/>
                <w:szCs w:val="21"/>
                <w:highlight w:val="none"/>
                <w:lang w:val="zh-CN" w:eastAsia="zh-CN"/>
              </w:rPr>
              <w:t>4</w:t>
            </w:r>
            <w:r>
              <w:rPr>
                <w:rFonts w:hint="eastAsia" w:ascii="宋体" w:hAnsi="宋体" w:cs="宋体"/>
                <w:color w:val="auto"/>
                <w:sz w:val="21"/>
                <w:szCs w:val="21"/>
                <w:highlight w:val="none"/>
                <w:lang w:val="zh-CN"/>
              </w:rPr>
              <w:t>5%； </w:t>
            </w:r>
          </w:p>
          <w:p w14:paraId="6E1AE18C">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（4）评审委员会基于专业判断，认为供应商报价过低，有可能影响产品质量或者不能诚信履约的其他情形。 </w:t>
            </w:r>
          </w:p>
          <w:p w14:paraId="2A2C8DC4">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相关法律法规对供应商报价有规定的，从其规定。 </w:t>
            </w:r>
          </w:p>
          <w:p w14:paraId="545424BA">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及人工成本明细说明及相关证明材料；最后报价与首次报价差额的原因分析明细、具体可落实环节和理由（包括综合单价的合理性分析、成本的计算公式、材料市场价格分析及相关证明资料）；后期的履约保证措施等，给予相关供应商的合理时间一般不少于30分钟。 </w:t>
            </w:r>
          </w:p>
          <w:p w14:paraId="5A5A08BE">
            <w:pPr>
              <w:widowControl w:val="0"/>
              <w:numPr>
                <w:ilvl w:val="0"/>
                <w:numId w:val="0"/>
              </w:numPr>
              <w:spacing w:after="0" w:line="360" w:lineRule="auto"/>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19B299EA">
            <w:pPr>
              <w:widowControl w:val="0"/>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15</w:t>
            </w:r>
          </w:p>
        </w:tc>
      </w:tr>
      <w:tr w14:paraId="6C793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3A4DC836">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2</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91A1898">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工作要求响应</w:t>
            </w:r>
          </w:p>
        </w:tc>
        <w:tc>
          <w:tcPr>
            <w:tcW w:w="6870" w:type="dxa"/>
            <w:tcBorders>
              <w:top w:val="single" w:color="auto" w:sz="4" w:space="0"/>
              <w:left w:val="single" w:color="auto" w:sz="4" w:space="0"/>
              <w:bottom w:val="single" w:color="auto" w:sz="4" w:space="0"/>
              <w:right w:val="single" w:color="auto" w:sz="4" w:space="0"/>
            </w:tcBorders>
            <w:noWrap w:val="0"/>
            <w:vAlign w:val="center"/>
          </w:tcPr>
          <w:p w14:paraId="6925535B">
            <w:pPr>
              <w:widowControl w:val="0"/>
              <w:spacing w:after="0" w:line="360" w:lineRule="auto"/>
              <w:ind w:firstLine="210" w:firstLineChars="10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2.根据供应商对本项目招标文件第四章“二、技术要求”中的“2.工作要求”响应情况评分：</w:t>
            </w:r>
          </w:p>
          <w:p w14:paraId="2757B3AC">
            <w:pPr>
              <w:pStyle w:val="39"/>
              <w:ind w:firstLine="0" w:firstLineChars="0"/>
              <w:rPr>
                <w:rFonts w:hint="eastAsia"/>
                <w:color w:val="auto"/>
                <w:highlight w:val="none"/>
              </w:rPr>
            </w:pPr>
            <w:r>
              <w:rPr>
                <w:rFonts w:hint="eastAsia"/>
                <w:color w:val="auto"/>
                <w:highlight w:val="none"/>
              </w:rPr>
              <w:t xml:space="preserve">  供应商承诺每满足</w:t>
            </w:r>
            <w:r>
              <w:rPr>
                <w:rFonts w:hint="eastAsia"/>
                <w:color w:val="auto"/>
                <w:highlight w:val="none"/>
                <w:lang w:val="en-US" w:eastAsia="zh-CN"/>
              </w:rPr>
              <w:t>1</w:t>
            </w:r>
            <w:r>
              <w:rPr>
                <w:rFonts w:hint="eastAsia"/>
                <w:color w:val="auto"/>
                <w:highlight w:val="none"/>
              </w:rPr>
              <w:t>项得</w:t>
            </w:r>
            <w:r>
              <w:rPr>
                <w:rFonts w:hint="eastAsia"/>
                <w:color w:val="auto"/>
                <w:highlight w:val="none"/>
                <w:lang w:val="en-US" w:eastAsia="zh-CN"/>
              </w:rPr>
              <w:t>0.5</w:t>
            </w:r>
            <w:r>
              <w:rPr>
                <w:rFonts w:hint="eastAsia"/>
                <w:color w:val="auto"/>
                <w:highlight w:val="none"/>
              </w:rPr>
              <w:t>分，共计</w:t>
            </w:r>
            <w:r>
              <w:rPr>
                <w:rFonts w:hint="eastAsia"/>
                <w:color w:val="auto"/>
                <w:highlight w:val="none"/>
                <w:lang w:val="en-US" w:eastAsia="zh-CN"/>
              </w:rPr>
              <w:t>10</w:t>
            </w:r>
            <w:r>
              <w:rPr>
                <w:rFonts w:hint="eastAsia"/>
                <w:color w:val="auto"/>
                <w:highlight w:val="none"/>
              </w:rPr>
              <w:t>项工作要求，全部满足得</w:t>
            </w:r>
            <w:r>
              <w:rPr>
                <w:rFonts w:hint="eastAsia"/>
                <w:color w:val="auto"/>
                <w:highlight w:val="none"/>
                <w:lang w:val="en-US" w:eastAsia="zh-CN"/>
              </w:rPr>
              <w:t>5</w:t>
            </w:r>
            <w:r>
              <w:rPr>
                <w:rFonts w:hint="eastAsia"/>
                <w:color w:val="auto"/>
                <w:highlight w:val="none"/>
              </w:rPr>
              <w:t>分。供应商需提供承诺函并加盖投标供应商公章。</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728355FB">
            <w:pPr>
              <w:widowControl w:val="0"/>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r>
      <w:tr w14:paraId="0D8DC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6CA11F57">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3</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988E02E">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业绩</w:t>
            </w:r>
          </w:p>
        </w:tc>
        <w:tc>
          <w:tcPr>
            <w:tcW w:w="6870" w:type="dxa"/>
            <w:tcBorders>
              <w:top w:val="single" w:color="auto" w:sz="4" w:space="0"/>
              <w:left w:val="single" w:color="auto" w:sz="4" w:space="0"/>
              <w:bottom w:val="single" w:color="auto" w:sz="4" w:space="0"/>
              <w:right w:val="single" w:color="auto" w:sz="4" w:space="0"/>
            </w:tcBorders>
            <w:noWrap w:val="0"/>
            <w:vAlign w:val="center"/>
          </w:tcPr>
          <w:p w14:paraId="452BE5E1">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3</w:t>
            </w:r>
            <w:r>
              <w:rPr>
                <w:rFonts w:ascii="宋体" w:hAnsi="宋体" w:cs="宋体"/>
                <w:color w:val="auto"/>
                <w:sz w:val="21"/>
                <w:szCs w:val="21"/>
                <w:highlight w:val="none"/>
                <w:lang w:val="zh-CN"/>
              </w:rPr>
              <w:t>.</w:t>
            </w:r>
            <w:r>
              <w:rPr>
                <w:rFonts w:hint="eastAsia" w:ascii="宋体" w:hAnsi="宋体" w:cs="宋体"/>
                <w:color w:val="auto"/>
                <w:sz w:val="21"/>
                <w:szCs w:val="21"/>
                <w:highlight w:val="none"/>
                <w:lang w:val="zh-CN"/>
              </w:rPr>
              <w:t>202</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val="zh-CN"/>
              </w:rPr>
              <w:t>年</w:t>
            </w:r>
            <w:r>
              <w:rPr>
                <w:rFonts w:hint="eastAsia" w:ascii="宋体" w:hAnsi="宋体" w:cs="宋体"/>
                <w:color w:val="auto"/>
                <w:sz w:val="21"/>
                <w:szCs w:val="21"/>
                <w:highlight w:val="none"/>
                <w:lang w:val="en-US" w:eastAsia="zh-CN"/>
              </w:rPr>
              <w:t>7</w:t>
            </w:r>
            <w:r>
              <w:rPr>
                <w:rFonts w:hint="eastAsia" w:ascii="宋体" w:hAnsi="宋体" w:cs="宋体"/>
                <w:color w:val="auto"/>
                <w:sz w:val="21"/>
                <w:szCs w:val="21"/>
                <w:highlight w:val="none"/>
                <w:lang w:val="zh-CN"/>
              </w:rPr>
              <w:t>月1日至首次递交投标文件截止时间止，供应商具有类似本项目业绩的，每提供1个得</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val="zh-CN"/>
              </w:rPr>
              <w:t>分，最多得</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val="zh-CN"/>
              </w:rPr>
              <w:t>分（以合同签订时间为准，提供合同复印件，加盖投标供应商公章，合同应能反映相关信息，未提供或不符合要求不得分）。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0F696EE1">
            <w:pPr>
              <w:widowControl w:val="0"/>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r>
      <w:tr w14:paraId="53DCA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right w:val="single" w:color="auto" w:sz="4" w:space="0"/>
            </w:tcBorders>
            <w:noWrap w:val="0"/>
            <w:vAlign w:val="center"/>
          </w:tcPr>
          <w:p w14:paraId="3E6331FF">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4</w:t>
            </w:r>
          </w:p>
        </w:tc>
        <w:tc>
          <w:tcPr>
            <w:tcW w:w="992" w:type="dxa"/>
            <w:tcBorders>
              <w:top w:val="single" w:color="auto" w:sz="4" w:space="0"/>
              <w:left w:val="single" w:color="auto" w:sz="4" w:space="0"/>
              <w:right w:val="single" w:color="auto" w:sz="4" w:space="0"/>
            </w:tcBorders>
            <w:noWrap w:val="0"/>
            <w:vAlign w:val="center"/>
          </w:tcPr>
          <w:p w14:paraId="600224E8">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履约能力</w:t>
            </w:r>
          </w:p>
        </w:tc>
        <w:tc>
          <w:tcPr>
            <w:tcW w:w="6870" w:type="dxa"/>
            <w:tcBorders>
              <w:top w:val="single" w:color="auto" w:sz="4" w:space="0"/>
              <w:left w:val="single" w:color="auto" w:sz="4" w:space="0"/>
              <w:bottom w:val="single" w:color="auto" w:sz="4" w:space="0"/>
              <w:right w:val="single" w:color="auto" w:sz="4" w:space="0"/>
            </w:tcBorders>
            <w:noWrap w:val="0"/>
            <w:vAlign w:val="center"/>
          </w:tcPr>
          <w:p w14:paraId="71EEA738">
            <w:pPr>
              <w:widowControl w:val="0"/>
              <w:spacing w:after="0" w:line="360" w:lineRule="auto"/>
              <w:ind w:firstLine="210" w:firstLineChars="10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4</w:t>
            </w:r>
            <w:r>
              <w:rPr>
                <w:rFonts w:ascii="宋体" w:hAnsi="宋体" w:cs="宋体"/>
                <w:color w:val="auto"/>
                <w:sz w:val="21"/>
                <w:szCs w:val="21"/>
                <w:highlight w:val="none"/>
                <w:lang w:val="zh-CN"/>
              </w:rPr>
              <w:t>.</w:t>
            </w:r>
            <w:r>
              <w:rPr>
                <w:rFonts w:hint="eastAsia" w:ascii="宋体" w:hAnsi="宋体" w:cs="宋体"/>
                <w:color w:val="auto"/>
                <w:sz w:val="21"/>
                <w:szCs w:val="21"/>
                <w:highlight w:val="none"/>
                <w:lang w:val="zh-CN"/>
              </w:rPr>
              <w:t>根据</w:t>
            </w:r>
            <w:bookmarkStart w:id="7" w:name="_Hlk100092657"/>
            <w:r>
              <w:rPr>
                <w:rFonts w:hint="eastAsia" w:ascii="宋体" w:hAnsi="宋体" w:cs="宋体"/>
                <w:color w:val="auto"/>
                <w:sz w:val="21"/>
                <w:szCs w:val="21"/>
                <w:highlight w:val="none"/>
                <w:lang w:val="zh-CN"/>
              </w:rPr>
              <w:t>投标供应商使用的具有不同功能的正版管理应用软件评分</w:t>
            </w:r>
            <w:bookmarkEnd w:id="7"/>
            <w:r>
              <w:rPr>
                <w:rFonts w:hint="eastAsia" w:ascii="宋体" w:hAnsi="宋体" w:cs="宋体"/>
                <w:color w:val="auto"/>
                <w:sz w:val="21"/>
                <w:szCs w:val="21"/>
                <w:highlight w:val="none"/>
                <w:lang w:val="zh-CN"/>
              </w:rPr>
              <w:t>：</w:t>
            </w:r>
          </w:p>
          <w:p w14:paraId="4A665994">
            <w:pPr>
              <w:widowControl w:val="0"/>
              <w:spacing w:after="0" w:line="360" w:lineRule="auto"/>
              <w:ind w:firstLine="21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使用审计作业辅助软件得</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val="zh-CN"/>
              </w:rPr>
              <w:t>分；</w:t>
            </w:r>
          </w:p>
          <w:p w14:paraId="497535F2">
            <w:pPr>
              <w:widowControl w:val="0"/>
              <w:spacing w:after="0" w:line="360" w:lineRule="auto"/>
              <w:ind w:firstLine="21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使用OA软件得</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分；</w:t>
            </w:r>
          </w:p>
          <w:p w14:paraId="2B7008B0">
            <w:pPr>
              <w:widowControl w:val="0"/>
              <w:spacing w:after="0" w:line="360" w:lineRule="auto"/>
              <w:ind w:firstLine="21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使用人员管理软件得</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分；</w:t>
            </w:r>
          </w:p>
          <w:p w14:paraId="4D98378A">
            <w:pPr>
              <w:widowControl w:val="0"/>
              <w:spacing w:after="0" w:line="360" w:lineRule="auto"/>
              <w:ind w:firstLine="21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使用文件档案管理软件得</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分；</w:t>
            </w:r>
          </w:p>
          <w:p w14:paraId="76989F3D">
            <w:pPr>
              <w:widowControl w:val="0"/>
              <w:spacing w:after="0" w:line="360" w:lineRule="auto"/>
              <w:ind w:firstLine="21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使用质量管理软件得</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分。</w:t>
            </w:r>
          </w:p>
          <w:p w14:paraId="5D01FA6F">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需提供软件使用证明材料：提供投标供应商自主开发证明或投标供应商软件产品著作权证书或软件购买合同协议，能显示投标供应商信息的使用截图。</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568934AE">
            <w:pPr>
              <w:widowControl w:val="0"/>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w:t>
            </w:r>
          </w:p>
        </w:tc>
      </w:tr>
      <w:tr w14:paraId="68FE6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right w:val="single" w:color="auto" w:sz="4" w:space="0"/>
            </w:tcBorders>
            <w:noWrap w:val="0"/>
            <w:vAlign w:val="center"/>
          </w:tcPr>
          <w:p w14:paraId="143030F9">
            <w:pPr>
              <w:widowControl w:val="0"/>
              <w:spacing w:after="0"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5</w:t>
            </w:r>
            <w:r>
              <w:rPr>
                <w:rFonts w:ascii="宋体" w:hAnsi="宋体" w:cs="宋体"/>
                <w:b/>
                <w:bCs/>
                <w:color w:val="auto"/>
                <w:sz w:val="21"/>
                <w:szCs w:val="21"/>
                <w:highlight w:val="none"/>
                <w:lang w:val="zh-CN"/>
              </w:rPr>
              <w:t>.1</w:t>
            </w:r>
          </w:p>
        </w:tc>
        <w:tc>
          <w:tcPr>
            <w:tcW w:w="992" w:type="dxa"/>
            <w:vMerge w:val="restart"/>
            <w:tcBorders>
              <w:left w:val="single" w:color="auto" w:sz="4" w:space="0"/>
              <w:right w:val="single" w:color="auto" w:sz="4" w:space="0"/>
            </w:tcBorders>
            <w:noWrap w:val="0"/>
            <w:vAlign w:val="center"/>
          </w:tcPr>
          <w:p w14:paraId="3616E6F3">
            <w:pPr>
              <w:widowControl w:val="0"/>
              <w:spacing w:after="0" w:line="360" w:lineRule="auto"/>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团队人员</w:t>
            </w:r>
          </w:p>
        </w:tc>
        <w:tc>
          <w:tcPr>
            <w:tcW w:w="6870" w:type="dxa"/>
            <w:tcBorders>
              <w:top w:val="single" w:color="auto" w:sz="4" w:space="0"/>
              <w:left w:val="single" w:color="auto" w:sz="4" w:space="0"/>
              <w:bottom w:val="single" w:color="auto" w:sz="4" w:space="0"/>
              <w:right w:val="single" w:color="auto" w:sz="4" w:space="0"/>
            </w:tcBorders>
            <w:noWrap w:val="0"/>
            <w:vAlign w:val="center"/>
          </w:tcPr>
          <w:p w14:paraId="7CB22799">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5</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专门团队中具有注册会计师或税务师职业资格人员数量（不含5</w:t>
            </w:r>
            <w:r>
              <w:rPr>
                <w:rFonts w:ascii="宋体" w:hAnsi="宋体" w:cs="宋体"/>
                <w:color w:val="auto"/>
                <w:sz w:val="21"/>
                <w:szCs w:val="21"/>
                <w:highlight w:val="none"/>
                <w:lang w:val="zh-CN"/>
              </w:rPr>
              <w:t>.2</w:t>
            </w:r>
            <w:r>
              <w:rPr>
                <w:rFonts w:hint="eastAsia" w:ascii="宋体" w:hAnsi="宋体" w:cs="宋体"/>
                <w:color w:val="auto"/>
                <w:sz w:val="21"/>
                <w:szCs w:val="21"/>
                <w:highlight w:val="none"/>
                <w:lang w:val="zh-CN"/>
              </w:rPr>
              <w:t>评分点人员）</w:t>
            </w:r>
          </w:p>
          <w:p w14:paraId="2A60CE3F">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供应商拟投入本项目的专门团队人员，其中的注册会计师或税务师职业资格人员数量不少于2名，满足要求得</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val="zh-CN"/>
              </w:rPr>
              <w:t>分，在此基础上供应商每增加1名注册会计师或税务师职业资格人员得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val="zh-CN"/>
              </w:rPr>
              <w:t>分，即3人得</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val="zh-CN"/>
              </w:rPr>
              <w:t>分，4人得</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lang w:val="zh-CN"/>
              </w:rPr>
              <w:t>分，5人得</w:t>
            </w:r>
            <w:r>
              <w:rPr>
                <w:rFonts w:hint="eastAsia" w:ascii="宋体" w:hAnsi="宋体" w:cs="宋体"/>
                <w:color w:val="auto"/>
                <w:sz w:val="21"/>
                <w:szCs w:val="21"/>
                <w:highlight w:val="none"/>
                <w:lang w:val="en-US" w:eastAsia="zh-CN"/>
              </w:rPr>
              <w:t>10</w:t>
            </w:r>
            <w:r>
              <w:rPr>
                <w:rFonts w:hint="eastAsia" w:ascii="宋体" w:hAnsi="宋体" w:cs="宋体"/>
                <w:color w:val="auto"/>
                <w:sz w:val="21"/>
                <w:szCs w:val="21"/>
                <w:highlight w:val="none"/>
                <w:lang w:val="zh-CN"/>
              </w:rPr>
              <w:t>分，6人及以上得12分，本评分点满分</w:t>
            </w:r>
            <w:r>
              <w:rPr>
                <w:rFonts w:hint="eastAsia" w:ascii="宋体" w:hAnsi="宋体" w:cs="宋体"/>
                <w:color w:val="auto"/>
                <w:sz w:val="21"/>
                <w:szCs w:val="21"/>
                <w:highlight w:val="none"/>
                <w:lang w:val="en-US" w:eastAsia="zh-CN"/>
              </w:rPr>
              <w:t>12</w:t>
            </w:r>
            <w:r>
              <w:rPr>
                <w:rFonts w:hint="eastAsia" w:ascii="宋体" w:hAnsi="宋体" w:cs="宋体"/>
                <w:color w:val="auto"/>
                <w:sz w:val="21"/>
                <w:szCs w:val="21"/>
                <w:highlight w:val="none"/>
                <w:lang w:val="zh-CN"/>
              </w:rPr>
              <w:t>分（1人同时具有税务师、注册会计师证书的按1名计算）。</w:t>
            </w:r>
          </w:p>
          <w:p w14:paraId="2EE94298">
            <w:pPr>
              <w:widowControl w:val="0"/>
              <w:spacing w:after="0" w:line="360" w:lineRule="auto"/>
              <w:ind w:firstLine="420" w:firstLineChars="2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所有计分人员在投标文件中提供2项证明材料：（1）上述人员本人持有的有效合规的注册会计师职业资格证书复印件或税务师职业资格证书复印件；（2）供应商为上述人员缴纳2</w:t>
            </w:r>
            <w:r>
              <w:rPr>
                <w:rFonts w:ascii="宋体" w:hAnsi="宋体" w:cs="宋体"/>
                <w:color w:val="auto"/>
                <w:sz w:val="21"/>
                <w:szCs w:val="21"/>
                <w:highlight w:val="none"/>
                <w:lang w:val="zh-CN"/>
              </w:rPr>
              <w:t>02</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val="zh-CN"/>
              </w:rPr>
              <w:t>年0</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val="zh-CN"/>
              </w:rPr>
              <w:t>月至</w:t>
            </w:r>
            <w:r>
              <w:rPr>
                <w:rFonts w:ascii="宋体" w:hAnsi="宋体" w:cs="宋体"/>
                <w:color w:val="auto"/>
                <w:sz w:val="21"/>
                <w:szCs w:val="21"/>
                <w:highlight w:val="none"/>
                <w:lang w:val="zh-CN"/>
              </w:rPr>
              <w:t>0</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val="zh-CN"/>
              </w:rPr>
              <w:t>月期间任意一月社会保险证明材料。未提供或不完整或不符合要求均不得分。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368897BA">
            <w:pPr>
              <w:widowControl w:val="0"/>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12</w:t>
            </w:r>
          </w:p>
        </w:tc>
      </w:tr>
      <w:tr w14:paraId="36F0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left w:val="single" w:color="auto" w:sz="4" w:space="0"/>
              <w:bottom w:val="single" w:color="auto" w:sz="4" w:space="0"/>
              <w:right w:val="single" w:color="auto" w:sz="4" w:space="0"/>
            </w:tcBorders>
            <w:noWrap w:val="0"/>
            <w:vAlign w:val="center"/>
          </w:tcPr>
          <w:p w14:paraId="117A3C3A">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5</w:t>
            </w:r>
            <w:r>
              <w:rPr>
                <w:rFonts w:ascii="宋体" w:hAnsi="宋体" w:cs="宋体"/>
                <w:b/>
                <w:bCs/>
                <w:color w:val="auto"/>
                <w:sz w:val="21"/>
                <w:szCs w:val="21"/>
                <w:highlight w:val="none"/>
                <w:lang w:val="zh-CN"/>
              </w:rPr>
              <w:t>.2</w:t>
            </w:r>
          </w:p>
        </w:tc>
        <w:tc>
          <w:tcPr>
            <w:tcW w:w="992" w:type="dxa"/>
            <w:vMerge w:val="continue"/>
            <w:tcBorders>
              <w:left w:val="single" w:color="auto" w:sz="4" w:space="0"/>
              <w:bottom w:val="single" w:color="auto" w:sz="4" w:space="0"/>
              <w:right w:val="single" w:color="auto" w:sz="4" w:space="0"/>
            </w:tcBorders>
            <w:noWrap w:val="0"/>
            <w:vAlign w:val="center"/>
          </w:tcPr>
          <w:p w14:paraId="3284AD66">
            <w:pPr>
              <w:widowControl w:val="0"/>
              <w:spacing w:after="0" w:line="360" w:lineRule="auto"/>
              <w:jc w:val="center"/>
              <w:rPr>
                <w:rFonts w:hint="eastAsia" w:ascii="宋体" w:hAnsi="宋体" w:cs="宋体"/>
                <w:b/>
                <w:bCs/>
                <w:color w:val="auto"/>
                <w:sz w:val="21"/>
                <w:szCs w:val="21"/>
                <w:highlight w:val="none"/>
                <w:lang w:val="zh-CN"/>
              </w:rPr>
            </w:pPr>
          </w:p>
        </w:tc>
        <w:tc>
          <w:tcPr>
            <w:tcW w:w="6870" w:type="dxa"/>
            <w:tcBorders>
              <w:top w:val="single" w:color="auto" w:sz="4" w:space="0"/>
              <w:left w:val="single" w:color="auto" w:sz="4" w:space="0"/>
              <w:bottom w:val="single" w:color="auto" w:sz="4" w:space="0"/>
              <w:right w:val="single" w:color="auto" w:sz="4" w:space="0"/>
            </w:tcBorders>
            <w:noWrap w:val="0"/>
            <w:vAlign w:val="center"/>
          </w:tcPr>
          <w:p w14:paraId="07750C25">
            <w:pPr>
              <w:widowControl w:val="0"/>
              <w:spacing w:after="0" w:line="360" w:lineRule="auto"/>
              <w:ind w:firstLine="210" w:firstLineChars="10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5</w:t>
            </w:r>
            <w:r>
              <w:rPr>
                <w:rFonts w:ascii="宋体" w:hAnsi="宋体" w:cs="宋体"/>
                <w:color w:val="auto"/>
                <w:sz w:val="21"/>
                <w:szCs w:val="21"/>
                <w:highlight w:val="none"/>
                <w:lang w:val="zh-CN"/>
              </w:rPr>
              <w:t>.2</w:t>
            </w:r>
            <w:r>
              <w:rPr>
                <w:rFonts w:hint="eastAsia" w:ascii="宋体" w:hAnsi="宋体" w:cs="宋体"/>
                <w:color w:val="auto"/>
                <w:sz w:val="21"/>
                <w:szCs w:val="21"/>
                <w:highlight w:val="none"/>
                <w:lang w:val="zh-CN"/>
              </w:rPr>
              <w:t>专门团队中其他专业人员数量（不含5</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评分点人员）</w:t>
            </w:r>
          </w:p>
          <w:p w14:paraId="028DED61">
            <w:pPr>
              <w:widowControl w:val="0"/>
              <w:spacing w:after="0" w:line="360" w:lineRule="auto"/>
              <w:ind w:firstLine="210" w:firstLineChars="10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供应商拟投入本项目的专门团队人员中，除5</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提供的人员以外的其他专业人员，具有注册会计师或税务师职业资格或会计专业技术资格[即初级（助理会计师）、中级（会计师）、高级（高级会计师）] 人员数量不少于4名，满足要求得</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val="zh-CN"/>
              </w:rPr>
              <w:t>分，在此基础上供应商每增加1名符合本评分点要求的人员，得1分，即5人得5分，6人得6分，7人得7分，8人及以上得8分。本小项满分</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lang w:val="zh-CN"/>
              </w:rPr>
              <w:t>分。</w:t>
            </w:r>
          </w:p>
          <w:p w14:paraId="6A45CB1E">
            <w:pPr>
              <w:widowControl w:val="0"/>
              <w:spacing w:after="0" w:line="360" w:lineRule="auto"/>
              <w:ind w:firstLine="420" w:firstLineChars="2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本评分点所有人员与5</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评分点所有人员不重复计算，在符合条件的前提下只计算一次。如发生重复的在符合条件的前提下优先在5</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评分点中予以计算至满分为止，其余方可在5</w:t>
            </w:r>
            <w:r>
              <w:rPr>
                <w:rFonts w:ascii="宋体" w:hAnsi="宋体" w:cs="宋体"/>
                <w:color w:val="auto"/>
                <w:sz w:val="21"/>
                <w:szCs w:val="21"/>
                <w:highlight w:val="none"/>
                <w:lang w:val="zh-CN"/>
              </w:rPr>
              <w:t>.2</w:t>
            </w:r>
            <w:r>
              <w:rPr>
                <w:rFonts w:hint="eastAsia" w:ascii="宋体" w:hAnsi="宋体" w:cs="宋体"/>
                <w:color w:val="auto"/>
                <w:sz w:val="21"/>
                <w:szCs w:val="21"/>
                <w:highlight w:val="none"/>
                <w:lang w:val="zh-CN"/>
              </w:rPr>
              <w:t>评分点予以计分。1人同时具备多个证书的，均按1人计算。</w:t>
            </w:r>
          </w:p>
          <w:p w14:paraId="2D3A4B81">
            <w:pPr>
              <w:widowControl w:val="0"/>
              <w:spacing w:after="0" w:line="360" w:lineRule="auto"/>
              <w:ind w:firstLine="420" w:firstLineChars="2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所有计分人员在投标文件中提供2</w:t>
            </w:r>
            <w:r>
              <w:rPr>
                <w:rFonts w:ascii="宋体" w:hAnsi="宋体" w:cs="宋体"/>
                <w:color w:val="auto"/>
                <w:sz w:val="21"/>
                <w:szCs w:val="21"/>
                <w:highlight w:val="none"/>
                <w:lang w:val="zh-CN"/>
              </w:rPr>
              <w:t>项证明材料</w:t>
            </w:r>
            <w:r>
              <w:rPr>
                <w:rFonts w:hint="eastAsia" w:ascii="宋体" w:hAnsi="宋体" w:cs="宋体"/>
                <w:color w:val="auto"/>
                <w:sz w:val="21"/>
                <w:szCs w:val="21"/>
                <w:highlight w:val="none"/>
                <w:lang w:val="zh-CN"/>
              </w:rPr>
              <w:t>：（1）上述人员本人持有的有效合规的会计专业技术资格证书复印件或税务师职业资格证书复印件或注册会计师职业资格证书复印件；（2）供应商为上述人员缴纳2</w:t>
            </w:r>
            <w:r>
              <w:rPr>
                <w:rFonts w:ascii="宋体" w:hAnsi="宋体" w:cs="宋体"/>
                <w:color w:val="auto"/>
                <w:sz w:val="21"/>
                <w:szCs w:val="21"/>
                <w:highlight w:val="none"/>
                <w:lang w:val="zh-CN"/>
              </w:rPr>
              <w:t>02</w:t>
            </w:r>
            <w:r>
              <w:rPr>
                <w:rFonts w:hint="eastAsia" w:ascii="宋体" w:hAnsi="宋体" w:cs="宋体"/>
                <w:color w:val="auto"/>
                <w:sz w:val="21"/>
                <w:szCs w:val="21"/>
                <w:highlight w:val="none"/>
                <w:lang w:val="en-US" w:eastAsia="zh-CN"/>
              </w:rPr>
              <w:t>6</w:t>
            </w:r>
            <w:r>
              <w:rPr>
                <w:rFonts w:ascii="宋体" w:hAnsi="宋体" w:cs="宋体"/>
                <w:color w:val="auto"/>
                <w:sz w:val="21"/>
                <w:szCs w:val="21"/>
                <w:highlight w:val="none"/>
                <w:lang w:val="zh-CN"/>
              </w:rPr>
              <w:t>年</w:t>
            </w:r>
            <w:r>
              <w:rPr>
                <w:rFonts w:hint="eastAsia" w:ascii="宋体" w:hAnsi="宋体" w:cs="宋体"/>
                <w:color w:val="auto"/>
                <w:sz w:val="21"/>
                <w:szCs w:val="21"/>
                <w:highlight w:val="none"/>
                <w:lang w:val="zh-CN"/>
              </w:rPr>
              <w:t>0</w:t>
            </w:r>
            <w:r>
              <w:rPr>
                <w:rFonts w:hint="eastAsia" w:ascii="宋体" w:hAnsi="宋体" w:cs="宋体"/>
                <w:color w:val="auto"/>
                <w:sz w:val="21"/>
                <w:szCs w:val="21"/>
                <w:highlight w:val="none"/>
                <w:lang w:val="en-US" w:eastAsia="zh-CN"/>
              </w:rPr>
              <w:t>4</w:t>
            </w:r>
            <w:r>
              <w:rPr>
                <w:rFonts w:ascii="宋体" w:hAnsi="宋体" w:cs="宋体"/>
                <w:color w:val="auto"/>
                <w:sz w:val="21"/>
                <w:szCs w:val="21"/>
                <w:highlight w:val="none"/>
                <w:lang w:val="zh-CN"/>
              </w:rPr>
              <w:t>月至0</w:t>
            </w:r>
            <w:r>
              <w:rPr>
                <w:rFonts w:hint="eastAsia" w:ascii="宋体" w:hAnsi="宋体" w:cs="宋体"/>
                <w:color w:val="auto"/>
                <w:sz w:val="21"/>
                <w:szCs w:val="21"/>
                <w:highlight w:val="none"/>
                <w:lang w:val="en-US" w:eastAsia="zh-CN"/>
              </w:rPr>
              <w:t>6</w:t>
            </w:r>
            <w:r>
              <w:rPr>
                <w:rFonts w:ascii="宋体" w:hAnsi="宋体" w:cs="宋体"/>
                <w:color w:val="auto"/>
                <w:sz w:val="21"/>
                <w:szCs w:val="21"/>
                <w:highlight w:val="none"/>
                <w:lang w:val="zh-CN"/>
              </w:rPr>
              <w:t>月</w:t>
            </w:r>
            <w:r>
              <w:rPr>
                <w:rFonts w:hint="eastAsia" w:ascii="宋体" w:hAnsi="宋体" w:cs="宋体"/>
                <w:color w:val="auto"/>
                <w:sz w:val="21"/>
                <w:szCs w:val="21"/>
                <w:highlight w:val="none"/>
                <w:lang w:val="zh-CN"/>
              </w:rPr>
              <w:t>期间</w:t>
            </w:r>
            <w:r>
              <w:rPr>
                <w:rFonts w:ascii="宋体" w:hAnsi="宋体" w:cs="宋体"/>
                <w:color w:val="auto"/>
                <w:sz w:val="21"/>
                <w:szCs w:val="21"/>
                <w:highlight w:val="none"/>
                <w:lang w:val="zh-CN"/>
              </w:rPr>
              <w:t>任意一月</w:t>
            </w:r>
            <w:r>
              <w:rPr>
                <w:rFonts w:hint="eastAsia" w:ascii="宋体" w:hAnsi="宋体" w:cs="宋体"/>
                <w:color w:val="auto"/>
                <w:sz w:val="21"/>
                <w:szCs w:val="21"/>
                <w:highlight w:val="none"/>
                <w:lang w:val="zh-CN"/>
              </w:rPr>
              <w:t>社会保险证明材料。未提供或不完整或不符合要求均不得分。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733FDC60">
            <w:pPr>
              <w:widowControl w:val="0"/>
              <w:spacing w:after="0" w:line="360" w:lineRule="auto"/>
              <w:jc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8</w:t>
            </w:r>
          </w:p>
        </w:tc>
      </w:tr>
      <w:tr w14:paraId="734C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right w:val="single" w:color="auto" w:sz="4" w:space="0"/>
            </w:tcBorders>
            <w:noWrap w:val="0"/>
            <w:vAlign w:val="center"/>
          </w:tcPr>
          <w:p w14:paraId="09B5E212">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6.1</w:t>
            </w:r>
          </w:p>
        </w:tc>
        <w:tc>
          <w:tcPr>
            <w:tcW w:w="992" w:type="dxa"/>
            <w:vMerge w:val="restart"/>
            <w:tcBorders>
              <w:left w:val="single" w:color="auto" w:sz="4" w:space="0"/>
              <w:right w:val="single" w:color="auto" w:sz="4" w:space="0"/>
            </w:tcBorders>
            <w:noWrap w:val="0"/>
            <w:vAlign w:val="center"/>
          </w:tcPr>
          <w:p w14:paraId="3FDB4541">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服务方案</w:t>
            </w:r>
          </w:p>
        </w:tc>
        <w:tc>
          <w:tcPr>
            <w:tcW w:w="6870" w:type="dxa"/>
            <w:tcBorders>
              <w:top w:val="single" w:color="auto" w:sz="4" w:space="0"/>
              <w:left w:val="single" w:color="auto" w:sz="4" w:space="0"/>
              <w:right w:val="single" w:color="auto" w:sz="4" w:space="0"/>
            </w:tcBorders>
            <w:noWrap w:val="0"/>
            <w:vAlign w:val="center"/>
          </w:tcPr>
          <w:p w14:paraId="3213DC38">
            <w:pPr>
              <w:widowControl w:val="0"/>
              <w:spacing w:after="0" w:line="360" w:lineRule="auto"/>
              <w:ind w:firstLine="210" w:firstLineChars="100"/>
              <w:jc w:val="both"/>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6</w:t>
            </w:r>
            <w:r>
              <w:rPr>
                <w:rFonts w:ascii="宋体" w:hAnsi="宋体" w:cs="宋体"/>
                <w:color w:val="auto"/>
                <w:sz w:val="21"/>
                <w:szCs w:val="21"/>
                <w:highlight w:val="none"/>
                <w:lang w:val="zh-CN"/>
              </w:rPr>
              <w:t>.1</w:t>
            </w:r>
            <w:r>
              <w:rPr>
                <w:rFonts w:hint="eastAsia" w:ascii="宋体" w:hAnsi="宋体" w:cs="宋体"/>
                <w:color w:val="auto"/>
                <w:sz w:val="21"/>
                <w:szCs w:val="21"/>
                <w:highlight w:val="none"/>
                <w:lang w:val="zh-CN"/>
              </w:rPr>
              <w:t>协查流程与方案。评委根据供应商提供的协查流程与方案进行综合评分，方案包括但不限于：项目进度安排与保证、工作标准、与采购人之间的协调机制、协查工作流程等：</w:t>
            </w:r>
          </w:p>
          <w:p w14:paraId="6EC51F87">
            <w:pPr>
              <w:widowControl w:val="0"/>
              <w:spacing w:after="0" w:line="360" w:lineRule="auto"/>
              <w:ind w:firstLine="210" w:firstLineChars="100"/>
              <w:jc w:val="both"/>
              <w:rPr>
                <w:rFonts w:ascii="宋体" w:hAnsi="宋体" w:cs="宋体"/>
                <w:bCs/>
                <w:color w:val="auto"/>
                <w:sz w:val="21"/>
                <w:szCs w:val="21"/>
                <w:highlight w:val="none"/>
              </w:rPr>
            </w:pPr>
            <w:r>
              <w:rPr>
                <w:rFonts w:hint="eastAsia" w:ascii="宋体" w:hAnsi="宋体" w:cs="宋体"/>
                <w:bCs/>
                <w:color w:val="auto"/>
                <w:sz w:val="21"/>
                <w:szCs w:val="21"/>
                <w:highlight w:val="none"/>
                <w:lang w:val="zh-CN"/>
              </w:rPr>
              <w:t>方案包含上述所有要素、内容全面完整，科学合理、操作可行性强的得</w:t>
            </w:r>
            <w:r>
              <w:rPr>
                <w:rFonts w:hint="eastAsia" w:ascii="宋体" w:hAnsi="宋体" w:cs="宋体"/>
                <w:bCs/>
                <w:color w:val="auto"/>
                <w:sz w:val="21"/>
                <w:szCs w:val="21"/>
                <w:highlight w:val="none"/>
                <w:lang w:val="en-US" w:eastAsia="zh-CN"/>
              </w:rPr>
              <w:t>10</w:t>
            </w:r>
            <w:r>
              <w:rPr>
                <w:rFonts w:hint="eastAsia" w:ascii="宋体" w:hAnsi="宋体" w:cs="宋体"/>
                <w:bCs/>
                <w:color w:val="auto"/>
                <w:sz w:val="21"/>
                <w:szCs w:val="21"/>
                <w:highlight w:val="none"/>
              </w:rPr>
              <w:t>分；</w:t>
            </w:r>
          </w:p>
          <w:p w14:paraId="64CE2A1C">
            <w:pPr>
              <w:widowControl w:val="0"/>
              <w:spacing w:after="0" w:line="360" w:lineRule="auto"/>
              <w:ind w:firstLine="210" w:firstLineChars="100"/>
              <w:jc w:val="both"/>
              <w:rPr>
                <w:rFonts w:ascii="宋体" w:hAnsi="宋体" w:cs="宋体"/>
                <w:bCs/>
                <w:color w:val="auto"/>
                <w:sz w:val="21"/>
                <w:szCs w:val="21"/>
                <w:highlight w:val="none"/>
              </w:rPr>
            </w:pPr>
            <w:r>
              <w:rPr>
                <w:rFonts w:hint="eastAsia" w:ascii="宋体" w:hAnsi="宋体" w:cs="宋体"/>
                <w:bCs/>
                <w:color w:val="auto"/>
                <w:sz w:val="21"/>
                <w:szCs w:val="21"/>
                <w:highlight w:val="none"/>
              </w:rPr>
              <w:t>方案包含上述所有要素、内容基本完整，但合理性和操作性有欠缺的得</w:t>
            </w:r>
            <w:r>
              <w:rPr>
                <w:rFonts w:hint="eastAsia" w:ascii="宋体" w:hAnsi="宋体" w:cs="宋体"/>
                <w:bCs/>
                <w:color w:val="auto"/>
                <w:sz w:val="21"/>
                <w:szCs w:val="21"/>
                <w:highlight w:val="none"/>
                <w:lang w:val="en-US" w:eastAsia="zh-CN"/>
              </w:rPr>
              <w:t>8</w:t>
            </w:r>
            <w:r>
              <w:rPr>
                <w:rFonts w:hint="eastAsia" w:ascii="宋体" w:hAnsi="宋体" w:cs="宋体"/>
                <w:bCs/>
                <w:color w:val="auto"/>
                <w:sz w:val="21"/>
                <w:szCs w:val="21"/>
                <w:highlight w:val="none"/>
              </w:rPr>
              <w:t>分；</w:t>
            </w:r>
          </w:p>
          <w:p w14:paraId="7E28FD76">
            <w:pPr>
              <w:widowControl w:val="0"/>
              <w:spacing w:after="0" w:line="360" w:lineRule="auto"/>
              <w:ind w:firstLine="210" w:firstLineChars="100"/>
              <w:jc w:val="both"/>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方案包含上述大部分要素，合理性和操作性有欠缺的得</w:t>
            </w:r>
            <w:r>
              <w:rPr>
                <w:rFonts w:hint="eastAsia" w:ascii="宋体" w:hAnsi="宋体" w:cs="宋体"/>
                <w:bCs/>
                <w:color w:val="auto"/>
                <w:sz w:val="21"/>
                <w:szCs w:val="21"/>
                <w:highlight w:val="none"/>
                <w:lang w:val="en-US" w:eastAsia="zh-CN"/>
              </w:rPr>
              <w:t>6</w:t>
            </w:r>
            <w:r>
              <w:rPr>
                <w:rFonts w:hint="eastAsia" w:ascii="宋体" w:hAnsi="宋体" w:cs="宋体"/>
                <w:bCs/>
                <w:color w:val="auto"/>
                <w:sz w:val="21"/>
                <w:szCs w:val="21"/>
                <w:highlight w:val="none"/>
              </w:rPr>
              <w:t>分</w:t>
            </w:r>
            <w:r>
              <w:rPr>
                <w:rFonts w:hint="eastAsia" w:ascii="宋体" w:hAnsi="宋体" w:cs="宋体"/>
                <w:bCs/>
                <w:color w:val="auto"/>
                <w:sz w:val="21"/>
                <w:szCs w:val="21"/>
                <w:highlight w:val="none"/>
                <w:lang w:eastAsia="zh-CN"/>
              </w:rPr>
              <w:t>；</w:t>
            </w:r>
          </w:p>
          <w:p w14:paraId="5FC7A06C">
            <w:pPr>
              <w:widowControl w:val="0"/>
              <w:spacing w:after="0" w:line="360" w:lineRule="auto"/>
              <w:ind w:firstLine="210" w:firstLineChars="100"/>
              <w:jc w:val="both"/>
              <w:rPr>
                <w:rFonts w:ascii="宋体" w:hAnsi="宋体" w:cs="宋体"/>
                <w:bCs/>
                <w:color w:val="auto"/>
                <w:sz w:val="21"/>
                <w:szCs w:val="21"/>
                <w:highlight w:val="none"/>
              </w:rPr>
            </w:pPr>
            <w:r>
              <w:rPr>
                <w:rFonts w:hint="eastAsia" w:ascii="宋体" w:hAnsi="宋体" w:cs="宋体"/>
                <w:bCs/>
                <w:color w:val="auto"/>
                <w:sz w:val="21"/>
                <w:szCs w:val="21"/>
                <w:highlight w:val="none"/>
              </w:rPr>
              <w:t>方案片面或合理性与操作性不强的得</w:t>
            </w:r>
            <w:r>
              <w:rPr>
                <w:rFonts w:hint="eastAsia" w:ascii="宋体" w:hAnsi="宋体" w:cs="宋体"/>
                <w:bCs/>
                <w:color w:val="auto"/>
                <w:sz w:val="21"/>
                <w:szCs w:val="21"/>
                <w:highlight w:val="none"/>
                <w:lang w:val="en-US" w:eastAsia="zh-CN"/>
              </w:rPr>
              <w:t>4</w:t>
            </w:r>
            <w:r>
              <w:rPr>
                <w:rFonts w:hint="eastAsia" w:ascii="宋体" w:hAnsi="宋体" w:cs="宋体"/>
                <w:bCs/>
                <w:color w:val="auto"/>
                <w:sz w:val="21"/>
                <w:szCs w:val="21"/>
                <w:highlight w:val="none"/>
              </w:rPr>
              <w:t>分；</w:t>
            </w:r>
          </w:p>
          <w:p w14:paraId="58D3FA4E">
            <w:pPr>
              <w:widowControl w:val="0"/>
              <w:spacing w:after="0" w:line="360" w:lineRule="auto"/>
              <w:ind w:firstLine="210" w:firstLineChars="100"/>
              <w:jc w:val="both"/>
              <w:rPr>
                <w:rFonts w:hint="eastAsia" w:ascii="宋体" w:hAnsi="宋体" w:cs="宋体"/>
                <w:color w:val="auto"/>
                <w:sz w:val="21"/>
                <w:szCs w:val="21"/>
                <w:highlight w:val="none"/>
              </w:rPr>
            </w:pPr>
            <w:r>
              <w:rPr>
                <w:rFonts w:hint="eastAsia" w:ascii="宋体" w:hAnsi="宋体" w:cs="宋体"/>
                <w:bCs/>
                <w:color w:val="auto"/>
                <w:sz w:val="21"/>
                <w:szCs w:val="21"/>
                <w:highlight w:val="none"/>
              </w:rPr>
              <w:t>其他或未提供不得分。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45040B74">
            <w:pPr>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10</w:t>
            </w:r>
          </w:p>
        </w:tc>
      </w:tr>
      <w:tr w14:paraId="2FFD6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right w:val="single" w:color="auto" w:sz="4" w:space="0"/>
            </w:tcBorders>
            <w:noWrap w:val="0"/>
            <w:vAlign w:val="center"/>
          </w:tcPr>
          <w:p w14:paraId="7F98B5C4">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6</w:t>
            </w:r>
            <w:r>
              <w:rPr>
                <w:rFonts w:ascii="宋体" w:hAnsi="宋体" w:cs="宋体"/>
                <w:b/>
                <w:bCs/>
                <w:color w:val="auto"/>
                <w:sz w:val="21"/>
                <w:szCs w:val="21"/>
                <w:highlight w:val="none"/>
                <w:lang w:val="zh-CN"/>
              </w:rPr>
              <w:t>.2</w:t>
            </w:r>
          </w:p>
        </w:tc>
        <w:tc>
          <w:tcPr>
            <w:tcW w:w="992" w:type="dxa"/>
            <w:vMerge w:val="continue"/>
            <w:tcBorders>
              <w:left w:val="single" w:color="auto" w:sz="4" w:space="0"/>
              <w:right w:val="single" w:color="auto" w:sz="4" w:space="0"/>
            </w:tcBorders>
            <w:noWrap w:val="0"/>
            <w:vAlign w:val="center"/>
          </w:tcPr>
          <w:p w14:paraId="5847D542">
            <w:pPr>
              <w:widowControl w:val="0"/>
              <w:spacing w:after="0" w:line="360" w:lineRule="auto"/>
              <w:jc w:val="center"/>
              <w:rPr>
                <w:rFonts w:hint="eastAsia" w:ascii="宋体" w:hAnsi="宋体" w:cs="宋体"/>
                <w:b/>
                <w:bCs/>
                <w:color w:val="auto"/>
                <w:sz w:val="21"/>
                <w:szCs w:val="21"/>
                <w:highlight w:val="none"/>
                <w:lang w:val="zh-CN"/>
              </w:rPr>
            </w:pPr>
          </w:p>
        </w:tc>
        <w:tc>
          <w:tcPr>
            <w:tcW w:w="6870" w:type="dxa"/>
            <w:tcBorders>
              <w:top w:val="single" w:color="auto" w:sz="4" w:space="0"/>
              <w:left w:val="single" w:color="auto" w:sz="4" w:space="0"/>
              <w:right w:val="single" w:color="auto" w:sz="4" w:space="0"/>
            </w:tcBorders>
            <w:noWrap w:val="0"/>
            <w:vAlign w:val="center"/>
          </w:tcPr>
          <w:p w14:paraId="7B3A3D5A">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6</w:t>
            </w:r>
            <w:r>
              <w:rPr>
                <w:rFonts w:ascii="宋体" w:hAnsi="宋体" w:cs="宋体"/>
                <w:color w:val="auto"/>
                <w:sz w:val="21"/>
                <w:szCs w:val="21"/>
                <w:highlight w:val="none"/>
                <w:lang w:val="zh-CN"/>
              </w:rPr>
              <w:t>.2</w:t>
            </w:r>
            <w:r>
              <w:rPr>
                <w:rFonts w:hint="eastAsia" w:ascii="宋体" w:hAnsi="宋体" w:cs="宋体"/>
                <w:color w:val="auto"/>
                <w:sz w:val="21"/>
                <w:szCs w:val="21"/>
                <w:highlight w:val="none"/>
                <w:lang w:val="zh-CN"/>
              </w:rPr>
              <w:t>协查重点、难点分析。评委根据供应商提供的重点、难点分析进行综合评分，包括但不限于重点、难点的具体情况以及应对的措施等：</w:t>
            </w:r>
          </w:p>
          <w:p w14:paraId="5E106720">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重点、难点分析正确并进行深层次分析且提出有效的解决方案，方案思路清晰、精简高效，能提出与众不同的个性化服务的得</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lang w:val="zh-CN"/>
              </w:rPr>
              <w:t>分；</w:t>
            </w:r>
          </w:p>
          <w:p w14:paraId="42872566">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重点、难点分析及解决方案等较为贴合本项目实际需求，能较好的满足要求的得</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lang w:val="zh-CN"/>
              </w:rPr>
              <w:t>分；</w:t>
            </w:r>
          </w:p>
          <w:p w14:paraId="5329039A">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重点、难点分析及解决方案等基本贴合本项目实际需求，能基本满足要求的得</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val="zh-CN"/>
              </w:rPr>
              <w:t>分；</w:t>
            </w:r>
          </w:p>
          <w:p w14:paraId="494F441B">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重点、难点分析及解决方案等片面，不能完全贴合本项目实际、不能完全满足要求的得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val="zh-CN"/>
              </w:rPr>
              <w:t>分；</w:t>
            </w:r>
          </w:p>
          <w:p w14:paraId="6B99D93A">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其他或未提供不得分。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041F8BFE">
            <w:pPr>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w:t>
            </w:r>
          </w:p>
        </w:tc>
      </w:tr>
      <w:tr w14:paraId="2360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right w:val="single" w:color="auto" w:sz="4" w:space="0"/>
            </w:tcBorders>
            <w:noWrap w:val="0"/>
            <w:vAlign w:val="center"/>
          </w:tcPr>
          <w:p w14:paraId="630B2EF1">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6.</w:t>
            </w:r>
            <w:r>
              <w:rPr>
                <w:rFonts w:ascii="宋体" w:hAnsi="宋体" w:cs="宋体"/>
                <w:b/>
                <w:bCs/>
                <w:color w:val="auto"/>
                <w:sz w:val="21"/>
                <w:szCs w:val="21"/>
                <w:highlight w:val="none"/>
                <w:lang w:val="zh-CN"/>
              </w:rPr>
              <w:t>3</w:t>
            </w:r>
          </w:p>
        </w:tc>
        <w:tc>
          <w:tcPr>
            <w:tcW w:w="992" w:type="dxa"/>
            <w:vMerge w:val="continue"/>
            <w:tcBorders>
              <w:left w:val="single" w:color="auto" w:sz="4" w:space="0"/>
              <w:right w:val="single" w:color="auto" w:sz="4" w:space="0"/>
            </w:tcBorders>
            <w:noWrap w:val="0"/>
            <w:vAlign w:val="center"/>
          </w:tcPr>
          <w:p w14:paraId="7CE4D524">
            <w:pPr>
              <w:widowControl w:val="0"/>
              <w:spacing w:after="0" w:line="360" w:lineRule="auto"/>
              <w:jc w:val="center"/>
              <w:rPr>
                <w:rFonts w:hint="eastAsia" w:ascii="宋体" w:hAnsi="宋体" w:cs="宋体"/>
                <w:b/>
                <w:bCs/>
                <w:color w:val="auto"/>
                <w:sz w:val="21"/>
                <w:szCs w:val="21"/>
                <w:highlight w:val="none"/>
                <w:lang w:val="zh-CN"/>
              </w:rPr>
            </w:pPr>
          </w:p>
        </w:tc>
        <w:tc>
          <w:tcPr>
            <w:tcW w:w="6870" w:type="dxa"/>
            <w:tcBorders>
              <w:top w:val="single" w:color="auto" w:sz="4" w:space="0"/>
              <w:left w:val="single" w:color="auto" w:sz="4" w:space="0"/>
              <w:right w:val="single" w:color="auto" w:sz="4" w:space="0"/>
            </w:tcBorders>
            <w:noWrap w:val="0"/>
            <w:vAlign w:val="center"/>
          </w:tcPr>
          <w:p w14:paraId="05F7A462">
            <w:pPr>
              <w:widowControl w:val="0"/>
              <w:spacing w:after="0" w:line="360" w:lineRule="auto"/>
              <w:jc w:val="both"/>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6</w:t>
            </w:r>
            <w:r>
              <w:rPr>
                <w:rFonts w:ascii="宋体" w:hAnsi="宋体" w:cs="宋体"/>
                <w:color w:val="auto"/>
                <w:sz w:val="21"/>
                <w:szCs w:val="21"/>
                <w:highlight w:val="none"/>
              </w:rPr>
              <w:t>.3</w:t>
            </w:r>
            <w:r>
              <w:rPr>
                <w:rFonts w:hint="eastAsia" w:ascii="宋体" w:hAnsi="宋体" w:cs="宋体"/>
                <w:color w:val="auto"/>
                <w:sz w:val="21"/>
                <w:szCs w:val="21"/>
                <w:highlight w:val="none"/>
              </w:rPr>
              <w:t>质量控制方案与措施。</w:t>
            </w:r>
            <w:r>
              <w:rPr>
                <w:rFonts w:hint="eastAsia" w:ascii="宋体" w:hAnsi="宋体" w:cs="宋体"/>
                <w:color w:val="auto"/>
                <w:sz w:val="21"/>
                <w:szCs w:val="21"/>
                <w:highlight w:val="none"/>
                <w:lang w:val="zh-CN"/>
              </w:rPr>
              <w:t>评委根据供应商提供的企业公示信息协查服务的质量控制方案措施进行综合评分，方案包括但不限于前期调查、培训、业务流程和工作底稿模板、过程督导与控制等：</w:t>
            </w:r>
          </w:p>
          <w:p w14:paraId="23D609C1">
            <w:pPr>
              <w:widowControl w:val="0"/>
              <w:spacing w:after="0" w:line="360" w:lineRule="auto"/>
              <w:ind w:firstLine="210" w:firstLineChars="100"/>
              <w:jc w:val="both"/>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方案包含上述所有要素，科学合理，督导与控制措施有效、操作可行的得</w:t>
            </w:r>
            <w:r>
              <w:rPr>
                <w:rFonts w:hint="eastAsia" w:ascii="宋体" w:hAnsi="宋体" w:cs="宋体"/>
                <w:bCs/>
                <w:color w:val="auto"/>
                <w:sz w:val="21"/>
                <w:szCs w:val="21"/>
                <w:highlight w:val="none"/>
                <w:lang w:val="en-US" w:eastAsia="zh-CN"/>
              </w:rPr>
              <w:t>8</w:t>
            </w:r>
            <w:r>
              <w:rPr>
                <w:rFonts w:hint="eastAsia" w:ascii="宋体" w:hAnsi="宋体" w:cs="宋体"/>
                <w:bCs/>
                <w:color w:val="auto"/>
                <w:sz w:val="21"/>
                <w:szCs w:val="21"/>
                <w:highlight w:val="none"/>
                <w:lang w:val="zh-CN"/>
              </w:rPr>
              <w:t>分；</w:t>
            </w:r>
          </w:p>
          <w:p w14:paraId="55C2FE27">
            <w:pPr>
              <w:widowControl w:val="0"/>
              <w:spacing w:after="0" w:line="360" w:lineRule="auto"/>
              <w:ind w:firstLine="210" w:firstLineChars="100"/>
              <w:jc w:val="both"/>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方案包含上述所有要素，但合理性和操作性有欠缺的得</w:t>
            </w:r>
            <w:r>
              <w:rPr>
                <w:rFonts w:hint="eastAsia" w:ascii="宋体" w:hAnsi="宋体" w:cs="宋体"/>
                <w:bCs/>
                <w:color w:val="auto"/>
                <w:sz w:val="21"/>
                <w:szCs w:val="21"/>
                <w:highlight w:val="none"/>
                <w:lang w:val="en-US" w:eastAsia="zh-CN"/>
              </w:rPr>
              <w:t>6</w:t>
            </w:r>
            <w:r>
              <w:rPr>
                <w:rFonts w:hint="eastAsia" w:ascii="宋体" w:hAnsi="宋体" w:cs="宋体"/>
                <w:bCs/>
                <w:color w:val="auto"/>
                <w:sz w:val="21"/>
                <w:szCs w:val="21"/>
                <w:highlight w:val="none"/>
                <w:lang w:val="zh-CN"/>
              </w:rPr>
              <w:t>分；</w:t>
            </w:r>
          </w:p>
          <w:p w14:paraId="23DD95B0">
            <w:pPr>
              <w:widowControl w:val="0"/>
              <w:spacing w:after="0" w:line="360" w:lineRule="auto"/>
              <w:ind w:firstLine="210" w:firstLineChars="100"/>
              <w:jc w:val="both"/>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方案包含上述大部分要素，合理性和操作性有欠缺的得4分；</w:t>
            </w:r>
          </w:p>
          <w:p w14:paraId="54314AAE">
            <w:pPr>
              <w:widowControl w:val="0"/>
              <w:spacing w:after="0" w:line="360" w:lineRule="auto"/>
              <w:ind w:firstLine="210" w:firstLineChars="100"/>
              <w:jc w:val="both"/>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方案片面的得</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val="zh-CN"/>
              </w:rPr>
              <w:t>分；</w:t>
            </w:r>
          </w:p>
          <w:p w14:paraId="073DED0A">
            <w:pPr>
              <w:widowControl w:val="0"/>
              <w:spacing w:after="0" w:line="360" w:lineRule="auto"/>
              <w:ind w:firstLine="210" w:firstLineChars="100"/>
              <w:jc w:val="both"/>
              <w:rPr>
                <w:rFonts w:hint="eastAsia" w:ascii="宋体" w:hAnsi="宋体" w:cs="宋体"/>
                <w:color w:val="auto"/>
                <w:sz w:val="21"/>
                <w:szCs w:val="21"/>
                <w:highlight w:val="none"/>
                <w:lang w:val="zh-CN"/>
              </w:rPr>
            </w:pPr>
            <w:r>
              <w:rPr>
                <w:rFonts w:hint="eastAsia" w:ascii="宋体" w:hAnsi="宋体" w:cs="宋体"/>
                <w:bCs/>
                <w:color w:val="auto"/>
                <w:sz w:val="21"/>
                <w:szCs w:val="21"/>
                <w:highlight w:val="none"/>
                <w:lang w:val="zh-CN"/>
              </w:rPr>
              <w:t>其他或未提供不得分。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7CF1E316">
            <w:pPr>
              <w:widowControl w:val="0"/>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w:t>
            </w:r>
          </w:p>
        </w:tc>
      </w:tr>
      <w:tr w14:paraId="28EC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right w:val="single" w:color="auto" w:sz="4" w:space="0"/>
            </w:tcBorders>
            <w:noWrap w:val="0"/>
            <w:vAlign w:val="center"/>
          </w:tcPr>
          <w:p w14:paraId="041D9178">
            <w:pPr>
              <w:widowControl w:val="0"/>
              <w:spacing w:after="0" w:line="360" w:lineRule="auto"/>
              <w:jc w:val="cente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6.</w:t>
            </w:r>
            <w:r>
              <w:rPr>
                <w:rFonts w:ascii="宋体" w:hAnsi="宋体" w:cs="宋体"/>
                <w:b/>
                <w:bCs/>
                <w:color w:val="auto"/>
                <w:sz w:val="21"/>
                <w:szCs w:val="21"/>
                <w:highlight w:val="none"/>
                <w:lang w:val="zh-CN"/>
              </w:rPr>
              <w:t>4</w:t>
            </w:r>
          </w:p>
        </w:tc>
        <w:tc>
          <w:tcPr>
            <w:tcW w:w="992" w:type="dxa"/>
            <w:vMerge w:val="continue"/>
            <w:tcBorders>
              <w:left w:val="single" w:color="auto" w:sz="4" w:space="0"/>
              <w:right w:val="single" w:color="auto" w:sz="4" w:space="0"/>
            </w:tcBorders>
            <w:noWrap w:val="0"/>
            <w:vAlign w:val="center"/>
          </w:tcPr>
          <w:p w14:paraId="4A4366F1">
            <w:pPr>
              <w:widowControl w:val="0"/>
              <w:spacing w:after="0" w:line="360" w:lineRule="auto"/>
              <w:jc w:val="center"/>
              <w:rPr>
                <w:rFonts w:hint="eastAsia" w:ascii="宋体" w:hAnsi="宋体" w:cs="宋体"/>
                <w:b/>
                <w:bCs/>
                <w:color w:val="auto"/>
                <w:sz w:val="21"/>
                <w:szCs w:val="21"/>
                <w:highlight w:val="none"/>
                <w:lang w:val="zh-CN"/>
              </w:rPr>
            </w:pPr>
          </w:p>
        </w:tc>
        <w:tc>
          <w:tcPr>
            <w:tcW w:w="6870" w:type="dxa"/>
            <w:tcBorders>
              <w:top w:val="single" w:color="auto" w:sz="4" w:space="0"/>
              <w:left w:val="single" w:color="auto" w:sz="4" w:space="0"/>
              <w:right w:val="single" w:color="auto" w:sz="4" w:space="0"/>
            </w:tcBorders>
            <w:noWrap w:val="0"/>
            <w:vAlign w:val="center"/>
          </w:tcPr>
          <w:p w14:paraId="46B1B8B0">
            <w:pPr>
              <w:spacing w:after="0" w:line="360" w:lineRule="auto"/>
              <w:jc w:val="both"/>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6</w:t>
            </w:r>
            <w:r>
              <w:rPr>
                <w:rFonts w:ascii="宋体" w:hAnsi="宋体" w:cs="宋体"/>
                <w:color w:val="auto"/>
                <w:sz w:val="21"/>
                <w:szCs w:val="21"/>
                <w:highlight w:val="none"/>
              </w:rPr>
              <w:t>.4</w:t>
            </w:r>
            <w:r>
              <w:rPr>
                <w:rFonts w:hint="eastAsia" w:ascii="宋体" w:hAnsi="宋体" w:cs="宋体"/>
                <w:color w:val="auto"/>
                <w:sz w:val="21"/>
                <w:szCs w:val="21"/>
                <w:highlight w:val="none"/>
              </w:rPr>
              <w:t>团队人员管理方案。</w:t>
            </w:r>
            <w:r>
              <w:rPr>
                <w:rFonts w:hint="eastAsia" w:ascii="宋体" w:hAnsi="宋体" w:cs="宋体"/>
                <w:color w:val="auto"/>
                <w:sz w:val="21"/>
                <w:szCs w:val="21"/>
                <w:highlight w:val="none"/>
                <w:lang w:val="zh-CN"/>
              </w:rPr>
              <w:t>评委根据供应商提供的</w:t>
            </w:r>
            <w:r>
              <w:rPr>
                <w:rFonts w:hint="eastAsia" w:ascii="宋体" w:hAnsi="宋体" w:cs="宋体"/>
                <w:color w:val="auto"/>
                <w:sz w:val="21"/>
                <w:szCs w:val="21"/>
                <w:highlight w:val="none"/>
              </w:rPr>
              <w:t>团队人员管理方案进行综合评分，方案包括但不限于：</w:t>
            </w:r>
            <w:r>
              <w:rPr>
                <w:rFonts w:hint="eastAsia" w:ascii="宋体" w:hAnsi="宋体" w:cs="宋体"/>
                <w:color w:val="auto"/>
                <w:sz w:val="21"/>
                <w:szCs w:val="21"/>
                <w:highlight w:val="none"/>
                <w:lang w:val="zh-CN"/>
              </w:rPr>
              <w:t>团队人员安排计划与分工、岗位设置及职责、各类规章制度、考核办法、服务目标等：</w:t>
            </w:r>
          </w:p>
          <w:p w14:paraId="5CA1BA56">
            <w:pPr>
              <w:spacing w:after="0" w:line="360" w:lineRule="auto"/>
              <w:ind w:firstLine="210" w:firstLineChars="100"/>
              <w:jc w:val="both"/>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方案包含上述所有要素、分工科学合理、制度考核操作可行的得</w:t>
            </w:r>
            <w:r>
              <w:rPr>
                <w:rFonts w:hint="eastAsia" w:ascii="宋体" w:hAnsi="宋体" w:cs="宋体"/>
                <w:bCs/>
                <w:color w:val="auto"/>
                <w:sz w:val="21"/>
                <w:szCs w:val="21"/>
                <w:highlight w:val="none"/>
                <w:lang w:val="en-US" w:eastAsia="zh-CN"/>
              </w:rPr>
              <w:t>8</w:t>
            </w:r>
            <w:r>
              <w:rPr>
                <w:rFonts w:hint="eastAsia" w:ascii="宋体" w:hAnsi="宋体" w:cs="宋体"/>
                <w:bCs/>
                <w:color w:val="auto"/>
                <w:sz w:val="21"/>
                <w:szCs w:val="21"/>
                <w:highlight w:val="none"/>
                <w:lang w:val="zh-CN"/>
              </w:rPr>
              <w:t>分；</w:t>
            </w:r>
          </w:p>
          <w:p w14:paraId="6253C29A">
            <w:pPr>
              <w:spacing w:after="0" w:line="360" w:lineRule="auto"/>
              <w:ind w:firstLine="210" w:firstLineChars="100"/>
              <w:jc w:val="both"/>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方案包含上述所有要素，但合理性和操作性有欠缺的得</w:t>
            </w:r>
            <w:r>
              <w:rPr>
                <w:rFonts w:hint="eastAsia" w:ascii="宋体" w:hAnsi="宋体" w:cs="宋体"/>
                <w:bCs/>
                <w:color w:val="auto"/>
                <w:sz w:val="21"/>
                <w:szCs w:val="21"/>
                <w:highlight w:val="none"/>
                <w:lang w:val="en-US" w:eastAsia="zh-CN"/>
              </w:rPr>
              <w:t>6</w:t>
            </w:r>
            <w:r>
              <w:rPr>
                <w:rFonts w:hint="eastAsia" w:ascii="宋体" w:hAnsi="宋体" w:cs="宋体"/>
                <w:bCs/>
                <w:color w:val="auto"/>
                <w:sz w:val="21"/>
                <w:szCs w:val="21"/>
                <w:highlight w:val="none"/>
                <w:lang w:val="zh-CN"/>
              </w:rPr>
              <w:t>分；</w:t>
            </w:r>
          </w:p>
          <w:p w14:paraId="285B8C98">
            <w:pPr>
              <w:spacing w:after="0" w:line="360" w:lineRule="auto"/>
              <w:ind w:firstLine="210" w:firstLineChars="100"/>
              <w:jc w:val="both"/>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方案包含上述大部分要素，合理性和操作性有欠缺的得4分；</w:t>
            </w:r>
          </w:p>
          <w:p w14:paraId="76EBB147">
            <w:pPr>
              <w:spacing w:after="0" w:line="360" w:lineRule="auto"/>
              <w:ind w:firstLine="210" w:firstLineChars="100"/>
              <w:jc w:val="both"/>
              <w:rPr>
                <w:rFonts w:hint="eastAsia" w:ascii="宋体" w:hAnsi="宋体" w:cs="宋体"/>
                <w:bCs/>
                <w:color w:val="auto"/>
                <w:sz w:val="21"/>
                <w:szCs w:val="21"/>
                <w:highlight w:val="none"/>
                <w:lang w:val="zh-CN"/>
              </w:rPr>
            </w:pPr>
            <w:r>
              <w:rPr>
                <w:rFonts w:hint="eastAsia" w:ascii="宋体" w:hAnsi="宋体" w:cs="宋体"/>
                <w:bCs/>
                <w:color w:val="auto"/>
                <w:sz w:val="21"/>
                <w:szCs w:val="21"/>
                <w:highlight w:val="none"/>
                <w:lang w:val="zh-CN"/>
              </w:rPr>
              <w:t>方案片面的得</w:t>
            </w:r>
            <w:r>
              <w:rPr>
                <w:rFonts w:hint="eastAsia" w:ascii="宋体" w:hAnsi="宋体" w:cs="宋体"/>
                <w:bCs/>
                <w:color w:val="auto"/>
                <w:sz w:val="21"/>
                <w:szCs w:val="21"/>
                <w:highlight w:val="none"/>
                <w:lang w:val="en-US" w:eastAsia="zh-CN"/>
              </w:rPr>
              <w:t>2</w:t>
            </w:r>
            <w:r>
              <w:rPr>
                <w:rFonts w:hint="eastAsia" w:ascii="宋体" w:hAnsi="宋体" w:cs="宋体"/>
                <w:bCs/>
                <w:color w:val="auto"/>
                <w:sz w:val="21"/>
                <w:szCs w:val="21"/>
                <w:highlight w:val="none"/>
                <w:lang w:val="zh-CN"/>
              </w:rPr>
              <w:t>分。</w:t>
            </w:r>
          </w:p>
          <w:p w14:paraId="5F16E6AB">
            <w:pPr>
              <w:spacing w:after="0" w:line="360" w:lineRule="auto"/>
              <w:ind w:firstLine="210" w:firstLineChars="100"/>
              <w:jc w:val="both"/>
              <w:rPr>
                <w:rFonts w:hint="eastAsia" w:ascii="宋体" w:hAnsi="宋体" w:cs="宋体"/>
                <w:color w:val="auto"/>
                <w:sz w:val="21"/>
                <w:szCs w:val="21"/>
                <w:highlight w:val="none"/>
              </w:rPr>
            </w:pPr>
            <w:r>
              <w:rPr>
                <w:rFonts w:hint="eastAsia" w:ascii="宋体" w:hAnsi="宋体" w:cs="宋体"/>
                <w:bCs/>
                <w:color w:val="auto"/>
                <w:sz w:val="21"/>
                <w:szCs w:val="21"/>
                <w:highlight w:val="none"/>
                <w:lang w:val="zh-CN"/>
              </w:rPr>
              <w:t>其他或未提供不得分。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5213AC14">
            <w:pPr>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w:t>
            </w:r>
          </w:p>
        </w:tc>
      </w:tr>
      <w:tr w14:paraId="67761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right w:val="single" w:color="auto" w:sz="4" w:space="0"/>
            </w:tcBorders>
            <w:noWrap w:val="0"/>
            <w:vAlign w:val="center"/>
          </w:tcPr>
          <w:p w14:paraId="43A5CEF0">
            <w:pPr>
              <w:widowControl w:val="0"/>
              <w:spacing w:after="0" w:line="360" w:lineRule="auto"/>
              <w:jc w:val="center"/>
              <w:rPr>
                <w:rFonts w:ascii="宋体" w:hAnsi="宋体" w:cs="宋体"/>
                <w:b/>
                <w:bCs/>
                <w:color w:val="auto"/>
                <w:sz w:val="21"/>
                <w:szCs w:val="21"/>
                <w:highlight w:val="none"/>
              </w:rPr>
            </w:pPr>
            <w:r>
              <w:rPr>
                <w:rFonts w:hint="eastAsia" w:ascii="宋体" w:hAnsi="宋体" w:cs="宋体"/>
                <w:b/>
                <w:bCs/>
                <w:color w:val="auto"/>
                <w:sz w:val="21"/>
                <w:szCs w:val="21"/>
                <w:highlight w:val="none"/>
              </w:rPr>
              <w:t>6</w:t>
            </w:r>
            <w:r>
              <w:rPr>
                <w:rFonts w:ascii="宋体" w:hAnsi="宋体" w:cs="宋体"/>
                <w:b/>
                <w:bCs/>
                <w:color w:val="auto"/>
                <w:sz w:val="21"/>
                <w:szCs w:val="21"/>
                <w:highlight w:val="none"/>
              </w:rPr>
              <w:t>.5</w:t>
            </w:r>
          </w:p>
        </w:tc>
        <w:tc>
          <w:tcPr>
            <w:tcW w:w="992" w:type="dxa"/>
            <w:vMerge w:val="continue"/>
            <w:tcBorders>
              <w:left w:val="single" w:color="auto" w:sz="4" w:space="0"/>
              <w:right w:val="single" w:color="auto" w:sz="4" w:space="0"/>
            </w:tcBorders>
            <w:noWrap w:val="0"/>
            <w:vAlign w:val="center"/>
          </w:tcPr>
          <w:p w14:paraId="2B6BA1D5">
            <w:pPr>
              <w:widowControl w:val="0"/>
              <w:spacing w:after="0" w:line="360" w:lineRule="auto"/>
              <w:jc w:val="center"/>
              <w:rPr>
                <w:rFonts w:hint="eastAsia" w:ascii="宋体" w:hAnsi="宋体" w:cs="宋体"/>
                <w:b/>
                <w:bCs/>
                <w:color w:val="auto"/>
                <w:sz w:val="21"/>
                <w:szCs w:val="21"/>
                <w:highlight w:val="none"/>
                <w:lang w:val="zh-CN"/>
              </w:rPr>
            </w:pPr>
          </w:p>
        </w:tc>
        <w:tc>
          <w:tcPr>
            <w:tcW w:w="6870" w:type="dxa"/>
            <w:tcBorders>
              <w:top w:val="single" w:color="auto" w:sz="4" w:space="0"/>
              <w:left w:val="single" w:color="auto" w:sz="4" w:space="0"/>
              <w:right w:val="single" w:color="auto" w:sz="4" w:space="0"/>
            </w:tcBorders>
            <w:noWrap w:val="0"/>
            <w:vAlign w:val="center"/>
          </w:tcPr>
          <w:p w14:paraId="46FF4549">
            <w:pPr>
              <w:spacing w:after="0" w:line="360" w:lineRule="auto"/>
              <w:ind w:firstLine="210" w:firstLineChars="100"/>
              <w:jc w:val="both"/>
              <w:rPr>
                <w:rFonts w:ascii="宋体" w:hAnsi="宋体" w:cs="宋体"/>
                <w:color w:val="auto"/>
                <w:sz w:val="21"/>
                <w:szCs w:val="21"/>
                <w:highlight w:val="none"/>
              </w:rPr>
            </w:pPr>
            <w:r>
              <w:rPr>
                <w:rFonts w:hint="eastAsia" w:ascii="宋体" w:hAnsi="宋体" w:cs="宋体"/>
                <w:color w:val="auto"/>
                <w:sz w:val="21"/>
                <w:szCs w:val="21"/>
                <w:highlight w:val="none"/>
              </w:rPr>
              <w:t>6</w:t>
            </w:r>
            <w:r>
              <w:rPr>
                <w:rFonts w:ascii="宋体" w:hAnsi="宋体" w:cs="宋体"/>
                <w:color w:val="auto"/>
                <w:sz w:val="21"/>
                <w:szCs w:val="21"/>
                <w:highlight w:val="none"/>
              </w:rPr>
              <w:t>.5</w:t>
            </w:r>
            <w:r>
              <w:rPr>
                <w:rFonts w:hint="eastAsia" w:ascii="宋体" w:hAnsi="宋体" w:cs="宋体"/>
                <w:color w:val="auto"/>
                <w:sz w:val="21"/>
                <w:szCs w:val="21"/>
                <w:highlight w:val="none"/>
              </w:rPr>
              <w:t>档案管理方案。包括供应商已建立并提供的档案管理制度（需提供档案管理制度内容），针对本项目拟定的档案管理具体措施等予以评分：</w:t>
            </w:r>
          </w:p>
          <w:p w14:paraId="3B2F7196">
            <w:pPr>
              <w:spacing w:after="0" w:line="360" w:lineRule="auto"/>
              <w:ind w:firstLine="210" w:firstLineChars="100"/>
              <w:jc w:val="both"/>
              <w:rPr>
                <w:rFonts w:ascii="宋体" w:hAnsi="宋体" w:cs="宋体"/>
                <w:color w:val="auto"/>
                <w:sz w:val="21"/>
                <w:szCs w:val="21"/>
                <w:highlight w:val="none"/>
              </w:rPr>
            </w:pPr>
            <w:r>
              <w:rPr>
                <w:rFonts w:hint="eastAsia" w:ascii="宋体" w:hAnsi="宋体" w:cs="宋体"/>
                <w:color w:val="auto"/>
                <w:sz w:val="21"/>
                <w:szCs w:val="21"/>
                <w:highlight w:val="none"/>
              </w:rPr>
              <w:t>已建立档案管理规章制度且内容完整、清晰明确，针对本项目的档案管理具体措施全面规范、科学合理，可操作性强，得</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w:t>
            </w:r>
          </w:p>
          <w:p w14:paraId="0C995466">
            <w:pPr>
              <w:spacing w:after="0" w:line="360" w:lineRule="auto"/>
              <w:ind w:firstLine="210" w:firstLineChars="100"/>
              <w:jc w:val="both"/>
              <w:rPr>
                <w:rFonts w:ascii="宋体" w:hAnsi="宋体" w:cs="宋体"/>
                <w:color w:val="auto"/>
                <w:sz w:val="21"/>
                <w:szCs w:val="21"/>
                <w:highlight w:val="none"/>
              </w:rPr>
            </w:pPr>
            <w:r>
              <w:rPr>
                <w:rFonts w:hint="eastAsia" w:ascii="宋体" w:hAnsi="宋体" w:cs="宋体"/>
                <w:color w:val="auto"/>
                <w:sz w:val="21"/>
                <w:szCs w:val="21"/>
                <w:highlight w:val="none"/>
              </w:rPr>
              <w:t>已建立档案管理规章制度且内容完整、清晰明确，针对本项目的档案管理具体措施较规范、较科学合理，可操作性较强，得</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分；</w:t>
            </w:r>
          </w:p>
          <w:p w14:paraId="0577ACC8">
            <w:pPr>
              <w:spacing w:after="0" w:line="360" w:lineRule="auto"/>
              <w:ind w:firstLine="210" w:firstLineChars="100"/>
              <w:jc w:val="both"/>
              <w:rPr>
                <w:rFonts w:ascii="宋体" w:hAnsi="宋体" w:cs="宋体"/>
                <w:color w:val="auto"/>
                <w:sz w:val="21"/>
                <w:szCs w:val="21"/>
                <w:highlight w:val="none"/>
              </w:rPr>
            </w:pPr>
            <w:r>
              <w:rPr>
                <w:rFonts w:hint="eastAsia" w:ascii="宋体" w:hAnsi="宋体" w:cs="宋体"/>
                <w:color w:val="auto"/>
                <w:sz w:val="21"/>
                <w:szCs w:val="21"/>
                <w:highlight w:val="none"/>
              </w:rPr>
              <w:t>已建立档案管理规章制度但不完整、不全面，针对本项目的档案管理具体措施不规范，得</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分；</w:t>
            </w:r>
          </w:p>
          <w:p w14:paraId="2019B644">
            <w:pPr>
              <w:spacing w:after="0" w:line="360" w:lineRule="auto"/>
              <w:ind w:firstLine="210" w:firstLineChars="100"/>
              <w:jc w:val="both"/>
              <w:rPr>
                <w:rFonts w:ascii="宋体" w:hAnsi="宋体" w:cs="宋体"/>
                <w:color w:val="auto"/>
                <w:sz w:val="21"/>
                <w:szCs w:val="21"/>
                <w:highlight w:val="none"/>
              </w:rPr>
            </w:pPr>
            <w:r>
              <w:rPr>
                <w:rFonts w:hint="eastAsia" w:ascii="宋体" w:hAnsi="宋体" w:cs="宋体"/>
                <w:color w:val="auto"/>
                <w:sz w:val="21"/>
                <w:szCs w:val="21"/>
                <w:highlight w:val="none"/>
              </w:rPr>
              <w:t>未建立档案管理规章制度，仅针对本项目制定了基本的档案管理措施，得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w:t>
            </w:r>
          </w:p>
          <w:p w14:paraId="7D4BF281">
            <w:pPr>
              <w:spacing w:after="0" w:line="360" w:lineRule="auto"/>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其他或未提供不得分。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1DB46E07">
            <w:pPr>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w:t>
            </w:r>
          </w:p>
        </w:tc>
      </w:tr>
      <w:tr w14:paraId="14572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noWrap w:val="0"/>
            <w:vAlign w:val="center"/>
          </w:tcPr>
          <w:p w14:paraId="4F31C911">
            <w:pPr>
              <w:widowControl w:val="0"/>
              <w:spacing w:after="0" w:line="360" w:lineRule="auto"/>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6</w:t>
            </w:r>
            <w:r>
              <w:rPr>
                <w:rFonts w:ascii="宋体" w:hAnsi="宋体" w:cs="宋体"/>
                <w:b/>
                <w:bCs/>
                <w:color w:val="auto"/>
                <w:sz w:val="21"/>
                <w:szCs w:val="21"/>
                <w:highlight w:val="none"/>
              </w:rPr>
              <w:t>.6</w:t>
            </w:r>
          </w:p>
        </w:tc>
        <w:tc>
          <w:tcPr>
            <w:tcW w:w="992" w:type="dxa"/>
            <w:vMerge w:val="continue"/>
            <w:tcBorders>
              <w:left w:val="single" w:color="auto" w:sz="4" w:space="0"/>
              <w:right w:val="single" w:color="auto" w:sz="4" w:space="0"/>
            </w:tcBorders>
            <w:noWrap w:val="0"/>
            <w:vAlign w:val="center"/>
          </w:tcPr>
          <w:p w14:paraId="65814D39">
            <w:pPr>
              <w:widowControl w:val="0"/>
              <w:spacing w:after="0" w:line="360" w:lineRule="auto"/>
              <w:jc w:val="center"/>
              <w:rPr>
                <w:rFonts w:hint="eastAsia" w:ascii="宋体" w:hAnsi="宋体" w:cs="宋体"/>
                <w:b/>
                <w:bCs/>
                <w:color w:val="auto"/>
                <w:sz w:val="21"/>
                <w:szCs w:val="21"/>
                <w:highlight w:val="none"/>
                <w:lang w:val="zh-CN"/>
              </w:rPr>
            </w:pPr>
          </w:p>
        </w:tc>
        <w:tc>
          <w:tcPr>
            <w:tcW w:w="6870" w:type="dxa"/>
            <w:tcBorders>
              <w:top w:val="single" w:color="auto" w:sz="4" w:space="0"/>
              <w:left w:val="single" w:color="auto" w:sz="4" w:space="0"/>
              <w:bottom w:val="single" w:color="auto" w:sz="4" w:space="0"/>
              <w:right w:val="single" w:color="auto" w:sz="4" w:space="0"/>
            </w:tcBorders>
            <w:noWrap w:val="0"/>
            <w:vAlign w:val="center"/>
          </w:tcPr>
          <w:p w14:paraId="13A4CF75">
            <w:pPr>
              <w:spacing w:after="0" w:line="360" w:lineRule="auto"/>
              <w:ind w:firstLine="210" w:firstLineChars="10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6</w:t>
            </w:r>
            <w:r>
              <w:rPr>
                <w:rFonts w:ascii="宋体" w:hAnsi="宋体" w:cs="宋体"/>
                <w:color w:val="auto"/>
                <w:sz w:val="21"/>
                <w:szCs w:val="21"/>
                <w:highlight w:val="none"/>
              </w:rPr>
              <w:t>.6</w:t>
            </w:r>
            <w:r>
              <w:rPr>
                <w:rFonts w:hint="eastAsia" w:ascii="宋体" w:hAnsi="宋体" w:cs="宋体"/>
                <w:color w:val="auto"/>
                <w:sz w:val="21"/>
                <w:szCs w:val="21"/>
                <w:highlight w:val="none"/>
              </w:rPr>
              <w:t>突发事件应急处置预案。评委会根据投标人突发事件应急处置预案进行综合评分，突发事件应急处置预案包括协查过程中可能遇到的各类突发情况，以及对应的应急解决处置措施等：</w:t>
            </w:r>
          </w:p>
          <w:p w14:paraId="08E7569D">
            <w:pPr>
              <w:spacing w:after="0" w:line="360" w:lineRule="auto"/>
              <w:ind w:firstLine="210" w:firstLineChars="10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预案内容考虑全面，处置应对措施科学有效，可操作性强，得</w:t>
            </w:r>
            <w:r>
              <w:rPr>
                <w:rFonts w:hint="eastAsia" w:ascii="宋体" w:hAnsi="宋体" w:cs="宋体"/>
                <w:color w:val="auto"/>
                <w:sz w:val="21"/>
                <w:szCs w:val="21"/>
                <w:highlight w:val="none"/>
                <w:lang w:val="en-US" w:eastAsia="zh-CN"/>
              </w:rPr>
              <w:t>8</w:t>
            </w:r>
            <w:r>
              <w:rPr>
                <w:rFonts w:hint="eastAsia" w:ascii="宋体" w:hAnsi="宋体" w:cs="宋体"/>
                <w:color w:val="auto"/>
                <w:sz w:val="21"/>
                <w:szCs w:val="21"/>
                <w:highlight w:val="none"/>
              </w:rPr>
              <w:t>分；</w:t>
            </w:r>
          </w:p>
          <w:p w14:paraId="09370310">
            <w:pPr>
              <w:spacing w:after="0" w:line="360" w:lineRule="auto"/>
              <w:ind w:firstLine="210" w:firstLineChars="10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预案内容考虑较全面，处置应对措施较科学，较有效，可操作性较强，得</w:t>
            </w:r>
            <w:r>
              <w:rPr>
                <w:rFonts w:hint="eastAsia" w:ascii="宋体" w:hAnsi="宋体" w:cs="宋体"/>
                <w:color w:val="auto"/>
                <w:sz w:val="21"/>
                <w:szCs w:val="21"/>
                <w:highlight w:val="none"/>
                <w:lang w:val="en-US" w:eastAsia="zh-CN"/>
              </w:rPr>
              <w:t>6</w:t>
            </w:r>
            <w:r>
              <w:rPr>
                <w:rFonts w:hint="eastAsia" w:ascii="宋体" w:hAnsi="宋体" w:cs="宋体"/>
                <w:color w:val="auto"/>
                <w:sz w:val="21"/>
                <w:szCs w:val="21"/>
                <w:highlight w:val="none"/>
              </w:rPr>
              <w:t>分；</w:t>
            </w:r>
          </w:p>
          <w:p w14:paraId="0215B349">
            <w:pPr>
              <w:spacing w:after="0" w:line="360" w:lineRule="auto"/>
              <w:ind w:firstLine="210" w:firstLineChars="10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预案内容不全面，处置应对措施科学性、有效性有欠缺，可操作性不强，得</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rPr>
              <w:t>分；</w:t>
            </w:r>
          </w:p>
          <w:p w14:paraId="2F515FB5">
            <w:pPr>
              <w:spacing w:after="0" w:line="360" w:lineRule="auto"/>
              <w:ind w:firstLine="210" w:firstLineChars="100"/>
              <w:jc w:val="both"/>
              <w:rPr>
                <w:rFonts w:hint="eastAsia"/>
                <w:color w:val="auto"/>
                <w:highlight w:val="none"/>
              </w:rPr>
            </w:pPr>
            <w:r>
              <w:rPr>
                <w:rFonts w:hint="eastAsia" w:ascii="宋体" w:hAnsi="宋体" w:cs="宋体"/>
                <w:color w:val="auto"/>
                <w:sz w:val="21"/>
                <w:szCs w:val="21"/>
                <w:highlight w:val="none"/>
              </w:rPr>
              <w:t>预案内容不全面，处置应对措施</w:t>
            </w:r>
            <w:r>
              <w:rPr>
                <w:rFonts w:hint="eastAsia" w:ascii="宋体" w:hAnsi="宋体" w:cs="宋体"/>
                <w:color w:val="auto"/>
                <w:sz w:val="21"/>
                <w:szCs w:val="21"/>
                <w:highlight w:val="none"/>
                <w:lang w:val="en-US" w:eastAsia="zh-CN"/>
              </w:rPr>
              <w:t>无</w:t>
            </w:r>
            <w:r>
              <w:rPr>
                <w:rFonts w:hint="eastAsia" w:ascii="宋体" w:hAnsi="宋体" w:cs="宋体"/>
                <w:color w:val="auto"/>
                <w:sz w:val="21"/>
                <w:szCs w:val="21"/>
                <w:highlight w:val="none"/>
              </w:rPr>
              <w:t>科学性、有效性，可操作性不强，得</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rPr>
              <w:t>分；</w:t>
            </w:r>
          </w:p>
          <w:p w14:paraId="0B43F584">
            <w:pPr>
              <w:spacing w:after="0" w:line="360" w:lineRule="auto"/>
              <w:ind w:firstLine="210" w:firstLineChars="10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其他或未提供不得分。</w:t>
            </w:r>
          </w:p>
        </w:tc>
        <w:tc>
          <w:tcPr>
            <w:tcW w:w="675" w:type="dxa"/>
            <w:tcBorders>
              <w:top w:val="single" w:color="auto" w:sz="4" w:space="0"/>
              <w:left w:val="single" w:color="auto" w:sz="4" w:space="0"/>
              <w:bottom w:val="single" w:color="auto" w:sz="4" w:space="0"/>
              <w:right w:val="single" w:color="auto" w:sz="4" w:space="0"/>
            </w:tcBorders>
            <w:noWrap w:val="0"/>
            <w:vAlign w:val="center"/>
          </w:tcPr>
          <w:p w14:paraId="0AE793BD">
            <w:pPr>
              <w:spacing w:after="0" w:line="360" w:lineRule="auto"/>
              <w:jc w:val="center"/>
              <w:rPr>
                <w:rFonts w:ascii="宋体" w:hAnsi="宋体" w:cs="宋体"/>
                <w:b/>
                <w:bCs/>
                <w:color w:val="auto"/>
                <w:sz w:val="21"/>
                <w:szCs w:val="21"/>
                <w:highlight w:val="none"/>
              </w:rPr>
            </w:pPr>
          </w:p>
          <w:p w14:paraId="5E3A1D1B">
            <w:pPr>
              <w:spacing w:after="0" w:line="360" w:lineRule="auto"/>
              <w:jc w:val="center"/>
              <w:rPr>
                <w:rFonts w:ascii="宋体" w:hAnsi="宋体" w:cs="宋体"/>
                <w:b/>
                <w:bCs/>
                <w:color w:val="auto"/>
                <w:sz w:val="21"/>
                <w:szCs w:val="21"/>
                <w:highlight w:val="none"/>
              </w:rPr>
            </w:pPr>
          </w:p>
          <w:p w14:paraId="42FE5395">
            <w:pPr>
              <w:spacing w:after="0" w:line="360" w:lineRule="auto"/>
              <w:jc w:val="center"/>
              <w:rPr>
                <w:rFonts w:ascii="宋体" w:hAnsi="宋体" w:cs="宋体"/>
                <w:b/>
                <w:bCs/>
                <w:color w:val="auto"/>
                <w:sz w:val="21"/>
                <w:szCs w:val="21"/>
                <w:highlight w:val="none"/>
              </w:rPr>
            </w:pPr>
          </w:p>
          <w:p w14:paraId="5093CC6A">
            <w:pPr>
              <w:spacing w:after="0" w:line="360" w:lineRule="auto"/>
              <w:jc w:val="center"/>
              <w:rPr>
                <w:rFonts w:ascii="宋体" w:hAnsi="宋体" w:cs="宋体"/>
                <w:b/>
                <w:bCs/>
                <w:color w:val="auto"/>
                <w:sz w:val="21"/>
                <w:szCs w:val="21"/>
                <w:highlight w:val="none"/>
              </w:rPr>
            </w:pPr>
          </w:p>
          <w:p w14:paraId="4108DA4D">
            <w:pPr>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8</w:t>
            </w:r>
          </w:p>
        </w:tc>
      </w:tr>
      <w:tr w14:paraId="698D8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852" w:type="dxa"/>
            <w:tcBorders>
              <w:top w:val="single" w:color="auto" w:sz="4" w:space="0"/>
              <w:left w:val="single" w:color="auto" w:sz="4" w:space="0"/>
              <w:right w:val="single" w:color="auto" w:sz="4" w:space="0"/>
            </w:tcBorders>
            <w:noWrap w:val="0"/>
            <w:vAlign w:val="center"/>
          </w:tcPr>
          <w:p w14:paraId="0A14DB82">
            <w:pPr>
              <w:widowControl w:val="0"/>
              <w:spacing w:after="0" w:line="360" w:lineRule="auto"/>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6.7</w:t>
            </w:r>
          </w:p>
        </w:tc>
        <w:tc>
          <w:tcPr>
            <w:tcW w:w="992" w:type="dxa"/>
            <w:tcBorders>
              <w:left w:val="single" w:color="auto" w:sz="4" w:space="0"/>
              <w:right w:val="single" w:color="auto" w:sz="4" w:space="0"/>
            </w:tcBorders>
            <w:noWrap w:val="0"/>
            <w:vAlign w:val="center"/>
          </w:tcPr>
          <w:p w14:paraId="2D4E94B6">
            <w:pPr>
              <w:widowControl w:val="0"/>
              <w:spacing w:after="0" w:line="360" w:lineRule="auto"/>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总分</w:t>
            </w:r>
          </w:p>
        </w:tc>
        <w:tc>
          <w:tcPr>
            <w:tcW w:w="6870" w:type="dxa"/>
            <w:tcBorders>
              <w:top w:val="single" w:color="auto" w:sz="4" w:space="0"/>
              <w:left w:val="single" w:color="auto" w:sz="4" w:space="0"/>
              <w:right w:val="single" w:color="auto" w:sz="4" w:space="0"/>
            </w:tcBorders>
            <w:noWrap w:val="0"/>
            <w:vAlign w:val="center"/>
          </w:tcPr>
          <w:p w14:paraId="5C6F6425">
            <w:pPr>
              <w:spacing w:after="0" w:line="360" w:lineRule="auto"/>
              <w:ind w:firstLine="210" w:firstLineChars="100"/>
              <w:jc w:val="both"/>
              <w:rPr>
                <w:rFonts w:hint="eastAsia" w:ascii="宋体" w:hAnsi="宋体" w:cs="宋体"/>
                <w:color w:val="auto"/>
                <w:sz w:val="21"/>
                <w:szCs w:val="21"/>
                <w:highlight w:val="none"/>
              </w:rPr>
            </w:pPr>
          </w:p>
        </w:tc>
        <w:tc>
          <w:tcPr>
            <w:tcW w:w="675" w:type="dxa"/>
            <w:tcBorders>
              <w:top w:val="single" w:color="auto" w:sz="4" w:space="0"/>
              <w:left w:val="single" w:color="auto" w:sz="4" w:space="0"/>
              <w:bottom w:val="single" w:color="auto" w:sz="4" w:space="0"/>
              <w:right w:val="single" w:color="auto" w:sz="4" w:space="0"/>
            </w:tcBorders>
            <w:noWrap w:val="0"/>
            <w:vAlign w:val="center"/>
          </w:tcPr>
          <w:p w14:paraId="299A46B6">
            <w:pPr>
              <w:spacing w:after="0" w:line="360" w:lineRule="auto"/>
              <w:jc w:val="center"/>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100</w:t>
            </w:r>
          </w:p>
        </w:tc>
      </w:tr>
    </w:tbl>
    <w:p w14:paraId="6930C0A4">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Arial" w:hAnsi="Arial" w:cs="Arial"/>
          <w:color w:val="auto"/>
          <w:sz w:val="24"/>
          <w:szCs w:val="24"/>
          <w:highlight w:val="none"/>
        </w:rPr>
      </w:pPr>
      <w:r>
        <w:rPr>
          <w:rFonts w:hint="eastAsia" w:ascii="Arial" w:hAnsi="Arial" w:cs="Arial"/>
          <w:color w:val="auto"/>
          <w:sz w:val="24"/>
          <w:szCs w:val="24"/>
          <w:highlight w:val="none"/>
        </w:rPr>
        <w:t>说明：</w:t>
      </w:r>
    </w:p>
    <w:p w14:paraId="5B2CFF6C">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Arial" w:hAnsi="Arial" w:cs="Arial"/>
          <w:color w:val="auto"/>
          <w:sz w:val="24"/>
          <w:szCs w:val="24"/>
          <w:highlight w:val="none"/>
        </w:rPr>
      </w:pPr>
      <w:r>
        <w:rPr>
          <w:rFonts w:hint="eastAsia" w:ascii="Arial" w:hAnsi="Arial" w:cs="Arial"/>
          <w:color w:val="auto"/>
          <w:sz w:val="24"/>
          <w:szCs w:val="24"/>
          <w:highlight w:val="none"/>
        </w:rPr>
        <w:t>1、小微型企业价格扣除</w:t>
      </w:r>
    </w:p>
    <w:p w14:paraId="26B72579">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（1）对小型和微型企业提供的产品在价格上给予10%的扣除，用扣除后的价格参与评审。</w:t>
      </w:r>
    </w:p>
    <w:p w14:paraId="4DED78E4">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（2）供应商需按照采购文件的要求提供相应的《中小企业声明函》。</w:t>
      </w:r>
    </w:p>
    <w:p w14:paraId="1CF31824">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default" w:ascii="宋体" w:hAnsi="Arial" w:eastAsia="宋体"/>
          <w:color w:val="auto"/>
          <w:kern w:val="2"/>
          <w:sz w:val="24"/>
          <w:szCs w:val="24"/>
          <w:highlight w:val="none"/>
          <w:lang w:val="en-US" w:eastAsia="zh-CN"/>
        </w:rPr>
      </w:pPr>
      <w:r>
        <w:rPr>
          <w:rFonts w:hint="eastAsia" w:ascii="宋体" w:hAnsi="Arial"/>
          <w:color w:val="auto"/>
          <w:kern w:val="2"/>
          <w:sz w:val="24"/>
          <w:szCs w:val="24"/>
          <w:highlight w:val="none"/>
        </w:rPr>
        <w:t>（3）企业标准请参照</w:t>
      </w:r>
      <w:r>
        <w:rPr>
          <w:rFonts w:hint="eastAsia" w:ascii="宋体" w:hAnsi="Arial"/>
          <w:color w:val="auto"/>
          <w:kern w:val="2"/>
          <w:sz w:val="24"/>
          <w:szCs w:val="24"/>
          <w:highlight w:val="none"/>
          <w:lang w:val="zh-CN"/>
        </w:rPr>
        <w:t>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w:t>
      </w:r>
      <w:r>
        <w:rPr>
          <w:rFonts w:hint="eastAsia" w:ascii="宋体" w:hAnsi="Arial"/>
          <w:color w:val="auto"/>
          <w:kern w:val="2"/>
          <w:sz w:val="24"/>
          <w:szCs w:val="24"/>
          <w:highlight w:val="none"/>
          <w:lang w:val="en-US" w:eastAsia="zh-CN"/>
        </w:rPr>
        <w:t>自行填写。</w:t>
      </w:r>
    </w:p>
    <w:p w14:paraId="4C5986CB">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2、残疾人福利单位价格扣除</w:t>
      </w:r>
    </w:p>
    <w:p w14:paraId="4781CBE1">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（1）本项目对残疾人福利性单位视同小型、微型企业，给予</w:t>
      </w:r>
      <w:r>
        <w:rPr>
          <w:rFonts w:ascii="宋体" w:hAnsi="Arial"/>
          <w:color w:val="auto"/>
          <w:kern w:val="2"/>
          <w:sz w:val="24"/>
          <w:szCs w:val="24"/>
          <w:highlight w:val="none"/>
        </w:rPr>
        <w:t>10</w:t>
      </w:r>
      <w:r>
        <w:rPr>
          <w:rFonts w:hint="eastAsia" w:ascii="宋体" w:hAnsi="Arial"/>
          <w:color w:val="auto"/>
          <w:kern w:val="2"/>
          <w:sz w:val="24"/>
          <w:szCs w:val="24"/>
          <w:highlight w:val="none"/>
        </w:rPr>
        <w:t>%的价格扣除，用扣除后的价格参与评审。</w:t>
      </w:r>
    </w:p>
    <w:p w14:paraId="0FA4FAB2">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（2）残疾人福利单位需按照采购文件的要求提供《残疾人福利性单位声明函》。</w:t>
      </w:r>
    </w:p>
    <w:p w14:paraId="269C6B53">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（3）残疾人福利单位标准请参照《关于促进残疾人就业政府采购政策的通知》（财库〔2017〕141号）。</w:t>
      </w:r>
    </w:p>
    <w:p w14:paraId="4C0EFB22">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3、监狱和戒毒企业价格扣除</w:t>
      </w:r>
    </w:p>
    <w:p w14:paraId="71D0C81B">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（1）本项目对监狱和戒毒企业（简称监狱企业）视同小型、微型企业，给予</w:t>
      </w:r>
      <w:r>
        <w:rPr>
          <w:rFonts w:ascii="宋体" w:hAnsi="Arial"/>
          <w:color w:val="auto"/>
          <w:kern w:val="2"/>
          <w:sz w:val="24"/>
          <w:szCs w:val="24"/>
          <w:highlight w:val="none"/>
        </w:rPr>
        <w:t>10</w:t>
      </w:r>
      <w:r>
        <w:rPr>
          <w:rFonts w:hint="eastAsia" w:ascii="宋体" w:hAnsi="Arial"/>
          <w:color w:val="auto"/>
          <w:kern w:val="2"/>
          <w:sz w:val="24"/>
          <w:szCs w:val="24"/>
          <w:highlight w:val="none"/>
        </w:rPr>
        <w:t>%的价格扣除，用扣除后的价格参与评审。</w:t>
      </w:r>
    </w:p>
    <w:p w14:paraId="6F10080C">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091FB5B3">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rPr>
        <w:t>（3）监狱企业标准请参照《关于政府采购支持监狱企业发展有关问题的通知》（财库[2014]68号）。</w:t>
      </w:r>
    </w:p>
    <w:p w14:paraId="7A90ACB1">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Arial"/>
          <w:color w:val="auto"/>
          <w:kern w:val="2"/>
          <w:sz w:val="24"/>
          <w:szCs w:val="24"/>
          <w:highlight w:val="none"/>
        </w:rPr>
      </w:pPr>
      <w:r>
        <w:rPr>
          <w:rFonts w:hint="eastAsia" w:ascii="宋体" w:hAnsi="Arial"/>
          <w:color w:val="auto"/>
          <w:kern w:val="2"/>
          <w:sz w:val="24"/>
          <w:szCs w:val="24"/>
          <w:highlight w:val="none"/>
        </w:rPr>
        <w:t>4、残疾人福利单位、监狱企业属于小型、微型企业的，不重复享受政策。</w:t>
      </w:r>
    </w:p>
    <w:p w14:paraId="4E321B6E">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Arial"/>
          <w:color w:val="auto"/>
          <w:kern w:val="2"/>
          <w:sz w:val="24"/>
          <w:szCs w:val="24"/>
          <w:highlight w:val="none"/>
        </w:rPr>
      </w:pPr>
      <w:r>
        <w:rPr>
          <w:rFonts w:hint="eastAsia" w:ascii="宋体" w:hAnsi="Arial"/>
          <w:color w:val="auto"/>
          <w:kern w:val="2"/>
          <w:sz w:val="24"/>
          <w:szCs w:val="24"/>
          <w:highlight w:val="none"/>
        </w:rPr>
        <w:t>5、采购节能产品、环境标志产品相关政策</w:t>
      </w:r>
    </w:p>
    <w:p w14:paraId="65BB0866">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Arial"/>
          <w:color w:val="auto"/>
          <w:kern w:val="2"/>
          <w:sz w:val="24"/>
          <w:szCs w:val="24"/>
          <w:highlight w:val="none"/>
        </w:rPr>
      </w:pPr>
      <w:r>
        <w:rPr>
          <w:rFonts w:hint="eastAsia" w:ascii="宋体" w:hAnsi="Arial"/>
          <w:color w:val="auto"/>
          <w:kern w:val="2"/>
          <w:sz w:val="24"/>
          <w:szCs w:val="24"/>
          <w:highlight w:val="none"/>
        </w:rPr>
        <w:t>（1）为发挥政府采购的政策导向作用，根据《财政部发展改革委生态环境部市场监管总局关于调整优化节能产品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p>
    <w:p w14:paraId="25FDFB64">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Arial"/>
          <w:color w:val="auto"/>
          <w:kern w:val="2"/>
          <w:sz w:val="24"/>
          <w:szCs w:val="24"/>
          <w:highlight w:val="none"/>
        </w:rPr>
      </w:pPr>
      <w:r>
        <w:rPr>
          <w:rFonts w:hint="eastAsia" w:ascii="宋体" w:hAnsi="Arial"/>
          <w:color w:val="auto"/>
          <w:kern w:val="2"/>
          <w:sz w:val="24"/>
          <w:szCs w:val="24"/>
          <w:highlight w:val="none"/>
        </w:rPr>
        <w:t>（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p>
    <w:p w14:paraId="4DCDDDEB">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Arial"/>
          <w:color w:val="auto"/>
          <w:kern w:val="2"/>
          <w:sz w:val="24"/>
          <w:szCs w:val="24"/>
          <w:highlight w:val="none"/>
        </w:rPr>
      </w:pPr>
      <w:r>
        <w:rPr>
          <w:rFonts w:hint="eastAsia" w:ascii="宋体" w:hAnsi="Arial"/>
          <w:color w:val="auto"/>
          <w:kern w:val="2"/>
          <w:sz w:val="24"/>
          <w:szCs w:val="24"/>
          <w:highlight w:val="none"/>
        </w:rPr>
        <w:t xml:space="preserve">（3）节能产品、环境标志产品价格扣除 </w:t>
      </w:r>
    </w:p>
    <w:p w14:paraId="3A5F162D">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Arial"/>
          <w:color w:val="auto"/>
          <w:kern w:val="2"/>
          <w:sz w:val="24"/>
          <w:szCs w:val="24"/>
          <w:highlight w:val="none"/>
        </w:rPr>
      </w:pPr>
      <w:r>
        <w:rPr>
          <w:rFonts w:hint="eastAsia" w:ascii="宋体" w:hAnsi="Arial"/>
          <w:color w:val="auto"/>
          <w:kern w:val="2"/>
          <w:sz w:val="24"/>
          <w:szCs w:val="24"/>
          <w:highlight w:val="none"/>
        </w:rPr>
        <w:t xml:space="preserve">a、投标人所投产品被列入优先采购的节能产品政府采购品目清单中产品，其投标报价将给予 1%的价格扣除(强制采购节能产品除外)。 </w:t>
      </w:r>
    </w:p>
    <w:p w14:paraId="5C794FFA">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Arial"/>
          <w:color w:val="auto"/>
          <w:kern w:val="2"/>
          <w:sz w:val="24"/>
          <w:szCs w:val="24"/>
          <w:highlight w:val="none"/>
        </w:rPr>
      </w:pPr>
      <w:r>
        <w:rPr>
          <w:rFonts w:hint="eastAsia" w:ascii="宋体" w:hAnsi="Arial"/>
          <w:color w:val="auto"/>
          <w:kern w:val="2"/>
          <w:sz w:val="24"/>
          <w:szCs w:val="24"/>
          <w:highlight w:val="none"/>
        </w:rPr>
        <w:t>评标委员会根据投标人提供的投标产品在中国政府采购网公布的“节能产品政府采购品目清单”所在清单页截图及《节能产品认证证书》认定其是否属于节能产品价格扣除的优惠政策。</w:t>
      </w:r>
    </w:p>
    <w:p w14:paraId="17E0359E">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hint="eastAsia" w:ascii="宋体" w:hAnsi="Arial"/>
          <w:color w:val="auto"/>
          <w:kern w:val="2"/>
          <w:sz w:val="24"/>
          <w:szCs w:val="24"/>
          <w:highlight w:val="none"/>
        </w:rPr>
      </w:pPr>
      <w:r>
        <w:rPr>
          <w:rFonts w:hint="eastAsia" w:ascii="宋体" w:hAnsi="Arial"/>
          <w:color w:val="auto"/>
          <w:kern w:val="2"/>
          <w:sz w:val="24"/>
          <w:szCs w:val="24"/>
          <w:highlight w:val="none"/>
        </w:rPr>
        <w:t xml:space="preserve"> b、投标人所投产品被列入优先采购的环境标志产品政府采购品目清单中产品，其投标报价将给予 1%的价格扣除。</w:t>
      </w:r>
    </w:p>
    <w:p w14:paraId="63457C91">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color w:val="auto"/>
          <w:highlight w:val="none"/>
        </w:rPr>
      </w:pPr>
      <w:r>
        <w:rPr>
          <w:rFonts w:hint="eastAsia" w:ascii="宋体" w:hAnsi="Arial"/>
          <w:color w:val="auto"/>
          <w:kern w:val="2"/>
          <w:sz w:val="24"/>
          <w:szCs w:val="24"/>
          <w:highlight w:val="none"/>
        </w:rPr>
        <w:t>评标委员会根据投标人提供的投标产品在中国政府采购网公布的“环境标志产品政府采购品目清单”所在清单页截图及《环境标志产品认证证书》认定其是否属于环境标志产品价格扣除的优惠政策。</w:t>
      </w:r>
    </w:p>
    <w:p w14:paraId="0DFA1055">
      <w:pPr>
        <w:keepNext w:val="0"/>
        <w:keepLines w:val="0"/>
        <w:pageBreakBefore w:val="0"/>
        <w:widowControl w:val="0"/>
        <w:kinsoku/>
        <w:wordWrap/>
        <w:overflowPunct/>
        <w:topLinePunct w:val="0"/>
        <w:autoSpaceDE/>
        <w:autoSpaceDN/>
        <w:bidi w:val="0"/>
        <w:adjustRightInd w:val="0"/>
        <w:snapToGrid/>
        <w:spacing w:after="0" w:line="360" w:lineRule="auto"/>
        <w:ind w:firstLine="480" w:firstLineChars="200"/>
        <w:textAlignment w:val="baseline"/>
        <w:rPr>
          <w:rFonts w:ascii="宋体" w:hAnsi="Arial"/>
          <w:color w:val="auto"/>
          <w:kern w:val="2"/>
          <w:sz w:val="24"/>
          <w:szCs w:val="24"/>
          <w:highlight w:val="none"/>
        </w:rPr>
      </w:pPr>
      <w:r>
        <w:rPr>
          <w:rFonts w:hint="eastAsia" w:ascii="宋体" w:hAnsi="Arial"/>
          <w:color w:val="auto"/>
          <w:kern w:val="2"/>
          <w:sz w:val="24"/>
          <w:szCs w:val="24"/>
          <w:highlight w:val="none"/>
          <w:lang w:val="en-US" w:eastAsia="zh-CN"/>
        </w:rPr>
        <w:t>5</w:t>
      </w:r>
      <w:r>
        <w:rPr>
          <w:rFonts w:hint="eastAsia" w:ascii="宋体" w:hAnsi="Arial"/>
          <w:color w:val="auto"/>
          <w:kern w:val="2"/>
          <w:sz w:val="24"/>
          <w:szCs w:val="24"/>
          <w:highlight w:val="none"/>
        </w:rPr>
        <w:t>、所有认证、证明或业绩均以有效的证明文件的复印件并加盖公章为依据，原件备查。</w:t>
      </w:r>
    </w:p>
    <w:p w14:paraId="3B9B621D">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微软雅黑" w:hAnsi="微软雅黑" w:eastAsia="微软雅黑" w:cs="微软雅黑"/>
          <w:b/>
          <w:color w:val="auto"/>
          <w:sz w:val="32"/>
          <w:highlight w:val="none"/>
        </w:rPr>
      </w:pPr>
    </w:p>
    <w:p w14:paraId="67AF8556">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ascii="微软雅黑" w:hAnsi="微软雅黑" w:eastAsia="微软雅黑" w:cs="微软雅黑"/>
          <w:b/>
          <w:color w:val="auto"/>
          <w:sz w:val="32"/>
          <w:highlight w:val="none"/>
        </w:rPr>
      </w:pPr>
    </w:p>
    <w:p w14:paraId="012D086F">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黑体" w:hAnsi="黑体" w:eastAsia="黑体" w:cs="黑体"/>
          <w:color w:val="auto"/>
          <w:sz w:val="44"/>
          <w:szCs w:val="40"/>
          <w:highlight w:val="none"/>
          <w:u w:val="none"/>
          <w:lang w:val="en-US" w:eastAsia="zh-CN" w:bidi="ar-SA"/>
        </w:rPr>
      </w:pPr>
    </w:p>
    <w:p w14:paraId="14D46C16">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黑体" w:hAnsi="黑体" w:eastAsia="黑体" w:cs="黑体"/>
          <w:color w:val="auto"/>
          <w:sz w:val="44"/>
          <w:szCs w:val="40"/>
          <w:highlight w:val="none"/>
          <w:u w:val="none"/>
          <w:lang w:val="en-US" w:eastAsia="zh-CN" w:bidi="ar-SA"/>
        </w:rPr>
      </w:pPr>
    </w:p>
    <w:p w14:paraId="2118E282">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黑体" w:hAnsi="黑体" w:eastAsia="黑体" w:cs="黑体"/>
          <w:color w:val="auto"/>
          <w:sz w:val="44"/>
          <w:szCs w:val="40"/>
          <w:highlight w:val="none"/>
          <w:u w:val="none"/>
          <w:lang w:val="en-US" w:eastAsia="zh-CN" w:bidi="ar-SA"/>
        </w:rPr>
      </w:pPr>
    </w:p>
    <w:p w14:paraId="0C94DE8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黑体" w:hAnsi="黑体" w:eastAsia="黑体" w:cs="黑体"/>
          <w:color w:val="auto"/>
          <w:sz w:val="44"/>
          <w:szCs w:val="40"/>
          <w:highlight w:val="none"/>
          <w:u w:val="none"/>
          <w:lang w:val="en-US" w:eastAsia="zh-CN" w:bidi="ar-SA"/>
        </w:rPr>
      </w:pPr>
    </w:p>
    <w:p w14:paraId="038EE6AE">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黑体" w:hAnsi="黑体" w:eastAsia="黑体" w:cs="黑体"/>
          <w:color w:val="auto"/>
          <w:sz w:val="44"/>
          <w:szCs w:val="40"/>
          <w:highlight w:val="none"/>
          <w:u w:val="none"/>
          <w:lang w:val="en-US" w:eastAsia="zh-CN" w:bidi="ar-SA"/>
        </w:rPr>
      </w:pPr>
    </w:p>
    <w:p w14:paraId="436ACC21">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黑体" w:hAnsi="黑体" w:eastAsia="黑体" w:cs="黑体"/>
          <w:color w:val="auto"/>
          <w:sz w:val="44"/>
          <w:szCs w:val="40"/>
          <w:highlight w:val="none"/>
          <w:u w:val="none"/>
          <w:lang w:val="en-US" w:eastAsia="zh-CN" w:bidi="ar-SA"/>
        </w:rPr>
      </w:pPr>
    </w:p>
    <w:p w14:paraId="24177BE1">
      <w:pPr>
        <w:pStyle w:val="39"/>
        <w:rPr>
          <w:rFonts w:hint="default" w:ascii="黑体" w:hAnsi="黑体" w:eastAsia="黑体" w:cs="黑体"/>
          <w:color w:val="auto"/>
          <w:sz w:val="44"/>
          <w:szCs w:val="40"/>
          <w:highlight w:val="none"/>
          <w:u w:val="none"/>
          <w:lang w:val="en-US" w:eastAsia="zh-CN" w:bidi="ar-SA"/>
        </w:rPr>
      </w:pPr>
    </w:p>
    <w:p w14:paraId="68C50E3F">
      <w:pPr>
        <w:pStyle w:val="39"/>
        <w:rPr>
          <w:rFonts w:hint="default" w:ascii="黑体" w:hAnsi="黑体" w:eastAsia="黑体" w:cs="黑体"/>
          <w:color w:val="auto"/>
          <w:sz w:val="44"/>
          <w:szCs w:val="40"/>
          <w:highlight w:val="none"/>
          <w:u w:val="none"/>
          <w:lang w:val="en-US" w:eastAsia="zh-CN" w:bidi="ar-SA"/>
        </w:rPr>
      </w:pPr>
    </w:p>
    <w:p w14:paraId="6A66DFFB">
      <w:pPr>
        <w:pStyle w:val="39"/>
        <w:rPr>
          <w:rFonts w:hint="default" w:ascii="黑体" w:hAnsi="黑体" w:eastAsia="黑体" w:cs="黑体"/>
          <w:color w:val="auto"/>
          <w:sz w:val="44"/>
          <w:szCs w:val="40"/>
          <w:highlight w:val="none"/>
          <w:u w:val="none"/>
          <w:lang w:val="en-US" w:eastAsia="zh-CN" w:bidi="ar-SA"/>
        </w:rPr>
      </w:pPr>
    </w:p>
    <w:p w14:paraId="6937EDFE">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rFonts w:hint="default" w:ascii="黑体" w:hAnsi="黑体" w:eastAsia="黑体" w:cs="黑体"/>
          <w:color w:val="auto"/>
          <w:sz w:val="44"/>
          <w:szCs w:val="40"/>
          <w:highlight w:val="none"/>
          <w:u w:val="none"/>
          <w:lang w:val="en-US" w:eastAsia="zh-CN" w:bidi="ar-SA"/>
        </w:rPr>
      </w:pPr>
    </w:p>
    <w:p w14:paraId="366BB368">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黑体" w:hAnsi="黑体" w:eastAsia="黑体" w:cs="黑体"/>
          <w:color w:val="auto"/>
          <w:sz w:val="44"/>
          <w:szCs w:val="40"/>
          <w:highlight w:val="none"/>
          <w:u w:val="none"/>
          <w:lang w:val="en-US" w:eastAsia="zh-CN" w:bidi="ar-SA"/>
        </w:rPr>
      </w:pPr>
    </w:p>
    <w:p w14:paraId="7AC78DF9">
      <w:pPr>
        <w:pBdr>
          <w:top w:val="none" w:color="000000" w:sz="0" w:space="0"/>
          <w:left w:val="none" w:color="000000" w:sz="0" w:space="0"/>
          <w:bottom w:val="none" w:color="000000" w:sz="0" w:space="0"/>
          <w:right w:val="none" w:color="000000" w:sz="0" w:space="0"/>
        </w:pBdr>
        <w:spacing w:before="0" w:after="0" w:line="400" w:lineRule="atLeast"/>
        <w:ind w:left="0" w:right="0" w:firstLine="0"/>
        <w:jc w:val="center"/>
        <w:rPr>
          <w:rFonts w:hint="default" w:ascii="黑体" w:hAnsi="黑体" w:eastAsia="黑体" w:cs="黑体"/>
          <w:color w:val="auto"/>
          <w:sz w:val="44"/>
          <w:szCs w:val="40"/>
          <w:highlight w:val="none"/>
          <w:u w:val="none"/>
          <w:lang w:val="en-US" w:eastAsia="zh-CN" w:bidi="ar-SA"/>
        </w:rPr>
      </w:pPr>
      <w:r>
        <w:rPr>
          <w:rFonts w:hint="default" w:ascii="黑体" w:hAnsi="黑体" w:eastAsia="黑体" w:cs="黑体"/>
          <w:color w:val="auto"/>
          <w:sz w:val="44"/>
          <w:szCs w:val="40"/>
          <w:highlight w:val="none"/>
          <w:u w:val="none"/>
          <w:lang w:val="en-US" w:eastAsia="zh-CN" w:bidi="ar-SA"/>
        </w:rPr>
        <w:t>第四章 项目需求</w:t>
      </w:r>
    </w:p>
    <w:p w14:paraId="3764D66C">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微软雅黑" w:hAnsi="微软雅黑" w:eastAsia="微软雅黑" w:cs="微软雅黑"/>
          <w:b/>
          <w:color w:val="auto"/>
          <w:sz w:val="32"/>
          <w:highlight w:val="none"/>
        </w:rPr>
        <w:t> </w:t>
      </w:r>
    </w:p>
    <w:p w14:paraId="7DE0E7D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微软雅黑" w:hAnsi="微软雅黑" w:eastAsia="微软雅黑" w:cs="微软雅黑"/>
          <w:b/>
          <w:color w:val="auto"/>
          <w:sz w:val="24"/>
          <w:highlight w:val="none"/>
        </w:rPr>
        <w:t>一、项目概况：</w:t>
      </w:r>
    </w:p>
    <w:p w14:paraId="4059BB5A">
      <w:pPr>
        <w:keepNext w:val="0"/>
        <w:keepLines w:val="0"/>
        <w:pageBreakBefore w:val="0"/>
        <w:pBdr>
          <w:top w:val="none" w:color="000000" w:sz="0" w:space="0"/>
          <w:left w:val="none" w:color="000000" w:sz="0" w:space="0"/>
          <w:bottom w:val="none" w:color="000000" w:sz="0" w:space="0"/>
          <w:right w:val="none" w:color="000000" w:sz="0" w:space="0"/>
        </w:pBdr>
        <w:tabs>
          <w:tab w:val="left" w:pos="900"/>
        </w:tabs>
        <w:kinsoku/>
        <w:wordWrap/>
        <w:overflowPunct/>
        <w:topLinePunct w:val="0"/>
        <w:bidi w:val="0"/>
        <w:snapToGrid/>
        <w:spacing w:before="0" w:after="0" w:line="360" w:lineRule="auto"/>
        <w:ind w:left="0" w:right="0" w:firstLine="480" w:firstLineChars="200"/>
        <w:jc w:val="both"/>
        <w:textAlignment w:val="auto"/>
        <w:rPr>
          <w:color w:val="auto"/>
          <w:highlight w:val="none"/>
        </w:rPr>
      </w:pPr>
      <w:r>
        <w:rPr>
          <w:rFonts w:hint="eastAsia" w:ascii="宋体" w:hAnsi="宋体" w:eastAsia="宋体" w:cs="宋体"/>
          <w:color w:val="auto"/>
          <w:sz w:val="24"/>
          <w:highlight w:val="none"/>
        </w:rPr>
        <w:t>1</w:t>
      </w:r>
      <w:r>
        <w:rPr>
          <w:rFonts w:ascii="宋体" w:hAnsi="宋体" w:eastAsia="宋体" w:cs="宋体"/>
          <w:color w:val="auto"/>
          <w:sz w:val="24"/>
          <w:highlight w:val="none"/>
        </w:rPr>
        <w:t>.</w:t>
      </w:r>
      <w:r>
        <w:rPr>
          <w:rFonts w:hint="eastAsia" w:ascii="宋体" w:hAnsi="宋体" w:eastAsia="宋体" w:cs="宋体"/>
          <w:color w:val="auto"/>
          <w:sz w:val="24"/>
          <w:highlight w:val="none"/>
          <w:lang w:eastAsia="zh-CN"/>
        </w:rPr>
        <w:t>南京市江宁区市场监督管理局</w:t>
      </w:r>
      <w:r>
        <w:rPr>
          <w:rFonts w:hint="eastAsia" w:ascii="宋体" w:hAnsi="宋体" w:eastAsia="宋体" w:cs="宋体"/>
          <w:color w:val="auto"/>
          <w:sz w:val="24"/>
          <w:highlight w:val="none"/>
        </w:rPr>
        <w:t>按照《企业信息公示暂行条例》和《企业公示信息抽查办法》的要求，本着公平规范的原则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组织开展企业公示信息情况抽查</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进一步推动和督促企业及时、准确地履行信息公示义务。现拟公开遴选一批中介服务机构对企业年度报告和即时公示信息中的出资情况、投资情况、资产经营状况、从业人员等情况的真实性、合法性进行协查，对每个被查企业出具书面协查报告</w:t>
      </w:r>
      <w:r>
        <w:rPr>
          <w:rFonts w:hint="eastAsia" w:ascii="宋体" w:hAnsi="宋体" w:eastAsia="宋体" w:cs="宋体"/>
          <w:color w:val="auto"/>
          <w:sz w:val="24"/>
          <w:highlight w:val="none"/>
          <w:lang w:eastAsia="zh-CN"/>
        </w:rPr>
        <w:t>，强化企业信用监管工作，维护公平有序的市场经济环境。</w:t>
      </w:r>
      <w:r>
        <w:rPr>
          <w:rFonts w:ascii="宋体" w:hAnsi="宋体" w:eastAsia="宋体" w:cs="宋体"/>
          <w:color w:val="auto"/>
          <w:sz w:val="24"/>
          <w:highlight w:val="none"/>
        </w:rPr>
        <w:t> </w:t>
      </w:r>
    </w:p>
    <w:p w14:paraId="38C49AE5">
      <w:pPr>
        <w:keepNext w:val="0"/>
        <w:keepLines w:val="0"/>
        <w:pageBreakBefore w:val="0"/>
        <w:widowControl w:val="0"/>
        <w:tabs>
          <w:tab w:val="left" w:pos="900"/>
        </w:tabs>
        <w:kinsoku/>
        <w:wordWrap/>
        <w:overflowPunct/>
        <w:topLinePunct w:val="0"/>
        <w:bidi w:val="0"/>
        <w:snapToGrid/>
        <w:spacing w:after="0" w:line="360" w:lineRule="auto"/>
        <w:ind w:firstLine="480" w:firstLineChars="200"/>
        <w:jc w:val="both"/>
        <w:textAlignment w:val="auto"/>
        <w:rPr>
          <w:rFonts w:ascii="宋体"/>
          <w:color w:val="auto"/>
          <w:kern w:val="2"/>
          <w:sz w:val="24"/>
          <w:highlight w:val="none"/>
        </w:rPr>
      </w:pPr>
      <w:r>
        <w:rPr>
          <w:rFonts w:hint="eastAsia" w:ascii="宋体"/>
          <w:color w:val="auto"/>
          <w:kern w:val="2"/>
          <w:sz w:val="24"/>
          <w:highlight w:val="none"/>
        </w:rPr>
        <w:t>2</w:t>
      </w:r>
      <w:r>
        <w:rPr>
          <w:rFonts w:ascii="宋体"/>
          <w:color w:val="auto"/>
          <w:kern w:val="2"/>
          <w:sz w:val="24"/>
          <w:highlight w:val="none"/>
        </w:rPr>
        <w:t>.</w:t>
      </w:r>
      <w:r>
        <w:rPr>
          <w:rFonts w:hint="eastAsia" w:ascii="宋体"/>
          <w:color w:val="auto"/>
          <w:kern w:val="2"/>
          <w:sz w:val="24"/>
          <w:highlight w:val="none"/>
        </w:rPr>
        <w:t>《项目分包明细与分包预算金额、服务清单一览表》</w:t>
      </w:r>
      <w:r>
        <w:rPr>
          <w:rFonts w:ascii="宋体"/>
          <w:color w:val="auto"/>
          <w:kern w:val="2"/>
          <w:sz w:val="24"/>
          <w:highlight w:val="none"/>
        </w:rPr>
        <w:t xml:space="preserve"> </w:t>
      </w:r>
    </w:p>
    <w:tbl>
      <w:tblPr>
        <w:tblStyle w:val="34"/>
        <w:tblW w:w="9098"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
        <w:gridCol w:w="2857"/>
        <w:gridCol w:w="2028"/>
        <w:gridCol w:w="1543"/>
        <w:gridCol w:w="1706"/>
      </w:tblGrid>
      <w:tr w14:paraId="0DC1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964" w:type="dxa"/>
            <w:vAlign w:val="center"/>
          </w:tcPr>
          <w:p w14:paraId="43E76980">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分包号</w:t>
            </w:r>
          </w:p>
        </w:tc>
        <w:tc>
          <w:tcPr>
            <w:tcW w:w="2857" w:type="dxa"/>
            <w:vAlign w:val="center"/>
          </w:tcPr>
          <w:p w14:paraId="2F9846A0">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分包名称</w:t>
            </w:r>
          </w:p>
        </w:tc>
        <w:tc>
          <w:tcPr>
            <w:tcW w:w="2028" w:type="dxa"/>
            <w:vAlign w:val="center"/>
          </w:tcPr>
          <w:p w14:paraId="0DF7537D">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协查区域</w:t>
            </w:r>
          </w:p>
        </w:tc>
        <w:tc>
          <w:tcPr>
            <w:tcW w:w="1543" w:type="dxa"/>
            <w:vAlign w:val="center"/>
          </w:tcPr>
          <w:p w14:paraId="79421E1D">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预算金额</w:t>
            </w:r>
          </w:p>
          <w:p w14:paraId="725D716C">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（万元）</w:t>
            </w:r>
          </w:p>
        </w:tc>
        <w:tc>
          <w:tcPr>
            <w:tcW w:w="1706" w:type="dxa"/>
            <w:vAlign w:val="center"/>
          </w:tcPr>
          <w:p w14:paraId="28CB2CB0">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协查</w:t>
            </w:r>
          </w:p>
          <w:p w14:paraId="565454D6">
            <w:pPr>
              <w:pStyle w:val="39"/>
              <w:keepNext w:val="0"/>
              <w:keepLines w:val="0"/>
              <w:pageBreakBefore w:val="0"/>
              <w:widowControl/>
              <w:kinsoku/>
              <w:wordWrap/>
              <w:overflowPunct/>
              <w:topLinePunct w:val="0"/>
              <w:autoSpaceDE/>
              <w:autoSpaceDN/>
              <w:bidi w:val="0"/>
              <w:adjustRightInd/>
              <w:snapToGrid/>
              <w:spacing w:after="0" w:line="360" w:lineRule="auto"/>
              <w:ind w:left="0" w:leftChars="0" w:firstLine="0" w:firstLineChars="0"/>
              <w:jc w:val="center"/>
              <w:textAlignment w:val="auto"/>
              <w:rPr>
                <w:rFonts w:hint="eastAsia" w:ascii="黑体" w:hAnsi="黑体" w:eastAsia="黑体" w:cs="黑体"/>
                <w:color w:val="auto"/>
                <w:sz w:val="24"/>
                <w:szCs w:val="24"/>
                <w:highlight w:val="none"/>
                <w:vertAlign w:val="baseline"/>
                <w:lang w:val="en-US" w:eastAsia="zh-CN"/>
              </w:rPr>
            </w:pPr>
            <w:r>
              <w:rPr>
                <w:rFonts w:hint="eastAsia" w:ascii="黑体" w:hAnsi="黑体" w:eastAsia="黑体" w:cs="黑体"/>
                <w:color w:val="auto"/>
                <w:sz w:val="24"/>
                <w:szCs w:val="24"/>
                <w:highlight w:val="none"/>
                <w:vertAlign w:val="baseline"/>
                <w:lang w:val="en-US" w:eastAsia="zh-CN"/>
              </w:rPr>
              <w:t>数量（户）</w:t>
            </w:r>
          </w:p>
        </w:tc>
      </w:tr>
      <w:tr w14:paraId="02AF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964" w:type="dxa"/>
            <w:vAlign w:val="center"/>
          </w:tcPr>
          <w:p w14:paraId="39AFD9BF">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1</w:t>
            </w:r>
          </w:p>
        </w:tc>
        <w:tc>
          <w:tcPr>
            <w:tcW w:w="2857" w:type="dxa"/>
            <w:vAlign w:val="center"/>
          </w:tcPr>
          <w:p w14:paraId="2A23C174">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both"/>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1</w:t>
            </w:r>
          </w:p>
        </w:tc>
        <w:tc>
          <w:tcPr>
            <w:tcW w:w="2028" w:type="dxa"/>
            <w:vAlign w:val="center"/>
          </w:tcPr>
          <w:p w14:paraId="087F66DE">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秣陵</w:t>
            </w:r>
            <w:r>
              <w:rPr>
                <w:rFonts w:hint="eastAsia" w:ascii="宋体" w:hAnsi="宋体" w:cs="宋体"/>
                <w:b w:val="0"/>
                <w:bCs w:val="0"/>
                <w:color w:val="auto"/>
                <w:sz w:val="24"/>
                <w:szCs w:val="24"/>
                <w:highlight w:val="none"/>
                <w:vertAlign w:val="baseline"/>
                <w:lang w:val="en-US" w:eastAsia="zh-CN" w:bidi="ar-SA"/>
              </w:rPr>
              <w:t>、</w:t>
            </w:r>
          </w:p>
          <w:p w14:paraId="3E0308C6">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淳化、湖熟</w:t>
            </w:r>
          </w:p>
        </w:tc>
        <w:tc>
          <w:tcPr>
            <w:tcW w:w="1543" w:type="dxa"/>
            <w:vAlign w:val="center"/>
          </w:tcPr>
          <w:p w14:paraId="02C49F58">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bidi="ar-SA"/>
              </w:rPr>
              <w:t>36</w:t>
            </w:r>
          </w:p>
        </w:tc>
        <w:tc>
          <w:tcPr>
            <w:tcW w:w="1706" w:type="dxa"/>
            <w:vAlign w:val="center"/>
          </w:tcPr>
          <w:p w14:paraId="2DE476CE">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bidi="ar-SA"/>
              </w:rPr>
              <w:t>336</w:t>
            </w:r>
          </w:p>
        </w:tc>
      </w:tr>
      <w:tr w14:paraId="4DDF7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964" w:type="dxa"/>
            <w:vAlign w:val="center"/>
          </w:tcPr>
          <w:p w14:paraId="5391F382">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2</w:t>
            </w:r>
          </w:p>
        </w:tc>
        <w:tc>
          <w:tcPr>
            <w:tcW w:w="2857" w:type="dxa"/>
            <w:vAlign w:val="center"/>
          </w:tcPr>
          <w:p w14:paraId="439C12D5">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2</w:t>
            </w:r>
          </w:p>
        </w:tc>
        <w:tc>
          <w:tcPr>
            <w:tcW w:w="2028" w:type="dxa"/>
            <w:vAlign w:val="center"/>
          </w:tcPr>
          <w:p w14:paraId="6C87968F">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东山</w:t>
            </w:r>
          </w:p>
        </w:tc>
        <w:tc>
          <w:tcPr>
            <w:tcW w:w="1543" w:type="dxa"/>
            <w:vAlign w:val="center"/>
          </w:tcPr>
          <w:p w14:paraId="6AB5F873">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30</w:t>
            </w:r>
          </w:p>
        </w:tc>
        <w:tc>
          <w:tcPr>
            <w:tcW w:w="1706" w:type="dxa"/>
            <w:vAlign w:val="center"/>
          </w:tcPr>
          <w:p w14:paraId="26E6F98E">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280</w:t>
            </w:r>
          </w:p>
        </w:tc>
      </w:tr>
      <w:tr w14:paraId="42E53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964" w:type="dxa"/>
            <w:vAlign w:val="center"/>
          </w:tcPr>
          <w:p w14:paraId="39CF5991">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3</w:t>
            </w:r>
          </w:p>
        </w:tc>
        <w:tc>
          <w:tcPr>
            <w:tcW w:w="2857" w:type="dxa"/>
            <w:vAlign w:val="center"/>
          </w:tcPr>
          <w:p w14:paraId="7757AD51">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both"/>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3</w:t>
            </w:r>
          </w:p>
        </w:tc>
        <w:tc>
          <w:tcPr>
            <w:tcW w:w="2028" w:type="dxa"/>
            <w:vAlign w:val="center"/>
          </w:tcPr>
          <w:p w14:paraId="7EFDFF93">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开发区</w:t>
            </w:r>
          </w:p>
        </w:tc>
        <w:tc>
          <w:tcPr>
            <w:tcW w:w="1543" w:type="dxa"/>
            <w:vAlign w:val="center"/>
          </w:tcPr>
          <w:p w14:paraId="0E49F92A">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30</w:t>
            </w:r>
          </w:p>
        </w:tc>
        <w:tc>
          <w:tcPr>
            <w:tcW w:w="1706" w:type="dxa"/>
            <w:vAlign w:val="center"/>
          </w:tcPr>
          <w:p w14:paraId="3B6B021A">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280</w:t>
            </w:r>
          </w:p>
        </w:tc>
      </w:tr>
      <w:tr w14:paraId="4575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964" w:type="dxa"/>
            <w:vAlign w:val="center"/>
          </w:tcPr>
          <w:p w14:paraId="7B3B6840">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4</w:t>
            </w:r>
          </w:p>
        </w:tc>
        <w:tc>
          <w:tcPr>
            <w:tcW w:w="2857" w:type="dxa"/>
            <w:vAlign w:val="center"/>
          </w:tcPr>
          <w:p w14:paraId="60C3B029">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both"/>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4</w:t>
            </w:r>
          </w:p>
        </w:tc>
        <w:tc>
          <w:tcPr>
            <w:tcW w:w="2028" w:type="dxa"/>
            <w:vAlign w:val="center"/>
          </w:tcPr>
          <w:p w14:paraId="0E9AACF8">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高新区</w:t>
            </w:r>
          </w:p>
        </w:tc>
        <w:tc>
          <w:tcPr>
            <w:tcW w:w="1543" w:type="dxa"/>
            <w:vAlign w:val="center"/>
          </w:tcPr>
          <w:p w14:paraId="7C260D9F">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30</w:t>
            </w:r>
          </w:p>
        </w:tc>
        <w:tc>
          <w:tcPr>
            <w:tcW w:w="1706" w:type="dxa"/>
            <w:vAlign w:val="center"/>
          </w:tcPr>
          <w:p w14:paraId="3ED20D08">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280</w:t>
            </w:r>
          </w:p>
        </w:tc>
      </w:tr>
      <w:tr w14:paraId="21D70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964" w:type="dxa"/>
            <w:vAlign w:val="center"/>
          </w:tcPr>
          <w:p w14:paraId="34647878">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5</w:t>
            </w:r>
          </w:p>
        </w:tc>
        <w:tc>
          <w:tcPr>
            <w:tcW w:w="2857" w:type="dxa"/>
            <w:vAlign w:val="center"/>
          </w:tcPr>
          <w:p w14:paraId="1D4FF951">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both"/>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5</w:t>
            </w:r>
          </w:p>
        </w:tc>
        <w:tc>
          <w:tcPr>
            <w:tcW w:w="2028" w:type="dxa"/>
            <w:vAlign w:val="center"/>
          </w:tcPr>
          <w:p w14:paraId="437F64A4">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麒麟、汤山</w:t>
            </w:r>
          </w:p>
        </w:tc>
        <w:tc>
          <w:tcPr>
            <w:tcW w:w="1543" w:type="dxa"/>
            <w:vAlign w:val="center"/>
          </w:tcPr>
          <w:p w14:paraId="22BEB7FA">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25</w:t>
            </w:r>
          </w:p>
        </w:tc>
        <w:tc>
          <w:tcPr>
            <w:tcW w:w="1706" w:type="dxa"/>
            <w:vAlign w:val="center"/>
          </w:tcPr>
          <w:p w14:paraId="0A8351D1">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233</w:t>
            </w:r>
          </w:p>
        </w:tc>
      </w:tr>
      <w:tr w14:paraId="28E34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964" w:type="dxa"/>
            <w:vAlign w:val="center"/>
          </w:tcPr>
          <w:p w14:paraId="6A6B7C86">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vertAlign w:val="baseline"/>
                <w:lang w:val="en-US" w:eastAsia="zh-CN"/>
              </w:rPr>
              <w:t>6</w:t>
            </w:r>
          </w:p>
        </w:tc>
        <w:tc>
          <w:tcPr>
            <w:tcW w:w="2857" w:type="dxa"/>
            <w:vAlign w:val="center"/>
          </w:tcPr>
          <w:p w14:paraId="5D3A890D">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both"/>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6</w:t>
            </w:r>
          </w:p>
        </w:tc>
        <w:tc>
          <w:tcPr>
            <w:tcW w:w="2028" w:type="dxa"/>
            <w:vAlign w:val="center"/>
          </w:tcPr>
          <w:p w14:paraId="53E02B23">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滨江、</w:t>
            </w:r>
          </w:p>
          <w:p w14:paraId="42D991AB">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横溪、江宁</w:t>
            </w:r>
          </w:p>
        </w:tc>
        <w:tc>
          <w:tcPr>
            <w:tcW w:w="1543" w:type="dxa"/>
            <w:vAlign w:val="center"/>
          </w:tcPr>
          <w:p w14:paraId="271D67F3">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25</w:t>
            </w:r>
          </w:p>
        </w:tc>
        <w:tc>
          <w:tcPr>
            <w:tcW w:w="1706" w:type="dxa"/>
            <w:vAlign w:val="center"/>
          </w:tcPr>
          <w:p w14:paraId="0FEC18E9">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233</w:t>
            </w:r>
          </w:p>
        </w:tc>
      </w:tr>
      <w:tr w14:paraId="1B73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964" w:type="dxa"/>
            <w:vAlign w:val="center"/>
          </w:tcPr>
          <w:p w14:paraId="1EDAF500">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eastAsia" w:ascii="宋体" w:hAnsi="宋体" w:cs="宋体"/>
                <w:b w:val="0"/>
                <w:bCs w:val="0"/>
                <w:color w:val="auto"/>
                <w:sz w:val="24"/>
                <w:szCs w:val="24"/>
                <w:highlight w:val="none"/>
                <w:vertAlign w:val="baseline"/>
                <w:lang w:val="en-US" w:eastAsia="zh-CN"/>
              </w:rPr>
              <w:t>7</w:t>
            </w:r>
          </w:p>
        </w:tc>
        <w:tc>
          <w:tcPr>
            <w:tcW w:w="2857" w:type="dxa"/>
            <w:vAlign w:val="center"/>
          </w:tcPr>
          <w:p w14:paraId="061EEDAC">
            <w:pPr>
              <w:pStyle w:val="39"/>
              <w:keepNext w:val="0"/>
              <w:keepLines w:val="0"/>
              <w:pageBreakBefore w:val="0"/>
              <w:widowControl/>
              <w:kinsoku/>
              <w:wordWrap/>
              <w:overflowPunct/>
              <w:topLinePunct w:val="0"/>
              <w:autoSpaceDE/>
              <w:autoSpaceDN/>
              <w:bidi w:val="0"/>
              <w:adjustRightInd/>
              <w:snapToGrid/>
              <w:spacing w:after="0" w:line="400" w:lineRule="exact"/>
              <w:ind w:firstLine="0" w:firstLineChars="0"/>
              <w:jc w:val="both"/>
              <w:textAlignment w:val="auto"/>
              <w:rPr>
                <w:rFonts w:hint="eastAsia" w:ascii="宋体" w:hAnsi="宋体" w:eastAsia="宋体" w:cs="宋体"/>
                <w:b w:val="0"/>
                <w:bCs w:val="0"/>
                <w:color w:val="auto"/>
                <w:sz w:val="24"/>
                <w:szCs w:val="24"/>
                <w:highlight w:val="none"/>
                <w:vertAlign w:val="baseline"/>
              </w:rPr>
            </w:pPr>
            <w:r>
              <w:rPr>
                <w:rFonts w:hint="eastAsia" w:ascii="宋体" w:hAnsi="宋体" w:cs="宋体"/>
                <w:b w:val="0"/>
                <w:bCs w:val="0"/>
                <w:color w:val="auto"/>
                <w:sz w:val="24"/>
                <w:szCs w:val="24"/>
                <w:highlight w:val="none"/>
                <w:vertAlign w:val="baseline"/>
                <w:lang w:eastAsia="zh-CN"/>
              </w:rPr>
              <w:t>2026年企业公示信息</w:t>
            </w:r>
            <w:r>
              <w:rPr>
                <w:rFonts w:hint="eastAsia" w:ascii="宋体" w:hAnsi="宋体" w:eastAsia="宋体" w:cs="宋体"/>
                <w:b w:val="0"/>
                <w:bCs w:val="0"/>
                <w:color w:val="auto"/>
                <w:sz w:val="24"/>
                <w:szCs w:val="24"/>
                <w:highlight w:val="none"/>
                <w:vertAlign w:val="baseline"/>
              </w:rPr>
              <w:t>中介协查服务分包</w:t>
            </w:r>
            <w:r>
              <w:rPr>
                <w:rFonts w:hint="eastAsia" w:ascii="宋体" w:hAnsi="宋体" w:cs="宋体"/>
                <w:b w:val="0"/>
                <w:bCs w:val="0"/>
                <w:color w:val="auto"/>
                <w:sz w:val="24"/>
                <w:szCs w:val="24"/>
                <w:highlight w:val="none"/>
                <w:vertAlign w:val="baseline"/>
                <w:lang w:val="en-US" w:eastAsia="zh-CN"/>
              </w:rPr>
              <w:t>7</w:t>
            </w:r>
          </w:p>
        </w:tc>
        <w:tc>
          <w:tcPr>
            <w:tcW w:w="2028" w:type="dxa"/>
            <w:vAlign w:val="center"/>
          </w:tcPr>
          <w:p w14:paraId="6F25A2B7">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color w:val="auto"/>
                <w:sz w:val="24"/>
                <w:szCs w:val="24"/>
                <w:highlight w:val="none"/>
                <w:vertAlign w:val="baseline"/>
                <w:lang w:val="en-US" w:eastAsia="zh-CN" w:bidi="ar-SA"/>
              </w:rPr>
            </w:pPr>
            <w:r>
              <w:rPr>
                <w:rFonts w:hint="default" w:ascii="宋体" w:hAnsi="宋体" w:eastAsia="宋体" w:cs="宋体"/>
                <w:b w:val="0"/>
                <w:bCs w:val="0"/>
                <w:color w:val="auto"/>
                <w:sz w:val="24"/>
                <w:szCs w:val="24"/>
                <w:highlight w:val="none"/>
                <w:vertAlign w:val="baseline"/>
                <w:lang w:val="en-US" w:eastAsia="zh-CN" w:bidi="ar-SA"/>
              </w:rPr>
              <w:t>禄口、</w:t>
            </w:r>
          </w:p>
          <w:p w14:paraId="6B3717D0">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谷里、科室</w:t>
            </w:r>
          </w:p>
        </w:tc>
        <w:tc>
          <w:tcPr>
            <w:tcW w:w="1543" w:type="dxa"/>
            <w:vAlign w:val="center"/>
          </w:tcPr>
          <w:p w14:paraId="73466578">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24</w:t>
            </w:r>
          </w:p>
        </w:tc>
        <w:tc>
          <w:tcPr>
            <w:tcW w:w="1706" w:type="dxa"/>
            <w:vAlign w:val="center"/>
          </w:tcPr>
          <w:p w14:paraId="158B8B24">
            <w:pPr>
              <w:pStyle w:val="13"/>
              <w:keepNext w:val="0"/>
              <w:keepLines w:val="0"/>
              <w:pageBreakBefore w:val="0"/>
              <w:widowControl w:val="0"/>
              <w:numPr>
                <w:ilvl w:val="0"/>
                <w:numId w:val="0"/>
              </w:numPr>
              <w:kinsoku/>
              <w:wordWrap/>
              <w:overflowPunct/>
              <w:topLinePunct w:val="0"/>
              <w:autoSpaceDE/>
              <w:autoSpaceDN/>
              <w:bidi w:val="0"/>
              <w:adjustRightInd/>
              <w:snapToGrid/>
              <w:spacing w:line="400" w:lineRule="exact"/>
              <w:ind w:left="0" w:leftChars="0" w:firstLine="480" w:firstLineChars="200"/>
              <w:jc w:val="both"/>
              <w:textAlignment w:val="auto"/>
              <w:rPr>
                <w:rFonts w:hint="eastAsia" w:ascii="宋体" w:hAnsi="宋体" w:eastAsia="宋体" w:cs="宋体"/>
                <w:b w:val="0"/>
                <w:bCs w:val="0"/>
                <w:color w:val="auto"/>
                <w:sz w:val="24"/>
                <w:szCs w:val="24"/>
                <w:highlight w:val="none"/>
                <w:vertAlign w:val="baseline"/>
                <w:lang w:val="en-US" w:eastAsia="zh-CN"/>
              </w:rPr>
            </w:pPr>
            <w:r>
              <w:rPr>
                <w:rFonts w:hint="default" w:ascii="宋体" w:hAnsi="宋体" w:eastAsia="宋体" w:cs="宋体"/>
                <w:b w:val="0"/>
                <w:bCs w:val="0"/>
                <w:color w:val="auto"/>
                <w:sz w:val="24"/>
                <w:szCs w:val="24"/>
                <w:highlight w:val="none"/>
                <w:vertAlign w:val="baseline"/>
                <w:lang w:val="en-US" w:eastAsia="zh-CN" w:bidi="ar-SA"/>
              </w:rPr>
              <w:t>225</w:t>
            </w:r>
          </w:p>
        </w:tc>
      </w:tr>
    </w:tbl>
    <w:p w14:paraId="1EBA9C92">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3.服务完成标准：</w:t>
      </w:r>
    </w:p>
    <w:p w14:paraId="3F89FDBC">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3.1供应商完成采购人分配的协查户数，对每户协查对象出具协查报告，其中已取得必要的协查资料、有完整明确公示信息协查结论的出具“有协查结论”报告，因检查对象联系不上或不提供资料或其他客观原因导致对部分企业无法明确具体结论，出具“无法核实查证”报告。分配的协查对象全部出具协查报告视为完成要求的工作数量。</w:t>
      </w:r>
      <w:r>
        <w:rPr>
          <w:rFonts w:hint="eastAsia" w:ascii="宋体" w:hAnsi="宋体" w:eastAsia="宋体" w:cs="Times New Roman"/>
          <w:bCs/>
          <w:color w:val="auto"/>
          <w:kern w:val="2"/>
          <w:sz w:val="24"/>
          <w:szCs w:val="24"/>
          <w:highlight w:val="none"/>
          <w:lang w:val="en-US" w:eastAsia="zh-CN" w:bidi="ar-SA"/>
        </w:rPr>
        <w:br w:type="textWrapping"/>
      </w:r>
      <w:r>
        <w:rPr>
          <w:rFonts w:hint="eastAsia" w:ascii="宋体" w:hAnsi="宋体" w:eastAsia="宋体" w:cs="Times New Roman"/>
          <w:bCs/>
          <w:color w:val="auto"/>
          <w:kern w:val="2"/>
          <w:sz w:val="24"/>
          <w:szCs w:val="24"/>
          <w:highlight w:val="none"/>
          <w:lang w:val="en-US" w:eastAsia="zh-CN" w:bidi="ar-SA"/>
        </w:rPr>
        <w:t xml:space="preserve">    3.2供应商未按时完成协查户数数量，对未完成户数按1200元/户扣除合同款项并追究违约责任。   </w:t>
      </w:r>
    </w:p>
    <w:p w14:paraId="67042B5B">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3.3本项目的中标供应商对每一户协查对象均需出具协查报告，如被抽查企业已按要求提供相关材料，《企业公示信息协查报告》中应当载明具体的“一致”“修改后一致”或“不一致”协查结论；如因检查对象联系不上或不提供资料或其他客观原因导致协查报告中无法载明具体协查结论的，协查报告中应载明具体情况及有关证明材料。</w:t>
      </w:r>
    </w:p>
    <w:p w14:paraId="1F4AC2AF">
      <w:pPr>
        <w:pageBreakBefore w:val="0"/>
        <w:widowControl/>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right="0" w:firstLine="480" w:firstLineChars="200"/>
        <w:jc w:val="both"/>
        <w:textAlignment w:val="auto"/>
        <w:rPr>
          <w:rFonts w:hint="default" w:ascii="宋体" w:hAnsi="宋体" w:cs="Times New Roman"/>
          <w:bCs/>
          <w:color w:val="auto"/>
          <w:kern w:val="2"/>
          <w:sz w:val="24"/>
          <w:szCs w:val="24"/>
          <w:highlight w:val="none"/>
          <w:lang w:val="en-US" w:eastAsia="zh-CN" w:bidi="ar-SA"/>
        </w:rPr>
      </w:pPr>
      <w:r>
        <w:rPr>
          <w:rFonts w:hint="eastAsia" w:ascii="宋体" w:hAnsi="宋体" w:cs="Times New Roman"/>
          <w:bCs/>
          <w:color w:val="auto"/>
          <w:kern w:val="2"/>
          <w:sz w:val="24"/>
          <w:szCs w:val="24"/>
          <w:highlight w:val="none"/>
          <w:lang w:val="en-US" w:eastAsia="zh-CN" w:bidi="ar-SA"/>
        </w:rPr>
        <w:t>3.4采购人如增加相关协查户数，增加的户数应不超过最少协查户数的20%，采购人不另外支付费用，供应商需按时完成协查任务。</w:t>
      </w:r>
    </w:p>
    <w:p w14:paraId="6DF3F10A">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4.投标供应商可兼投但不得兼中，只能中其中一个分包。本招标文件中如无特别说明，所有要求适用所有分包。</w:t>
      </w:r>
    </w:p>
    <w:p w14:paraId="3A41AA9F">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zh-CN" w:eastAsia="zh-CN" w:bidi="ar-SA"/>
        </w:rPr>
        <w:t>5.</w:t>
      </w:r>
      <w:r>
        <w:rPr>
          <w:rFonts w:hint="eastAsia" w:ascii="宋体" w:hAnsi="宋体" w:eastAsia="宋体" w:cs="Times New Roman"/>
          <w:bCs/>
          <w:color w:val="auto"/>
          <w:kern w:val="2"/>
          <w:sz w:val="24"/>
          <w:szCs w:val="24"/>
          <w:highlight w:val="none"/>
          <w:lang w:val="en-US" w:eastAsia="zh-CN" w:bidi="ar-SA"/>
        </w:rPr>
        <w:t>如果供应商在某分包评标中被确定为排名第一的中标候选人，依旧可以参与其他分包的评审和打分。</w:t>
      </w:r>
    </w:p>
    <w:p w14:paraId="0705919C">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Times New Roman"/>
          <w:bCs/>
          <w:color w:val="auto"/>
          <w:kern w:val="2"/>
          <w:sz w:val="24"/>
          <w:szCs w:val="24"/>
          <w:highlight w:val="none"/>
          <w:lang w:val="zh-CN" w:eastAsia="zh-CN" w:bidi="ar-SA"/>
        </w:rPr>
      </w:pPr>
      <w:r>
        <w:rPr>
          <w:rFonts w:hint="eastAsia" w:ascii="宋体" w:hAnsi="宋体" w:eastAsia="宋体" w:cs="Times New Roman"/>
          <w:bCs/>
          <w:color w:val="auto"/>
          <w:kern w:val="2"/>
          <w:sz w:val="24"/>
          <w:szCs w:val="24"/>
          <w:highlight w:val="none"/>
          <w:lang w:val="zh-CN" w:eastAsia="zh-CN" w:bidi="ar-SA"/>
        </w:rPr>
        <w:t>6.如果供应商多个分包排名第一，则只能中标分包号次序排列最前的一个，其他分包则由排名第二的供应商中标，如排名第二的供应商已中标则由排名第三的供应商中标，以此类推（分包号次序从分包</w:t>
      </w:r>
      <w:r>
        <w:rPr>
          <w:rFonts w:hint="eastAsia" w:ascii="宋体" w:hAnsi="宋体" w:eastAsia="宋体" w:cs="Times New Roman"/>
          <w:bCs/>
          <w:color w:val="auto"/>
          <w:kern w:val="2"/>
          <w:sz w:val="24"/>
          <w:szCs w:val="24"/>
          <w:highlight w:val="none"/>
          <w:lang w:val="en-US" w:eastAsia="zh-CN" w:bidi="ar-SA"/>
        </w:rPr>
        <w:t>1</w:t>
      </w:r>
      <w:r>
        <w:rPr>
          <w:rFonts w:hint="eastAsia" w:ascii="宋体" w:hAnsi="宋体" w:eastAsia="宋体" w:cs="Times New Roman"/>
          <w:bCs/>
          <w:color w:val="auto"/>
          <w:kern w:val="2"/>
          <w:sz w:val="24"/>
          <w:szCs w:val="24"/>
          <w:highlight w:val="none"/>
          <w:lang w:val="zh-CN" w:eastAsia="zh-CN" w:bidi="ar-SA"/>
        </w:rPr>
        <w:t>至分包</w:t>
      </w:r>
      <w:r>
        <w:rPr>
          <w:rFonts w:hint="eastAsia" w:ascii="宋体" w:hAnsi="宋体" w:eastAsia="宋体" w:cs="Times New Roman"/>
          <w:bCs/>
          <w:color w:val="auto"/>
          <w:kern w:val="2"/>
          <w:sz w:val="24"/>
          <w:szCs w:val="24"/>
          <w:highlight w:val="none"/>
          <w:lang w:val="en-US" w:eastAsia="zh-CN" w:bidi="ar-SA"/>
        </w:rPr>
        <w:t>7</w:t>
      </w:r>
      <w:r>
        <w:rPr>
          <w:rFonts w:hint="eastAsia" w:ascii="宋体" w:hAnsi="宋体" w:eastAsia="宋体" w:cs="Times New Roman"/>
          <w:bCs/>
          <w:color w:val="auto"/>
          <w:kern w:val="2"/>
          <w:sz w:val="24"/>
          <w:szCs w:val="24"/>
          <w:highlight w:val="none"/>
          <w:lang w:val="zh-CN" w:eastAsia="zh-CN" w:bidi="ar-SA"/>
        </w:rPr>
        <w:t>按顺序排列）。</w:t>
      </w:r>
    </w:p>
    <w:p w14:paraId="4583D453">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微软雅黑" w:hAnsi="微软雅黑" w:eastAsia="微软雅黑" w:cs="微软雅黑"/>
          <w:b/>
          <w:color w:val="auto"/>
          <w:kern w:val="2"/>
          <w:sz w:val="24"/>
          <w:szCs w:val="24"/>
          <w:highlight w:val="none"/>
        </w:rPr>
      </w:pPr>
      <w:r>
        <w:rPr>
          <w:rFonts w:hint="eastAsia" w:ascii="微软雅黑" w:hAnsi="微软雅黑" w:eastAsia="微软雅黑" w:cs="微软雅黑"/>
          <w:b/>
          <w:color w:val="auto"/>
          <w:kern w:val="2"/>
          <w:sz w:val="24"/>
          <w:szCs w:val="24"/>
          <w:highlight w:val="none"/>
        </w:rPr>
        <w:t>二、技术要求（如无特别说明即适用所有分包）：</w:t>
      </w:r>
    </w:p>
    <w:p w14:paraId="5C378C5D">
      <w:pPr>
        <w:keepNext w:val="0"/>
        <w:keepLines w:val="0"/>
        <w:pageBreakBefore w:val="0"/>
        <w:widowControl w:val="0"/>
        <w:kinsoku/>
        <w:wordWrap/>
        <w:overflowPunct/>
        <w:topLinePunct w:val="0"/>
        <w:bidi w:val="0"/>
        <w:snapToGrid/>
        <w:spacing w:after="0" w:line="360" w:lineRule="auto"/>
        <w:ind w:firstLine="482" w:firstLineChars="200"/>
        <w:jc w:val="both"/>
        <w:textAlignment w:val="auto"/>
        <w:rPr>
          <w:rFonts w:ascii="宋体" w:hAnsi="宋体"/>
          <w:b/>
          <w:color w:val="auto"/>
          <w:kern w:val="2"/>
          <w:sz w:val="24"/>
          <w:szCs w:val="24"/>
          <w:highlight w:val="none"/>
        </w:rPr>
      </w:pPr>
      <w:r>
        <w:rPr>
          <w:rFonts w:hint="eastAsia" w:ascii="宋体" w:hAnsi="宋体"/>
          <w:b/>
          <w:color w:val="auto"/>
          <w:kern w:val="2"/>
          <w:sz w:val="24"/>
          <w:szCs w:val="24"/>
          <w:highlight w:val="none"/>
        </w:rPr>
        <w:t>1</w:t>
      </w:r>
      <w:r>
        <w:rPr>
          <w:rFonts w:ascii="宋体" w:hAnsi="宋体"/>
          <w:b/>
          <w:color w:val="auto"/>
          <w:kern w:val="2"/>
          <w:sz w:val="24"/>
          <w:szCs w:val="24"/>
          <w:highlight w:val="none"/>
        </w:rPr>
        <w:t>.</w:t>
      </w:r>
      <w:r>
        <w:rPr>
          <w:rFonts w:hint="eastAsia" w:ascii="宋体" w:hAnsi="宋体"/>
          <w:b/>
          <w:color w:val="auto"/>
          <w:kern w:val="2"/>
          <w:sz w:val="24"/>
          <w:szCs w:val="24"/>
          <w:highlight w:val="none"/>
        </w:rPr>
        <w:t>工作内容</w:t>
      </w:r>
    </w:p>
    <w:p w14:paraId="48BD1462">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1</w:t>
      </w:r>
      <w:r>
        <w:rPr>
          <w:rFonts w:ascii="宋体" w:hAnsi="宋体"/>
          <w:bCs/>
          <w:color w:val="auto"/>
          <w:kern w:val="2"/>
          <w:sz w:val="24"/>
          <w:szCs w:val="24"/>
          <w:highlight w:val="none"/>
        </w:rPr>
        <w:t>.1</w:t>
      </w:r>
      <w:r>
        <w:rPr>
          <w:rFonts w:hint="eastAsia" w:ascii="宋体" w:hAnsi="宋体"/>
          <w:bCs/>
          <w:color w:val="auto"/>
          <w:kern w:val="2"/>
          <w:sz w:val="24"/>
          <w:szCs w:val="24"/>
          <w:highlight w:val="none"/>
        </w:rPr>
        <w:t>供应商对被抽查企业年度报告和即时公示信息的及时性、真实性进行查证核实；</w:t>
      </w:r>
    </w:p>
    <w:p w14:paraId="170E0549">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1</w:t>
      </w:r>
      <w:r>
        <w:rPr>
          <w:rFonts w:ascii="宋体" w:hAnsi="宋体"/>
          <w:bCs/>
          <w:color w:val="auto"/>
          <w:kern w:val="2"/>
          <w:sz w:val="24"/>
          <w:szCs w:val="24"/>
          <w:highlight w:val="none"/>
        </w:rPr>
        <w:t>.2</w:t>
      </w:r>
      <w:r>
        <w:rPr>
          <w:rFonts w:hint="eastAsia" w:ascii="宋体" w:hAnsi="宋体"/>
          <w:bCs/>
          <w:color w:val="auto"/>
          <w:kern w:val="2"/>
          <w:sz w:val="24"/>
          <w:szCs w:val="24"/>
          <w:highlight w:val="none"/>
        </w:rPr>
        <w:t>在采购人要求的期限内，供应商合理安排专业人员重点对企业缴纳出资、投资情况、资产经营状况、从业人员等情况提出专业性意见；</w:t>
      </w:r>
    </w:p>
    <w:p w14:paraId="0C854F89">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1.3供应商在采购人要求的期限内提交每户被协查企业的《</w:t>
      </w:r>
      <w:r>
        <w:rPr>
          <w:rFonts w:hint="eastAsia" w:ascii="宋体" w:hAnsi="宋体"/>
          <w:bCs/>
          <w:color w:val="auto"/>
          <w:kern w:val="2"/>
          <w:sz w:val="24"/>
          <w:szCs w:val="24"/>
          <w:highlight w:val="none"/>
          <w:lang w:val="en-US" w:eastAsia="zh-CN"/>
        </w:rPr>
        <w:t>企业公示信息协查报告</w:t>
      </w:r>
      <w:r>
        <w:rPr>
          <w:rFonts w:hint="eastAsia" w:ascii="宋体" w:hAnsi="宋体"/>
          <w:bCs/>
          <w:color w:val="auto"/>
          <w:kern w:val="2"/>
          <w:sz w:val="24"/>
          <w:szCs w:val="24"/>
          <w:highlight w:val="none"/>
        </w:rPr>
        <w:t>》，其中：被抽查企业已按要求提供相关材料的，《</w:t>
      </w:r>
      <w:r>
        <w:rPr>
          <w:rFonts w:hint="eastAsia" w:ascii="宋体" w:hAnsi="宋体"/>
          <w:bCs/>
          <w:color w:val="auto"/>
          <w:kern w:val="2"/>
          <w:sz w:val="24"/>
          <w:szCs w:val="24"/>
          <w:highlight w:val="none"/>
          <w:lang w:val="en-US" w:eastAsia="zh-CN"/>
        </w:rPr>
        <w:t>企业公示信息协查报告</w:t>
      </w:r>
      <w:r>
        <w:rPr>
          <w:rFonts w:hint="eastAsia" w:ascii="宋体" w:hAnsi="宋体"/>
          <w:bCs/>
          <w:color w:val="auto"/>
          <w:kern w:val="2"/>
          <w:sz w:val="24"/>
          <w:szCs w:val="24"/>
          <w:highlight w:val="none"/>
        </w:rPr>
        <w:t>》应当载明具体的“一致</w:t>
      </w:r>
      <w:r>
        <w:rPr>
          <w:rFonts w:hint="default" w:ascii="宋体" w:hAnsi="宋体"/>
          <w:bCs/>
          <w:color w:val="auto"/>
          <w:kern w:val="2"/>
          <w:sz w:val="24"/>
          <w:szCs w:val="24"/>
          <w:highlight w:val="none"/>
          <w:lang w:val="en-US" w:eastAsia="zh-CN"/>
        </w:rPr>
        <w:t>”</w:t>
      </w:r>
      <w:r>
        <w:rPr>
          <w:rFonts w:hint="eastAsia" w:ascii="宋体" w:hAnsi="宋体"/>
          <w:bCs/>
          <w:color w:val="auto"/>
          <w:kern w:val="2"/>
          <w:sz w:val="24"/>
          <w:szCs w:val="24"/>
          <w:highlight w:val="none"/>
          <w:lang w:val="en-US" w:eastAsia="zh-CN"/>
        </w:rPr>
        <w:t>“修改后一致”</w:t>
      </w:r>
      <w:r>
        <w:rPr>
          <w:rFonts w:hint="eastAsia" w:ascii="宋体" w:hAnsi="宋体"/>
          <w:bCs/>
          <w:color w:val="auto"/>
          <w:kern w:val="2"/>
          <w:sz w:val="24"/>
          <w:szCs w:val="24"/>
          <w:highlight w:val="none"/>
        </w:rPr>
        <w:t>或“不一致”的协查结论；如因检查对象联系不上或不提供资料或其他客观原因导致协查报告中无法载明具体协查结论的，《</w:t>
      </w:r>
      <w:r>
        <w:rPr>
          <w:rFonts w:hint="eastAsia" w:ascii="宋体" w:hAnsi="宋体"/>
          <w:bCs/>
          <w:color w:val="auto"/>
          <w:kern w:val="2"/>
          <w:sz w:val="24"/>
          <w:szCs w:val="24"/>
          <w:highlight w:val="none"/>
          <w:lang w:val="en-US" w:eastAsia="zh-CN"/>
        </w:rPr>
        <w:t>企业公示信息协查报告</w:t>
      </w:r>
      <w:r>
        <w:rPr>
          <w:rFonts w:hint="eastAsia" w:ascii="宋体" w:hAnsi="宋体"/>
          <w:bCs/>
          <w:color w:val="auto"/>
          <w:kern w:val="2"/>
          <w:sz w:val="24"/>
          <w:szCs w:val="24"/>
          <w:highlight w:val="none"/>
        </w:rPr>
        <w:t>》应载明具体情况及有关证明材料；</w:t>
      </w:r>
    </w:p>
    <w:p w14:paraId="65635F33">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1.4供应商解答采购人提出的相关审计、会计、税务等方面的专业咨询问题；</w:t>
      </w:r>
    </w:p>
    <w:p w14:paraId="1DDFB045">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1.5供应商完成采购人交代的与本项目相关的其他事项。</w:t>
      </w:r>
    </w:p>
    <w:p w14:paraId="177966C5">
      <w:pPr>
        <w:keepNext w:val="0"/>
        <w:keepLines w:val="0"/>
        <w:pageBreakBefore w:val="0"/>
        <w:widowControl w:val="0"/>
        <w:kinsoku/>
        <w:wordWrap/>
        <w:overflowPunct/>
        <w:topLinePunct w:val="0"/>
        <w:bidi w:val="0"/>
        <w:snapToGrid/>
        <w:spacing w:after="0" w:line="360" w:lineRule="auto"/>
        <w:ind w:firstLine="482" w:firstLineChars="200"/>
        <w:jc w:val="both"/>
        <w:textAlignment w:val="auto"/>
        <w:rPr>
          <w:rFonts w:hint="eastAsia" w:ascii="宋体" w:hAnsi="宋体"/>
          <w:b/>
          <w:color w:val="auto"/>
          <w:kern w:val="2"/>
          <w:sz w:val="24"/>
          <w:szCs w:val="24"/>
          <w:highlight w:val="none"/>
        </w:rPr>
      </w:pPr>
      <w:r>
        <w:rPr>
          <w:rFonts w:hint="eastAsia" w:ascii="宋体" w:hAnsi="宋体"/>
          <w:b/>
          <w:color w:val="auto"/>
          <w:kern w:val="2"/>
          <w:sz w:val="24"/>
          <w:szCs w:val="24"/>
          <w:highlight w:val="none"/>
        </w:rPr>
        <w:t>2</w:t>
      </w:r>
      <w:r>
        <w:rPr>
          <w:rFonts w:ascii="宋体" w:hAnsi="宋体"/>
          <w:b/>
          <w:color w:val="auto"/>
          <w:kern w:val="2"/>
          <w:sz w:val="24"/>
          <w:szCs w:val="24"/>
          <w:highlight w:val="none"/>
        </w:rPr>
        <w:t>.</w:t>
      </w:r>
      <w:r>
        <w:rPr>
          <w:rFonts w:hint="eastAsia" w:ascii="宋体" w:hAnsi="宋体"/>
          <w:b/>
          <w:color w:val="auto"/>
          <w:kern w:val="2"/>
          <w:sz w:val="24"/>
          <w:szCs w:val="24"/>
          <w:highlight w:val="none"/>
        </w:rPr>
        <w:t>工作要求</w:t>
      </w:r>
    </w:p>
    <w:p w14:paraId="765041F8">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2.1供应商及其团队成员遵守相关法律法规、独立原则、客观原则、公正原则、保密原则，并对《协查工作报告》、协查结论的内容的正确性、合理性承担责任；</w:t>
      </w:r>
    </w:p>
    <w:p w14:paraId="6FD74F1B">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2.2供应商及其团队成员与被查企业单位负责人和主管人员或者鉴定事项的当事人，有亲属关系的或有其他直接利益关系，可能影响公正办理查证事项的，应予以回避；</w:t>
      </w:r>
    </w:p>
    <w:p w14:paraId="4CE381BC">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2.3供应商严格遵循诚实信用的原则，不得损害国家利益、社会公共利益和他人的合法权益；</w:t>
      </w:r>
    </w:p>
    <w:p w14:paraId="1A876828">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2.4 供应商严格遵守国家有关保密规定和审计、调查、审核等约定，不得泄露工作中知悉的国家秘密、商业秘密和内部情况，不得擅自将工作中取得的材料和信息透露给任何第三方；</w:t>
      </w:r>
    </w:p>
    <w:p w14:paraId="23D59597">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2.5供应商服从采购人统一指挥和安排，按时保质保量地完成任务；</w:t>
      </w:r>
    </w:p>
    <w:p w14:paraId="52EFBF5B">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2.6供应商及其团队成员应遵守各级政府关于规范涉企行政检查相关规定，严禁实施行政检查；</w:t>
      </w:r>
    </w:p>
    <w:p w14:paraId="24BEBAB6">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2.7供应商所做的工作底稿及协查过程中形成的其他资料应如实反映有关情况，做到事实准确、结论清楚；</w:t>
      </w:r>
    </w:p>
    <w:p w14:paraId="6ABE375D">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2.8供应商在工作结束后应出具符合执业规范的报告、结论等法律文书以及工作小结，并对结论负责；</w:t>
      </w:r>
    </w:p>
    <w:p w14:paraId="180157FF">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2.9供应商按采购人要求对所协查的企业负责，不得出现其他违法违规行为，否则采购人有权终止合同并追究供应商责任；</w:t>
      </w:r>
    </w:p>
    <w:p w14:paraId="07853B32">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2.10采购人在年度协查工作中如遇上级主管部门临时布置的抽查任务或其他突发应急抽查任务时，采购人可根据实际情况下达协查抽查工作任务，各中标供应商须积极响应并保障协查工作的顺利完成，不得消极怠工。</w:t>
      </w:r>
    </w:p>
    <w:p w14:paraId="43102F5F">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3.团队要求</w:t>
      </w:r>
    </w:p>
    <w:p w14:paraId="52931856">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color w:val="auto"/>
          <w:kern w:val="2"/>
          <w:sz w:val="24"/>
          <w:szCs w:val="24"/>
          <w:highlight w:val="none"/>
        </w:rPr>
      </w:pPr>
      <w:r>
        <w:rPr>
          <w:rFonts w:ascii="宋体"/>
          <w:color w:val="auto"/>
          <w:kern w:val="2"/>
          <w:sz w:val="24"/>
          <w:szCs w:val="24"/>
          <w:highlight w:val="none"/>
        </w:rPr>
        <w:t>3.1</w:t>
      </w:r>
      <w:r>
        <w:rPr>
          <w:rFonts w:hint="eastAsia" w:ascii="宋体"/>
          <w:color w:val="auto"/>
          <w:kern w:val="2"/>
          <w:sz w:val="24"/>
          <w:szCs w:val="24"/>
          <w:highlight w:val="none"/>
        </w:rPr>
        <w:t>供应商为本项目组建专门团队并明确1名项目负责人；团队中注册会计师（或税务师）数量不少于2名；其他专业人员数量不少于4名，包括具有注册会计师或税务师职业资格或会计专业技术资格[即初级（助理会计师）、中级（会计师）、高级（高级会计师）]人员数量合计。上述所有人员及投标人在投标文件中明确的专门团队其他组成人员均需实际从事本项目的协查工作。</w:t>
      </w:r>
    </w:p>
    <w:p w14:paraId="6A8D66CE">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color w:val="auto"/>
          <w:kern w:val="2"/>
          <w:sz w:val="24"/>
          <w:szCs w:val="24"/>
          <w:highlight w:val="none"/>
        </w:rPr>
      </w:pPr>
      <w:r>
        <w:rPr>
          <w:rFonts w:ascii="宋体"/>
          <w:color w:val="auto"/>
          <w:kern w:val="2"/>
          <w:sz w:val="24"/>
          <w:szCs w:val="24"/>
          <w:highlight w:val="none"/>
        </w:rPr>
        <w:t>3.2</w:t>
      </w:r>
      <w:r>
        <w:rPr>
          <w:rFonts w:hint="eastAsia" w:ascii="宋体"/>
          <w:color w:val="auto"/>
          <w:kern w:val="2"/>
          <w:sz w:val="24"/>
          <w:szCs w:val="24"/>
          <w:highlight w:val="none"/>
        </w:rPr>
        <w:t>专门团队中，项目负责人需具备注册会计师或税务师职业资格，并从事审计、财会、税务相关服务行业不低于5年。供应商拟投入本项目的其他专业人员均须具备相关服务从业经验，具备相关的专业能力。</w:t>
      </w:r>
    </w:p>
    <w:p w14:paraId="6EC2F8F1">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color w:val="auto"/>
          <w:kern w:val="2"/>
          <w:sz w:val="24"/>
          <w:szCs w:val="24"/>
          <w:highlight w:val="none"/>
        </w:rPr>
      </w:pPr>
      <w:r>
        <w:rPr>
          <w:rFonts w:ascii="宋体"/>
          <w:color w:val="auto"/>
          <w:kern w:val="2"/>
          <w:sz w:val="24"/>
          <w:szCs w:val="24"/>
          <w:highlight w:val="none"/>
        </w:rPr>
        <w:t>3.3</w:t>
      </w:r>
      <w:r>
        <w:rPr>
          <w:rFonts w:hint="eastAsia" w:ascii="宋体"/>
          <w:color w:val="auto"/>
          <w:kern w:val="2"/>
          <w:sz w:val="24"/>
          <w:szCs w:val="24"/>
          <w:highlight w:val="none"/>
        </w:rPr>
        <w:t>供应商根据项目情况合理安排专门团队成员，必要时可分组进行作业，并明确每组负责人，每个项目组的小组负责人应具有丰富的类似项目的实际工作经验。团队工作人员数量充足且具有相应专业技能，能胜任该项目工作，由供应商根据项目情况配备并在投标方案中予以明确说明人员安排方案，保证该项目按时顺利完成。</w:t>
      </w:r>
    </w:p>
    <w:p w14:paraId="0E8E31DD">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color w:val="auto"/>
          <w:kern w:val="2"/>
          <w:sz w:val="24"/>
          <w:szCs w:val="24"/>
          <w:highlight w:val="none"/>
        </w:rPr>
      </w:pPr>
      <w:r>
        <w:rPr>
          <w:rFonts w:ascii="宋体"/>
          <w:color w:val="auto"/>
          <w:kern w:val="2"/>
          <w:sz w:val="24"/>
          <w:szCs w:val="24"/>
          <w:highlight w:val="none"/>
        </w:rPr>
        <w:t>3.4</w:t>
      </w:r>
      <w:r>
        <w:rPr>
          <w:rFonts w:hint="eastAsia" w:ascii="宋体"/>
          <w:color w:val="auto"/>
          <w:kern w:val="2"/>
          <w:sz w:val="24"/>
          <w:szCs w:val="24"/>
          <w:highlight w:val="none"/>
        </w:rPr>
        <w:t>供应商应加强对协查质量的控制，在协查质量上，做好项目前期调查、培训、业务流程和工作底稿模板、过程督导与控制、报告等各环节的质量控制工作，严格按照国家有关规范实施协查工作，出具相关报告及结论。</w:t>
      </w:r>
    </w:p>
    <w:p w14:paraId="27FAFE50">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color w:val="auto"/>
          <w:kern w:val="2"/>
          <w:sz w:val="24"/>
          <w:szCs w:val="24"/>
          <w:highlight w:val="none"/>
        </w:rPr>
      </w:pPr>
      <w:r>
        <w:rPr>
          <w:rFonts w:ascii="宋体"/>
          <w:color w:val="auto"/>
          <w:kern w:val="2"/>
          <w:sz w:val="24"/>
          <w:szCs w:val="24"/>
          <w:highlight w:val="none"/>
        </w:rPr>
        <w:t>3.5</w:t>
      </w:r>
      <w:r>
        <w:rPr>
          <w:rFonts w:hint="eastAsia" w:ascii="宋体"/>
          <w:color w:val="auto"/>
          <w:kern w:val="2"/>
          <w:sz w:val="24"/>
          <w:szCs w:val="24"/>
          <w:highlight w:val="none"/>
        </w:rPr>
        <w:t>供应商应严格要求团队成员按照独立、客观、公正的原则进行协查，遵守职业道德准则和独立准则，在约定的时间内完成任务。</w:t>
      </w:r>
    </w:p>
    <w:p w14:paraId="4B8ACE46">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color w:val="auto"/>
          <w:kern w:val="2"/>
          <w:sz w:val="24"/>
          <w:szCs w:val="24"/>
          <w:highlight w:val="none"/>
        </w:rPr>
      </w:pPr>
      <w:r>
        <w:rPr>
          <w:rFonts w:ascii="宋体"/>
          <w:color w:val="auto"/>
          <w:kern w:val="2"/>
          <w:sz w:val="24"/>
          <w:szCs w:val="24"/>
          <w:highlight w:val="none"/>
        </w:rPr>
        <w:t>3.6</w:t>
      </w:r>
      <w:r>
        <w:rPr>
          <w:rFonts w:hint="eastAsia" w:ascii="宋体"/>
          <w:color w:val="auto"/>
          <w:kern w:val="2"/>
          <w:sz w:val="24"/>
          <w:szCs w:val="24"/>
          <w:highlight w:val="none"/>
        </w:rPr>
        <w:t>供应商应确保项目协查参与人员的稳定性，保证不抽调相关人员离开项目组；</w:t>
      </w:r>
    </w:p>
    <w:p w14:paraId="6C17148D">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color w:val="auto"/>
          <w:kern w:val="2"/>
          <w:sz w:val="24"/>
          <w:szCs w:val="24"/>
          <w:highlight w:val="none"/>
        </w:rPr>
      </w:pPr>
      <w:r>
        <w:rPr>
          <w:rFonts w:ascii="宋体"/>
          <w:color w:val="auto"/>
          <w:kern w:val="2"/>
          <w:sz w:val="24"/>
          <w:szCs w:val="24"/>
          <w:highlight w:val="none"/>
        </w:rPr>
        <w:t>3.7</w:t>
      </w:r>
      <w:r>
        <w:rPr>
          <w:rFonts w:hint="eastAsia" w:ascii="宋体"/>
          <w:color w:val="auto"/>
          <w:kern w:val="2"/>
          <w:sz w:val="24"/>
          <w:szCs w:val="24"/>
          <w:highlight w:val="none"/>
        </w:rPr>
        <w:t>供应商应确保项目协查参与人员严格廉洁自律，不得出现吃拿卡要等违反财经纪律行为。确保协查参与人员独立性，与项目没有其他利益关系等。</w:t>
      </w:r>
    </w:p>
    <w:p w14:paraId="33AEA2D6">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
          <w:color w:val="auto"/>
          <w:kern w:val="2"/>
          <w:sz w:val="24"/>
          <w:szCs w:val="24"/>
          <w:highlight w:val="none"/>
        </w:rPr>
      </w:pPr>
      <w:r>
        <w:rPr>
          <w:rFonts w:hint="eastAsia" w:ascii="宋体" w:hAnsi="宋体" w:cs="Arial"/>
          <w:iCs/>
          <w:color w:val="auto"/>
          <w:kern w:val="2"/>
          <w:sz w:val="24"/>
          <w:highlight w:val="none"/>
        </w:rPr>
        <w:t>★</w:t>
      </w:r>
      <w:r>
        <w:rPr>
          <w:rFonts w:ascii="宋体" w:hAnsi="宋体"/>
          <w:b/>
          <w:color w:val="auto"/>
          <w:kern w:val="2"/>
          <w:sz w:val="24"/>
          <w:szCs w:val="24"/>
          <w:highlight w:val="none"/>
        </w:rPr>
        <w:t>4.</w:t>
      </w:r>
      <w:r>
        <w:rPr>
          <w:rFonts w:hint="eastAsia" w:ascii="宋体" w:hAnsi="宋体"/>
          <w:b/>
          <w:color w:val="auto"/>
          <w:kern w:val="2"/>
          <w:sz w:val="24"/>
          <w:szCs w:val="24"/>
          <w:highlight w:val="none"/>
        </w:rPr>
        <w:t>保密要求</w:t>
      </w:r>
    </w:p>
    <w:p w14:paraId="04CA76E4">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bookmarkStart w:id="8" w:name="_Hlk97549592"/>
      <w:r>
        <w:rPr>
          <w:rFonts w:ascii="宋体" w:hAnsi="宋体"/>
          <w:bCs/>
          <w:color w:val="auto"/>
          <w:kern w:val="2"/>
          <w:sz w:val="24"/>
          <w:szCs w:val="24"/>
          <w:highlight w:val="none"/>
        </w:rPr>
        <w:t>4.1</w:t>
      </w:r>
      <w:r>
        <w:rPr>
          <w:rFonts w:hint="eastAsia" w:ascii="宋体" w:hAnsi="宋体"/>
          <w:bCs/>
          <w:color w:val="auto"/>
          <w:kern w:val="2"/>
          <w:sz w:val="24"/>
          <w:szCs w:val="24"/>
          <w:highlight w:val="none"/>
        </w:rPr>
        <w:t>成交供应商及其服务人员应做好保密工作。在项目实施过程中要建立工作登记单实现可追溯并确保协查档案实体及电子档信息的安全。未经允许不得对接触到的各种资料、文件拍照、拍摄（因协查取证或制作工作底稿等正当工作需要除外），各种资料不得损坏、丢失和泄密。否则由此造成的一切后果供应商需承担相关法律责任和赔偿责任。</w:t>
      </w:r>
    </w:p>
    <w:p w14:paraId="5B805BC9">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ascii="宋体" w:hAnsi="宋体"/>
          <w:bCs/>
          <w:color w:val="auto"/>
          <w:kern w:val="2"/>
          <w:sz w:val="24"/>
          <w:szCs w:val="24"/>
          <w:highlight w:val="none"/>
        </w:rPr>
        <w:t>4.2</w:t>
      </w:r>
      <w:r>
        <w:rPr>
          <w:rFonts w:hint="eastAsia" w:ascii="宋体" w:hAnsi="宋体"/>
          <w:bCs/>
          <w:color w:val="auto"/>
          <w:kern w:val="2"/>
          <w:sz w:val="24"/>
          <w:szCs w:val="24"/>
          <w:highlight w:val="none"/>
        </w:rPr>
        <w:t>服务人员不得以任何形式将档案资料（包括纸质档和电子档）带出指定工作现场，不得以任何形式进行泄漏、传播。</w:t>
      </w:r>
    </w:p>
    <w:p w14:paraId="052CE18D">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ascii="宋体" w:hAnsi="宋体"/>
          <w:bCs/>
          <w:color w:val="auto"/>
          <w:kern w:val="2"/>
          <w:sz w:val="24"/>
          <w:szCs w:val="24"/>
          <w:highlight w:val="none"/>
        </w:rPr>
        <w:t>4.3</w:t>
      </w:r>
      <w:r>
        <w:rPr>
          <w:rFonts w:hint="eastAsia" w:ascii="宋体" w:hAnsi="宋体"/>
          <w:bCs/>
          <w:color w:val="auto"/>
          <w:kern w:val="2"/>
          <w:sz w:val="24"/>
          <w:szCs w:val="24"/>
          <w:highlight w:val="none"/>
        </w:rPr>
        <w:t>供应商应对其服务人员保密义务承担责任，如因其服务人员违反保密义务导致采购人产生损失或支出费用的，采购人有权要求供应商承担责任。</w:t>
      </w:r>
    </w:p>
    <w:p w14:paraId="0D61E82C">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ascii="宋体" w:hAnsi="宋体"/>
          <w:bCs/>
          <w:color w:val="auto"/>
          <w:kern w:val="2"/>
          <w:sz w:val="24"/>
          <w:szCs w:val="24"/>
          <w:highlight w:val="none"/>
        </w:rPr>
        <w:t>4.4</w:t>
      </w:r>
      <w:r>
        <w:rPr>
          <w:rFonts w:hint="eastAsia" w:ascii="宋体" w:hAnsi="宋体"/>
          <w:bCs/>
          <w:color w:val="auto"/>
          <w:kern w:val="2"/>
          <w:sz w:val="24"/>
          <w:szCs w:val="24"/>
          <w:highlight w:val="none"/>
        </w:rPr>
        <w:t>供应商及其服务人员的保密期限为永久，不因本项目所签订的文件或合同的终止而终止。</w:t>
      </w:r>
    </w:p>
    <w:bookmarkEnd w:id="8"/>
    <w:p w14:paraId="52E204EA">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cs="微软雅黑"/>
          <w:bCs/>
          <w:color w:val="auto"/>
          <w:kern w:val="2"/>
          <w:sz w:val="24"/>
          <w:szCs w:val="24"/>
          <w:highlight w:val="none"/>
        </w:rPr>
        <w:t>针对此项保密要求内容，供应商须提供书面承诺函原件并加盖公章，格式自拟。</w:t>
      </w:r>
    </w:p>
    <w:p w14:paraId="253C7528">
      <w:pPr>
        <w:keepNext w:val="0"/>
        <w:keepLines w:val="0"/>
        <w:pageBreakBefore w:val="0"/>
        <w:widowControl w:val="0"/>
        <w:kinsoku/>
        <w:wordWrap/>
        <w:overflowPunct/>
        <w:topLinePunct w:val="0"/>
        <w:bidi w:val="0"/>
        <w:snapToGrid/>
        <w:spacing w:after="0" w:line="360" w:lineRule="auto"/>
        <w:ind w:left="0" w:leftChars="0" w:firstLine="480" w:firstLineChars="200"/>
        <w:jc w:val="both"/>
        <w:textAlignment w:val="auto"/>
        <w:rPr>
          <w:rFonts w:ascii="宋体" w:hAnsi="宋体"/>
          <w:b/>
          <w:color w:val="auto"/>
          <w:kern w:val="2"/>
          <w:sz w:val="24"/>
          <w:szCs w:val="24"/>
          <w:highlight w:val="none"/>
        </w:rPr>
      </w:pPr>
      <w:bookmarkStart w:id="9" w:name="_Hlk103284663"/>
      <w:r>
        <w:rPr>
          <w:rFonts w:hint="eastAsia" w:ascii="宋体" w:hAnsi="宋体" w:cs="Arial"/>
          <w:iCs/>
          <w:color w:val="auto"/>
          <w:kern w:val="2"/>
          <w:sz w:val="24"/>
          <w:highlight w:val="none"/>
        </w:rPr>
        <w:t>★</w:t>
      </w:r>
      <w:bookmarkEnd w:id="9"/>
      <w:r>
        <w:rPr>
          <w:rFonts w:ascii="宋体" w:hAnsi="宋体"/>
          <w:b/>
          <w:color w:val="auto"/>
          <w:kern w:val="2"/>
          <w:sz w:val="24"/>
          <w:szCs w:val="24"/>
          <w:highlight w:val="none"/>
        </w:rPr>
        <w:t>5.</w:t>
      </w:r>
      <w:r>
        <w:rPr>
          <w:rFonts w:hint="eastAsia" w:ascii="宋体" w:hAnsi="宋体"/>
          <w:b/>
          <w:color w:val="auto"/>
          <w:kern w:val="2"/>
          <w:sz w:val="24"/>
          <w:szCs w:val="24"/>
          <w:highlight w:val="none"/>
        </w:rPr>
        <w:t>廉洁协查要求</w:t>
      </w:r>
    </w:p>
    <w:p w14:paraId="6F4CB907">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cs="Times New Roman"/>
          <w:bCs/>
          <w:color w:val="auto"/>
          <w:kern w:val="2"/>
          <w:sz w:val="24"/>
          <w:szCs w:val="24"/>
          <w:highlight w:val="none"/>
        </w:rPr>
      </w:pPr>
      <w:r>
        <w:rPr>
          <w:rFonts w:hint="eastAsia" w:ascii="宋体" w:hAnsi="宋体" w:cs="Times New Roman"/>
          <w:bCs/>
          <w:color w:val="auto"/>
          <w:kern w:val="2"/>
          <w:sz w:val="24"/>
          <w:szCs w:val="24"/>
          <w:highlight w:val="none"/>
        </w:rPr>
        <w:t>供应商在赴协查对象履约工作时，需严格执行国家、省各有关部门关于协查工作的有关纪律要求，不得违反中央和省“八项规定”及其他要求。不得利用协查工作之便谋取私利或提出与协查工作不相符的各项要求，不得借协查之便推销自身业务或获取与推销业务相关的被查企业信息。一经发现，供应商需承担所有违纪违法责任，采购人有权取消供应商成交资格并取消合同，采购人不承担任何责任。</w:t>
      </w:r>
    </w:p>
    <w:p w14:paraId="1F24D23F">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cs="Times New Roman"/>
          <w:bCs/>
          <w:color w:val="auto"/>
          <w:kern w:val="2"/>
          <w:sz w:val="24"/>
          <w:szCs w:val="24"/>
          <w:highlight w:val="none"/>
        </w:rPr>
      </w:pPr>
      <w:bookmarkStart w:id="10" w:name="_Hlk103287537"/>
      <w:r>
        <w:rPr>
          <w:rFonts w:hint="eastAsia" w:ascii="宋体" w:hAnsi="宋体" w:cs="Times New Roman"/>
          <w:bCs/>
          <w:color w:val="auto"/>
          <w:kern w:val="2"/>
          <w:sz w:val="24"/>
          <w:szCs w:val="24"/>
          <w:highlight w:val="none"/>
        </w:rPr>
        <w:t>针对此项廉洁协查要求内容，供应商须提供书面承诺函原件并加盖公章，格式自拟。</w:t>
      </w:r>
      <w:bookmarkEnd w:id="10"/>
    </w:p>
    <w:p w14:paraId="1BE3DD15">
      <w:pPr>
        <w:keepNext w:val="0"/>
        <w:keepLines w:val="0"/>
        <w:pageBreakBefore w:val="0"/>
        <w:widowControl w:val="0"/>
        <w:kinsoku/>
        <w:wordWrap/>
        <w:overflowPunct/>
        <w:topLinePunct w:val="0"/>
        <w:bidi w:val="0"/>
        <w:snapToGrid/>
        <w:spacing w:after="0" w:line="360" w:lineRule="auto"/>
        <w:ind w:firstLine="482" w:firstLineChars="200"/>
        <w:jc w:val="both"/>
        <w:textAlignment w:val="auto"/>
        <w:rPr>
          <w:rFonts w:ascii="宋体" w:hAnsi="宋体"/>
          <w:b/>
          <w:color w:val="auto"/>
          <w:kern w:val="2"/>
          <w:sz w:val="24"/>
          <w:szCs w:val="24"/>
          <w:highlight w:val="none"/>
        </w:rPr>
      </w:pPr>
      <w:r>
        <w:rPr>
          <w:rFonts w:ascii="宋体" w:hAnsi="宋体"/>
          <w:b/>
          <w:color w:val="auto"/>
          <w:kern w:val="2"/>
          <w:sz w:val="24"/>
          <w:szCs w:val="24"/>
          <w:highlight w:val="none"/>
        </w:rPr>
        <w:t>6.</w:t>
      </w:r>
      <w:r>
        <w:rPr>
          <w:rFonts w:hint="eastAsia" w:ascii="宋体" w:hAnsi="宋体"/>
          <w:b/>
          <w:color w:val="auto"/>
          <w:kern w:val="2"/>
          <w:sz w:val="24"/>
          <w:szCs w:val="24"/>
          <w:highlight w:val="none"/>
        </w:rPr>
        <w:t>方案要求</w:t>
      </w:r>
    </w:p>
    <w:p w14:paraId="1F5D999A">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ascii="宋体" w:hAnsi="宋体"/>
          <w:bCs/>
          <w:color w:val="auto"/>
          <w:kern w:val="2"/>
          <w:sz w:val="24"/>
          <w:szCs w:val="24"/>
          <w:highlight w:val="none"/>
        </w:rPr>
        <w:t>6</w:t>
      </w:r>
      <w:r>
        <w:rPr>
          <w:rFonts w:hint="eastAsia" w:ascii="宋体" w:hAnsi="宋体"/>
          <w:bCs/>
          <w:color w:val="auto"/>
          <w:kern w:val="2"/>
          <w:sz w:val="24"/>
          <w:szCs w:val="24"/>
          <w:highlight w:val="none"/>
        </w:rPr>
        <w:t>.1协查流程与方案</w:t>
      </w:r>
    </w:p>
    <w:p w14:paraId="339A9854">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hint="eastAsia" w:ascii="宋体" w:hAnsi="宋体"/>
          <w:bCs/>
          <w:color w:val="auto"/>
          <w:kern w:val="2"/>
          <w:sz w:val="24"/>
          <w:szCs w:val="24"/>
          <w:highlight w:val="none"/>
        </w:rPr>
        <w:t>包括但不限于：项目进度安排与保证、工作标准、与采购人之间的协调机制、协查工作流程等，要求方案包含上述所有要素，内容全面完整，科学合理、操作可行性强；</w:t>
      </w:r>
    </w:p>
    <w:p w14:paraId="50D74D96">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ascii="宋体" w:hAnsi="宋体"/>
          <w:bCs/>
          <w:color w:val="auto"/>
          <w:kern w:val="2"/>
          <w:sz w:val="24"/>
          <w:szCs w:val="24"/>
          <w:highlight w:val="none"/>
        </w:rPr>
        <w:t>6.2</w:t>
      </w:r>
      <w:r>
        <w:rPr>
          <w:rFonts w:hint="eastAsia" w:ascii="宋体" w:hAnsi="宋体"/>
          <w:bCs/>
          <w:color w:val="auto"/>
          <w:kern w:val="2"/>
          <w:sz w:val="24"/>
          <w:szCs w:val="24"/>
          <w:highlight w:val="none"/>
          <w:lang w:val="zh-CN"/>
        </w:rPr>
        <w:t>协查重点、难点分析</w:t>
      </w:r>
    </w:p>
    <w:p w14:paraId="50808875">
      <w:pPr>
        <w:keepNext w:val="0"/>
        <w:keepLines w:val="0"/>
        <w:pageBreakBefore w:val="0"/>
        <w:kinsoku/>
        <w:wordWrap/>
        <w:overflowPunct/>
        <w:topLinePunct w:val="0"/>
        <w:bidi w:val="0"/>
        <w:snapToGrid/>
        <w:spacing w:after="0" w:line="360" w:lineRule="auto"/>
        <w:ind w:firstLine="480" w:firstLineChars="200"/>
        <w:textAlignment w:val="auto"/>
        <w:rPr>
          <w:color w:val="auto"/>
          <w:sz w:val="24"/>
          <w:szCs w:val="24"/>
          <w:highlight w:val="none"/>
          <w:lang w:val="zh-CN"/>
        </w:rPr>
      </w:pPr>
      <w:r>
        <w:rPr>
          <w:rFonts w:hint="eastAsia" w:ascii="宋体" w:hAnsi="宋体"/>
          <w:bCs/>
          <w:color w:val="auto"/>
          <w:kern w:val="2"/>
          <w:sz w:val="24"/>
          <w:szCs w:val="24"/>
          <w:highlight w:val="none"/>
        </w:rPr>
        <w:t>包括但不限于：重点、难点的具体情况以及应对的措施等，</w:t>
      </w:r>
      <w:r>
        <w:rPr>
          <w:rFonts w:hint="eastAsia"/>
          <w:color w:val="auto"/>
          <w:sz w:val="24"/>
          <w:szCs w:val="24"/>
          <w:highlight w:val="none"/>
          <w:lang w:val="zh-CN"/>
        </w:rPr>
        <w:t>要求重点、难点分析正确并进行深层次分析且提出有效的解决方案，</w:t>
      </w:r>
      <w:r>
        <w:rPr>
          <w:rFonts w:hint="eastAsia"/>
          <w:bCs/>
          <w:color w:val="auto"/>
          <w:sz w:val="24"/>
          <w:szCs w:val="24"/>
          <w:highlight w:val="none"/>
          <w:lang w:val="zh-CN"/>
        </w:rPr>
        <w:t>方案包含上述所有要素，</w:t>
      </w:r>
      <w:r>
        <w:rPr>
          <w:rFonts w:hint="eastAsia"/>
          <w:color w:val="auto"/>
          <w:sz w:val="24"/>
          <w:szCs w:val="24"/>
          <w:highlight w:val="none"/>
          <w:lang w:val="zh-CN"/>
        </w:rPr>
        <w:t>思路清晰、精简高效，能提出个性化服务措施。</w:t>
      </w:r>
    </w:p>
    <w:p w14:paraId="3CF84D17">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ascii="宋体" w:hAnsi="宋体"/>
          <w:bCs/>
          <w:color w:val="auto"/>
          <w:kern w:val="2"/>
          <w:sz w:val="24"/>
          <w:szCs w:val="24"/>
          <w:highlight w:val="none"/>
        </w:rPr>
        <w:t>6.3</w:t>
      </w:r>
      <w:r>
        <w:rPr>
          <w:rFonts w:hint="eastAsia" w:ascii="宋体" w:hAnsi="宋体"/>
          <w:bCs/>
          <w:color w:val="auto"/>
          <w:kern w:val="2"/>
          <w:sz w:val="24"/>
          <w:szCs w:val="24"/>
          <w:highlight w:val="none"/>
        </w:rPr>
        <w:t>质量控制方案与措施</w:t>
      </w:r>
    </w:p>
    <w:p w14:paraId="1D029D53">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hint="eastAsia" w:ascii="宋体" w:hAnsi="宋体"/>
          <w:bCs/>
          <w:color w:val="auto"/>
          <w:kern w:val="2"/>
          <w:sz w:val="24"/>
          <w:szCs w:val="24"/>
          <w:highlight w:val="none"/>
          <w:lang w:val="zh-CN"/>
        </w:rPr>
        <w:t>包括但不限于前期调查、培训、业务流程和工作底稿模板、过程督导与控制等：方案包含上述所有要素,科学合理，督导与控制措施有效、操作可行。</w:t>
      </w:r>
    </w:p>
    <w:p w14:paraId="5032256B">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ascii="宋体" w:hAnsi="宋体"/>
          <w:bCs/>
          <w:color w:val="auto"/>
          <w:kern w:val="2"/>
          <w:sz w:val="24"/>
          <w:szCs w:val="24"/>
          <w:highlight w:val="none"/>
        </w:rPr>
        <w:t>6.4</w:t>
      </w:r>
      <w:r>
        <w:rPr>
          <w:rFonts w:hint="eastAsia" w:ascii="宋体" w:hAnsi="宋体"/>
          <w:bCs/>
          <w:color w:val="auto"/>
          <w:kern w:val="2"/>
          <w:sz w:val="24"/>
          <w:szCs w:val="24"/>
          <w:highlight w:val="none"/>
        </w:rPr>
        <w:t>团队人员管理方案</w:t>
      </w:r>
    </w:p>
    <w:p w14:paraId="50AA43B0">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default" w:ascii="宋体" w:hAnsi="宋体"/>
          <w:bCs/>
          <w:color w:val="auto"/>
          <w:kern w:val="2"/>
          <w:sz w:val="24"/>
          <w:szCs w:val="24"/>
          <w:highlight w:val="none"/>
          <w:lang w:val="en-US" w:eastAsia="zh-CN"/>
        </w:rPr>
      </w:pPr>
      <w:r>
        <w:rPr>
          <w:rFonts w:hint="eastAsia" w:ascii="宋体" w:hAnsi="宋体"/>
          <w:bCs/>
          <w:color w:val="auto"/>
          <w:kern w:val="2"/>
          <w:sz w:val="24"/>
          <w:szCs w:val="24"/>
          <w:highlight w:val="none"/>
        </w:rPr>
        <w:t>包括但不限于：</w:t>
      </w:r>
      <w:r>
        <w:rPr>
          <w:rFonts w:hint="eastAsia" w:ascii="宋体" w:hAnsi="宋体"/>
          <w:bCs/>
          <w:color w:val="auto"/>
          <w:kern w:val="2"/>
          <w:sz w:val="24"/>
          <w:szCs w:val="24"/>
          <w:highlight w:val="none"/>
          <w:lang w:val="zh-CN"/>
        </w:rPr>
        <w:t>团队人员安排计划与分工、岗位设置及职责、各类规章制度、考核办法、服务目标等，方案包含上述所有要素，分工科学合理、制度考核操作可行。</w:t>
      </w:r>
    </w:p>
    <w:p w14:paraId="271E0036">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ascii="宋体" w:hAnsi="宋体"/>
          <w:bCs/>
          <w:color w:val="auto"/>
          <w:kern w:val="2"/>
          <w:sz w:val="24"/>
          <w:szCs w:val="24"/>
          <w:highlight w:val="none"/>
        </w:rPr>
        <w:t>6.5</w:t>
      </w:r>
      <w:r>
        <w:rPr>
          <w:rFonts w:hint="eastAsia" w:ascii="宋体" w:hAnsi="宋体"/>
          <w:bCs/>
          <w:color w:val="auto"/>
          <w:kern w:val="2"/>
          <w:sz w:val="24"/>
          <w:szCs w:val="24"/>
          <w:highlight w:val="none"/>
        </w:rPr>
        <w:t>档案管理方案</w:t>
      </w:r>
    </w:p>
    <w:p w14:paraId="5DA84B16">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hint="eastAsia" w:ascii="宋体" w:hAnsi="宋体"/>
          <w:bCs/>
          <w:color w:val="auto"/>
          <w:kern w:val="2"/>
          <w:sz w:val="24"/>
          <w:szCs w:val="24"/>
          <w:highlight w:val="none"/>
        </w:rPr>
        <w:t>包括供应商已建立的档案管理制度（需提供档案管理制度内容），针对本项目拟定的档案管理具体措施。方案要求提供已建立的</w:t>
      </w:r>
      <w:r>
        <w:rPr>
          <w:rFonts w:ascii="宋体" w:hAnsi="宋体"/>
          <w:bCs/>
          <w:color w:val="auto"/>
          <w:kern w:val="2"/>
          <w:sz w:val="24"/>
          <w:szCs w:val="24"/>
          <w:highlight w:val="none"/>
        </w:rPr>
        <w:t>档案管理规章制度</w:t>
      </w:r>
      <w:r>
        <w:rPr>
          <w:rFonts w:hint="eastAsia" w:ascii="宋体" w:hAnsi="宋体"/>
          <w:bCs/>
          <w:color w:val="auto"/>
          <w:kern w:val="2"/>
          <w:sz w:val="24"/>
          <w:szCs w:val="24"/>
          <w:highlight w:val="none"/>
        </w:rPr>
        <w:t>且内容完整、清晰明确</w:t>
      </w:r>
      <w:r>
        <w:rPr>
          <w:rFonts w:ascii="宋体" w:hAnsi="宋体"/>
          <w:bCs/>
          <w:color w:val="auto"/>
          <w:kern w:val="2"/>
          <w:sz w:val="24"/>
          <w:szCs w:val="24"/>
          <w:highlight w:val="none"/>
        </w:rPr>
        <w:t>，</w:t>
      </w:r>
      <w:r>
        <w:rPr>
          <w:rFonts w:hint="eastAsia" w:ascii="宋体" w:hAnsi="宋体"/>
          <w:bCs/>
          <w:color w:val="auto"/>
          <w:kern w:val="2"/>
          <w:sz w:val="24"/>
          <w:szCs w:val="24"/>
          <w:highlight w:val="none"/>
        </w:rPr>
        <w:t>针对本项目的档案管理具体措施全面规范、科学合理，可操作性强。</w:t>
      </w:r>
    </w:p>
    <w:p w14:paraId="441FFF92">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ascii="宋体" w:hAnsi="宋体"/>
          <w:bCs/>
          <w:color w:val="auto"/>
          <w:kern w:val="2"/>
          <w:sz w:val="24"/>
          <w:szCs w:val="24"/>
          <w:highlight w:val="none"/>
        </w:rPr>
        <w:t>6.6</w:t>
      </w:r>
      <w:r>
        <w:rPr>
          <w:rFonts w:hint="eastAsia" w:ascii="宋体" w:hAnsi="宋体"/>
          <w:bCs/>
          <w:color w:val="auto"/>
          <w:kern w:val="2"/>
          <w:sz w:val="24"/>
          <w:szCs w:val="24"/>
          <w:highlight w:val="none"/>
        </w:rPr>
        <w:t>突发事件应急处置预案</w:t>
      </w:r>
    </w:p>
    <w:p w14:paraId="4CCF0595">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宋体"/>
          <w:bCs/>
          <w:color w:val="auto"/>
          <w:kern w:val="2"/>
          <w:sz w:val="24"/>
          <w:szCs w:val="24"/>
          <w:highlight w:val="none"/>
        </w:rPr>
      </w:pPr>
      <w:r>
        <w:rPr>
          <w:rFonts w:hint="eastAsia" w:ascii="宋体" w:hAnsi="宋体"/>
          <w:bCs/>
          <w:color w:val="auto"/>
          <w:kern w:val="2"/>
          <w:sz w:val="24"/>
          <w:szCs w:val="24"/>
          <w:highlight w:val="none"/>
        </w:rPr>
        <w:t>方案包括但不限于：协查过程中可能遇到的各类突发情况，以及对应的应急解决处置措施等，预案要求内容全面、科学有效、可操作性强。</w:t>
      </w:r>
    </w:p>
    <w:p w14:paraId="0FF96A7D">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hint="eastAsia" w:ascii="宋体" w:hAnsi="宋体"/>
          <w:bCs/>
          <w:iCs/>
          <w:color w:val="auto"/>
          <w:kern w:val="2"/>
          <w:sz w:val="24"/>
          <w:szCs w:val="24"/>
          <w:highlight w:val="none"/>
        </w:rPr>
        <w:t>★</w:t>
      </w:r>
      <w:r>
        <w:rPr>
          <w:rFonts w:hint="eastAsia" w:ascii="宋体" w:hAnsi="宋体"/>
          <w:bCs/>
          <w:color w:val="auto"/>
          <w:kern w:val="2"/>
          <w:sz w:val="24"/>
          <w:szCs w:val="24"/>
          <w:highlight w:val="none"/>
        </w:rPr>
        <w:t>7</w:t>
      </w:r>
      <w:r>
        <w:rPr>
          <w:rFonts w:ascii="宋体" w:hAnsi="宋体"/>
          <w:bCs/>
          <w:color w:val="auto"/>
          <w:kern w:val="2"/>
          <w:sz w:val="24"/>
          <w:szCs w:val="24"/>
          <w:highlight w:val="none"/>
        </w:rPr>
        <w:t>.</w:t>
      </w:r>
      <w:r>
        <w:rPr>
          <w:rFonts w:hint="eastAsia" w:ascii="宋体" w:hAnsi="宋体"/>
          <w:bCs/>
          <w:color w:val="auto"/>
          <w:kern w:val="2"/>
          <w:sz w:val="24"/>
          <w:szCs w:val="24"/>
          <w:highlight w:val="none"/>
        </w:rPr>
        <w:t>登记的住所或者主要经营场所要求</w:t>
      </w:r>
    </w:p>
    <w:p w14:paraId="1193D4A8">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hint="eastAsia" w:ascii="宋体" w:hAnsi="宋体"/>
          <w:bCs/>
          <w:color w:val="auto"/>
          <w:kern w:val="2"/>
          <w:sz w:val="24"/>
          <w:szCs w:val="24"/>
          <w:highlight w:val="none"/>
        </w:rPr>
        <w:t>7</w:t>
      </w:r>
      <w:r>
        <w:rPr>
          <w:rFonts w:ascii="宋体" w:hAnsi="宋体"/>
          <w:bCs/>
          <w:color w:val="auto"/>
          <w:kern w:val="2"/>
          <w:sz w:val="24"/>
          <w:szCs w:val="24"/>
          <w:highlight w:val="none"/>
        </w:rPr>
        <w:t>.1根据《中华人民共和国市场主体登记管理条例》“</w:t>
      </w:r>
      <w:r>
        <w:rPr>
          <w:rFonts w:ascii="宋体" w:hAnsi="宋体"/>
          <w:b/>
          <w:bCs/>
          <w:color w:val="auto"/>
          <w:kern w:val="2"/>
          <w:sz w:val="24"/>
          <w:szCs w:val="24"/>
          <w:highlight w:val="none"/>
        </w:rPr>
        <w:t>第十一条</w:t>
      </w:r>
      <w:r>
        <w:rPr>
          <w:rFonts w:hint="eastAsia" w:ascii="宋体" w:hAnsi="宋体"/>
          <w:b/>
          <w:bCs/>
          <w:color w:val="auto"/>
          <w:kern w:val="2"/>
          <w:sz w:val="24"/>
          <w:szCs w:val="24"/>
          <w:highlight w:val="none"/>
          <w:lang w:val="en-US" w:eastAsia="zh-CN"/>
        </w:rPr>
        <w:t xml:space="preserve"> </w:t>
      </w:r>
      <w:r>
        <w:rPr>
          <w:rFonts w:ascii="宋体" w:hAnsi="宋体"/>
          <w:bCs/>
          <w:color w:val="auto"/>
          <w:kern w:val="2"/>
          <w:sz w:val="24"/>
          <w:szCs w:val="24"/>
          <w:highlight w:val="none"/>
        </w:rPr>
        <w:t>市场主体只能登记一个住所或者主要经营场所”要求，</w:t>
      </w:r>
      <w:r>
        <w:rPr>
          <w:rFonts w:hint="eastAsia" w:ascii="宋体" w:hAnsi="宋体"/>
          <w:bCs/>
          <w:color w:val="auto"/>
          <w:kern w:val="2"/>
          <w:sz w:val="24"/>
          <w:szCs w:val="24"/>
          <w:highlight w:val="none"/>
        </w:rPr>
        <w:t>供应商需出具书面承诺函，明确承诺如下内容：</w:t>
      </w:r>
      <w:r>
        <w:rPr>
          <w:rFonts w:hint="eastAsia" w:ascii="宋体" w:hAnsi="宋体"/>
          <w:b/>
          <w:color w:val="auto"/>
          <w:kern w:val="2"/>
          <w:sz w:val="24"/>
          <w:szCs w:val="24"/>
          <w:highlight w:val="none"/>
        </w:rPr>
        <w:t>采购人通过投标供应商投标文件中提交的营业执照登记的住所或者主要经营场所与供应商可以正常取得联系，登记的住所或者主要经营场所均真实有效，且与供应商实际的住所或主要经营场所一致。中标后，如采购人核实供应商投标文件中提交的营业执照上登记的住所或主要经营场所不实或虚假，或者与实际住所或主要经营场所不一致，供应商中标无效，并承担提供虚假材料谋取中标的全部责任。</w:t>
      </w:r>
    </w:p>
    <w:p w14:paraId="49F77678">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ascii="宋体" w:hAnsi="宋体"/>
          <w:bCs/>
          <w:color w:val="auto"/>
          <w:kern w:val="2"/>
          <w:sz w:val="24"/>
          <w:szCs w:val="24"/>
          <w:highlight w:val="none"/>
        </w:rPr>
        <w:t>7.2</w:t>
      </w:r>
      <w:r>
        <w:rPr>
          <w:rFonts w:hint="eastAsia" w:ascii="宋体" w:hAnsi="宋体"/>
          <w:bCs/>
          <w:color w:val="auto"/>
          <w:kern w:val="2"/>
          <w:sz w:val="24"/>
          <w:szCs w:val="24"/>
          <w:highlight w:val="none"/>
        </w:rPr>
        <w:t>供应商需在投标文件中提供</w:t>
      </w:r>
      <w:r>
        <w:rPr>
          <w:rFonts w:ascii="宋体" w:hAnsi="宋体"/>
          <w:bCs/>
          <w:color w:val="auto"/>
          <w:kern w:val="2"/>
          <w:sz w:val="24"/>
          <w:szCs w:val="24"/>
          <w:highlight w:val="none"/>
        </w:rPr>
        <w:t>7.1所要求的</w:t>
      </w:r>
      <w:r>
        <w:rPr>
          <w:rFonts w:hint="eastAsia" w:ascii="宋体" w:hAnsi="宋体"/>
          <w:bCs/>
          <w:color w:val="auto"/>
          <w:kern w:val="2"/>
          <w:sz w:val="24"/>
          <w:szCs w:val="24"/>
          <w:highlight w:val="none"/>
        </w:rPr>
        <w:t>营业执照上登记的住所或主要经营场所的使用证明。如果是租赁场所，需提供有效期内的有效租赁协议复印件、最近一期的租赁场所对应的房租结算发票、最近一期的租赁场所对应的水费（或电费）结算发票，三者缺一不可；如果是自有场所，需提供产权证明材料复印件。</w:t>
      </w:r>
    </w:p>
    <w:p w14:paraId="00BA4DF5">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宋体"/>
          <w:bCs/>
          <w:color w:val="auto"/>
          <w:kern w:val="2"/>
          <w:sz w:val="24"/>
          <w:szCs w:val="24"/>
          <w:highlight w:val="none"/>
        </w:rPr>
      </w:pPr>
      <w:r>
        <w:rPr>
          <w:rFonts w:hint="eastAsia" w:ascii="宋体" w:hAnsi="宋体"/>
          <w:bCs/>
          <w:color w:val="auto"/>
          <w:kern w:val="2"/>
          <w:sz w:val="24"/>
          <w:szCs w:val="24"/>
          <w:highlight w:val="none"/>
        </w:rPr>
        <w:t>针对此项住所或主要经营场所要求的全部内容，供应商须提供书面承诺函原件并加盖公章，同时提供招标文件要求的证明材料。未提供符合要求的承诺函或未提供符合要求的证明材料均为无效响应。</w:t>
      </w:r>
    </w:p>
    <w:p w14:paraId="47368775">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微软雅黑" w:hAnsi="微软雅黑" w:eastAsia="微软雅黑" w:cs="微软雅黑"/>
          <w:b/>
          <w:color w:val="auto"/>
          <w:kern w:val="2"/>
          <w:sz w:val="24"/>
          <w:szCs w:val="24"/>
          <w:highlight w:val="none"/>
        </w:rPr>
      </w:pPr>
      <w:r>
        <w:rPr>
          <w:rFonts w:hint="eastAsia" w:ascii="微软雅黑" w:hAnsi="微软雅黑" w:eastAsia="微软雅黑" w:cs="微软雅黑"/>
          <w:b/>
          <w:color w:val="auto"/>
          <w:kern w:val="2"/>
          <w:sz w:val="24"/>
          <w:szCs w:val="24"/>
          <w:highlight w:val="none"/>
        </w:rPr>
        <w:t>三、商务要求（如无特别说明即适用所有分包）：</w:t>
      </w:r>
    </w:p>
    <w:p w14:paraId="473338E5">
      <w:pPr>
        <w:keepNext w:val="0"/>
        <w:keepLines w:val="0"/>
        <w:pageBreakBefore w:val="0"/>
        <w:widowControl w:val="0"/>
        <w:kinsoku/>
        <w:wordWrap/>
        <w:overflowPunct/>
        <w:topLinePunct w:val="0"/>
        <w:autoSpaceDE w:val="0"/>
        <w:autoSpaceDN w:val="0"/>
        <w:bidi w:val="0"/>
        <w:adjustRightInd w:val="0"/>
        <w:snapToGrid/>
        <w:spacing w:after="0" w:line="360" w:lineRule="auto"/>
        <w:ind w:firstLine="482" w:firstLineChars="200"/>
        <w:textAlignment w:val="auto"/>
        <w:rPr>
          <w:rFonts w:ascii="宋体" w:hAnsi="MS Mincho"/>
          <w:b/>
          <w:bCs/>
          <w:color w:val="auto"/>
          <w:kern w:val="2"/>
          <w:sz w:val="24"/>
          <w:szCs w:val="24"/>
          <w:highlight w:val="none"/>
        </w:rPr>
      </w:pPr>
      <w:bookmarkStart w:id="11" w:name="项目费用预算框架："/>
      <w:bookmarkEnd w:id="11"/>
      <w:bookmarkStart w:id="12" w:name="项目二.“学党史·守初心”大型党史主题竞赛活动"/>
      <w:bookmarkEnd w:id="12"/>
      <w:r>
        <w:rPr>
          <w:rFonts w:hint="eastAsia" w:ascii="宋体" w:hAnsi="MS Mincho"/>
          <w:b/>
          <w:bCs/>
          <w:color w:val="auto"/>
          <w:kern w:val="2"/>
          <w:sz w:val="24"/>
          <w:szCs w:val="24"/>
          <w:highlight w:val="none"/>
        </w:rPr>
        <w:t>1</w:t>
      </w:r>
      <w:r>
        <w:rPr>
          <w:rFonts w:ascii="宋体" w:hAnsi="MS Mincho"/>
          <w:b/>
          <w:bCs/>
          <w:color w:val="auto"/>
          <w:kern w:val="2"/>
          <w:sz w:val="24"/>
          <w:szCs w:val="24"/>
          <w:highlight w:val="none"/>
        </w:rPr>
        <w:t>.</w:t>
      </w:r>
      <w:r>
        <w:rPr>
          <w:rFonts w:hint="eastAsia" w:ascii="宋体" w:hAnsi="MS Mincho"/>
          <w:b/>
          <w:bCs/>
          <w:color w:val="auto"/>
          <w:kern w:val="2"/>
          <w:sz w:val="24"/>
          <w:szCs w:val="24"/>
          <w:highlight w:val="none"/>
        </w:rPr>
        <w:t>交付（实施）要求</w:t>
      </w:r>
    </w:p>
    <w:p w14:paraId="6E7897F7">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color w:val="auto"/>
          <w:highlight w:val="none"/>
        </w:rPr>
      </w:pPr>
      <w:r>
        <w:rPr>
          <w:rFonts w:ascii="宋体" w:hAnsi="MS Mincho"/>
          <w:color w:val="auto"/>
          <w:kern w:val="2"/>
          <w:sz w:val="24"/>
          <w:szCs w:val="24"/>
          <w:highlight w:val="none"/>
        </w:rPr>
        <w:t>1.1</w:t>
      </w:r>
      <w:r>
        <w:rPr>
          <w:rFonts w:hint="eastAsia" w:ascii="宋体" w:hAnsi="MS Mincho"/>
          <w:color w:val="auto"/>
          <w:kern w:val="2"/>
          <w:sz w:val="24"/>
          <w:szCs w:val="24"/>
          <w:highlight w:val="none"/>
        </w:rPr>
        <w:t>服务期限：</w:t>
      </w:r>
      <w:bookmarkStart w:id="13" w:name="_Hlk133399999"/>
      <w:r>
        <w:rPr>
          <w:rFonts w:hint="eastAsia" w:ascii="宋体" w:hAnsi="MS Mincho"/>
          <w:color w:val="auto"/>
          <w:kern w:val="2"/>
          <w:sz w:val="24"/>
          <w:szCs w:val="24"/>
          <w:highlight w:val="none"/>
        </w:rPr>
        <w:t>服务期限</w:t>
      </w:r>
      <w:r>
        <w:rPr>
          <w:rFonts w:ascii="宋体" w:hAnsi="宋体" w:cs="宋体"/>
          <w:color w:val="auto"/>
          <w:sz w:val="24"/>
          <w:highlight w:val="none"/>
        </w:rPr>
        <w:t>为</w:t>
      </w:r>
      <w:r>
        <w:rPr>
          <w:rFonts w:hint="eastAsia" w:ascii="宋体" w:hAnsi="宋体" w:cs="宋体"/>
          <w:color w:val="auto"/>
          <w:sz w:val="24"/>
          <w:highlight w:val="none"/>
        </w:rPr>
        <w:t>自合同签订之日起1年。</w:t>
      </w:r>
      <w:bookmarkEnd w:id="13"/>
    </w:p>
    <w:p w14:paraId="0D1010DD">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hint="eastAsia" w:ascii="宋体" w:hAnsi="MS Mincho"/>
          <w:color w:val="auto"/>
          <w:kern w:val="2"/>
          <w:sz w:val="24"/>
          <w:szCs w:val="24"/>
          <w:highlight w:val="none"/>
        </w:rPr>
      </w:pPr>
      <w:r>
        <w:rPr>
          <w:rFonts w:hint="eastAsia" w:ascii="宋体" w:hAnsi="MS Mincho"/>
          <w:color w:val="auto"/>
          <w:kern w:val="2"/>
          <w:sz w:val="24"/>
          <w:szCs w:val="24"/>
          <w:highlight w:val="none"/>
        </w:rPr>
        <w:t>1</w:t>
      </w:r>
      <w:r>
        <w:rPr>
          <w:rFonts w:ascii="宋体" w:hAnsi="MS Mincho"/>
          <w:color w:val="auto"/>
          <w:kern w:val="2"/>
          <w:sz w:val="24"/>
          <w:szCs w:val="24"/>
          <w:highlight w:val="none"/>
        </w:rPr>
        <w:t>.2</w:t>
      </w:r>
      <w:r>
        <w:rPr>
          <w:rFonts w:hint="eastAsia" w:ascii="宋体" w:hAnsi="MS Mincho"/>
          <w:color w:val="auto"/>
          <w:kern w:val="2"/>
          <w:sz w:val="24"/>
          <w:szCs w:val="24"/>
          <w:highlight w:val="none"/>
        </w:rPr>
        <w:t>交付（实施）时间：</w:t>
      </w:r>
      <w:bookmarkStart w:id="14" w:name="_Hlk100095046"/>
      <w:r>
        <w:rPr>
          <w:rFonts w:hint="eastAsia" w:ascii="宋体" w:hAnsi="MS Mincho"/>
          <w:color w:val="auto"/>
          <w:kern w:val="2"/>
          <w:sz w:val="24"/>
          <w:szCs w:val="24"/>
          <w:highlight w:val="none"/>
        </w:rPr>
        <w:t>履约期限内采购人根据工作计划下达协查任务名单，自采购人下达协查任务名单后，按采购人要求的时间提交交付内容。</w:t>
      </w:r>
      <w:bookmarkEnd w:id="14"/>
    </w:p>
    <w:p w14:paraId="35667FDC">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ascii="宋体" w:hAnsi="MS Mincho"/>
          <w:color w:val="auto"/>
          <w:kern w:val="2"/>
          <w:sz w:val="24"/>
          <w:szCs w:val="24"/>
          <w:highlight w:val="none"/>
        </w:rPr>
      </w:pPr>
      <w:r>
        <w:rPr>
          <w:rFonts w:ascii="宋体" w:hAnsi="MS Mincho"/>
          <w:color w:val="auto"/>
          <w:kern w:val="2"/>
          <w:sz w:val="24"/>
          <w:szCs w:val="24"/>
          <w:highlight w:val="none"/>
        </w:rPr>
        <w:t>1.3交付</w:t>
      </w:r>
      <w:r>
        <w:rPr>
          <w:rFonts w:hint="eastAsia" w:ascii="宋体" w:hAnsi="MS Mincho"/>
          <w:color w:val="auto"/>
          <w:kern w:val="2"/>
          <w:sz w:val="24"/>
          <w:szCs w:val="24"/>
          <w:highlight w:val="none"/>
        </w:rPr>
        <w:t>（实施）</w:t>
      </w:r>
      <w:r>
        <w:rPr>
          <w:rFonts w:ascii="宋体" w:hAnsi="MS Mincho"/>
          <w:color w:val="auto"/>
          <w:kern w:val="2"/>
          <w:sz w:val="24"/>
          <w:szCs w:val="24"/>
          <w:highlight w:val="none"/>
        </w:rPr>
        <w:t>地点：采购人指定地点。</w:t>
      </w:r>
    </w:p>
    <w:p w14:paraId="34EC46A7">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ascii="宋体" w:hAnsi="MS Mincho"/>
          <w:color w:val="auto"/>
          <w:kern w:val="2"/>
          <w:sz w:val="24"/>
          <w:szCs w:val="24"/>
          <w:highlight w:val="none"/>
        </w:rPr>
      </w:pPr>
      <w:r>
        <w:rPr>
          <w:rFonts w:ascii="宋体" w:hAnsi="MS Mincho"/>
          <w:color w:val="auto"/>
          <w:kern w:val="2"/>
          <w:sz w:val="24"/>
          <w:szCs w:val="24"/>
          <w:highlight w:val="none"/>
        </w:rPr>
        <w:t>1.4</w:t>
      </w:r>
      <w:r>
        <w:rPr>
          <w:rFonts w:hint="eastAsia" w:ascii="宋体" w:hAnsi="MS Mincho"/>
          <w:color w:val="auto"/>
          <w:kern w:val="2"/>
          <w:sz w:val="24"/>
          <w:szCs w:val="24"/>
          <w:highlight w:val="none"/>
        </w:rPr>
        <w:t>按照采购人指定时间、地点现场交付（实施），所有工作服务内容需经过采购人审核同意后方可实施，其所有费用包含在供应商报价总价中。</w:t>
      </w:r>
    </w:p>
    <w:p w14:paraId="0FA4C6DB">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ascii="宋体" w:hAnsi="MS Mincho"/>
          <w:color w:val="auto"/>
          <w:kern w:val="2"/>
          <w:sz w:val="24"/>
          <w:szCs w:val="24"/>
          <w:highlight w:val="none"/>
        </w:rPr>
      </w:pPr>
      <w:r>
        <w:rPr>
          <w:rFonts w:hint="eastAsia" w:ascii="宋体" w:hAnsi="MS Mincho"/>
          <w:color w:val="auto"/>
          <w:kern w:val="2"/>
          <w:sz w:val="24"/>
          <w:szCs w:val="24"/>
          <w:highlight w:val="none"/>
        </w:rPr>
        <w:t>1</w:t>
      </w:r>
      <w:r>
        <w:rPr>
          <w:rFonts w:ascii="宋体" w:hAnsi="MS Mincho"/>
          <w:color w:val="auto"/>
          <w:kern w:val="2"/>
          <w:sz w:val="24"/>
          <w:szCs w:val="24"/>
          <w:highlight w:val="none"/>
        </w:rPr>
        <w:t>.5</w:t>
      </w:r>
      <w:r>
        <w:rPr>
          <w:rFonts w:hint="eastAsia" w:ascii="宋体" w:hAnsi="MS Mincho"/>
          <w:color w:val="auto"/>
          <w:kern w:val="2"/>
          <w:sz w:val="24"/>
          <w:szCs w:val="24"/>
          <w:highlight w:val="none"/>
        </w:rPr>
        <w:t>交付内容：</w:t>
      </w:r>
    </w:p>
    <w:p w14:paraId="04CECE7A">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ascii="宋体" w:hAnsi="MS Mincho"/>
          <w:color w:val="auto"/>
          <w:kern w:val="2"/>
          <w:sz w:val="24"/>
          <w:szCs w:val="24"/>
          <w:highlight w:val="none"/>
        </w:rPr>
      </w:pPr>
      <w:r>
        <w:rPr>
          <w:rFonts w:ascii="宋体" w:hAnsi="MS Mincho"/>
          <w:color w:val="auto"/>
          <w:kern w:val="2"/>
          <w:sz w:val="24"/>
          <w:szCs w:val="24"/>
          <w:highlight w:val="none"/>
        </w:rPr>
        <w:t xml:space="preserve">1.5.1 </w:t>
      </w:r>
      <w:r>
        <w:rPr>
          <w:rFonts w:hint="eastAsia" w:ascii="宋体" w:hAnsi="MS Mincho"/>
          <w:color w:val="auto"/>
          <w:kern w:val="2"/>
          <w:sz w:val="24"/>
          <w:szCs w:val="24"/>
          <w:highlight w:val="none"/>
        </w:rPr>
        <w:t>按采购人要求提供一份《汇总分析报告》，需按采购人提供的报告模板编制具体内容，报告模板由采购人在合同签订生效后、分配任务时提供；</w:t>
      </w:r>
    </w:p>
    <w:p w14:paraId="73056D1B">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ascii="宋体" w:hAnsi="MS Mincho"/>
          <w:color w:val="auto"/>
          <w:kern w:val="2"/>
          <w:sz w:val="24"/>
          <w:szCs w:val="24"/>
          <w:highlight w:val="none"/>
        </w:rPr>
      </w:pPr>
      <w:r>
        <w:rPr>
          <w:rFonts w:hint="eastAsia" w:ascii="宋体" w:hAnsi="MS Mincho"/>
          <w:color w:val="auto"/>
          <w:kern w:val="2"/>
          <w:sz w:val="24"/>
          <w:szCs w:val="24"/>
          <w:highlight w:val="none"/>
        </w:rPr>
        <w:t>1</w:t>
      </w:r>
      <w:r>
        <w:rPr>
          <w:rFonts w:ascii="宋体" w:hAnsi="MS Mincho"/>
          <w:color w:val="auto"/>
          <w:kern w:val="2"/>
          <w:sz w:val="24"/>
          <w:szCs w:val="24"/>
          <w:highlight w:val="none"/>
        </w:rPr>
        <w:t>.5.2</w:t>
      </w:r>
      <w:r>
        <w:rPr>
          <w:rFonts w:hint="eastAsia" w:ascii="宋体" w:hAnsi="MS Mincho"/>
          <w:color w:val="auto"/>
          <w:kern w:val="2"/>
          <w:sz w:val="24"/>
          <w:szCs w:val="24"/>
          <w:highlight w:val="none"/>
        </w:rPr>
        <w:t>被协查企业每户一份《</w:t>
      </w:r>
      <w:r>
        <w:rPr>
          <w:rFonts w:hint="eastAsia" w:ascii="宋体" w:hAnsi="MS Mincho"/>
          <w:color w:val="auto"/>
          <w:kern w:val="2"/>
          <w:sz w:val="24"/>
          <w:szCs w:val="24"/>
          <w:highlight w:val="none"/>
          <w:lang w:val="en-US" w:eastAsia="zh-CN"/>
        </w:rPr>
        <w:t>企业公示信息协查报告</w:t>
      </w:r>
      <w:r>
        <w:rPr>
          <w:rFonts w:hint="eastAsia" w:ascii="宋体" w:hAnsi="MS Mincho"/>
          <w:color w:val="auto"/>
          <w:kern w:val="2"/>
          <w:sz w:val="24"/>
          <w:szCs w:val="24"/>
          <w:highlight w:val="none"/>
        </w:rPr>
        <w:t>》、必要的工作底稿、证明材料，其中：被抽查企业已按要求提供相关材料的，</w:t>
      </w:r>
      <w:bookmarkStart w:id="15" w:name="_Hlk170246194"/>
      <w:r>
        <w:rPr>
          <w:rFonts w:hint="eastAsia" w:ascii="宋体" w:hAnsi="MS Mincho"/>
          <w:color w:val="auto"/>
          <w:kern w:val="2"/>
          <w:sz w:val="24"/>
          <w:szCs w:val="24"/>
          <w:highlight w:val="none"/>
        </w:rPr>
        <w:t>《</w:t>
      </w:r>
      <w:r>
        <w:rPr>
          <w:rFonts w:hint="eastAsia" w:ascii="宋体" w:hAnsi="MS Mincho"/>
          <w:color w:val="auto"/>
          <w:kern w:val="2"/>
          <w:sz w:val="24"/>
          <w:szCs w:val="24"/>
          <w:highlight w:val="none"/>
          <w:lang w:val="en-US" w:eastAsia="zh-CN"/>
        </w:rPr>
        <w:t>企业公示信息协查报告</w:t>
      </w:r>
      <w:r>
        <w:rPr>
          <w:rFonts w:hint="eastAsia" w:ascii="宋体" w:hAnsi="MS Mincho"/>
          <w:color w:val="auto"/>
          <w:kern w:val="2"/>
          <w:sz w:val="24"/>
          <w:szCs w:val="24"/>
          <w:highlight w:val="none"/>
        </w:rPr>
        <w:t>》</w:t>
      </w:r>
      <w:bookmarkEnd w:id="15"/>
      <w:r>
        <w:rPr>
          <w:rFonts w:hint="eastAsia" w:ascii="宋体" w:hAnsi="MS Mincho"/>
          <w:color w:val="auto"/>
          <w:kern w:val="2"/>
          <w:sz w:val="24"/>
          <w:szCs w:val="24"/>
          <w:highlight w:val="none"/>
        </w:rPr>
        <w:t>应当载明具体的“一致”</w:t>
      </w:r>
      <w:r>
        <w:rPr>
          <w:rFonts w:hint="eastAsia" w:ascii="宋体" w:hAnsi="MS Mincho"/>
          <w:color w:val="auto"/>
          <w:kern w:val="2"/>
          <w:sz w:val="24"/>
          <w:szCs w:val="24"/>
          <w:highlight w:val="none"/>
          <w:lang w:eastAsia="zh-CN"/>
        </w:rPr>
        <w:t>“</w:t>
      </w:r>
      <w:r>
        <w:rPr>
          <w:rFonts w:hint="eastAsia" w:ascii="宋体" w:hAnsi="MS Mincho"/>
          <w:color w:val="auto"/>
          <w:kern w:val="2"/>
          <w:sz w:val="24"/>
          <w:szCs w:val="24"/>
          <w:highlight w:val="none"/>
          <w:lang w:val="en-US" w:eastAsia="zh-CN"/>
        </w:rPr>
        <w:t>修改后一致</w:t>
      </w:r>
      <w:r>
        <w:rPr>
          <w:rFonts w:hint="eastAsia" w:ascii="宋体" w:hAnsi="MS Mincho"/>
          <w:color w:val="auto"/>
          <w:kern w:val="2"/>
          <w:sz w:val="24"/>
          <w:szCs w:val="24"/>
          <w:highlight w:val="none"/>
          <w:lang w:eastAsia="zh-CN"/>
        </w:rPr>
        <w:t>”</w:t>
      </w:r>
      <w:r>
        <w:rPr>
          <w:rFonts w:hint="eastAsia" w:ascii="宋体" w:hAnsi="MS Mincho"/>
          <w:color w:val="auto"/>
          <w:kern w:val="2"/>
          <w:sz w:val="24"/>
          <w:szCs w:val="24"/>
          <w:highlight w:val="none"/>
        </w:rPr>
        <w:t>或“不一致”的协查结论；如因检查对象联系不上或不提供资料或其他客观原因导致协查报告中无法载明具体协查结论的，《</w:t>
      </w:r>
      <w:r>
        <w:rPr>
          <w:rFonts w:hint="eastAsia" w:ascii="宋体" w:hAnsi="MS Mincho"/>
          <w:color w:val="auto"/>
          <w:kern w:val="2"/>
          <w:sz w:val="24"/>
          <w:szCs w:val="24"/>
          <w:highlight w:val="none"/>
          <w:lang w:val="en-US" w:eastAsia="zh-CN"/>
        </w:rPr>
        <w:t>企业公示信息协查报告</w:t>
      </w:r>
      <w:r>
        <w:rPr>
          <w:rFonts w:hint="eastAsia" w:ascii="宋体" w:hAnsi="MS Mincho"/>
          <w:color w:val="auto"/>
          <w:kern w:val="2"/>
          <w:sz w:val="24"/>
          <w:szCs w:val="24"/>
          <w:highlight w:val="none"/>
        </w:rPr>
        <w:t>》应载明具体情况及有关证明材料等；</w:t>
      </w:r>
    </w:p>
    <w:p w14:paraId="1392A8D1">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hint="eastAsia" w:ascii="宋体" w:hAnsi="MS Mincho"/>
          <w:color w:val="auto"/>
          <w:kern w:val="2"/>
          <w:sz w:val="24"/>
          <w:szCs w:val="24"/>
          <w:highlight w:val="none"/>
        </w:rPr>
      </w:pPr>
      <w:r>
        <w:rPr>
          <w:rFonts w:ascii="宋体" w:hAnsi="MS Mincho"/>
          <w:color w:val="auto"/>
          <w:kern w:val="2"/>
          <w:sz w:val="24"/>
          <w:szCs w:val="24"/>
          <w:highlight w:val="none"/>
        </w:rPr>
        <w:t>1.5.3</w:t>
      </w:r>
      <w:r>
        <w:rPr>
          <w:rFonts w:hint="eastAsia" w:ascii="宋体" w:hAnsi="MS Mincho"/>
          <w:color w:val="auto"/>
          <w:kern w:val="2"/>
          <w:sz w:val="24"/>
          <w:szCs w:val="24"/>
          <w:highlight w:val="none"/>
        </w:rPr>
        <w:t>交付材料的份数按采购人要求执行，交付形式包括纸质和电子版或双方约定的形式。</w:t>
      </w:r>
    </w:p>
    <w:p w14:paraId="2C001E1C">
      <w:pPr>
        <w:keepNext w:val="0"/>
        <w:keepLines w:val="0"/>
        <w:pageBreakBefore w:val="0"/>
        <w:widowControl w:val="0"/>
        <w:kinsoku/>
        <w:wordWrap/>
        <w:overflowPunct/>
        <w:topLinePunct w:val="0"/>
        <w:autoSpaceDE w:val="0"/>
        <w:autoSpaceDN w:val="0"/>
        <w:bidi w:val="0"/>
        <w:adjustRightInd w:val="0"/>
        <w:snapToGrid/>
        <w:spacing w:after="0" w:line="360" w:lineRule="auto"/>
        <w:ind w:firstLine="482" w:firstLineChars="200"/>
        <w:textAlignment w:val="auto"/>
        <w:rPr>
          <w:rFonts w:hint="eastAsia" w:ascii="宋体" w:hAnsi="MS Mincho"/>
          <w:b/>
          <w:bCs/>
          <w:color w:val="auto"/>
          <w:kern w:val="2"/>
          <w:sz w:val="24"/>
          <w:szCs w:val="24"/>
          <w:highlight w:val="none"/>
        </w:rPr>
      </w:pPr>
      <w:r>
        <w:rPr>
          <w:rFonts w:hint="eastAsia" w:ascii="宋体" w:hAnsi="MS Mincho"/>
          <w:b/>
          <w:bCs/>
          <w:color w:val="auto"/>
          <w:kern w:val="2"/>
          <w:sz w:val="24"/>
          <w:szCs w:val="24"/>
          <w:highlight w:val="none"/>
        </w:rPr>
        <w:t>2</w:t>
      </w:r>
      <w:r>
        <w:rPr>
          <w:rFonts w:ascii="宋体" w:hAnsi="MS Mincho"/>
          <w:b/>
          <w:bCs/>
          <w:color w:val="auto"/>
          <w:kern w:val="2"/>
          <w:sz w:val="24"/>
          <w:szCs w:val="24"/>
          <w:highlight w:val="none"/>
        </w:rPr>
        <w:t>.</w:t>
      </w:r>
      <w:r>
        <w:rPr>
          <w:rFonts w:hint="eastAsia" w:ascii="宋体" w:hAnsi="MS Mincho"/>
          <w:b/>
          <w:bCs/>
          <w:color w:val="auto"/>
          <w:kern w:val="2"/>
          <w:sz w:val="24"/>
          <w:szCs w:val="24"/>
          <w:highlight w:val="none"/>
        </w:rPr>
        <w:t>验收要求</w:t>
      </w:r>
    </w:p>
    <w:p w14:paraId="16EAA315">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MS Mincho"/>
          <w:color w:val="auto"/>
          <w:kern w:val="2"/>
          <w:sz w:val="24"/>
          <w:szCs w:val="24"/>
          <w:highlight w:val="none"/>
        </w:rPr>
      </w:pPr>
      <w:r>
        <w:rPr>
          <w:rFonts w:ascii="宋体" w:hAnsi="MS Mincho"/>
          <w:color w:val="auto"/>
          <w:kern w:val="2"/>
          <w:sz w:val="24"/>
          <w:szCs w:val="24"/>
          <w:highlight w:val="none"/>
        </w:rPr>
        <w:t>2.1</w:t>
      </w:r>
      <w:r>
        <w:rPr>
          <w:rFonts w:hint="eastAsia" w:ascii="宋体" w:hAnsi="MS Mincho"/>
          <w:color w:val="auto"/>
          <w:kern w:val="2"/>
          <w:sz w:val="24"/>
          <w:szCs w:val="24"/>
          <w:highlight w:val="none"/>
        </w:rPr>
        <w:t>验收方式</w:t>
      </w:r>
    </w:p>
    <w:p w14:paraId="7E66A7DD">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MS Mincho"/>
          <w:color w:val="auto"/>
          <w:kern w:val="2"/>
          <w:sz w:val="24"/>
          <w:szCs w:val="24"/>
          <w:highlight w:val="none"/>
        </w:rPr>
      </w:pPr>
      <w:r>
        <w:rPr>
          <w:rFonts w:hint="eastAsia" w:ascii="宋体" w:hAnsi="MS Mincho"/>
          <w:color w:val="auto"/>
          <w:kern w:val="2"/>
          <w:sz w:val="24"/>
          <w:szCs w:val="24"/>
          <w:highlight w:val="none"/>
        </w:rPr>
        <w:t>根据采购文件、投标供应商的投标文件内容以及国家有关的质量标准对供应商提供的服务进行验收（包括现场工作、人员素质、报告及结论质量等）。</w:t>
      </w:r>
    </w:p>
    <w:p w14:paraId="7EB7CAC9">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MS Mincho"/>
          <w:color w:val="auto"/>
          <w:kern w:val="2"/>
          <w:sz w:val="24"/>
          <w:szCs w:val="24"/>
          <w:highlight w:val="none"/>
        </w:rPr>
      </w:pPr>
      <w:r>
        <w:rPr>
          <w:rFonts w:ascii="宋体" w:hAnsi="MS Mincho"/>
          <w:color w:val="auto"/>
          <w:kern w:val="2"/>
          <w:sz w:val="24"/>
          <w:szCs w:val="24"/>
          <w:highlight w:val="none"/>
        </w:rPr>
        <w:t>2</w:t>
      </w:r>
      <w:r>
        <w:rPr>
          <w:rFonts w:hint="eastAsia" w:ascii="宋体" w:hAnsi="MS Mincho"/>
          <w:color w:val="auto"/>
          <w:kern w:val="2"/>
          <w:sz w:val="24"/>
          <w:szCs w:val="24"/>
          <w:highlight w:val="none"/>
        </w:rPr>
        <w:t>.2验收要求</w:t>
      </w:r>
    </w:p>
    <w:p w14:paraId="0A049213">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ascii="宋体" w:hAnsi="MS Mincho"/>
          <w:color w:val="auto"/>
          <w:kern w:val="2"/>
          <w:sz w:val="24"/>
          <w:szCs w:val="24"/>
          <w:highlight w:val="none"/>
        </w:rPr>
      </w:pPr>
      <w:r>
        <w:rPr>
          <w:rFonts w:hint="eastAsia" w:ascii="宋体" w:hAnsi="MS Mincho"/>
          <w:color w:val="auto"/>
          <w:kern w:val="2"/>
          <w:sz w:val="24"/>
          <w:szCs w:val="24"/>
          <w:highlight w:val="none"/>
        </w:rPr>
        <w:t>投标供应商根据采购文件要求，在投标文件中展示的资源将视为中标供应商所能达到的最基本水准。现场服务工作或报告质量达不到上述水准及采购人验收要求时，供应商必须立即整改，所有费用由供应商自行承担，由此给采购方造成损失或使采购方支出费用（包括但不限于诉讼费、仲裁费、鉴定费、律师代理费）的，供应商承担全部责任。</w:t>
      </w:r>
    </w:p>
    <w:p w14:paraId="7682651D">
      <w:pPr>
        <w:keepNext w:val="0"/>
        <w:keepLines w:val="0"/>
        <w:pageBreakBefore w:val="0"/>
        <w:widowControl w:val="0"/>
        <w:kinsoku/>
        <w:wordWrap/>
        <w:overflowPunct/>
        <w:topLinePunct w:val="0"/>
        <w:autoSpaceDE w:val="0"/>
        <w:autoSpaceDN w:val="0"/>
        <w:bidi w:val="0"/>
        <w:adjustRightInd w:val="0"/>
        <w:snapToGrid/>
        <w:spacing w:after="0" w:line="360" w:lineRule="auto"/>
        <w:ind w:firstLine="482" w:firstLineChars="200"/>
        <w:textAlignment w:val="auto"/>
        <w:rPr>
          <w:rFonts w:ascii="宋体" w:hAnsi="MS Mincho" w:cs="宋体"/>
          <w:b/>
          <w:bCs/>
          <w:color w:val="auto"/>
          <w:kern w:val="2"/>
          <w:sz w:val="24"/>
          <w:szCs w:val="24"/>
          <w:highlight w:val="none"/>
        </w:rPr>
      </w:pPr>
      <w:r>
        <w:rPr>
          <w:rFonts w:hint="eastAsia" w:ascii="宋体" w:hAnsi="MS Mincho" w:cs="宋体"/>
          <w:b/>
          <w:bCs/>
          <w:color w:val="auto"/>
          <w:kern w:val="2"/>
          <w:sz w:val="24"/>
          <w:szCs w:val="24"/>
          <w:highlight w:val="none"/>
        </w:rPr>
        <w:t>3</w:t>
      </w:r>
      <w:r>
        <w:rPr>
          <w:rFonts w:ascii="宋体" w:hAnsi="MS Mincho" w:cs="宋体"/>
          <w:b/>
          <w:bCs/>
          <w:color w:val="auto"/>
          <w:kern w:val="2"/>
          <w:sz w:val="24"/>
          <w:szCs w:val="24"/>
          <w:highlight w:val="none"/>
        </w:rPr>
        <w:t>.</w:t>
      </w:r>
      <w:r>
        <w:rPr>
          <w:rFonts w:hint="eastAsia" w:ascii="宋体" w:hAnsi="MS Mincho" w:cs="宋体"/>
          <w:b/>
          <w:bCs/>
          <w:color w:val="auto"/>
          <w:kern w:val="2"/>
          <w:sz w:val="24"/>
          <w:szCs w:val="24"/>
          <w:highlight w:val="none"/>
        </w:rPr>
        <w:t>付款方式</w:t>
      </w:r>
    </w:p>
    <w:p w14:paraId="6FF2924F">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MS Mincho"/>
          <w:color w:val="auto"/>
          <w:kern w:val="2"/>
          <w:sz w:val="24"/>
          <w:szCs w:val="24"/>
          <w:highlight w:val="none"/>
          <w:lang w:val="en-US" w:eastAsia="zh-CN"/>
        </w:rPr>
      </w:pPr>
      <w:r>
        <w:rPr>
          <w:rFonts w:hint="eastAsia" w:ascii="宋体" w:hAnsi="MS Mincho"/>
          <w:color w:val="auto"/>
          <w:kern w:val="2"/>
          <w:sz w:val="24"/>
          <w:szCs w:val="24"/>
          <w:highlight w:val="none"/>
        </w:rPr>
        <w:t>3.1 供应商</w:t>
      </w:r>
      <w:r>
        <w:rPr>
          <w:rFonts w:hint="eastAsia" w:ascii="宋体" w:hAnsi="MS Mincho"/>
          <w:color w:val="auto"/>
          <w:kern w:val="2"/>
          <w:sz w:val="24"/>
          <w:szCs w:val="24"/>
          <w:highlight w:val="none"/>
          <w:lang w:val="en-US" w:eastAsia="zh-CN"/>
        </w:rPr>
        <w:t>可以根据出具的有结论报告数量分两批结算，交接的有结论报告数占“协查户数50%以上的，按50%结算。全部服务任务履约完成并验收考核后，根据验收考核结果据实结算剩余合同款项。</w:t>
      </w:r>
    </w:p>
    <w:p w14:paraId="31814FEA">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MS Mincho"/>
          <w:color w:val="auto"/>
          <w:kern w:val="2"/>
          <w:sz w:val="24"/>
          <w:szCs w:val="24"/>
          <w:highlight w:val="none"/>
        </w:rPr>
      </w:pPr>
      <w:r>
        <w:rPr>
          <w:rFonts w:hint="eastAsia" w:ascii="宋体" w:hAnsi="MS Mincho"/>
          <w:color w:val="auto"/>
          <w:kern w:val="2"/>
          <w:sz w:val="24"/>
          <w:szCs w:val="24"/>
          <w:highlight w:val="none"/>
        </w:rPr>
        <w:t>3.2供应商须在商务条款偏离表中对付款方式进行完全响应。</w:t>
      </w:r>
    </w:p>
    <w:p w14:paraId="002CEFAF">
      <w:pPr>
        <w:keepNext w:val="0"/>
        <w:keepLines w:val="0"/>
        <w:pageBreakBefore w:val="0"/>
        <w:widowControl w:val="0"/>
        <w:kinsoku/>
        <w:wordWrap/>
        <w:overflowPunct/>
        <w:topLinePunct w:val="0"/>
        <w:bidi w:val="0"/>
        <w:snapToGrid/>
        <w:spacing w:after="0" w:line="360" w:lineRule="auto"/>
        <w:ind w:firstLine="482" w:firstLineChars="200"/>
        <w:jc w:val="both"/>
        <w:textAlignment w:val="auto"/>
        <w:rPr>
          <w:rFonts w:hint="eastAsia" w:ascii="宋体" w:cs="微软雅黑"/>
          <w:bCs/>
          <w:color w:val="auto"/>
          <w:kern w:val="2"/>
          <w:sz w:val="24"/>
          <w:szCs w:val="24"/>
          <w:highlight w:val="none"/>
        </w:rPr>
      </w:pPr>
      <w:r>
        <w:rPr>
          <w:rFonts w:hint="eastAsia" w:ascii="宋体"/>
          <w:b/>
          <w:bCs/>
          <w:color w:val="auto"/>
          <w:kern w:val="2"/>
          <w:sz w:val="24"/>
          <w:szCs w:val="24"/>
          <w:highlight w:val="none"/>
        </w:rPr>
        <w:t>4</w:t>
      </w:r>
      <w:r>
        <w:rPr>
          <w:rFonts w:ascii="宋体"/>
          <w:b/>
          <w:bCs/>
          <w:color w:val="auto"/>
          <w:kern w:val="2"/>
          <w:sz w:val="24"/>
          <w:szCs w:val="24"/>
          <w:highlight w:val="none"/>
        </w:rPr>
        <w:t>.</w:t>
      </w:r>
      <w:r>
        <w:rPr>
          <w:rFonts w:hint="eastAsia" w:ascii="宋体" w:cs="微软雅黑"/>
          <w:b/>
          <w:color w:val="auto"/>
          <w:kern w:val="2"/>
          <w:sz w:val="24"/>
          <w:szCs w:val="24"/>
          <w:highlight w:val="none"/>
        </w:rPr>
        <w:t>关于报价</w:t>
      </w:r>
    </w:p>
    <w:p w14:paraId="2F35AACE">
      <w:pPr>
        <w:keepNext w:val="0"/>
        <w:keepLines w:val="0"/>
        <w:pageBreakBefore w:val="0"/>
        <w:widowControl w:val="0"/>
        <w:kinsoku/>
        <w:wordWrap/>
        <w:overflowPunct/>
        <w:topLinePunct w:val="0"/>
        <w:bidi w:val="0"/>
        <w:snapToGrid/>
        <w:spacing w:after="0" w:line="360" w:lineRule="auto"/>
        <w:ind w:firstLine="480" w:firstLineChars="200"/>
        <w:jc w:val="both"/>
        <w:textAlignment w:val="auto"/>
        <w:rPr>
          <w:rFonts w:hint="eastAsia" w:ascii="宋体" w:hAnsi="MS Mincho"/>
          <w:color w:val="auto"/>
          <w:kern w:val="2"/>
          <w:sz w:val="24"/>
          <w:szCs w:val="24"/>
          <w:highlight w:val="none"/>
        </w:rPr>
      </w:pPr>
      <w:r>
        <w:rPr>
          <w:rFonts w:hint="eastAsia" w:ascii="Times New Roman" w:hAnsi="Times New Roman"/>
          <w:color w:val="auto"/>
          <w:kern w:val="2"/>
          <w:sz w:val="24"/>
          <w:szCs w:val="24"/>
          <w:highlight w:val="none"/>
        </w:rPr>
        <w:t>该项目预算为全口径预算，包含了本项目所需的服务提供过程中可能发生的所有费用，包括但不限于协查费用、各种税费、利润、税金、人员工资（含各类保险、加班费、交通费、过节费等所有与人员相关费用）、培训及合同包含的所有风险、责任以及采购人项目预算已包含的项目论证、评审等各项相关费用。本次采购投标供应商的报价应包括为完成本项目发生的上述所有费用及采购代理服务费用，中标后采购人除按中标价格支付采购资金以外，不再</w:t>
      </w:r>
      <w:r>
        <w:rPr>
          <w:rFonts w:hint="eastAsia" w:ascii="宋体" w:hAnsi="MS Mincho"/>
          <w:color w:val="auto"/>
          <w:kern w:val="2"/>
          <w:sz w:val="24"/>
          <w:szCs w:val="24"/>
          <w:highlight w:val="none"/>
        </w:rPr>
        <w:t>另行支付任何费用。</w:t>
      </w:r>
    </w:p>
    <w:p w14:paraId="66DCA5A3">
      <w:pPr>
        <w:keepNext w:val="0"/>
        <w:keepLines w:val="0"/>
        <w:pageBreakBefore w:val="0"/>
        <w:widowControl w:val="0"/>
        <w:numPr>
          <w:ilvl w:val="0"/>
          <w:numId w:val="6"/>
        </w:numPr>
        <w:kinsoku/>
        <w:wordWrap/>
        <w:overflowPunct/>
        <w:topLinePunct w:val="0"/>
        <w:bidi w:val="0"/>
        <w:snapToGrid/>
        <w:spacing w:after="0" w:line="360" w:lineRule="auto"/>
        <w:ind w:firstLine="482" w:firstLineChars="200"/>
        <w:jc w:val="both"/>
        <w:textAlignment w:val="auto"/>
        <w:rPr>
          <w:rFonts w:hint="eastAsia" w:ascii="宋体" w:hAnsi="MS Mincho"/>
          <w:b/>
          <w:bCs/>
          <w:color w:val="auto"/>
          <w:kern w:val="2"/>
          <w:sz w:val="24"/>
          <w:szCs w:val="24"/>
          <w:highlight w:val="none"/>
          <w:lang w:eastAsia="zh-CN"/>
        </w:rPr>
      </w:pPr>
      <w:r>
        <w:rPr>
          <w:rFonts w:hint="eastAsia" w:ascii="宋体" w:hAnsi="MS Mincho"/>
          <w:b/>
          <w:bCs/>
          <w:color w:val="auto"/>
          <w:kern w:val="2"/>
          <w:sz w:val="24"/>
          <w:szCs w:val="24"/>
          <w:highlight w:val="none"/>
        </w:rPr>
        <w:t>考核要求</w:t>
      </w:r>
    </w:p>
    <w:p w14:paraId="0C707A97">
      <w:pPr>
        <w:keepNext w:val="0"/>
        <w:keepLines w:val="0"/>
        <w:pageBreakBefore w:val="0"/>
        <w:widowControl w:val="0"/>
        <w:kinsoku/>
        <w:wordWrap/>
        <w:overflowPunct/>
        <w:topLinePunct w:val="0"/>
        <w:autoSpaceDE/>
        <w:autoSpaceDN/>
        <w:bidi w:val="0"/>
        <w:adjustRightInd/>
        <w:snapToGrid/>
        <w:spacing w:after="0" w:afterAutospacing="0"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企业公示信息协查中介服务机构考核管理办法</w:t>
      </w:r>
    </w:p>
    <w:p w14:paraId="49009F88">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着公平规范的原则，南京市江宁区市场监督管理局组织开展企业公示信息情况抽查，进一步推动和督促企业及时、准确地履行信息公示义务，现根据《企业信息公示条例》和《企业公示信息抽查办法》的要求，特制定企业公示信息协查中介服务机构考核管理办法。</w:t>
      </w:r>
    </w:p>
    <w:p w14:paraId="73C88170">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2" w:firstLineChars="200"/>
        <w:textAlignment w:val="auto"/>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rPr>
        <w:t>（一）考核对象：</w:t>
      </w:r>
      <w:r>
        <w:rPr>
          <w:rFonts w:hint="eastAsia" w:ascii="宋体" w:hAnsi="宋体" w:eastAsia="宋体" w:cs="宋体"/>
          <w:color w:val="auto"/>
          <w:sz w:val="24"/>
          <w:szCs w:val="24"/>
          <w:highlight w:val="none"/>
          <w:u w:val="none"/>
        </w:rPr>
        <w:t>“南京市江宁区市场监督管理局</w:t>
      </w:r>
      <w:r>
        <w:rPr>
          <w:rFonts w:hint="eastAsia" w:ascii="宋体" w:hAnsi="宋体" w:cs="宋体"/>
          <w:color w:val="auto"/>
          <w:sz w:val="24"/>
          <w:szCs w:val="24"/>
          <w:highlight w:val="none"/>
          <w:u w:val="none"/>
          <w:lang w:val="en-US" w:eastAsia="zh-CN"/>
        </w:rPr>
        <w:t>2026年企业公示信息</w:t>
      </w:r>
      <w:r>
        <w:rPr>
          <w:rFonts w:hint="eastAsia" w:ascii="宋体" w:hAnsi="宋体" w:eastAsia="宋体" w:cs="宋体"/>
          <w:color w:val="auto"/>
          <w:sz w:val="24"/>
          <w:szCs w:val="24"/>
          <w:highlight w:val="none"/>
          <w:u w:val="none"/>
        </w:rPr>
        <w:t>中介协查服务项目”所有</w:t>
      </w:r>
      <w:r>
        <w:rPr>
          <w:rFonts w:hint="eastAsia" w:ascii="宋体" w:hAnsi="宋体" w:eastAsia="宋体" w:cs="宋体"/>
          <w:color w:val="auto"/>
          <w:sz w:val="24"/>
          <w:szCs w:val="24"/>
          <w:highlight w:val="none"/>
          <w:u w:val="none"/>
          <w:lang w:eastAsia="zh-CN"/>
        </w:rPr>
        <w:t>中标供应商</w:t>
      </w:r>
      <w:r>
        <w:rPr>
          <w:rFonts w:hint="eastAsia" w:ascii="宋体" w:hAnsi="宋体" w:eastAsia="宋体" w:cs="宋体"/>
          <w:color w:val="auto"/>
          <w:sz w:val="24"/>
          <w:szCs w:val="24"/>
          <w:highlight w:val="none"/>
          <w:u w:val="none"/>
        </w:rPr>
        <w:t>。</w:t>
      </w:r>
    </w:p>
    <w:p w14:paraId="699C61C7">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（二）考核内容：</w:t>
      </w:r>
    </w:p>
    <w:p w14:paraId="428F4619">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主要考核中标供应商年度内协查工作的履职情况及其专业人员履职情况，满分为100分，其中单位履职情况占55分，专业人员履职情况占45分。</w:t>
      </w:r>
    </w:p>
    <w:p w14:paraId="16149CA3">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单位履职考核指标如下：</w:t>
      </w:r>
    </w:p>
    <w:p w14:paraId="5A27236E">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A.未在采购人规定的时限内响应并进行对接的，每次扣5分。</w:t>
      </w:r>
    </w:p>
    <w:p w14:paraId="27D6A047">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B.接到采购人协查任务分配后3个工作日内未及时开展协查工作并经查实的，每次扣3分。</w:t>
      </w:r>
    </w:p>
    <w:p w14:paraId="2DA07BDA">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C.未经采购人同意擅自更换专业人员进行协查工作的，每次扣5分。</w:t>
      </w:r>
    </w:p>
    <w:p w14:paraId="4C44E072">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D.将协查任务外包、分包给其他单位的，每次扣10分。</w:t>
      </w:r>
    </w:p>
    <w:p w14:paraId="43040856">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E.协查任务实施过程未按照采购人要求履行或未及时调整协查实施方案的，视情节每次扣3-5分。</w:t>
      </w:r>
    </w:p>
    <w:p w14:paraId="29F82402">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F.未及时告知采购人企业信息变更情况导致采购人联系未果的，每次扣5分。</w:t>
      </w:r>
    </w:p>
    <w:p w14:paraId="39E5B00C">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G.未在采购人规定的时限内出具协查企业的《协查工作报告》及《协查结论和决定》等相关材料的，每次扣5分。</w:t>
      </w:r>
    </w:p>
    <w:p w14:paraId="126FA36A">
      <w:pPr>
        <w:keepNext w:val="0"/>
        <w:keepLines w:val="0"/>
        <w:pageBreakBefore w:val="0"/>
        <w:widowControl w:val="0"/>
        <w:kinsoku/>
        <w:wordWrap/>
        <w:overflowPunct/>
        <w:topLinePunct w:val="0"/>
        <w:autoSpaceDE/>
        <w:autoSpaceDN/>
        <w:bidi w:val="0"/>
        <w:adjustRightInd/>
        <w:snapToGrid/>
        <w:spacing w:before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H.通过抽查，出具的《协查工作报告》及《协查结论和决定》等相关材料未按规定出具或者表述不清、质量不高、存在明显错误的，视情节每次扣3-5分。</w:t>
      </w:r>
    </w:p>
    <w:p w14:paraId="6F11ED67">
      <w:pPr>
        <w:keepNext w:val="0"/>
        <w:keepLines w:val="0"/>
        <w:pageBreakBefore w:val="0"/>
        <w:widowControl w:val="0"/>
        <w:kinsoku/>
        <w:wordWrap/>
        <w:overflowPunct/>
        <w:topLinePunct w:val="0"/>
        <w:autoSpaceDE/>
        <w:autoSpaceDN/>
        <w:bidi w:val="0"/>
        <w:adjustRightInd/>
        <w:snapToGrid/>
        <w:spacing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I.因中标供应商自身原因不能按时完成分配任务的，每超出1个工作日扣2分，最高扣10分。</w:t>
      </w:r>
    </w:p>
    <w:p w14:paraId="027DB17C">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J.被协查企业投诉举报或采购人分局反映且经核查属实的，视情节每次扣5-10分。</w:t>
      </w:r>
    </w:p>
    <w:p w14:paraId="7FFF4FFD">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K.重大事项未经汇报擅自决策的，每次扣10分。</w:t>
      </w:r>
    </w:p>
    <w:p w14:paraId="563CAAA2">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L.其他经采购人核实有违法违规事项的，视情节每次扣5-10分。</w:t>
      </w:r>
    </w:p>
    <w:p w14:paraId="3CD64C88">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专业人员履职考核指标如下：</w:t>
      </w:r>
    </w:p>
    <w:p w14:paraId="5770FBC6">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left="0" w:leftChars="0"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A.协查过程中未持证上岗的，每次扣3分。</w:t>
      </w:r>
    </w:p>
    <w:p w14:paraId="7EFCB18C">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B.拒绝接受采购人业务指导及要求，未履行应尽义务的，每次扣10分。</w:t>
      </w:r>
    </w:p>
    <w:p w14:paraId="38B965AB">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C.</w:t>
      </w:r>
      <w:r>
        <w:rPr>
          <w:rFonts w:hint="eastAsia" w:ascii="宋体" w:hAnsi="宋体" w:eastAsia="宋体" w:cs="宋体"/>
          <w:b w:val="0"/>
          <w:bCs w:val="0"/>
          <w:color w:val="auto"/>
          <w:sz w:val="24"/>
          <w:szCs w:val="24"/>
          <w:highlight w:val="none"/>
          <w:lang w:eastAsia="zh-CN"/>
        </w:rPr>
        <w:t>出具的协查报告不规范、不完整、存在明显错误的，视情节每次扣</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分。</w:t>
      </w:r>
    </w:p>
    <w:p w14:paraId="7BCCAA44">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D.擅自泄露协查工作中知悉的商业秘密和内部情况的，</w:t>
      </w:r>
      <w:r>
        <w:rPr>
          <w:rFonts w:hint="eastAsia" w:ascii="宋体" w:hAnsi="宋体" w:eastAsia="宋体" w:cs="宋体"/>
          <w:b w:val="0"/>
          <w:bCs w:val="0"/>
          <w:color w:val="auto"/>
          <w:sz w:val="24"/>
          <w:szCs w:val="24"/>
          <w:highlight w:val="none"/>
          <w:lang w:eastAsia="zh-CN"/>
        </w:rPr>
        <w:t>视情节每次扣</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eastAsia="zh-CN"/>
        </w:rPr>
        <w:t>分。</w:t>
      </w:r>
    </w:p>
    <w:p w14:paraId="1D8C70FA">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E.协查过程中未执行国家规定要求的回避制度的，每次扣5分。</w:t>
      </w:r>
    </w:p>
    <w:p w14:paraId="3140E43A">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F.协查过程中，经查实未到协查企业现场指导、人员未及时到位的，每次扣一分，最多扣5分。</w:t>
      </w:r>
    </w:p>
    <w:p w14:paraId="6BBBA092">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G.协查时，从事与本项目无关工作，如企业宣传、拉拢业务等，经采购人核实，</w:t>
      </w:r>
      <w:r>
        <w:rPr>
          <w:rFonts w:hint="eastAsia" w:ascii="宋体" w:hAnsi="宋体" w:eastAsia="宋体" w:cs="宋体"/>
          <w:b w:val="0"/>
          <w:bCs w:val="0"/>
          <w:color w:val="auto"/>
          <w:sz w:val="24"/>
          <w:szCs w:val="24"/>
          <w:highlight w:val="none"/>
          <w:lang w:eastAsia="zh-CN"/>
        </w:rPr>
        <w:t>视情节每次扣</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10</w:t>
      </w:r>
      <w:r>
        <w:rPr>
          <w:rFonts w:hint="eastAsia" w:ascii="宋体" w:hAnsi="宋体" w:eastAsia="宋体" w:cs="宋体"/>
          <w:b w:val="0"/>
          <w:bCs w:val="0"/>
          <w:color w:val="auto"/>
          <w:sz w:val="24"/>
          <w:szCs w:val="24"/>
          <w:highlight w:val="none"/>
          <w:lang w:eastAsia="zh-CN"/>
        </w:rPr>
        <w:t>分。</w:t>
      </w:r>
    </w:p>
    <w:p w14:paraId="699B3305">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H.被协查企业投诉举报或采购人分局反映且经核查属实的，视情节每次扣5-10分。</w:t>
      </w:r>
    </w:p>
    <w:p w14:paraId="3746C351">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I.其他经采购人核实有违法违规事项的，视情节每次扣5-10分。</w:t>
      </w:r>
    </w:p>
    <w:p w14:paraId="23050623">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（三）考核组织：</w:t>
      </w:r>
    </w:p>
    <w:p w14:paraId="33C7BA3E">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由南京市江宁区市场监督管理局业务科室负责对</w:t>
      </w:r>
      <w:r>
        <w:rPr>
          <w:rFonts w:hint="eastAsia" w:ascii="宋体" w:hAnsi="宋体" w:eastAsia="宋体" w:cs="宋体"/>
          <w:color w:val="auto"/>
          <w:sz w:val="24"/>
          <w:szCs w:val="24"/>
          <w:highlight w:val="none"/>
          <w:lang w:eastAsia="zh-CN"/>
        </w:rPr>
        <w:t>中标供应商</w:t>
      </w:r>
      <w:r>
        <w:rPr>
          <w:rFonts w:hint="eastAsia" w:ascii="宋体" w:hAnsi="宋体" w:eastAsia="宋体" w:cs="宋体"/>
          <w:bCs/>
          <w:color w:val="auto"/>
          <w:kern w:val="2"/>
          <w:sz w:val="24"/>
          <w:szCs w:val="24"/>
          <w:highlight w:val="none"/>
          <w:lang w:val="en-US" w:eastAsia="zh-CN"/>
        </w:rPr>
        <w:t>及其工作人员履职情况</w:t>
      </w:r>
      <w:r>
        <w:rPr>
          <w:rFonts w:hint="eastAsia" w:ascii="宋体" w:hAnsi="宋体" w:eastAsia="宋体" w:cs="宋体"/>
          <w:color w:val="auto"/>
          <w:sz w:val="24"/>
          <w:szCs w:val="24"/>
          <w:highlight w:val="none"/>
          <w:lang w:val="en-US" w:eastAsia="zh-CN"/>
        </w:rPr>
        <w:t>开展事中、事后两次</w:t>
      </w:r>
      <w:r>
        <w:rPr>
          <w:rFonts w:hint="eastAsia" w:ascii="宋体" w:hAnsi="宋体" w:eastAsia="宋体" w:cs="宋体"/>
          <w:bCs/>
          <w:color w:val="auto"/>
          <w:kern w:val="2"/>
          <w:sz w:val="24"/>
          <w:szCs w:val="24"/>
          <w:highlight w:val="none"/>
        </w:rPr>
        <w:t>考核</w:t>
      </w:r>
      <w:r>
        <w:rPr>
          <w:rFonts w:hint="eastAsia" w:ascii="宋体" w:hAnsi="宋体" w:eastAsia="宋体" w:cs="宋体"/>
          <w:bCs/>
          <w:color w:val="auto"/>
          <w:kern w:val="2"/>
          <w:sz w:val="24"/>
          <w:szCs w:val="24"/>
          <w:highlight w:val="none"/>
          <w:lang w:val="en-US" w:eastAsia="zh-CN"/>
        </w:rPr>
        <w:t>评价</w:t>
      </w:r>
      <w:r>
        <w:rPr>
          <w:rFonts w:hint="eastAsia" w:ascii="宋体" w:hAnsi="宋体" w:eastAsia="宋体" w:cs="宋体"/>
          <w:b w:val="0"/>
          <w:bCs w:val="0"/>
          <w:color w:val="auto"/>
          <w:sz w:val="24"/>
          <w:szCs w:val="24"/>
          <w:highlight w:val="none"/>
          <w:lang w:val="en-US" w:eastAsia="zh-CN"/>
        </w:rPr>
        <w:t>，每次评价满分为100分。</w:t>
      </w:r>
    </w:p>
    <w:p w14:paraId="28BBAE51">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由采购人所属13个分局年度内对中</w:t>
      </w:r>
      <w:r>
        <w:rPr>
          <w:rFonts w:hint="eastAsia" w:ascii="宋体" w:hAnsi="宋体" w:eastAsia="宋体" w:cs="宋体"/>
          <w:color w:val="auto"/>
          <w:sz w:val="24"/>
          <w:szCs w:val="24"/>
          <w:highlight w:val="none"/>
          <w:lang w:eastAsia="zh-CN"/>
        </w:rPr>
        <w:t>标供应商</w:t>
      </w:r>
      <w:r>
        <w:rPr>
          <w:rFonts w:hint="eastAsia" w:ascii="宋体" w:hAnsi="宋体" w:eastAsia="宋体" w:cs="宋体"/>
          <w:bCs/>
          <w:color w:val="auto"/>
          <w:kern w:val="2"/>
          <w:sz w:val="24"/>
          <w:szCs w:val="24"/>
          <w:highlight w:val="none"/>
          <w:lang w:val="en-US" w:eastAsia="zh-CN"/>
        </w:rPr>
        <w:t>及其工作人员履职情况</w:t>
      </w:r>
      <w:r>
        <w:rPr>
          <w:rFonts w:hint="eastAsia" w:ascii="宋体" w:hAnsi="宋体" w:eastAsia="宋体" w:cs="宋体"/>
          <w:b w:val="0"/>
          <w:bCs w:val="0"/>
          <w:color w:val="auto"/>
          <w:sz w:val="24"/>
          <w:szCs w:val="24"/>
          <w:highlight w:val="none"/>
          <w:lang w:val="en-US" w:eastAsia="zh-CN"/>
        </w:rPr>
        <w:t>（满意度）进行评价，满分为100分。中标供应商负责多个分局协查任务的，取平均分。</w:t>
      </w:r>
    </w:p>
    <w:p w14:paraId="647295EF">
      <w:pPr>
        <w:pStyle w:val="39"/>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3.中标供应商的考核得分=业务科室评价得分*40%+分局评价得分*60%。</w:t>
      </w:r>
    </w:p>
    <w:p w14:paraId="6A9101B9">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（四）考核结果运用：</w:t>
      </w:r>
    </w:p>
    <w:p w14:paraId="795F8430">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考核分值≥85分视为合格，每次考核均合格，采购人按合同约定支付款项。</w:t>
      </w:r>
    </w:p>
    <w:p w14:paraId="7335C58C">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60分≤考核分值</w:t>
      </w:r>
      <w:r>
        <w:rPr>
          <w:rFonts w:hint="eastAsia" w:ascii="宋体" w:hAnsi="宋体" w:eastAsia="宋体" w:cs="宋体"/>
          <w:color w:val="auto"/>
          <w:sz w:val="24"/>
          <w:szCs w:val="24"/>
          <w:highlight w:val="none"/>
        </w:rPr>
        <w:t>考核＜85分，每次扣减总款项的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%，可累计扣减。连续两次考核＜</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分，采购人有权解除合同。</w:t>
      </w:r>
    </w:p>
    <w:p w14:paraId="14E4D53F">
      <w:pPr>
        <w:keepNext w:val="0"/>
        <w:keepLines w:val="0"/>
        <w:pageBreakBefore w:val="0"/>
        <w:widowControl w:val="0"/>
        <w:kinsoku/>
        <w:wordWrap/>
        <w:overflowPunct/>
        <w:topLinePunct w:val="0"/>
        <w:autoSpaceDE/>
        <w:autoSpaceDN/>
        <w:bidi w:val="0"/>
        <w:adjustRightInd/>
        <w:snapToGrid/>
        <w:spacing w:beforeAutospacing="0" w:after="0" w:afterAutospacing="0" w:line="360" w:lineRule="auto"/>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（五）</w:t>
      </w:r>
      <w:r>
        <w:rPr>
          <w:rFonts w:hint="eastAsia" w:ascii="宋体" w:hAnsi="宋体" w:eastAsia="宋体" w:cs="宋体"/>
          <w:b/>
          <w:bCs/>
          <w:color w:val="auto"/>
          <w:sz w:val="24"/>
          <w:szCs w:val="24"/>
          <w:highlight w:val="none"/>
          <w:lang w:eastAsia="zh-CN"/>
        </w:rPr>
        <w:t>考核有效期：</w:t>
      </w:r>
    </w:p>
    <w:p w14:paraId="4CAB1963">
      <w:pPr>
        <w:pStyle w:val="39"/>
        <w:keepNext w:val="0"/>
        <w:keepLines w:val="0"/>
        <w:pageBreakBefore w:val="0"/>
        <w:numPr>
          <w:ilvl w:val="0"/>
          <w:numId w:val="0"/>
        </w:numPr>
        <w:kinsoku/>
        <w:wordWrap/>
        <w:overflowPunct/>
        <w:topLinePunct w:val="0"/>
        <w:bidi w:val="0"/>
        <w:snapToGrid/>
        <w:spacing w:beforeAutospacing="0" w:after="0"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2"/>
          <w:sz w:val="24"/>
          <w:szCs w:val="24"/>
          <w:highlight w:val="none"/>
          <w:lang w:val="en-US" w:eastAsia="zh-CN"/>
        </w:rPr>
        <w:t>自合同签订之日起至202</w:t>
      </w:r>
      <w:r>
        <w:rPr>
          <w:rFonts w:hint="eastAsia" w:ascii="宋体" w:hAnsi="宋体" w:cs="宋体"/>
          <w:bCs/>
          <w:color w:val="auto"/>
          <w:kern w:val="2"/>
          <w:sz w:val="24"/>
          <w:szCs w:val="24"/>
          <w:highlight w:val="none"/>
          <w:lang w:val="en-US" w:eastAsia="zh-CN"/>
        </w:rPr>
        <w:t>6</w:t>
      </w:r>
      <w:r>
        <w:rPr>
          <w:rFonts w:hint="eastAsia" w:ascii="宋体" w:hAnsi="宋体" w:eastAsia="宋体" w:cs="宋体"/>
          <w:bCs/>
          <w:color w:val="auto"/>
          <w:kern w:val="2"/>
          <w:sz w:val="24"/>
          <w:szCs w:val="24"/>
          <w:highlight w:val="none"/>
          <w:lang w:val="en-US" w:eastAsia="zh-CN"/>
        </w:rPr>
        <w:t>年12月31日为止。</w:t>
      </w:r>
    </w:p>
    <w:p w14:paraId="36326439">
      <w:pPr>
        <w:keepNext w:val="0"/>
        <w:keepLines w:val="0"/>
        <w:pageBreakBefore w:val="0"/>
        <w:widowControl w:val="0"/>
        <w:kinsoku/>
        <w:wordWrap/>
        <w:overflowPunct/>
        <w:topLinePunct w:val="0"/>
        <w:bidi w:val="0"/>
        <w:snapToGrid/>
        <w:spacing w:beforeAutospacing="0" w:after="0" w:line="360" w:lineRule="auto"/>
        <w:ind w:firstLine="480" w:firstLineChars="200"/>
        <w:jc w:val="both"/>
        <w:textAlignment w:val="auto"/>
        <w:rPr>
          <w:rFonts w:ascii="微软雅黑" w:eastAsia="微软雅黑" w:cs="微软雅黑"/>
          <w:b/>
          <w:color w:val="auto"/>
          <w:kern w:val="2"/>
          <w:sz w:val="24"/>
          <w:szCs w:val="24"/>
          <w:highlight w:val="none"/>
        </w:rPr>
      </w:pPr>
      <w:r>
        <w:rPr>
          <w:rFonts w:hint="eastAsia" w:ascii="微软雅黑" w:eastAsia="微软雅黑" w:cs="微软雅黑"/>
          <w:b/>
          <w:color w:val="auto"/>
          <w:kern w:val="2"/>
          <w:sz w:val="24"/>
          <w:szCs w:val="24"/>
          <w:highlight w:val="none"/>
        </w:rPr>
        <w:t>四、综合服务能力要求</w:t>
      </w:r>
      <w:r>
        <w:rPr>
          <w:rFonts w:hint="eastAsia" w:ascii="微软雅黑" w:hAnsi="微软雅黑" w:eastAsia="微软雅黑" w:cs="微软雅黑"/>
          <w:b/>
          <w:color w:val="auto"/>
          <w:kern w:val="2"/>
          <w:sz w:val="24"/>
          <w:szCs w:val="24"/>
          <w:highlight w:val="none"/>
        </w:rPr>
        <w:t>（如无特别说明即适用所有分包）</w:t>
      </w:r>
      <w:r>
        <w:rPr>
          <w:rFonts w:hint="eastAsia" w:ascii="微软雅黑" w:eastAsia="微软雅黑" w:cs="微软雅黑"/>
          <w:b/>
          <w:color w:val="auto"/>
          <w:kern w:val="2"/>
          <w:sz w:val="24"/>
          <w:szCs w:val="24"/>
          <w:highlight w:val="none"/>
        </w:rPr>
        <w:t>：</w:t>
      </w:r>
    </w:p>
    <w:p w14:paraId="14898151">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hint="eastAsia" w:ascii="Times New Roman" w:hAnsi="Times New Roman"/>
          <w:color w:val="auto"/>
          <w:kern w:val="2"/>
          <w:sz w:val="24"/>
          <w:szCs w:val="24"/>
          <w:highlight w:val="none"/>
        </w:rPr>
      </w:pPr>
      <w:r>
        <w:rPr>
          <w:rFonts w:hint="eastAsia" w:ascii="Times New Roman" w:hAnsi="Times New Roman"/>
          <w:color w:val="auto"/>
          <w:kern w:val="2"/>
          <w:sz w:val="24"/>
          <w:szCs w:val="24"/>
          <w:highlight w:val="none"/>
        </w:rPr>
        <w:t>1</w:t>
      </w:r>
      <w:r>
        <w:rPr>
          <w:rFonts w:hint="eastAsia" w:ascii="Times New Roman" w:hAnsi="Times New Roman"/>
          <w:color w:val="auto"/>
          <w:kern w:val="2"/>
          <w:sz w:val="24"/>
          <w:szCs w:val="24"/>
          <w:highlight w:val="none"/>
          <w:lang w:eastAsia="zh-CN"/>
        </w:rPr>
        <w:t>.</w:t>
      </w:r>
      <w:r>
        <w:rPr>
          <w:rFonts w:hint="eastAsia" w:ascii="Times New Roman" w:hAnsi="Times New Roman"/>
          <w:color w:val="auto"/>
          <w:kern w:val="2"/>
          <w:sz w:val="24"/>
          <w:szCs w:val="24"/>
          <w:highlight w:val="none"/>
          <w:lang w:val="en-US" w:eastAsia="zh-CN"/>
        </w:rPr>
        <w:t xml:space="preserve"> </w:t>
      </w:r>
      <w:r>
        <w:rPr>
          <w:rFonts w:hint="eastAsia" w:ascii="Times New Roman" w:hAnsi="Times New Roman"/>
          <w:color w:val="auto"/>
          <w:kern w:val="2"/>
          <w:sz w:val="24"/>
          <w:szCs w:val="24"/>
          <w:highlight w:val="none"/>
        </w:rPr>
        <w:t>类似业绩</w:t>
      </w:r>
    </w:p>
    <w:p w14:paraId="37688A30">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ascii="Times New Roman" w:hAnsi="Times New Roman"/>
          <w:color w:val="auto"/>
          <w:kern w:val="2"/>
          <w:sz w:val="24"/>
          <w:szCs w:val="24"/>
          <w:highlight w:val="none"/>
        </w:rPr>
      </w:pPr>
      <w:r>
        <w:rPr>
          <w:rFonts w:ascii="Times New Roman" w:hAnsi="Times New Roman"/>
          <w:color w:val="auto"/>
          <w:kern w:val="2"/>
          <w:sz w:val="24"/>
          <w:szCs w:val="24"/>
          <w:highlight w:val="none"/>
        </w:rPr>
        <w:t>20</w:t>
      </w:r>
      <w:r>
        <w:rPr>
          <w:rFonts w:hint="eastAsia" w:ascii="Times New Roman" w:hAnsi="Times New Roman"/>
          <w:color w:val="auto"/>
          <w:kern w:val="2"/>
          <w:sz w:val="24"/>
          <w:szCs w:val="24"/>
          <w:highlight w:val="none"/>
        </w:rPr>
        <w:t>2</w:t>
      </w:r>
      <w:r>
        <w:rPr>
          <w:rFonts w:hint="eastAsia" w:ascii="Times New Roman" w:hAnsi="Times New Roman"/>
          <w:color w:val="auto"/>
          <w:kern w:val="2"/>
          <w:sz w:val="24"/>
          <w:szCs w:val="24"/>
          <w:highlight w:val="none"/>
          <w:lang w:val="en-US" w:eastAsia="zh-CN"/>
        </w:rPr>
        <w:t>1</w:t>
      </w:r>
      <w:r>
        <w:rPr>
          <w:rFonts w:hint="eastAsia" w:ascii="Times New Roman" w:hAnsi="Times New Roman"/>
          <w:color w:val="auto"/>
          <w:kern w:val="2"/>
          <w:sz w:val="24"/>
          <w:szCs w:val="24"/>
          <w:highlight w:val="none"/>
        </w:rPr>
        <w:t>年</w:t>
      </w:r>
      <w:r>
        <w:rPr>
          <w:rFonts w:hint="eastAsia" w:ascii="Times New Roman" w:hAnsi="Times New Roman"/>
          <w:color w:val="auto"/>
          <w:kern w:val="2"/>
          <w:sz w:val="24"/>
          <w:szCs w:val="24"/>
          <w:highlight w:val="none"/>
          <w:lang w:val="en-US" w:eastAsia="zh-CN"/>
        </w:rPr>
        <w:t>7</w:t>
      </w:r>
      <w:r>
        <w:rPr>
          <w:rFonts w:hint="eastAsia" w:ascii="Times New Roman" w:hAnsi="Times New Roman"/>
          <w:color w:val="auto"/>
          <w:kern w:val="2"/>
          <w:sz w:val="24"/>
          <w:szCs w:val="24"/>
          <w:highlight w:val="none"/>
        </w:rPr>
        <w:t>月1日至首次递交投标文件截止时间止，供应商具有类似项目业绩（以合同签订时间为准，提供合同复印件，合同应能反映主要信息）。</w:t>
      </w:r>
    </w:p>
    <w:p w14:paraId="5D4EF718">
      <w:pPr>
        <w:keepNext w:val="0"/>
        <w:keepLines w:val="0"/>
        <w:pageBreakBefore w:val="0"/>
        <w:widowControl w:val="0"/>
        <w:numPr>
          <w:ilvl w:val="0"/>
          <w:numId w:val="7"/>
        </w:numPr>
        <w:kinsoku/>
        <w:wordWrap/>
        <w:overflowPunct/>
        <w:topLinePunct w:val="0"/>
        <w:autoSpaceDE w:val="0"/>
        <w:autoSpaceDN w:val="0"/>
        <w:bidi w:val="0"/>
        <w:adjustRightInd w:val="0"/>
        <w:snapToGrid/>
        <w:spacing w:after="0" w:line="360" w:lineRule="auto"/>
        <w:ind w:firstLine="480" w:firstLineChars="200"/>
        <w:textAlignment w:val="auto"/>
        <w:rPr>
          <w:rFonts w:ascii="Times New Roman" w:hAnsi="Times New Roman"/>
          <w:color w:val="auto"/>
          <w:kern w:val="2"/>
          <w:sz w:val="24"/>
          <w:szCs w:val="24"/>
          <w:highlight w:val="none"/>
        </w:rPr>
      </w:pPr>
      <w:r>
        <w:rPr>
          <w:rFonts w:hint="eastAsia" w:ascii="Times New Roman" w:hAnsi="Times New Roman"/>
          <w:color w:val="auto"/>
          <w:kern w:val="2"/>
          <w:sz w:val="24"/>
          <w:szCs w:val="24"/>
          <w:highlight w:val="none"/>
        </w:rPr>
        <w:t>信息化管理要求</w:t>
      </w:r>
    </w:p>
    <w:p w14:paraId="265792D6">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auto"/>
        <w:rPr>
          <w:rFonts w:ascii="Times New Roman" w:hAnsi="Times New Roman"/>
          <w:color w:val="auto"/>
          <w:kern w:val="2"/>
          <w:sz w:val="24"/>
          <w:szCs w:val="24"/>
          <w:highlight w:val="none"/>
        </w:rPr>
      </w:pPr>
      <w:r>
        <w:rPr>
          <w:rFonts w:hint="eastAsia" w:ascii="Times New Roman" w:hAnsi="Times New Roman"/>
          <w:color w:val="auto"/>
          <w:kern w:val="2"/>
          <w:sz w:val="24"/>
          <w:szCs w:val="24"/>
          <w:highlight w:val="none"/>
        </w:rPr>
        <w:t>投标供应商应具有信息化管理能力，运用不同功能的正版管理应用软件为日常协查工作提供便利和支撑，提高工作效率，提升管理能力，增强该项目履约保障能力，要求包括审计作业辅助软件、OA软件、人员管理软件、</w:t>
      </w:r>
      <w:r>
        <w:rPr>
          <w:rFonts w:ascii="Times New Roman" w:hAnsi="Times New Roman"/>
          <w:color w:val="auto"/>
          <w:kern w:val="2"/>
          <w:sz w:val="24"/>
          <w:szCs w:val="24"/>
          <w:highlight w:val="none"/>
        </w:rPr>
        <w:t>文件档案管理</w:t>
      </w:r>
      <w:r>
        <w:rPr>
          <w:rFonts w:hint="eastAsia" w:ascii="Times New Roman" w:hAnsi="Times New Roman"/>
          <w:color w:val="auto"/>
          <w:kern w:val="2"/>
          <w:sz w:val="24"/>
          <w:szCs w:val="24"/>
          <w:highlight w:val="none"/>
        </w:rPr>
        <w:t>软件、</w:t>
      </w:r>
      <w:r>
        <w:rPr>
          <w:rFonts w:ascii="Times New Roman" w:hAnsi="Times New Roman"/>
          <w:color w:val="auto"/>
          <w:kern w:val="2"/>
          <w:sz w:val="24"/>
          <w:szCs w:val="24"/>
          <w:highlight w:val="none"/>
        </w:rPr>
        <w:t>质量管理软件</w:t>
      </w:r>
      <w:r>
        <w:rPr>
          <w:rFonts w:hint="eastAsia" w:ascii="Times New Roman" w:hAnsi="Times New Roman"/>
          <w:color w:val="auto"/>
          <w:kern w:val="2"/>
          <w:sz w:val="24"/>
          <w:szCs w:val="24"/>
          <w:highlight w:val="none"/>
        </w:rPr>
        <w:t>。</w:t>
      </w:r>
    </w:p>
    <w:p w14:paraId="4BB35A21">
      <w:pPr>
        <w:pStyle w:val="39"/>
        <w:ind w:left="0" w:leftChars="0" w:firstLine="0" w:firstLineChars="0"/>
        <w:rPr>
          <w:rFonts w:hint="eastAsia" w:ascii="微软雅黑" w:hAnsi="微软雅黑" w:eastAsia="微软雅黑" w:cs="微软雅黑"/>
          <w:b/>
          <w:color w:val="auto"/>
          <w:sz w:val="40"/>
          <w:highlight w:val="none"/>
        </w:rPr>
      </w:pPr>
      <w:bookmarkStart w:id="16" w:name="_Toc18342"/>
    </w:p>
    <w:p w14:paraId="358D3BF3">
      <w:pPr>
        <w:pStyle w:val="39"/>
        <w:ind w:left="0" w:leftChars="0" w:firstLine="0" w:firstLineChars="0"/>
        <w:rPr>
          <w:rFonts w:hint="eastAsia" w:ascii="微软雅黑" w:hAnsi="微软雅黑" w:eastAsia="微软雅黑" w:cs="微软雅黑"/>
          <w:b/>
          <w:color w:val="auto"/>
          <w:sz w:val="40"/>
          <w:highlight w:val="none"/>
        </w:rPr>
      </w:pPr>
    </w:p>
    <w:p w14:paraId="2A3FE475">
      <w:pPr>
        <w:pStyle w:val="39"/>
        <w:ind w:left="0" w:leftChars="0" w:firstLine="0" w:firstLineChars="0"/>
        <w:rPr>
          <w:rFonts w:hint="eastAsia" w:ascii="微软雅黑" w:hAnsi="微软雅黑" w:eastAsia="微软雅黑" w:cs="微软雅黑"/>
          <w:b/>
          <w:color w:val="auto"/>
          <w:sz w:val="40"/>
          <w:highlight w:val="none"/>
        </w:rPr>
      </w:pPr>
    </w:p>
    <w:p w14:paraId="66C72479">
      <w:pPr>
        <w:pStyle w:val="39"/>
        <w:ind w:left="0" w:leftChars="0" w:firstLine="0" w:firstLineChars="0"/>
        <w:rPr>
          <w:rFonts w:hint="eastAsia" w:ascii="微软雅黑" w:hAnsi="微软雅黑" w:eastAsia="微软雅黑" w:cs="微软雅黑"/>
          <w:b/>
          <w:color w:val="auto"/>
          <w:sz w:val="40"/>
          <w:highlight w:val="none"/>
        </w:rPr>
      </w:pPr>
    </w:p>
    <w:p w14:paraId="41D343BB">
      <w:pPr>
        <w:pStyle w:val="39"/>
        <w:ind w:left="0" w:leftChars="0" w:firstLine="0" w:firstLineChars="0"/>
        <w:rPr>
          <w:rFonts w:hint="eastAsia" w:ascii="微软雅黑" w:hAnsi="微软雅黑" w:eastAsia="微软雅黑" w:cs="微软雅黑"/>
          <w:b/>
          <w:color w:val="auto"/>
          <w:sz w:val="40"/>
          <w:highlight w:val="none"/>
        </w:rPr>
      </w:pPr>
    </w:p>
    <w:p w14:paraId="6DFB087E">
      <w:pPr>
        <w:pStyle w:val="39"/>
        <w:ind w:left="0" w:leftChars="0" w:firstLine="0" w:firstLineChars="0"/>
        <w:rPr>
          <w:rFonts w:hint="eastAsia" w:ascii="微软雅黑" w:hAnsi="微软雅黑" w:eastAsia="微软雅黑" w:cs="微软雅黑"/>
          <w:b/>
          <w:color w:val="auto"/>
          <w:sz w:val="40"/>
          <w:highlight w:val="none"/>
        </w:rPr>
      </w:pPr>
    </w:p>
    <w:p w14:paraId="7EE01F11">
      <w:pPr>
        <w:pStyle w:val="39"/>
        <w:ind w:left="0" w:leftChars="0" w:firstLine="0" w:firstLineChars="0"/>
        <w:rPr>
          <w:rFonts w:hint="eastAsia" w:ascii="微软雅黑" w:hAnsi="微软雅黑" w:eastAsia="微软雅黑" w:cs="微软雅黑"/>
          <w:b/>
          <w:color w:val="auto"/>
          <w:sz w:val="40"/>
          <w:highlight w:val="none"/>
        </w:rPr>
      </w:pPr>
    </w:p>
    <w:p w14:paraId="7E63FF71">
      <w:pPr>
        <w:pStyle w:val="39"/>
        <w:ind w:left="0" w:leftChars="0" w:firstLine="0" w:firstLineChars="0"/>
        <w:rPr>
          <w:rFonts w:hint="eastAsia" w:ascii="微软雅黑" w:hAnsi="微软雅黑" w:eastAsia="微软雅黑" w:cs="微软雅黑"/>
          <w:b/>
          <w:color w:val="auto"/>
          <w:sz w:val="40"/>
          <w:highlight w:val="none"/>
        </w:rPr>
      </w:pPr>
    </w:p>
    <w:p w14:paraId="52674B67">
      <w:pPr>
        <w:pStyle w:val="39"/>
        <w:ind w:left="0" w:leftChars="0" w:firstLine="0" w:firstLineChars="0"/>
        <w:rPr>
          <w:rFonts w:hint="eastAsia" w:ascii="微软雅黑" w:hAnsi="微软雅黑" w:eastAsia="微软雅黑" w:cs="微软雅黑"/>
          <w:b/>
          <w:color w:val="auto"/>
          <w:sz w:val="40"/>
          <w:highlight w:val="none"/>
        </w:rPr>
      </w:pPr>
    </w:p>
    <w:p w14:paraId="73A71E18">
      <w:pPr>
        <w:pStyle w:val="39"/>
        <w:ind w:left="0" w:leftChars="0" w:firstLine="0" w:firstLineChars="0"/>
        <w:rPr>
          <w:rFonts w:hint="eastAsia" w:ascii="微软雅黑" w:hAnsi="微软雅黑" w:eastAsia="微软雅黑" w:cs="微软雅黑"/>
          <w:b/>
          <w:color w:val="auto"/>
          <w:sz w:val="40"/>
          <w:highlight w:val="none"/>
        </w:rPr>
      </w:pPr>
    </w:p>
    <w:p w14:paraId="447F5CB9">
      <w:pPr>
        <w:pStyle w:val="39"/>
        <w:ind w:left="0" w:leftChars="0" w:firstLine="0" w:firstLineChars="0"/>
        <w:rPr>
          <w:rFonts w:hint="eastAsia" w:ascii="微软雅黑" w:hAnsi="微软雅黑" w:eastAsia="微软雅黑" w:cs="微软雅黑"/>
          <w:b/>
          <w:color w:val="auto"/>
          <w:sz w:val="40"/>
          <w:highlight w:val="none"/>
        </w:rPr>
      </w:pPr>
    </w:p>
    <w:p w14:paraId="49890F21">
      <w:pPr>
        <w:pStyle w:val="39"/>
        <w:ind w:left="0" w:leftChars="0" w:firstLine="0" w:firstLineChars="0"/>
        <w:rPr>
          <w:rFonts w:hint="eastAsia" w:ascii="微软雅黑" w:hAnsi="微软雅黑" w:eastAsia="微软雅黑" w:cs="微软雅黑"/>
          <w:b/>
          <w:color w:val="auto"/>
          <w:sz w:val="40"/>
          <w:highlight w:val="none"/>
        </w:rPr>
      </w:pPr>
    </w:p>
    <w:p w14:paraId="3A2D2B30">
      <w:pPr>
        <w:pStyle w:val="39"/>
        <w:ind w:left="0" w:leftChars="0" w:firstLine="0" w:firstLineChars="0"/>
        <w:rPr>
          <w:rFonts w:hint="eastAsia" w:ascii="微软雅黑" w:hAnsi="微软雅黑" w:eastAsia="微软雅黑" w:cs="微软雅黑"/>
          <w:b/>
          <w:color w:val="auto"/>
          <w:sz w:val="40"/>
          <w:highlight w:val="none"/>
        </w:rPr>
      </w:pPr>
    </w:p>
    <w:p w14:paraId="09689245">
      <w:pPr>
        <w:spacing w:line="360" w:lineRule="auto"/>
        <w:ind w:left="11" w:right="21"/>
        <w:jc w:val="center"/>
        <w:outlineLvl w:val="0"/>
        <w:rPr>
          <w:rFonts w:ascii="微软雅黑" w:hAnsi="微软雅黑" w:eastAsia="微软雅黑" w:cs="微软雅黑"/>
          <w:color w:val="auto"/>
          <w:sz w:val="52"/>
          <w:highlight w:val="none"/>
        </w:rPr>
      </w:pPr>
      <w:r>
        <w:rPr>
          <w:rFonts w:hint="eastAsia" w:ascii="微软雅黑" w:hAnsi="微软雅黑" w:eastAsia="微软雅黑" w:cs="微软雅黑"/>
          <w:b/>
          <w:color w:val="auto"/>
          <w:sz w:val="40"/>
          <w:highlight w:val="none"/>
          <w:lang w:val="en-US" w:eastAsia="zh-CN"/>
        </w:rPr>
        <w:t xml:space="preserve"> </w:t>
      </w:r>
      <w:r>
        <w:rPr>
          <w:rFonts w:hint="eastAsia" w:ascii="微软雅黑" w:hAnsi="微软雅黑" w:eastAsia="微软雅黑" w:cs="微软雅黑"/>
          <w:b/>
          <w:color w:val="auto"/>
          <w:sz w:val="40"/>
          <w:highlight w:val="none"/>
        </w:rPr>
        <w:t>第五章 南京市江宁区政府采购合同格式</w:t>
      </w:r>
      <w:bookmarkEnd w:id="16"/>
    </w:p>
    <w:p w14:paraId="76858304">
      <w:pPr>
        <w:widowControl/>
        <w:shd w:val="clear" w:color="auto" w:fill="auto"/>
        <w:spacing w:line="360" w:lineRule="auto"/>
        <w:jc w:val="center"/>
        <w:rPr>
          <w:rFonts w:hint="eastAsia" w:ascii="宋体" w:hAnsi="宋体" w:eastAsia="宋体"/>
          <w:b/>
          <w:bCs/>
          <w:color w:val="auto"/>
          <w:sz w:val="36"/>
          <w:szCs w:val="36"/>
          <w:highlight w:val="none"/>
          <w:lang w:eastAsia="zh-CN"/>
        </w:rPr>
      </w:pPr>
    </w:p>
    <w:p w14:paraId="4FEC64A1">
      <w:pPr>
        <w:widowControl/>
        <w:shd w:val="clear" w:color="auto" w:fill="auto"/>
        <w:spacing w:line="360" w:lineRule="auto"/>
        <w:jc w:val="center"/>
        <w:rPr>
          <w:rFonts w:ascii="宋体" w:hAnsi="宋体"/>
          <w:color w:val="auto"/>
          <w:sz w:val="36"/>
          <w:szCs w:val="36"/>
          <w:highlight w:val="none"/>
        </w:rPr>
      </w:pPr>
      <w:r>
        <w:rPr>
          <w:rFonts w:hint="eastAsia" w:ascii="宋体" w:hAnsi="宋体" w:eastAsia="宋体"/>
          <w:b/>
          <w:bCs/>
          <w:color w:val="auto"/>
          <w:sz w:val="36"/>
          <w:szCs w:val="36"/>
          <w:highlight w:val="none"/>
          <w:lang w:eastAsia="zh-CN"/>
        </w:rPr>
        <w:t>南京市</w:t>
      </w:r>
      <w:r>
        <w:rPr>
          <w:rFonts w:hint="eastAsia" w:ascii="宋体" w:hAnsi="宋体" w:eastAsia="宋体"/>
          <w:b/>
          <w:bCs/>
          <w:color w:val="auto"/>
          <w:sz w:val="36"/>
          <w:szCs w:val="36"/>
          <w:highlight w:val="none"/>
        </w:rPr>
        <w:t>政府采购合同</w:t>
      </w:r>
    </w:p>
    <w:p w14:paraId="1EB92A33">
      <w:pPr>
        <w:widowControl/>
        <w:shd w:val="clear" w:color="auto" w:fill="auto"/>
        <w:spacing w:line="360" w:lineRule="auto"/>
        <w:ind w:firstLine="1918"/>
        <w:rPr>
          <w:rFonts w:hint="eastAsia" w:ascii="宋体" w:hAnsi="宋体" w:eastAsia="宋体"/>
          <w:b/>
          <w:bCs/>
          <w:color w:val="auto"/>
          <w:sz w:val="36"/>
          <w:szCs w:val="36"/>
          <w:highlight w:val="none"/>
          <w:lang w:val="en-US" w:eastAsia="zh-CN"/>
        </w:rPr>
      </w:pPr>
    </w:p>
    <w:p w14:paraId="728E7DF4">
      <w:pPr>
        <w:widowControl/>
        <w:shd w:val="clear" w:color="auto" w:fill="auto"/>
        <w:spacing w:line="360" w:lineRule="auto"/>
        <w:ind w:firstLine="1918"/>
        <w:rPr>
          <w:rFonts w:hint="eastAsia" w:ascii="宋体" w:hAnsi="宋体" w:eastAsia="宋体"/>
          <w:b/>
          <w:bCs/>
          <w:color w:val="auto"/>
          <w:sz w:val="36"/>
          <w:szCs w:val="36"/>
          <w:highlight w:val="none"/>
        </w:rPr>
      </w:pPr>
      <w:r>
        <w:rPr>
          <w:rFonts w:hint="eastAsia" w:ascii="宋体" w:hAnsi="宋体" w:eastAsia="宋体"/>
          <w:b/>
          <w:bCs/>
          <w:color w:val="auto"/>
          <w:sz w:val="36"/>
          <w:szCs w:val="36"/>
          <w:highlight w:val="none"/>
          <w:lang w:val="en-US" w:eastAsia="zh-CN"/>
        </w:rPr>
        <w:t xml:space="preserve">分 包 </w:t>
      </w:r>
      <w:r>
        <w:rPr>
          <w:rFonts w:hint="eastAsia" w:ascii="宋体" w:hAnsi="宋体" w:eastAsia="宋体"/>
          <w:b/>
          <w:bCs/>
          <w:color w:val="auto"/>
          <w:sz w:val="36"/>
          <w:szCs w:val="36"/>
          <w:highlight w:val="none"/>
        </w:rPr>
        <w:t>号 ：</w:t>
      </w:r>
      <w:r>
        <w:rPr>
          <w:rFonts w:hint="eastAsia" w:ascii="宋体" w:hAnsi="宋体" w:eastAsia="宋体"/>
          <w:b/>
          <w:bCs/>
          <w:color w:val="auto"/>
          <w:sz w:val="36"/>
          <w:szCs w:val="36"/>
          <w:highlight w:val="none"/>
          <w:u w:val="single"/>
        </w:rPr>
        <w:t>          </w:t>
      </w:r>
    </w:p>
    <w:p w14:paraId="4F3F00F7">
      <w:pPr>
        <w:widowControl/>
        <w:shd w:val="clear" w:color="auto" w:fill="auto"/>
        <w:spacing w:line="360" w:lineRule="auto"/>
        <w:ind w:firstLine="1918"/>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合同编号 ：</w:t>
      </w:r>
      <w:r>
        <w:rPr>
          <w:rFonts w:hint="eastAsia" w:ascii="宋体" w:hAnsi="宋体" w:eastAsia="宋体"/>
          <w:b/>
          <w:bCs/>
          <w:color w:val="auto"/>
          <w:sz w:val="36"/>
          <w:szCs w:val="36"/>
          <w:highlight w:val="none"/>
          <w:u w:val="single"/>
        </w:rPr>
        <w:t>          </w:t>
      </w:r>
    </w:p>
    <w:p w14:paraId="654F449B">
      <w:pPr>
        <w:widowControl/>
        <w:shd w:val="clear" w:color="auto" w:fill="auto"/>
        <w:spacing w:line="360" w:lineRule="auto"/>
        <w:ind w:firstLine="1918"/>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项目名称 ：</w:t>
      </w:r>
      <w:r>
        <w:rPr>
          <w:rFonts w:hint="eastAsia" w:ascii="宋体" w:hAnsi="宋体" w:eastAsia="宋体"/>
          <w:b/>
          <w:bCs/>
          <w:color w:val="auto"/>
          <w:sz w:val="36"/>
          <w:szCs w:val="36"/>
          <w:highlight w:val="none"/>
          <w:u w:val="single"/>
        </w:rPr>
        <w:t>          </w:t>
      </w:r>
    </w:p>
    <w:p w14:paraId="6137E7A4">
      <w:pPr>
        <w:widowControl/>
        <w:shd w:val="clear" w:color="auto" w:fill="auto"/>
        <w:spacing w:line="360" w:lineRule="auto"/>
        <w:ind w:firstLine="1918"/>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采</w:t>
      </w:r>
      <w:r>
        <w:rPr>
          <w:rFonts w:hint="eastAsia" w:ascii="宋体" w:hAnsi="宋体" w:eastAsia="宋体"/>
          <w:b/>
          <w:bCs/>
          <w:color w:val="auto"/>
          <w:sz w:val="36"/>
          <w:szCs w:val="36"/>
          <w:highlight w:val="none"/>
          <w:lang w:val="en-US" w:eastAsia="zh-CN"/>
        </w:rPr>
        <w:t xml:space="preserve"> </w:t>
      </w:r>
      <w:r>
        <w:rPr>
          <w:rFonts w:hint="eastAsia" w:ascii="宋体" w:hAnsi="宋体" w:eastAsia="宋体"/>
          <w:b/>
          <w:bCs/>
          <w:color w:val="auto"/>
          <w:sz w:val="36"/>
          <w:szCs w:val="36"/>
          <w:highlight w:val="none"/>
        </w:rPr>
        <w:t>购</w:t>
      </w:r>
      <w:r>
        <w:rPr>
          <w:rFonts w:hint="eastAsia" w:ascii="宋体" w:hAnsi="宋体" w:eastAsia="宋体"/>
          <w:b/>
          <w:bCs/>
          <w:color w:val="auto"/>
          <w:sz w:val="36"/>
          <w:szCs w:val="36"/>
          <w:highlight w:val="none"/>
          <w:lang w:val="en-US" w:eastAsia="zh-CN"/>
        </w:rPr>
        <w:t xml:space="preserve"> </w:t>
      </w:r>
      <w:r>
        <w:rPr>
          <w:rFonts w:hint="eastAsia" w:ascii="宋体" w:hAnsi="宋体" w:eastAsia="宋体"/>
          <w:b/>
          <w:bCs/>
          <w:color w:val="auto"/>
          <w:sz w:val="36"/>
          <w:szCs w:val="36"/>
          <w:highlight w:val="none"/>
        </w:rPr>
        <w:t>人 ：</w:t>
      </w:r>
      <w:r>
        <w:rPr>
          <w:rFonts w:hint="eastAsia" w:ascii="宋体" w:hAnsi="宋体" w:eastAsia="宋体"/>
          <w:b/>
          <w:bCs/>
          <w:color w:val="auto"/>
          <w:sz w:val="36"/>
          <w:szCs w:val="36"/>
          <w:highlight w:val="none"/>
          <w:u w:val="single"/>
        </w:rPr>
        <w:t>          </w:t>
      </w:r>
    </w:p>
    <w:p w14:paraId="1094DB04">
      <w:pPr>
        <w:widowControl/>
        <w:shd w:val="clear" w:color="auto" w:fill="auto"/>
        <w:spacing w:line="360" w:lineRule="auto"/>
        <w:ind w:firstLine="1916"/>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供</w:t>
      </w:r>
      <w:r>
        <w:rPr>
          <w:rFonts w:hint="eastAsia" w:ascii="宋体" w:hAnsi="宋体" w:eastAsia="宋体"/>
          <w:b/>
          <w:bCs/>
          <w:color w:val="auto"/>
          <w:sz w:val="36"/>
          <w:szCs w:val="36"/>
          <w:highlight w:val="none"/>
          <w:lang w:val="en-US" w:eastAsia="zh-CN"/>
        </w:rPr>
        <w:t xml:space="preserve"> </w:t>
      </w:r>
      <w:r>
        <w:rPr>
          <w:rFonts w:hint="eastAsia" w:ascii="宋体" w:hAnsi="宋体" w:eastAsia="宋体"/>
          <w:b/>
          <w:bCs/>
          <w:color w:val="auto"/>
          <w:sz w:val="36"/>
          <w:szCs w:val="36"/>
          <w:highlight w:val="none"/>
        </w:rPr>
        <w:t>应</w:t>
      </w:r>
      <w:r>
        <w:rPr>
          <w:rFonts w:hint="eastAsia" w:ascii="宋体" w:hAnsi="宋体" w:eastAsia="宋体"/>
          <w:b/>
          <w:bCs/>
          <w:color w:val="auto"/>
          <w:sz w:val="36"/>
          <w:szCs w:val="36"/>
          <w:highlight w:val="none"/>
          <w:lang w:val="en-US" w:eastAsia="zh-CN"/>
        </w:rPr>
        <w:t xml:space="preserve"> </w:t>
      </w:r>
      <w:r>
        <w:rPr>
          <w:rFonts w:hint="eastAsia" w:ascii="宋体" w:hAnsi="宋体" w:eastAsia="宋体"/>
          <w:b/>
          <w:bCs/>
          <w:color w:val="auto"/>
          <w:sz w:val="36"/>
          <w:szCs w:val="36"/>
          <w:highlight w:val="none"/>
        </w:rPr>
        <w:t>商 ：</w:t>
      </w:r>
      <w:r>
        <w:rPr>
          <w:rFonts w:hint="eastAsia" w:ascii="宋体" w:hAnsi="宋体" w:eastAsia="宋体"/>
          <w:b/>
          <w:bCs/>
          <w:color w:val="auto"/>
          <w:sz w:val="36"/>
          <w:szCs w:val="36"/>
          <w:highlight w:val="none"/>
          <w:u w:val="single"/>
        </w:rPr>
        <w:t>          </w:t>
      </w:r>
    </w:p>
    <w:p w14:paraId="65B2E823">
      <w:pPr>
        <w:widowControl/>
        <w:shd w:val="clear" w:color="auto" w:fill="auto"/>
        <w:spacing w:line="360" w:lineRule="auto"/>
        <w:ind w:firstLine="1916"/>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签订日期 ：</w:t>
      </w:r>
      <w:r>
        <w:rPr>
          <w:rFonts w:hint="eastAsia" w:ascii="宋体" w:hAnsi="宋体" w:eastAsia="宋体"/>
          <w:b/>
          <w:bCs/>
          <w:color w:val="auto"/>
          <w:sz w:val="36"/>
          <w:szCs w:val="36"/>
          <w:highlight w:val="none"/>
          <w:u w:val="single"/>
        </w:rPr>
        <w:t>          </w:t>
      </w:r>
    </w:p>
    <w:p w14:paraId="405A3A58">
      <w:pPr>
        <w:shd w:val="clear" w:color="auto" w:fill="auto"/>
        <w:jc w:val="both"/>
        <w:rPr>
          <w:rFonts w:hint="eastAsia" w:ascii="宋体" w:hAnsi="宋体" w:eastAsia="宋体"/>
          <w:b/>
          <w:bCs/>
          <w:color w:val="auto"/>
          <w:w w:val="105"/>
          <w:sz w:val="32"/>
          <w:szCs w:val="32"/>
          <w:highlight w:val="none"/>
        </w:rPr>
      </w:pPr>
    </w:p>
    <w:p w14:paraId="68B6B8E7">
      <w:pPr>
        <w:shd w:val="clear" w:color="auto" w:fill="auto"/>
        <w:jc w:val="center"/>
        <w:rPr>
          <w:rFonts w:hint="eastAsia" w:ascii="宋体" w:hAnsi="宋体" w:eastAsia="宋体"/>
          <w:b/>
          <w:bCs/>
          <w:color w:val="auto"/>
          <w:w w:val="105"/>
          <w:sz w:val="32"/>
          <w:szCs w:val="32"/>
          <w:highlight w:val="none"/>
        </w:rPr>
      </w:pPr>
      <w:r>
        <w:rPr>
          <w:rFonts w:hint="eastAsia" w:ascii="宋体" w:hAnsi="宋体" w:eastAsia="宋体"/>
          <w:b/>
          <w:bCs/>
          <w:color w:val="auto"/>
          <w:w w:val="105"/>
          <w:sz w:val="32"/>
          <w:szCs w:val="32"/>
          <w:highlight w:val="none"/>
        </w:rPr>
        <w:t>南京市</w:t>
      </w:r>
      <w:r>
        <w:rPr>
          <w:rFonts w:hint="eastAsia" w:ascii="宋体" w:hAnsi="宋体" w:eastAsia="宋体"/>
          <w:b/>
          <w:bCs/>
          <w:color w:val="auto"/>
          <w:w w:val="105"/>
          <w:sz w:val="32"/>
          <w:szCs w:val="32"/>
          <w:highlight w:val="none"/>
          <w:lang w:eastAsia="zh-CN"/>
        </w:rPr>
        <w:t>市场监督</w:t>
      </w:r>
      <w:r>
        <w:rPr>
          <w:rFonts w:hint="eastAsia" w:ascii="宋体" w:hAnsi="宋体" w:eastAsia="宋体"/>
          <w:b/>
          <w:bCs/>
          <w:color w:val="auto"/>
          <w:w w:val="105"/>
          <w:sz w:val="32"/>
          <w:szCs w:val="32"/>
          <w:highlight w:val="none"/>
        </w:rPr>
        <w:t>管理局</w:t>
      </w:r>
    </w:p>
    <w:p w14:paraId="4D5BF01F">
      <w:pPr>
        <w:shd w:val="clear" w:color="auto" w:fill="auto"/>
        <w:jc w:val="center"/>
        <w:rPr>
          <w:rFonts w:hint="eastAsia" w:ascii="宋体" w:hAnsi="宋体" w:eastAsia="宋体"/>
          <w:b/>
          <w:bCs/>
          <w:color w:val="auto"/>
          <w:w w:val="105"/>
          <w:sz w:val="32"/>
          <w:szCs w:val="32"/>
          <w:highlight w:val="none"/>
        </w:rPr>
      </w:pPr>
    </w:p>
    <w:p w14:paraId="309779DF">
      <w:pPr>
        <w:shd w:val="clear" w:color="auto" w:fill="auto"/>
        <w:jc w:val="center"/>
        <w:rPr>
          <w:rFonts w:hint="eastAsia" w:ascii="宋体" w:hAnsi="宋体" w:eastAsia="宋体"/>
          <w:b/>
          <w:bCs/>
          <w:color w:val="auto"/>
          <w:w w:val="105"/>
          <w:sz w:val="32"/>
          <w:szCs w:val="32"/>
          <w:highlight w:val="none"/>
        </w:rPr>
      </w:pPr>
      <w:r>
        <w:rPr>
          <w:rFonts w:hint="eastAsia" w:ascii="宋体" w:hAnsi="宋体" w:eastAsia="宋体"/>
          <w:b/>
          <w:bCs/>
          <w:color w:val="auto"/>
          <w:w w:val="105"/>
          <w:sz w:val="32"/>
          <w:szCs w:val="32"/>
          <w:highlight w:val="none"/>
        </w:rPr>
        <w:t>南京市财政局  监制</w:t>
      </w:r>
    </w:p>
    <w:p w14:paraId="70759CA7">
      <w:pPr>
        <w:widowControl/>
        <w:shd w:val="clear" w:color="auto" w:fill="auto"/>
        <w:spacing w:line="360" w:lineRule="auto"/>
        <w:jc w:val="both"/>
        <w:rPr>
          <w:rFonts w:hint="eastAsia" w:ascii="宋体" w:hAnsi="宋体" w:eastAsia="宋体"/>
          <w:b/>
          <w:bCs/>
          <w:color w:val="auto"/>
          <w:sz w:val="32"/>
          <w:szCs w:val="32"/>
          <w:highlight w:val="none"/>
        </w:rPr>
      </w:pPr>
    </w:p>
    <w:p w14:paraId="36C1E9BA">
      <w:pPr>
        <w:pStyle w:val="39"/>
        <w:rPr>
          <w:rFonts w:hint="eastAsia"/>
          <w:color w:val="auto"/>
          <w:highlight w:val="none"/>
        </w:rPr>
      </w:pPr>
    </w:p>
    <w:p w14:paraId="27952E3E">
      <w:pPr>
        <w:widowControl/>
        <w:shd w:val="clear" w:color="auto" w:fill="auto"/>
        <w:spacing w:line="360" w:lineRule="auto"/>
        <w:jc w:val="center"/>
        <w:rPr>
          <w:rFonts w:hint="eastAsia" w:ascii="宋体" w:hAnsi="宋体"/>
          <w:color w:val="auto"/>
          <w:sz w:val="30"/>
          <w:szCs w:val="30"/>
          <w:highlight w:val="none"/>
        </w:rPr>
      </w:pPr>
      <w:r>
        <w:rPr>
          <w:rFonts w:hint="eastAsia" w:ascii="宋体" w:hAnsi="宋体" w:eastAsia="宋体"/>
          <w:b/>
          <w:bCs/>
          <w:color w:val="auto"/>
          <w:sz w:val="30"/>
          <w:szCs w:val="30"/>
          <w:highlight w:val="none"/>
        </w:rPr>
        <w:t>（本项目最终签订的合同由合同双方协商后确定）</w:t>
      </w:r>
    </w:p>
    <w:p w14:paraId="3E85E9C2">
      <w:pPr>
        <w:keepNext w:val="0"/>
        <w:keepLines w:val="0"/>
        <w:pageBreakBefore w:val="0"/>
        <w:shd w:val="clear" w:color="auto" w:fill="auto"/>
        <w:kinsoku/>
        <w:wordWrap/>
        <w:overflowPunct/>
        <w:topLinePunct w:val="0"/>
        <w:bidi w:val="0"/>
        <w:spacing w:after="0"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以下为成交后签定本项目合同的通用条款，成交供应商不得提出实质性的修改，关于专用条款将由采购人与成交供应商结合本项目具体情况协商后签订。</w:t>
      </w:r>
    </w:p>
    <w:p w14:paraId="3A589333">
      <w:pPr>
        <w:keepNext w:val="0"/>
        <w:keepLines w:val="0"/>
        <w:pageBreakBefore w:val="0"/>
        <w:shd w:val="clear" w:color="auto" w:fill="auto"/>
        <w:kinsoku/>
        <w:wordWrap/>
        <w:overflowPunct/>
        <w:topLinePunct w:val="0"/>
        <w:bidi w:val="0"/>
        <w:spacing w:after="0"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w:t>
      </w:r>
    </w:p>
    <w:p w14:paraId="52345FFA">
      <w:pPr>
        <w:keepNext w:val="0"/>
        <w:keepLines w:val="0"/>
        <w:pageBreakBefore w:val="0"/>
        <w:shd w:val="clear" w:color="auto" w:fill="auto"/>
        <w:kinsoku/>
        <w:wordWrap/>
        <w:overflowPunct/>
        <w:topLinePunct w:val="0"/>
        <w:bidi w:val="0"/>
        <w:spacing w:after="0"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w:t>
      </w:r>
    </w:p>
    <w:p w14:paraId="73193261">
      <w:pPr>
        <w:keepNext w:val="0"/>
        <w:keepLines w:val="0"/>
        <w:pageBreakBefore w:val="0"/>
        <w:shd w:val="clear" w:color="auto" w:fill="auto"/>
        <w:kinsoku/>
        <w:wordWrap/>
        <w:overflowPunct/>
        <w:topLinePunct w:val="0"/>
        <w:bidi w:val="0"/>
        <w:spacing w:after="0"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p w14:paraId="6417CFA9">
      <w:pPr>
        <w:keepNext w:val="0"/>
        <w:keepLines w:val="0"/>
        <w:pageBreakBefore w:val="0"/>
        <w:shd w:val="clear" w:color="auto" w:fill="auto"/>
        <w:kinsoku/>
        <w:wordWrap/>
        <w:overflowPunct/>
        <w:topLinePunct w:val="0"/>
        <w:bidi w:val="0"/>
        <w:spacing w:after="0" w:line="360" w:lineRule="auto"/>
        <w:ind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分包号：</w:t>
      </w:r>
    </w:p>
    <w:p w14:paraId="6214EC68">
      <w:pPr>
        <w:keepNext w:val="0"/>
        <w:keepLines w:val="0"/>
        <w:pageBreakBefore w:val="0"/>
        <w:shd w:val="clear" w:color="auto" w:fill="auto"/>
        <w:kinsoku/>
        <w:wordWrap/>
        <w:overflowPunct/>
        <w:topLinePunct w:val="0"/>
        <w:bidi w:val="0"/>
        <w:spacing w:after="0"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根据《中华人民共和国政府采购法》《中华人民共和国民法典》等法律法规的规定，甲乙双方按照招标结果签订本合同。</w:t>
      </w:r>
    </w:p>
    <w:p w14:paraId="72D59F27">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第一条 合同标的</w:t>
      </w:r>
    </w:p>
    <w:p w14:paraId="64B34E2E">
      <w:pPr>
        <w:keepNext w:val="0"/>
        <w:keepLines w:val="0"/>
        <w:pageBreakBefore w:val="0"/>
        <w:widowControl w:val="0"/>
        <w:kinsoku/>
        <w:wordWrap/>
        <w:overflowPunct/>
        <w:topLinePunct w:val="0"/>
        <w:bidi w:val="0"/>
        <w:spacing w:after="0" w:line="360" w:lineRule="auto"/>
        <w:ind w:right="0" w:rightChars="0" w:firstLine="480" w:firstLineChars="200"/>
        <w:jc w:val="both"/>
        <w:textAlignment w:val="auto"/>
        <w:rPr>
          <w:rFonts w:hint="eastAsia" w:ascii="宋体" w:hAnsi="宋体" w:eastAsia="宋体" w:cs="宋体"/>
          <w:bCs/>
          <w:color w:val="auto"/>
          <w:kern w:val="2"/>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服务内容</w:t>
      </w:r>
      <w:r>
        <w:rPr>
          <w:rFonts w:hint="eastAsia" w:ascii="宋体" w:hAnsi="宋体" w:eastAsia="宋体" w:cs="宋体"/>
          <w:color w:val="auto"/>
          <w:sz w:val="24"/>
          <w:szCs w:val="24"/>
          <w:highlight w:val="none"/>
        </w:rPr>
        <w:t>：</w:t>
      </w:r>
      <w:r>
        <w:rPr>
          <w:rFonts w:hint="eastAsia" w:ascii="宋体" w:hAnsi="宋体" w:eastAsia="宋体" w:cs="宋体"/>
          <w:bCs/>
          <w:color w:val="auto"/>
          <w:kern w:val="2"/>
          <w:sz w:val="24"/>
          <w:szCs w:val="24"/>
          <w:highlight w:val="none"/>
        </w:rPr>
        <w:t>乙方对被抽查企业年度报告和即时公示信息的合法性、及时性、真实性、合理性进行查证核实。重点对企业缴纳出资、投资情况、资产经营状况、从业人员等情况按照与招标人约定的期限，按招标文件要求及投标承诺合法合理安排相关专业人员完成服务内容。乙方应当在独立原则、客观原则、公正原则、保密原则的前提下提出专业性意见，并提交符合甲方要求的《</w:t>
      </w:r>
      <w:r>
        <w:rPr>
          <w:rFonts w:hint="eastAsia" w:ascii="宋体" w:hAnsi="宋体" w:eastAsia="宋体" w:cs="宋体"/>
          <w:bCs/>
          <w:color w:val="auto"/>
          <w:kern w:val="2"/>
          <w:sz w:val="24"/>
          <w:szCs w:val="24"/>
          <w:highlight w:val="none"/>
          <w:lang w:val="en-US" w:eastAsia="zh-CN"/>
        </w:rPr>
        <w:t>企业公示信息协查报告</w:t>
      </w:r>
      <w:r>
        <w:rPr>
          <w:rFonts w:hint="eastAsia" w:ascii="宋体" w:hAnsi="宋体" w:eastAsia="宋体" w:cs="宋体"/>
          <w:bCs/>
          <w:color w:val="auto"/>
          <w:kern w:val="2"/>
          <w:sz w:val="24"/>
          <w:szCs w:val="24"/>
          <w:highlight w:val="none"/>
        </w:rPr>
        <w:t>》，被抽查企业按要求提供相关材料的，《</w:t>
      </w:r>
      <w:r>
        <w:rPr>
          <w:rFonts w:hint="eastAsia" w:ascii="宋体" w:hAnsi="MS Mincho"/>
          <w:color w:val="auto"/>
          <w:kern w:val="2"/>
          <w:sz w:val="24"/>
          <w:szCs w:val="24"/>
          <w:highlight w:val="none"/>
          <w:lang w:val="en-US" w:eastAsia="zh-CN"/>
        </w:rPr>
        <w:t>企业公示信息协查报告</w:t>
      </w:r>
      <w:r>
        <w:rPr>
          <w:rFonts w:hint="eastAsia" w:ascii="宋体" w:hAnsi="宋体" w:eastAsia="宋体" w:cs="宋体"/>
          <w:bCs/>
          <w:color w:val="auto"/>
          <w:kern w:val="2"/>
          <w:sz w:val="24"/>
          <w:szCs w:val="24"/>
          <w:highlight w:val="none"/>
        </w:rPr>
        <w:t>》中应当载明具体的协查结论；未取得必要的协查资料或其他客观原因导致协查报告中无法载明具体协查结论的，协查报告中应载明具体情况。</w:t>
      </w:r>
    </w:p>
    <w:p w14:paraId="4730613E">
      <w:pPr>
        <w:keepNext w:val="0"/>
        <w:keepLines w:val="0"/>
        <w:pageBreakBefore w:val="0"/>
        <w:widowControl w:val="0"/>
        <w:kinsoku/>
        <w:wordWrap/>
        <w:overflowPunct/>
        <w:topLinePunct w:val="0"/>
        <w:bidi w:val="0"/>
        <w:spacing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服务地点</w:t>
      </w:r>
      <w:r>
        <w:rPr>
          <w:rFonts w:hint="eastAsia" w:ascii="宋体" w:hAnsi="宋体" w:eastAsia="宋体" w:cs="宋体"/>
          <w:color w:val="auto"/>
          <w:sz w:val="24"/>
          <w:szCs w:val="24"/>
          <w:highlight w:val="none"/>
          <w:lang w:eastAsia="zh-CN"/>
        </w:rPr>
        <w:t>：南京市江宁区境内</w:t>
      </w:r>
      <w:r>
        <w:rPr>
          <w:rFonts w:hint="eastAsia" w:ascii="宋体" w:hAnsi="宋体" w:cs="宋体"/>
          <w:color w:val="auto"/>
          <w:sz w:val="24"/>
          <w:szCs w:val="24"/>
          <w:highlight w:val="none"/>
          <w:lang w:eastAsia="zh-CN"/>
        </w:rPr>
        <w:t>。</w:t>
      </w:r>
    </w:p>
    <w:p w14:paraId="296CAF0F">
      <w:pPr>
        <w:keepNext w:val="0"/>
        <w:keepLines w:val="0"/>
        <w:pageBreakBefore w:val="0"/>
        <w:widowControl w:val="0"/>
        <w:kinsoku/>
        <w:wordWrap/>
        <w:overflowPunct/>
        <w:topLinePunct w:val="0"/>
        <w:bidi w:val="0"/>
        <w:spacing w:after="0" w:line="360" w:lineRule="auto"/>
        <w:ind w:right="0" w:rightChars="0"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协查企业数量：按甲方实际分配的企业数量进行服务，</w:t>
      </w:r>
      <w:r>
        <w:rPr>
          <w:rFonts w:hint="eastAsia" w:ascii="宋体" w:hAnsi="宋体" w:cs="宋体"/>
          <w:color w:val="auto"/>
          <w:sz w:val="24"/>
          <w:szCs w:val="24"/>
          <w:highlight w:val="none"/>
          <w:lang w:val="en-US" w:eastAsia="zh-CN"/>
        </w:rPr>
        <w:t>如遇增加协查户数情况，</w:t>
      </w:r>
      <w:r>
        <w:rPr>
          <w:rFonts w:hint="eastAsia" w:ascii="宋体" w:hAnsi="宋体" w:eastAsia="宋体" w:cs="宋体"/>
          <w:color w:val="auto"/>
          <w:sz w:val="24"/>
          <w:szCs w:val="24"/>
          <w:highlight w:val="none"/>
          <w:lang w:val="en-US" w:eastAsia="zh-CN"/>
        </w:rPr>
        <w:t>增加的户数不超过最少协查户数的20%。</w:t>
      </w:r>
    </w:p>
    <w:p w14:paraId="5682AD03">
      <w:pPr>
        <w:keepNext w:val="0"/>
        <w:keepLines w:val="0"/>
        <w:pageBreakBefore w:val="0"/>
        <w:widowControl w:val="0"/>
        <w:kinsoku/>
        <w:wordWrap/>
        <w:overflowPunct/>
        <w:topLinePunct w:val="0"/>
        <w:bidi w:val="0"/>
        <w:spacing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乙方服务内容详见乙方投标文件。</w:t>
      </w:r>
    </w:p>
    <w:p w14:paraId="5318CBA6">
      <w:pPr>
        <w:keepNext w:val="0"/>
        <w:keepLines w:val="0"/>
        <w:pageBreakBefore w:val="0"/>
        <w:shd w:val="clear" w:color="auto" w:fill="auto"/>
        <w:kinsoku/>
        <w:wordWrap/>
        <w:overflowPunct/>
        <w:topLinePunct w:val="0"/>
        <w:autoSpaceDE w:val="0"/>
        <w:autoSpaceDN w:val="0"/>
        <w:bidi w:val="0"/>
        <w:adjustRightInd w:val="0"/>
        <w:spacing w:beforeAutospacing="0" w:after="0" w:line="360" w:lineRule="auto"/>
        <w:ind w:right="0" w:rightChars="0"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第二条 合同价款</w:t>
      </w:r>
      <w:r>
        <w:rPr>
          <w:rFonts w:hint="eastAsia" w:ascii="宋体" w:hAnsi="宋体" w:eastAsia="宋体" w:cs="宋体"/>
          <w:color w:val="auto"/>
          <w:sz w:val="24"/>
          <w:szCs w:val="24"/>
          <w:highlight w:val="none"/>
        </w:rPr>
        <w:t xml:space="preserve">  </w:t>
      </w:r>
    </w:p>
    <w:p w14:paraId="4233A24F">
      <w:pPr>
        <w:keepNext w:val="0"/>
        <w:keepLines w:val="0"/>
        <w:pageBreakBefore w:val="0"/>
        <w:shd w:val="clear" w:color="auto" w:fill="auto"/>
        <w:kinsoku/>
        <w:wordWrap/>
        <w:overflowPunct/>
        <w:topLinePunct w:val="0"/>
        <w:bidi w:val="0"/>
        <w:spacing w:after="0" w:line="360" w:lineRule="auto"/>
        <w:ind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本合同项下公示信息协查服务价款为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元（大写）人民币。（￥       ）。</w:t>
      </w:r>
    </w:p>
    <w:p w14:paraId="4E78E910">
      <w:pPr>
        <w:keepNext w:val="0"/>
        <w:keepLines w:val="0"/>
        <w:pageBreakBefore w:val="0"/>
        <w:shd w:val="clear" w:color="auto" w:fill="auto"/>
        <w:tabs>
          <w:tab w:val="left" w:pos="1785"/>
        </w:tabs>
        <w:kinsoku/>
        <w:wordWrap/>
        <w:overflowPunct/>
        <w:topLinePunct w:val="0"/>
        <w:bidi w:val="0"/>
        <w:adjustRightInd w:val="0"/>
        <w:snapToGri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本合同总价款是完成本项目所发生的所有含税费用、支付给员工的工资和国家强制缴纳的各种社会保障资金，以及供应商认为需要的其他费用等。除该费用外，甲方对乙方不负有任何支付费用的义务。</w:t>
      </w:r>
    </w:p>
    <w:p w14:paraId="371429A4">
      <w:pPr>
        <w:keepNext w:val="0"/>
        <w:keepLines w:val="0"/>
        <w:pageBreakBefore w:val="0"/>
        <w:shd w:val="clear" w:color="auto" w:fill="auto"/>
        <w:tabs>
          <w:tab w:val="left" w:pos="1785"/>
        </w:tabs>
        <w:kinsoku/>
        <w:wordWrap/>
        <w:overflowPunct/>
        <w:topLinePunct w:val="0"/>
        <w:bidi w:val="0"/>
        <w:adjustRightInd w:val="0"/>
        <w:snapToGrid w:val="0"/>
        <w:spacing w:after="0" w:line="360" w:lineRule="auto"/>
        <w:ind w:right="0" w:rightChars="0"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第三条 组成本合同的有关文件</w:t>
      </w:r>
      <w:r>
        <w:rPr>
          <w:rFonts w:hint="eastAsia" w:ascii="宋体" w:hAnsi="宋体" w:eastAsia="宋体" w:cs="宋体"/>
          <w:color w:val="auto"/>
          <w:sz w:val="24"/>
          <w:szCs w:val="24"/>
          <w:highlight w:val="none"/>
        </w:rPr>
        <w:t xml:space="preserve">  </w:t>
      </w:r>
    </w:p>
    <w:p w14:paraId="27706FA7">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下列关于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编号）标的招投标文件或与本次采购活动方式相适应的文件及有关附件是本合同不可分割的组成部分，与本合同具有同等法律效力，这些文件包括但不限于：</w:t>
      </w:r>
    </w:p>
    <w:p w14:paraId="35A8157E">
      <w:pPr>
        <w:keepNext w:val="0"/>
        <w:keepLines w:val="0"/>
        <w:pageBreakBefore w:val="0"/>
        <w:numPr>
          <w:ilvl w:val="0"/>
          <w:numId w:val="0"/>
        </w:numPr>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rPr>
        <w:t>招标文件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乙方提供的投标文件；</w:t>
      </w:r>
    </w:p>
    <w:p w14:paraId="0FDA49A4">
      <w:pPr>
        <w:keepNext w:val="0"/>
        <w:keepLines w:val="0"/>
        <w:pageBreakBefore w:val="0"/>
        <w:numPr>
          <w:ilvl w:val="0"/>
          <w:numId w:val="0"/>
        </w:numPr>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（2）技术（服务）规格响应表；</w:t>
      </w:r>
    </w:p>
    <w:p w14:paraId="4C6789C8">
      <w:pPr>
        <w:keepNext w:val="0"/>
        <w:keepLines w:val="0"/>
        <w:pageBreakBefore w:val="0"/>
        <w:numPr>
          <w:ilvl w:val="0"/>
          <w:numId w:val="0"/>
        </w:numPr>
        <w:shd w:val="clear" w:color="auto" w:fill="auto"/>
        <w:kinsoku/>
        <w:wordWrap/>
        <w:overflowPunct/>
        <w:topLinePunct w:val="0"/>
        <w:autoSpaceDE w:val="0"/>
        <w:autoSpaceDN w:val="0"/>
        <w:bidi w:val="0"/>
        <w:adjustRightInd w:val="0"/>
        <w:spacing w:after="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rPr>
        <w:t>投标承诺/服务承诺；</w:t>
      </w:r>
      <w:r>
        <w:rPr>
          <w:rFonts w:hint="eastAsia" w:ascii="宋体" w:hAnsi="宋体" w:eastAsia="宋体" w:cs="宋体"/>
          <w:color w:val="auto"/>
          <w:sz w:val="24"/>
          <w:szCs w:val="24"/>
          <w:highlight w:val="none"/>
          <w:lang w:val="en-US" w:eastAsia="zh-CN"/>
        </w:rPr>
        <w:t xml:space="preserve">         </w:t>
      </w:r>
    </w:p>
    <w:p w14:paraId="7BE1ABCA">
      <w:pPr>
        <w:keepNext w:val="0"/>
        <w:keepLines w:val="0"/>
        <w:pageBreakBefore w:val="0"/>
        <w:numPr>
          <w:ilvl w:val="0"/>
          <w:numId w:val="0"/>
        </w:numPr>
        <w:shd w:val="clear" w:color="auto" w:fill="auto"/>
        <w:kinsoku/>
        <w:wordWrap/>
        <w:overflowPunct/>
        <w:topLinePunct w:val="0"/>
        <w:autoSpaceDE w:val="0"/>
        <w:autoSpaceDN w:val="0"/>
        <w:bidi w:val="0"/>
        <w:adjustRightInd w:val="0"/>
        <w:spacing w:after="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（4）</w:t>
      </w:r>
      <w:r>
        <w:rPr>
          <w:rFonts w:hint="eastAsia" w:ascii="宋体" w:hAnsi="宋体" w:eastAsia="宋体" w:cs="宋体"/>
          <w:color w:val="auto"/>
          <w:sz w:val="24"/>
          <w:szCs w:val="24"/>
          <w:highlight w:val="none"/>
        </w:rPr>
        <w:t>中标通知书；</w:t>
      </w:r>
    </w:p>
    <w:p w14:paraId="2535E727">
      <w:pPr>
        <w:keepNext w:val="0"/>
        <w:keepLines w:val="0"/>
        <w:pageBreakBefore w:val="0"/>
        <w:numPr>
          <w:ilvl w:val="0"/>
          <w:numId w:val="0"/>
        </w:numPr>
        <w:shd w:val="clear" w:color="auto" w:fill="auto"/>
        <w:kinsoku/>
        <w:wordWrap/>
        <w:overflowPunct/>
        <w:topLinePunct w:val="0"/>
        <w:autoSpaceDE w:val="0"/>
        <w:autoSpaceDN w:val="0"/>
        <w:bidi w:val="0"/>
        <w:adjustRightInd w:val="0"/>
        <w:spacing w:after="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rPr>
        <w:t xml:space="preserve">考核管理办法；              </w:t>
      </w:r>
    </w:p>
    <w:p w14:paraId="16C7CD8E">
      <w:pPr>
        <w:keepNext w:val="0"/>
        <w:keepLines w:val="0"/>
        <w:pageBreakBefore w:val="0"/>
        <w:numPr>
          <w:ilvl w:val="0"/>
          <w:numId w:val="0"/>
        </w:numPr>
        <w:shd w:val="clear" w:color="auto" w:fill="auto"/>
        <w:kinsoku/>
        <w:wordWrap/>
        <w:overflowPunct/>
        <w:topLinePunct w:val="0"/>
        <w:autoSpaceDE w:val="0"/>
        <w:autoSpaceDN w:val="0"/>
        <w:bidi w:val="0"/>
        <w:adjustRightInd w:val="0"/>
        <w:spacing w:after="0"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（6）</w:t>
      </w:r>
      <w:r>
        <w:rPr>
          <w:rFonts w:hint="eastAsia" w:ascii="宋体" w:hAnsi="宋体" w:eastAsia="宋体" w:cs="宋体"/>
          <w:color w:val="auto"/>
          <w:sz w:val="24"/>
          <w:szCs w:val="24"/>
          <w:highlight w:val="none"/>
        </w:rPr>
        <w:t>甲乙双方商定的其他文件等。</w:t>
      </w:r>
    </w:p>
    <w:p w14:paraId="16A82FDB">
      <w:pPr>
        <w:keepNext w:val="0"/>
        <w:keepLines w:val="0"/>
        <w:pageBreakBefore w:val="0"/>
        <w:shd w:val="clear" w:color="auto" w:fill="auto"/>
        <w:tabs>
          <w:tab w:val="left" w:pos="1785"/>
        </w:tabs>
        <w:kinsoku/>
        <w:wordWrap/>
        <w:overflowPunct/>
        <w:topLinePunct w:val="0"/>
        <w:bidi w:val="0"/>
        <w:adjustRightInd w:val="0"/>
        <w:snapToGrid w:val="0"/>
        <w:spacing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第四条 权利保证</w:t>
      </w:r>
    </w:p>
    <w:p w14:paraId="369388B0">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乙方应保证甲方在使用该服务或其任何一部分时不受第三方提出侵犯其专利权、版权、商标权或其他权利的起诉。出现侵权行为造成损失的，由乙方承担全部责任。</w:t>
      </w:r>
    </w:p>
    <w:p w14:paraId="66B9D1E2">
      <w:pPr>
        <w:keepNext w:val="0"/>
        <w:keepLines w:val="0"/>
        <w:pageBreakBefore w:val="0"/>
        <w:shd w:val="clear" w:color="auto" w:fill="auto"/>
        <w:tabs>
          <w:tab w:val="left" w:pos="1785"/>
        </w:tabs>
        <w:kinsoku/>
        <w:wordWrap/>
        <w:overflowPunct/>
        <w:topLinePunct w:val="0"/>
        <w:bidi w:val="0"/>
        <w:adjustRightInd w:val="0"/>
        <w:snapToGrid w:val="0"/>
        <w:spacing w:after="0" w:afterAutospacing="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第五条 质量保证</w:t>
      </w:r>
    </w:p>
    <w:p w14:paraId="48D32DE7">
      <w:pPr>
        <w:keepNext w:val="0"/>
        <w:keepLines w:val="0"/>
        <w:pageBreakBefore w:val="0"/>
        <w:shd w:val="clear" w:color="auto" w:fill="auto"/>
        <w:kinsoku/>
        <w:wordWrap/>
        <w:overflowPunct/>
        <w:topLinePunct w:val="0"/>
        <w:autoSpaceDE w:val="0"/>
        <w:autoSpaceDN w:val="0"/>
        <w:bidi w:val="0"/>
        <w:adjustRightInd w:val="0"/>
        <w:spacing w:beforeAutospacing="0"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1、乙方所提供的服务的技术规格应与招标文件规定的技术规格及所附的“技术条款偏离表”相一致；若技术性能无特殊说明，则按国家有关部门最新颁布的标准及规范为准。</w:t>
      </w:r>
    </w:p>
    <w:p w14:paraId="679142B6">
      <w:pPr>
        <w:keepNext w:val="0"/>
        <w:keepLines w:val="0"/>
        <w:pageBreakBefore w:val="0"/>
        <w:shd w:val="clear" w:color="auto" w:fill="auto"/>
        <w:kinsoku/>
        <w:wordWrap/>
        <w:overflowPunct/>
        <w:topLinePunct w:val="0"/>
        <w:autoSpaceDE w:val="0"/>
        <w:autoSpaceDN w:val="0"/>
        <w:bidi w:val="0"/>
        <w:adjustRightInd w:val="0"/>
        <w:spacing w:beforeAutospacing="0"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2、乙方严格按照相关法律、法规，恪守独立、客观，公正的原则，履行必要的执业规范和程序。</w:t>
      </w:r>
    </w:p>
    <w:p w14:paraId="22ACAF86">
      <w:pPr>
        <w:keepNext w:val="0"/>
        <w:keepLines w:val="0"/>
        <w:pageBreakBefore w:val="0"/>
        <w:shd w:val="clear" w:color="auto" w:fill="auto"/>
        <w:kinsoku/>
        <w:wordWrap/>
        <w:overflowPunct/>
        <w:topLinePunct w:val="0"/>
        <w:autoSpaceDE w:val="0"/>
        <w:autoSpaceDN w:val="0"/>
        <w:bidi w:val="0"/>
        <w:adjustRightInd w:val="0"/>
        <w:spacing w:beforeAutospacing="0"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3、乙方严格遵循诚实信用的原则，不得损害国家利益、社会公共利益和他人的合法权益。</w:t>
      </w:r>
    </w:p>
    <w:p w14:paraId="36977261">
      <w:pPr>
        <w:keepNext w:val="0"/>
        <w:keepLines w:val="0"/>
        <w:pageBreakBefore w:val="0"/>
        <w:shd w:val="clear" w:color="auto" w:fill="auto"/>
        <w:kinsoku/>
        <w:wordWrap/>
        <w:overflowPunct/>
        <w:topLinePunct w:val="0"/>
        <w:autoSpaceDE w:val="0"/>
        <w:autoSpaceDN w:val="0"/>
        <w:bidi w:val="0"/>
        <w:adjustRightInd w:val="0"/>
        <w:spacing w:beforeAutospacing="0"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4、乙方严格遵守国家有关保密规定和审计、调查审核等约定，不得泄露工作中知悉的国家秘密、商业秘密和内部情况。不得擅自将工作中取得的材料和信息透露给任何第三方。</w:t>
      </w:r>
    </w:p>
    <w:p w14:paraId="6CE615B9">
      <w:pPr>
        <w:keepNext w:val="0"/>
        <w:keepLines w:val="0"/>
        <w:pageBreakBefore w:val="0"/>
        <w:shd w:val="clear" w:color="auto" w:fill="auto"/>
        <w:kinsoku/>
        <w:wordWrap/>
        <w:overflowPunct/>
        <w:topLinePunct w:val="0"/>
        <w:autoSpaceDE w:val="0"/>
        <w:autoSpaceDN w:val="0"/>
        <w:bidi w:val="0"/>
        <w:adjustRightInd w:val="0"/>
        <w:spacing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5、乙方服从甲方统一指挥和安排，按时保质保量地完成任务。</w:t>
      </w:r>
    </w:p>
    <w:p w14:paraId="40A8C0BD">
      <w:pPr>
        <w:keepNext w:val="0"/>
        <w:keepLines w:val="0"/>
        <w:pageBreakBefore w:val="0"/>
        <w:shd w:val="clear" w:color="auto" w:fill="auto"/>
        <w:kinsoku/>
        <w:wordWrap/>
        <w:overflowPunct/>
        <w:topLinePunct w:val="0"/>
        <w:autoSpaceDE w:val="0"/>
        <w:autoSpaceDN w:val="0"/>
        <w:bidi w:val="0"/>
        <w:adjustRightInd w:val="0"/>
        <w:spacing w:beforeAutospacing="0"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6、乙方所做的工作底稿及协查过程中形成的其他资料应如实反映有关情况，做到事实准确、结论清楚。</w:t>
      </w:r>
    </w:p>
    <w:p w14:paraId="0DFDA619">
      <w:pPr>
        <w:keepNext w:val="0"/>
        <w:keepLines w:val="0"/>
        <w:pageBreakBefore w:val="0"/>
        <w:shd w:val="clear" w:color="auto" w:fill="auto"/>
        <w:kinsoku/>
        <w:wordWrap/>
        <w:overflowPunct/>
        <w:topLinePunct w:val="0"/>
        <w:autoSpaceDE w:val="0"/>
        <w:autoSpaceDN w:val="0"/>
        <w:bidi w:val="0"/>
        <w:adjustRightInd w:val="0"/>
        <w:spacing w:beforeAutospacing="0"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7、乙方在工作结束后应出具符合执业规范的协查报告，对协查报告和协查结果负责。</w:t>
      </w:r>
    </w:p>
    <w:p w14:paraId="08017375">
      <w:pPr>
        <w:keepNext w:val="0"/>
        <w:keepLines w:val="0"/>
        <w:pageBreakBefore w:val="0"/>
        <w:shd w:val="clear" w:color="auto" w:fill="auto"/>
        <w:kinsoku/>
        <w:wordWrap/>
        <w:overflowPunct/>
        <w:topLinePunct w:val="0"/>
        <w:autoSpaceDE w:val="0"/>
        <w:autoSpaceDN w:val="0"/>
        <w:bidi w:val="0"/>
        <w:adjustRightInd w:val="0"/>
        <w:spacing w:beforeAutospacing="0"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第六条 服务期限和验收标准</w:t>
      </w:r>
    </w:p>
    <w:p w14:paraId="3313868B">
      <w:pPr>
        <w:keepNext w:val="0"/>
        <w:keepLines w:val="0"/>
        <w:pageBreakBefore w:val="0"/>
        <w:shd w:val="clear" w:color="auto" w:fill="auto"/>
        <w:kinsoku/>
        <w:wordWrap/>
        <w:overflowPunct/>
        <w:topLinePunct w:val="0"/>
        <w:autoSpaceDE w:val="0"/>
        <w:autoSpaceDN w:val="0"/>
        <w:bidi w:val="0"/>
        <w:adjustRightInd w:val="0"/>
        <w:spacing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1、本合同的履约期限即有效期1年。</w:t>
      </w:r>
    </w:p>
    <w:p w14:paraId="4B0974B9">
      <w:pPr>
        <w:keepNext w:val="0"/>
        <w:keepLines w:val="0"/>
        <w:pageBreakBefore w:val="0"/>
        <w:shd w:val="clear" w:color="auto" w:fill="auto"/>
        <w:kinsoku/>
        <w:wordWrap/>
        <w:overflowPunct/>
        <w:topLinePunct w:val="0"/>
        <w:autoSpaceDE w:val="0"/>
        <w:autoSpaceDN w:val="0"/>
        <w:bidi w:val="0"/>
        <w:adjustRightInd w:val="0"/>
        <w:spacing w:beforeAutospacing="0"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2、甲方根据工作计划下达协查任务名单，乙方应按甲方要求的时间提交交付内容。</w:t>
      </w:r>
    </w:p>
    <w:p w14:paraId="1033508F">
      <w:pPr>
        <w:keepNext w:val="0"/>
        <w:keepLines w:val="0"/>
        <w:pageBreakBefore w:val="0"/>
        <w:shd w:val="clear" w:color="auto" w:fill="auto"/>
        <w:kinsoku/>
        <w:wordWrap/>
        <w:overflowPunct/>
        <w:topLinePunct w:val="0"/>
        <w:autoSpaceDE w:val="0"/>
        <w:autoSpaceDN w:val="0"/>
        <w:bidi w:val="0"/>
        <w:adjustRightInd w:val="0"/>
        <w:spacing w:beforeAutospacing="0" w:after="0" w:afterAutospacing="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3、验收标准：按甲方的制定的考核标准及行业通行标准和乙方响应文件的承诺（详见合同附件载明的标准，并不低于国家相关标准）。</w:t>
      </w:r>
    </w:p>
    <w:p w14:paraId="1133C56D">
      <w:pPr>
        <w:keepNext w:val="0"/>
        <w:keepLines w:val="0"/>
        <w:pageBreakBefore w:val="0"/>
        <w:shd w:val="clear" w:color="auto" w:fill="auto"/>
        <w:kinsoku/>
        <w:wordWrap/>
        <w:overflowPunct/>
        <w:topLinePunct w:val="0"/>
        <w:autoSpaceDE w:val="0"/>
        <w:autoSpaceDN w:val="0"/>
        <w:bidi w:val="0"/>
        <w:adjustRightInd w:val="0"/>
        <w:spacing w:beforeAutospacing="0"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第七条 履约保证金</w:t>
      </w:r>
    </w:p>
    <w:p w14:paraId="308B8FCA">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按照招标文件有关规定执行。</w:t>
      </w:r>
    </w:p>
    <w:p w14:paraId="74B7543D">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第八条 合同款支付</w:t>
      </w:r>
    </w:p>
    <w:p w14:paraId="56C946E4">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7927E45D">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2、本合同项下的采购资金由甲方自行支付，在甲方支付款项前，乙方应当向甲方提供合法且符合甲方要求的发票。否则，因乙方未提供符合甲方要求的发票，甲方有权暂缓支付款项，且不承担任何责任。</w:t>
      </w:r>
    </w:p>
    <w:p w14:paraId="28538F30">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3、付款方式及条件：供应商</w:t>
      </w:r>
      <w:r>
        <w:rPr>
          <w:rFonts w:hint="eastAsia" w:ascii="宋体" w:hAnsi="宋体" w:eastAsia="宋体" w:cs="宋体"/>
          <w:color w:val="auto"/>
          <w:sz w:val="24"/>
          <w:szCs w:val="24"/>
          <w:highlight w:val="none"/>
          <w:lang w:val="en-US" w:eastAsia="zh-CN"/>
        </w:rPr>
        <w:t>可以根据出具的有结论报告数量分两批结算，交接的有结论报告数占</w:t>
      </w:r>
      <w:r>
        <w:rPr>
          <w:rFonts w:hint="eastAsia" w:ascii="宋体" w:hAnsi="宋体" w:cs="宋体"/>
          <w:color w:val="auto"/>
          <w:sz w:val="24"/>
          <w:szCs w:val="24"/>
          <w:highlight w:val="none"/>
          <w:lang w:val="en-US" w:eastAsia="zh-CN"/>
        </w:rPr>
        <w:t>分配户数</w:t>
      </w:r>
      <w:r>
        <w:rPr>
          <w:rFonts w:hint="eastAsia" w:ascii="宋体" w:hAnsi="宋体" w:eastAsia="宋体" w:cs="宋体"/>
          <w:color w:val="auto"/>
          <w:sz w:val="24"/>
          <w:szCs w:val="24"/>
          <w:highlight w:val="none"/>
          <w:lang w:val="en-US" w:eastAsia="zh-CN"/>
        </w:rPr>
        <w:t>超50%</w:t>
      </w:r>
      <w:r>
        <w:rPr>
          <w:rFonts w:hint="eastAsia" w:ascii="宋体" w:hAnsi="宋体" w:cs="宋体"/>
          <w:color w:val="auto"/>
          <w:sz w:val="24"/>
          <w:szCs w:val="24"/>
          <w:highlight w:val="none"/>
          <w:lang w:val="en-US" w:eastAsia="zh-CN"/>
        </w:rPr>
        <w:t>以上</w:t>
      </w:r>
      <w:r>
        <w:rPr>
          <w:rFonts w:hint="eastAsia" w:ascii="宋体" w:hAnsi="宋体" w:eastAsia="宋体" w:cs="宋体"/>
          <w:color w:val="auto"/>
          <w:sz w:val="24"/>
          <w:szCs w:val="24"/>
          <w:highlight w:val="none"/>
          <w:lang w:val="en-US" w:eastAsia="zh-CN"/>
        </w:rPr>
        <w:t>的，按50%结算。全部服务任务履约完成并验收考核后，根据验收考核结果据实结算剩余合同款项。</w:t>
      </w:r>
    </w:p>
    <w:p w14:paraId="55CE4CAD">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第九条 违约责任及处理</w:t>
      </w:r>
    </w:p>
    <w:p w14:paraId="0320D05D">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（一）违约责任</w:t>
      </w:r>
    </w:p>
    <w:p w14:paraId="38F388CD">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１、甲方无正当理由未按合同约定拒收服务、拒付服务款的，由甲方向乙方偿付合同总价的 5%违约金。</w:t>
      </w:r>
    </w:p>
    <w:p w14:paraId="5716D7B3">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乙方交付服务不符合合同约定的，在乙方承诺的或国家规定的质量保证期内（取两者中最长的期限），如甲方同意乙方整改，经乙方两次整改仍不能达到合同约定的质量标准，甲方有权解除合同，且乙方向甲方支付合同总价 5% 的违约金或由甲方从应付款中直接扣除违约金。</w:t>
      </w:r>
    </w:p>
    <w:p w14:paraId="5B1D54D8">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3、乙方逾期交付的，每逾期 1 天，乙方向甲方支付合同总额的 5‰的违约金。如乙方逾期交付达 10 天，甲方有权解除合同，且乙方向甲方支付合同总额30%的违约金。</w:t>
      </w:r>
    </w:p>
    <w:p w14:paraId="1F06249F">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4、乙方未按本合同的规定和“服务承诺”提供伴随服务/售后服务的，应按合同总价款的5 %向甲方承担违约责任。</w:t>
      </w:r>
    </w:p>
    <w:p w14:paraId="6FDD1F4B">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5、由于乙方原因造成合同无法继续履行的，甲方有权解除合同。乙方应向甲方支付合同总价30%赔偿金。</w:t>
      </w:r>
    </w:p>
    <w:p w14:paraId="5FDE0982">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6、乙方未能完成约定的协查户数，未完成部分超过甲方分配户数10%的，甲方有权解除合同，甲方从应付款中按未完成户数扣除1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00元/户，且乙方向甲方支付合同总价 5%的违约金或由甲方从应付款中直接扣除违约金。未完成部分不足10%(含10%）的，甲方从应付款中按未完成户数扣除1</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00元/户，且乙方向甲方支付合同总价 5%的违约金或由甲方从应付款中直接扣除违约金。</w:t>
      </w:r>
    </w:p>
    <w:p w14:paraId="737988CB">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7、乙方在承担上述一项或多项违约责任后，仍应继续履行合同规定的义务（甲方解除合同的除外）。甲方未能及时追究乙方的任何一项违约责任并不表明甲方放弃追究乙方该项或其他违约责任。</w:t>
      </w:r>
    </w:p>
    <w:p w14:paraId="6424B325">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乙方违反前述任何一项条款的，应承担甲方因此发生的所有费用，包括但不限于维权费用、诉讼费、律师费等费用。</w:t>
      </w:r>
    </w:p>
    <w:p w14:paraId="73FAAE76">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（二）解除合同的情形及处理</w:t>
      </w:r>
    </w:p>
    <w:p w14:paraId="7FF8DB5D">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乙方有下列情形之一的，甲方有权解除合同并要求乙方按合同总价的30％承担违约责任，且违约金可以直接从应付款中予以扣除：</w:t>
      </w:r>
    </w:p>
    <w:p w14:paraId="42D61EC6">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1、执业过程中，受到监管部门行政处罚的；</w:t>
      </w:r>
    </w:p>
    <w:p w14:paraId="5EA2CD86">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2、隐瞒协查发现的问题或者与被查单位串通舞弊，导致严重服务质量问题的；</w:t>
      </w:r>
    </w:p>
    <w:p w14:paraId="2895B588">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3、未尽到协查义务，出具虚假报告的；</w:t>
      </w:r>
    </w:p>
    <w:p w14:paraId="22D6734D">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4、利用协查工作推销业务，情节严重的；</w:t>
      </w:r>
    </w:p>
    <w:p w14:paraId="190EF3A5">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5、从被查单位获取不正当利益的；</w:t>
      </w:r>
    </w:p>
    <w:p w14:paraId="35F46795">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6、违反保密纪律或回避规定的；</w:t>
      </w:r>
    </w:p>
    <w:p w14:paraId="070AAE0E">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7、拒绝接受甲方业务指导和监督的；</w:t>
      </w:r>
    </w:p>
    <w:p w14:paraId="65CFD6D8">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8、未按合同约定交付服务，情节严重的；</w:t>
      </w:r>
    </w:p>
    <w:p w14:paraId="79776228">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9、在投标中作出虚假承诺的，情节严重的；</w:t>
      </w:r>
    </w:p>
    <w:p w14:paraId="421BF096">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10、其他导致严重服务质量问题的。</w:t>
      </w:r>
    </w:p>
    <w:p w14:paraId="4BEBA52A">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第十条 合同的变更和终止</w:t>
      </w:r>
    </w:p>
    <w:p w14:paraId="121A6FD5">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1、除《政府采购法》第 50 条第二款规定的情形外，本合同一经签订，甲乙双方不得擅自变更、中止或终止合同。</w:t>
      </w:r>
    </w:p>
    <w:p w14:paraId="66F2690A">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2B150123">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第十一条 合同的转让</w:t>
      </w:r>
    </w:p>
    <w:p w14:paraId="65BBBB71">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7463C1D2">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第十二条 争议的解决</w:t>
      </w:r>
    </w:p>
    <w:p w14:paraId="1D94FB93">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1、因服务的质量问题发生争议的，甲方有权指定国家认可的质量检测机构对服务质量进行鉴定。符合标准的，鉴定费由甲方承担；不符合质量标准的，鉴定费由乙方承担。</w:t>
      </w:r>
    </w:p>
    <w:p w14:paraId="6F9B945E">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种方式解决争议：</w:t>
      </w:r>
    </w:p>
    <w:p w14:paraId="33F241AA">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（1）向甲方所在地有管辖权的人民法院提起诉讼；</w:t>
      </w:r>
    </w:p>
    <w:p w14:paraId="28EE4610">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（2）向南京</w:t>
      </w:r>
      <w:r>
        <w:rPr>
          <w:rFonts w:hint="eastAsia" w:ascii="宋体" w:hAnsi="宋体" w:cs="宋体"/>
          <w:color w:val="auto"/>
          <w:sz w:val="24"/>
          <w:szCs w:val="24"/>
          <w:highlight w:val="none"/>
          <w:lang w:val="en-US" w:eastAsia="zh-CN"/>
        </w:rPr>
        <w:t>市江宁区</w:t>
      </w:r>
      <w:r>
        <w:rPr>
          <w:rFonts w:hint="eastAsia" w:ascii="宋体" w:hAnsi="宋体" w:eastAsia="宋体" w:cs="宋体"/>
          <w:color w:val="auto"/>
          <w:sz w:val="24"/>
          <w:szCs w:val="24"/>
          <w:highlight w:val="none"/>
        </w:rPr>
        <w:t>仲裁委员会按其仲裁规则申请仲裁。</w:t>
      </w:r>
    </w:p>
    <w:p w14:paraId="00151F7F">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 2 种方式解决争议。</w:t>
      </w:r>
    </w:p>
    <w:p w14:paraId="3C1520C6">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cs="宋体"/>
          <w:color w:val="auto"/>
          <w:sz w:val="24"/>
          <w:szCs w:val="24"/>
          <w:highlight w:val="none"/>
          <w:lang w:val="en-US" w:eastAsia="zh-CN"/>
        </w:rPr>
        <w:t>诉讼</w:t>
      </w:r>
      <w:r>
        <w:rPr>
          <w:rFonts w:hint="eastAsia" w:ascii="宋体" w:hAnsi="宋体" w:eastAsia="宋体" w:cs="宋体"/>
          <w:color w:val="auto"/>
          <w:sz w:val="24"/>
          <w:szCs w:val="24"/>
          <w:highlight w:val="none"/>
        </w:rPr>
        <w:t>期间，本合同应继续履行。</w:t>
      </w:r>
    </w:p>
    <w:p w14:paraId="366C2360">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第十三条 诚实信用</w:t>
      </w:r>
    </w:p>
    <w:p w14:paraId="791F3DB8">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乙方应诚实信用，严格按照招标文件要求和投标承诺履行合同，不向甲方进行商业贿赂或者提供不正当利益。</w:t>
      </w:r>
    </w:p>
    <w:p w14:paraId="0554D4D2">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第十四条 合同生效及其他</w:t>
      </w:r>
    </w:p>
    <w:p w14:paraId="2F2AC55D">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1、本合同自签字盖章之日起生效。</w:t>
      </w:r>
    </w:p>
    <w:p w14:paraId="0975BEBC">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2、本合同正本一式陆份，具有同等法律效力，甲方执肆份，乙方及采购代理机构各执壹份。</w:t>
      </w:r>
    </w:p>
    <w:p w14:paraId="45A68DA4">
      <w:pPr>
        <w:keepNext w:val="0"/>
        <w:keepLines w:val="0"/>
        <w:pageBreakBefore w:val="0"/>
        <w:shd w:val="clear" w:color="auto" w:fill="auto"/>
        <w:kinsoku/>
        <w:wordWrap/>
        <w:overflowPunct/>
        <w:topLinePunct w:val="0"/>
        <w:autoSpaceDE w:val="0"/>
        <w:autoSpaceDN w:val="0"/>
        <w:bidi w:val="0"/>
        <w:adjustRightInd w:val="0"/>
        <w:spacing w:after="0" w:line="360" w:lineRule="auto"/>
        <w:ind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04AF2883">
      <w:pPr>
        <w:keepNext w:val="0"/>
        <w:keepLines w:val="0"/>
        <w:pageBreakBefore w:val="0"/>
        <w:shd w:val="clear" w:color="auto" w:fill="auto"/>
        <w:kinsoku/>
        <w:wordWrap/>
        <w:overflowPunct/>
        <w:topLinePunct w:val="0"/>
        <w:autoSpaceDE w:val="0"/>
        <w:autoSpaceDN w:val="0"/>
        <w:bidi w:val="0"/>
        <w:adjustRightInd w:val="0"/>
        <w:spacing w:line="520" w:lineRule="exact"/>
        <w:ind w:right="0" w:rightChars="0"/>
        <w:jc w:val="both"/>
        <w:textAlignment w:val="auto"/>
        <w:outlineLvl w:val="0"/>
        <w:rPr>
          <w:rFonts w:hint="eastAsia" w:ascii="宋体" w:hAnsi="宋体" w:eastAsia="宋体" w:cs="宋体"/>
          <w:color w:val="auto"/>
          <w:sz w:val="24"/>
          <w:szCs w:val="24"/>
          <w:highlight w:val="none"/>
        </w:rPr>
      </w:pPr>
    </w:p>
    <w:tbl>
      <w:tblPr>
        <w:tblStyle w:val="33"/>
        <w:tblW w:w="0" w:type="auto"/>
        <w:tblInd w:w="-108" w:type="dxa"/>
        <w:tblLayout w:type="fixed"/>
        <w:tblCellMar>
          <w:top w:w="0" w:type="dxa"/>
          <w:left w:w="0" w:type="dxa"/>
          <w:bottom w:w="0" w:type="dxa"/>
          <w:right w:w="0" w:type="dxa"/>
        </w:tblCellMar>
      </w:tblPr>
      <w:tblGrid>
        <w:gridCol w:w="4643"/>
        <w:gridCol w:w="4643"/>
      </w:tblGrid>
      <w:tr w14:paraId="23A2F721">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36B5C4BB">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方：（盖章）</w:t>
            </w:r>
            <w:r>
              <w:rPr>
                <w:rFonts w:hint="eastAsia" w:ascii="宋体" w:hAnsi="宋体" w:eastAsia="宋体" w:cs="宋体"/>
                <w:color w:val="auto"/>
                <w:sz w:val="24"/>
                <w:szCs w:val="24"/>
                <w:highlight w:val="none"/>
                <w:lang w:val="en-US" w:eastAsia="zh-CN"/>
              </w:rPr>
              <w:t xml:space="preserve"> </w:t>
            </w:r>
          </w:p>
        </w:tc>
        <w:tc>
          <w:tcPr>
            <w:tcW w:w="4643" w:type="dxa"/>
            <w:tcBorders>
              <w:top w:val="nil"/>
              <w:left w:val="nil"/>
              <w:bottom w:val="nil"/>
              <w:right w:val="nil"/>
            </w:tcBorders>
            <w:noWrap w:val="0"/>
            <w:vAlign w:val="top"/>
          </w:tcPr>
          <w:p w14:paraId="6668A0D5">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方：（盖章）</w:t>
            </w:r>
          </w:p>
        </w:tc>
      </w:tr>
      <w:tr w14:paraId="7AB8DA5C">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45A246BC">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w:t>
            </w:r>
          </w:p>
        </w:tc>
        <w:tc>
          <w:tcPr>
            <w:tcW w:w="4643" w:type="dxa"/>
            <w:tcBorders>
              <w:top w:val="nil"/>
              <w:left w:val="nil"/>
              <w:bottom w:val="nil"/>
              <w:right w:val="nil"/>
            </w:tcBorders>
            <w:noWrap w:val="0"/>
            <w:vAlign w:val="top"/>
          </w:tcPr>
          <w:p w14:paraId="7602F0C1">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人：</w:t>
            </w:r>
          </w:p>
        </w:tc>
      </w:tr>
      <w:tr w14:paraId="4A5C92F5">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0CBDA6A">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4643" w:type="dxa"/>
            <w:tcBorders>
              <w:top w:val="nil"/>
              <w:left w:val="nil"/>
              <w:bottom w:val="nil"/>
              <w:right w:val="nil"/>
            </w:tcBorders>
            <w:noWrap w:val="0"/>
            <w:vAlign w:val="top"/>
          </w:tcPr>
          <w:p w14:paraId="22230620">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r>
      <w:tr w14:paraId="131B160A">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26F0ED98">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4643" w:type="dxa"/>
            <w:tcBorders>
              <w:top w:val="nil"/>
              <w:left w:val="nil"/>
              <w:bottom w:val="nil"/>
              <w:right w:val="nil"/>
            </w:tcBorders>
            <w:noWrap w:val="0"/>
            <w:vAlign w:val="top"/>
          </w:tcPr>
          <w:p w14:paraId="77D95EE0">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r>
      <w:tr w14:paraId="18A8F8E3">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731CBF2B">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tc>
        <w:tc>
          <w:tcPr>
            <w:tcW w:w="4643" w:type="dxa"/>
            <w:tcBorders>
              <w:top w:val="nil"/>
              <w:left w:val="nil"/>
              <w:bottom w:val="nil"/>
              <w:right w:val="nil"/>
            </w:tcBorders>
            <w:noWrap w:val="0"/>
            <w:vAlign w:val="top"/>
          </w:tcPr>
          <w:p w14:paraId="0A76A544">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w:t>
            </w:r>
          </w:p>
        </w:tc>
      </w:tr>
      <w:tr w14:paraId="1ADCFCEA">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1DF6D888">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采购代理机构：（盖章） </w:t>
            </w:r>
          </w:p>
        </w:tc>
        <w:tc>
          <w:tcPr>
            <w:tcW w:w="4643" w:type="dxa"/>
            <w:tcBorders>
              <w:top w:val="nil"/>
              <w:left w:val="nil"/>
              <w:bottom w:val="nil"/>
              <w:right w:val="nil"/>
            </w:tcBorders>
            <w:noWrap w:val="0"/>
            <w:vAlign w:val="top"/>
          </w:tcPr>
          <w:p w14:paraId="1640E58E">
            <w:pPr>
              <w:keepNext w:val="0"/>
              <w:keepLines w:val="0"/>
              <w:pageBreakBefore w:val="0"/>
              <w:widowControl/>
              <w:shd w:val="clear" w:color="auto" w:fill="auto"/>
              <w:kinsoku/>
              <w:wordWrap/>
              <w:overflowPunct/>
              <w:topLinePunct w:val="0"/>
              <w:bidi w:val="0"/>
              <w:adjustRightInd w:val="0"/>
              <w:spacing w:line="520" w:lineRule="exact"/>
              <w:ind w:right="0" w:rightChars="0"/>
              <w:jc w:val="left"/>
              <w:textAlignment w:val="auto"/>
              <w:rPr>
                <w:rFonts w:hint="eastAsia" w:ascii="宋体" w:hAnsi="宋体" w:eastAsia="宋体" w:cs="宋体"/>
                <w:color w:val="auto"/>
                <w:sz w:val="24"/>
                <w:szCs w:val="24"/>
                <w:highlight w:val="none"/>
              </w:rPr>
            </w:pPr>
          </w:p>
        </w:tc>
      </w:tr>
      <w:tr w14:paraId="550A9410">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67F87652">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合同备案联系方式</w:t>
            </w:r>
            <w:r>
              <w:rPr>
                <w:rFonts w:hint="eastAsia" w:ascii="宋体" w:hAnsi="宋体" w:eastAsia="宋体" w:cs="宋体"/>
                <w:color w:val="auto"/>
                <w:sz w:val="24"/>
                <w:szCs w:val="24"/>
                <w:highlight w:val="none"/>
                <w:lang w:eastAsia="zh-CN"/>
              </w:rPr>
              <w:t>：</w:t>
            </w:r>
          </w:p>
        </w:tc>
        <w:tc>
          <w:tcPr>
            <w:tcW w:w="4643" w:type="dxa"/>
            <w:tcBorders>
              <w:top w:val="nil"/>
              <w:left w:val="nil"/>
              <w:bottom w:val="nil"/>
              <w:right w:val="nil"/>
            </w:tcBorders>
            <w:noWrap w:val="0"/>
            <w:vAlign w:val="top"/>
          </w:tcPr>
          <w:p w14:paraId="38373C64">
            <w:pPr>
              <w:keepNext w:val="0"/>
              <w:keepLines w:val="0"/>
              <w:pageBreakBefore w:val="0"/>
              <w:widowControl/>
              <w:shd w:val="clear" w:color="auto" w:fill="auto"/>
              <w:kinsoku/>
              <w:wordWrap/>
              <w:overflowPunct/>
              <w:topLinePunct w:val="0"/>
              <w:bidi w:val="0"/>
              <w:adjustRightInd w:val="0"/>
              <w:spacing w:line="520" w:lineRule="exact"/>
              <w:ind w:right="0" w:rightChars="0"/>
              <w:jc w:val="left"/>
              <w:textAlignment w:val="auto"/>
              <w:rPr>
                <w:rFonts w:hint="eastAsia" w:ascii="宋体" w:hAnsi="宋体" w:eastAsia="宋体" w:cs="宋体"/>
                <w:color w:val="auto"/>
                <w:sz w:val="24"/>
                <w:szCs w:val="24"/>
                <w:highlight w:val="none"/>
              </w:rPr>
            </w:pPr>
          </w:p>
        </w:tc>
      </w:tr>
      <w:tr w14:paraId="62AEA1B8">
        <w:tblPrEx>
          <w:tblCellMar>
            <w:top w:w="0" w:type="dxa"/>
            <w:left w:w="0" w:type="dxa"/>
            <w:bottom w:w="0" w:type="dxa"/>
            <w:right w:w="0" w:type="dxa"/>
          </w:tblCellMar>
        </w:tblPrEx>
        <w:tc>
          <w:tcPr>
            <w:tcW w:w="4643" w:type="dxa"/>
            <w:tcBorders>
              <w:top w:val="nil"/>
              <w:left w:val="nil"/>
              <w:bottom w:val="nil"/>
              <w:right w:val="nil"/>
            </w:tcBorders>
            <w:noWrap w:val="0"/>
            <w:vAlign w:val="top"/>
          </w:tcPr>
          <w:p w14:paraId="53FA707A">
            <w:pPr>
              <w:keepNext w:val="0"/>
              <w:keepLines w:val="0"/>
              <w:pageBreakBefore w:val="0"/>
              <w:widowControl/>
              <w:shd w:val="clear" w:color="auto" w:fill="auto"/>
              <w:kinsoku/>
              <w:wordWrap/>
              <w:overflowPunct/>
              <w:topLinePunct w:val="0"/>
              <w:bidi w:val="0"/>
              <w:adjustRightInd w:val="0"/>
              <w:spacing w:line="520" w:lineRule="exact"/>
              <w:ind w:right="0" w:rightChars="0" w:firstLine="720" w:firstLineChars="3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     年    月    日</w:t>
            </w:r>
          </w:p>
        </w:tc>
        <w:tc>
          <w:tcPr>
            <w:tcW w:w="4643" w:type="dxa"/>
            <w:tcBorders>
              <w:top w:val="nil"/>
              <w:left w:val="nil"/>
              <w:bottom w:val="nil"/>
              <w:right w:val="nil"/>
            </w:tcBorders>
            <w:noWrap w:val="0"/>
            <w:vAlign w:val="top"/>
          </w:tcPr>
          <w:p w14:paraId="5BC40AA3">
            <w:pPr>
              <w:keepNext w:val="0"/>
              <w:keepLines w:val="0"/>
              <w:pageBreakBefore w:val="0"/>
              <w:widowControl/>
              <w:shd w:val="clear" w:color="auto" w:fill="auto"/>
              <w:kinsoku/>
              <w:wordWrap/>
              <w:overflowPunct/>
              <w:topLinePunct w:val="0"/>
              <w:bidi w:val="0"/>
              <w:adjustRightInd w:val="0"/>
              <w:spacing w:line="520" w:lineRule="exact"/>
              <w:ind w:right="0" w:rightChars="0"/>
              <w:jc w:val="left"/>
              <w:textAlignment w:val="auto"/>
              <w:rPr>
                <w:rFonts w:hint="eastAsia" w:ascii="宋体" w:hAnsi="宋体" w:eastAsia="宋体" w:cs="宋体"/>
                <w:color w:val="auto"/>
                <w:sz w:val="24"/>
                <w:szCs w:val="24"/>
                <w:highlight w:val="none"/>
              </w:rPr>
            </w:pPr>
          </w:p>
        </w:tc>
      </w:tr>
    </w:tbl>
    <w:p w14:paraId="40E112BC">
      <w:pPr>
        <w:pBdr>
          <w:top w:val="none" w:color="000000" w:sz="0" w:space="0"/>
          <w:left w:val="none" w:color="000000" w:sz="0" w:space="0"/>
          <w:bottom w:val="none" w:color="000000" w:sz="0" w:space="0"/>
          <w:right w:val="none" w:color="000000" w:sz="0" w:space="0"/>
        </w:pBdr>
        <w:spacing w:before="120" w:after="120" w:line="400" w:lineRule="atLeast"/>
        <w:ind w:left="0" w:right="0" w:firstLine="0"/>
        <w:rPr>
          <w:color w:val="auto"/>
          <w:highlight w:val="none"/>
        </w:rPr>
      </w:pPr>
    </w:p>
    <w:p w14:paraId="3F966F0E">
      <w:pPr>
        <w:pStyle w:val="39"/>
        <w:rPr>
          <w:color w:val="auto"/>
          <w:highlight w:val="none"/>
        </w:rPr>
      </w:pPr>
    </w:p>
    <w:p w14:paraId="04E6AFE3">
      <w:pPr>
        <w:pStyle w:val="39"/>
        <w:rPr>
          <w:color w:val="auto"/>
          <w:highlight w:val="none"/>
        </w:rPr>
      </w:pPr>
    </w:p>
    <w:p w14:paraId="2033FD64">
      <w:pPr>
        <w:pStyle w:val="2"/>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color w:val="auto"/>
          <w:sz w:val="44"/>
          <w:highlight w:val="none"/>
        </w:rPr>
        <w:t xml:space="preserve">第六章  投标文件格式 </w:t>
      </w:r>
    </w:p>
    <w:p w14:paraId="4BA57B83">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72"/>
          <w:highlight w:val="none"/>
        </w:rPr>
        <w:t> </w:t>
      </w:r>
    </w:p>
    <w:p w14:paraId="59D6A6A6">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72"/>
          <w:highlight w:val="none"/>
        </w:rPr>
        <w:t>投  标  文  件</w:t>
      </w:r>
    </w:p>
    <w:p w14:paraId="511D0F3F">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72"/>
          <w:highlight w:val="none"/>
        </w:rPr>
        <w:t>  </w:t>
      </w:r>
    </w:p>
    <w:p w14:paraId="23DD9B13">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6"/>
          <w:highlight w:val="none"/>
        </w:rPr>
        <w:t> </w:t>
      </w:r>
    </w:p>
    <w:p w14:paraId="3EB572C6">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宋体" w:hAnsi="宋体" w:eastAsia="宋体" w:cs="宋体"/>
          <w:b/>
          <w:color w:val="auto"/>
          <w:sz w:val="36"/>
          <w:highlight w:val="none"/>
        </w:rPr>
        <w:t> </w:t>
      </w:r>
    </w:p>
    <w:p w14:paraId="4717FEB4">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right="0" w:firstLine="0"/>
        <w:jc w:val="left"/>
        <w:textAlignment w:val="auto"/>
        <w:rPr>
          <w:color w:val="auto"/>
          <w:highlight w:val="none"/>
        </w:rPr>
      </w:pPr>
      <w:r>
        <w:rPr>
          <w:rFonts w:ascii="宋体" w:hAnsi="宋体" w:eastAsia="宋体" w:cs="宋体"/>
          <w:b/>
          <w:color w:val="auto"/>
          <w:sz w:val="36"/>
          <w:highlight w:val="none"/>
        </w:rPr>
        <w:t> </w:t>
      </w:r>
      <w:r>
        <w:rPr>
          <w:rFonts w:hint="eastAsia" w:ascii="宋体" w:hAnsi="宋体" w:cs="宋体"/>
          <w:b/>
          <w:color w:val="auto"/>
          <w:sz w:val="36"/>
          <w:highlight w:val="none"/>
          <w:lang w:val="en-US" w:eastAsia="zh-CN"/>
        </w:rPr>
        <w:t xml:space="preserve">    </w:t>
      </w:r>
      <w:r>
        <w:rPr>
          <w:rFonts w:ascii="宋体" w:hAnsi="宋体" w:eastAsia="宋体" w:cs="宋体"/>
          <w:b/>
          <w:color w:val="auto"/>
          <w:sz w:val="36"/>
          <w:highlight w:val="none"/>
        </w:rPr>
        <w:t>项 目 编 号：</w:t>
      </w:r>
    </w:p>
    <w:p w14:paraId="590D165C">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leftChars="0" w:right="0" w:firstLine="1084" w:firstLineChars="300"/>
        <w:jc w:val="left"/>
        <w:textAlignment w:val="auto"/>
        <w:rPr>
          <w:rFonts w:hint="default" w:eastAsia="宋体"/>
          <w:color w:val="auto"/>
          <w:highlight w:val="none"/>
          <w:lang w:val="en-US" w:eastAsia="zh-CN"/>
        </w:rPr>
      </w:pPr>
      <w:r>
        <w:rPr>
          <w:rFonts w:hint="eastAsia" w:ascii="宋体" w:hAnsi="宋体" w:cs="宋体"/>
          <w:b/>
          <w:color w:val="auto"/>
          <w:sz w:val="36"/>
          <w:highlight w:val="none"/>
          <w:u w:val="none"/>
          <w:lang w:val="en-US" w:eastAsia="zh-CN"/>
        </w:rPr>
        <w:t>项 目 名 称：</w:t>
      </w:r>
      <w:r>
        <w:rPr>
          <w:rFonts w:ascii="宋体" w:hAnsi="宋体" w:eastAsia="宋体" w:cs="宋体"/>
          <w:b/>
          <w:color w:val="auto"/>
          <w:sz w:val="36"/>
          <w:highlight w:val="none"/>
          <w:u w:val="none"/>
        </w:rPr>
        <w:t>  </w:t>
      </w:r>
      <w:r>
        <w:rPr>
          <w:rFonts w:hint="eastAsia" w:ascii="宋体" w:hAnsi="宋体" w:cs="宋体"/>
          <w:b/>
          <w:color w:val="auto"/>
          <w:sz w:val="36"/>
          <w:highlight w:val="none"/>
          <w:u w:val="none"/>
          <w:lang w:val="en-US" w:eastAsia="zh-CN"/>
        </w:rPr>
        <w:t xml:space="preserve">                </w:t>
      </w:r>
      <w:r>
        <w:rPr>
          <w:rFonts w:ascii="宋体" w:hAnsi="宋体" w:eastAsia="宋体" w:cs="宋体"/>
          <w:b/>
          <w:color w:val="auto"/>
          <w:sz w:val="36"/>
          <w:highlight w:val="none"/>
          <w:u w:val="none"/>
        </w:rPr>
        <w:t>       </w:t>
      </w:r>
      <w:r>
        <w:rPr>
          <w:rFonts w:hint="eastAsia" w:ascii="宋体" w:hAnsi="宋体" w:cs="宋体"/>
          <w:b/>
          <w:color w:val="auto"/>
          <w:sz w:val="36"/>
          <w:highlight w:val="none"/>
          <w:u w:val="none"/>
          <w:lang w:val="en-US" w:eastAsia="zh-CN"/>
        </w:rPr>
        <w:t xml:space="preserve">     </w:t>
      </w:r>
    </w:p>
    <w:p w14:paraId="0676C689">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right="0" w:firstLine="1084"/>
        <w:jc w:val="left"/>
        <w:textAlignment w:val="auto"/>
        <w:rPr>
          <w:color w:val="auto"/>
          <w:highlight w:val="none"/>
          <w:u w:val="single"/>
        </w:rPr>
      </w:pPr>
      <w:r>
        <w:rPr>
          <w:rFonts w:ascii="宋体" w:hAnsi="宋体" w:eastAsia="宋体" w:cs="宋体"/>
          <w:b/>
          <w:color w:val="auto"/>
          <w:sz w:val="36"/>
          <w:highlight w:val="none"/>
        </w:rPr>
        <w:t>分 包 号：</w:t>
      </w:r>
      <w:r>
        <w:rPr>
          <w:rFonts w:ascii="宋体" w:hAnsi="宋体" w:eastAsia="宋体" w:cs="宋体"/>
          <w:b/>
          <w:color w:val="auto"/>
          <w:sz w:val="36"/>
          <w:highlight w:val="none"/>
          <w:u w:val="single"/>
        </w:rPr>
        <w:t>（清晰标注所投分包）</w:t>
      </w:r>
    </w:p>
    <w:p w14:paraId="26F4F99D">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right="0" w:firstLine="1084"/>
        <w:jc w:val="left"/>
        <w:textAlignment w:val="auto"/>
        <w:rPr>
          <w:rFonts w:hint="default" w:eastAsia="宋体"/>
          <w:color w:val="auto"/>
          <w:highlight w:val="none"/>
          <w:lang w:val="en-US" w:eastAsia="zh-CN"/>
        </w:rPr>
      </w:pPr>
      <w:r>
        <w:rPr>
          <w:rFonts w:ascii="宋体" w:hAnsi="宋体" w:eastAsia="宋体" w:cs="宋体"/>
          <w:b/>
          <w:color w:val="auto"/>
          <w:sz w:val="36"/>
          <w:highlight w:val="none"/>
        </w:rPr>
        <w:t>投标人名称（公章）：</w:t>
      </w:r>
      <w:r>
        <w:rPr>
          <w:rFonts w:hint="eastAsia"/>
          <w:b/>
          <w:color w:val="auto"/>
          <w:sz w:val="36"/>
          <w:szCs w:val="36"/>
          <w:highlight w:val="none"/>
          <w:u w:val="none"/>
        </w:rPr>
        <w:t xml:space="preserve">（加盖CA电子公章）  </w:t>
      </w:r>
      <w:r>
        <w:rPr>
          <w:rFonts w:hint="eastAsia" w:ascii="宋体" w:hAnsi="宋体" w:cs="宋体"/>
          <w:b/>
          <w:color w:val="auto"/>
          <w:sz w:val="36"/>
          <w:highlight w:val="none"/>
          <w:u w:val="none"/>
          <w:lang w:val="en-US" w:eastAsia="zh-CN"/>
        </w:rPr>
        <w:t xml:space="preserve"> </w:t>
      </w:r>
    </w:p>
    <w:p w14:paraId="5D6286B6">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right="0" w:firstLine="0"/>
        <w:jc w:val="left"/>
        <w:textAlignment w:val="auto"/>
        <w:rPr>
          <w:color w:val="auto"/>
          <w:highlight w:val="none"/>
          <w:u w:val="single"/>
        </w:rPr>
      </w:pPr>
      <w:r>
        <w:rPr>
          <w:rFonts w:hint="eastAsia"/>
          <w:b/>
          <w:color w:val="auto"/>
          <w:sz w:val="36"/>
          <w:szCs w:val="36"/>
          <w:highlight w:val="none"/>
          <w:u w:val="none"/>
        </w:rPr>
        <w:t xml:space="preserve"> </w:t>
      </w:r>
      <w:r>
        <w:rPr>
          <w:rFonts w:hint="eastAsia"/>
          <w:b/>
          <w:color w:val="auto"/>
          <w:sz w:val="36"/>
          <w:szCs w:val="36"/>
          <w:highlight w:val="none"/>
          <w:u w:val="none"/>
          <w:lang w:val="en-US" w:eastAsia="zh-CN"/>
        </w:rPr>
        <w:t xml:space="preserve">     </w:t>
      </w:r>
      <w:r>
        <w:rPr>
          <w:rFonts w:hint="eastAsia"/>
          <w:b/>
          <w:color w:val="auto"/>
          <w:sz w:val="36"/>
          <w:szCs w:val="36"/>
          <w:highlight w:val="none"/>
          <w:u w:val="none"/>
        </w:rPr>
        <w:t>法定代表人或授权代表（签名）：</w:t>
      </w:r>
    </w:p>
    <w:p w14:paraId="7E14932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left="0" w:right="0" w:firstLine="0"/>
        <w:jc w:val="left"/>
        <w:textAlignment w:val="auto"/>
        <w:rPr>
          <w:color w:val="auto"/>
          <w:highlight w:val="none"/>
        </w:rPr>
      </w:pPr>
    </w:p>
    <w:p w14:paraId="5D9F7376">
      <w:pPr>
        <w:pBdr>
          <w:top w:val="none" w:color="000000" w:sz="0" w:space="0"/>
          <w:left w:val="none" w:color="000000" w:sz="0" w:space="0"/>
          <w:bottom w:val="none" w:color="000000" w:sz="0" w:space="0"/>
          <w:right w:val="none" w:color="000000" w:sz="0" w:space="0"/>
        </w:pBdr>
        <w:spacing w:before="0" w:after="0" w:line="439" w:lineRule="atLeast"/>
        <w:ind w:left="0" w:right="0" w:firstLine="1084" w:firstLineChars="300"/>
        <w:jc w:val="both"/>
        <w:rPr>
          <w:color w:val="auto"/>
          <w:highlight w:val="none"/>
        </w:rPr>
      </w:pPr>
      <w:r>
        <w:rPr>
          <w:rFonts w:ascii="宋体" w:hAnsi="宋体" w:eastAsia="宋体" w:cs="宋体"/>
          <w:b/>
          <w:color w:val="auto"/>
          <w:sz w:val="36"/>
          <w:highlight w:val="none"/>
        </w:rPr>
        <w:t>日      期 ：</w:t>
      </w:r>
    </w:p>
    <w:p w14:paraId="60406F4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auto"/>
          <w:highlight w:val="none"/>
        </w:rPr>
      </w:pPr>
      <w:r>
        <w:rPr>
          <w:rFonts w:ascii="宋体" w:hAnsi="宋体" w:eastAsia="宋体" w:cs="宋体"/>
          <w:b/>
          <w:color w:val="auto"/>
          <w:sz w:val="32"/>
          <w:highlight w:val="none"/>
        </w:rPr>
        <w:t> </w:t>
      </w:r>
    </w:p>
    <w:p w14:paraId="187470AE">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auto"/>
          <w:highlight w:val="none"/>
        </w:rPr>
      </w:pPr>
      <w:r>
        <w:rPr>
          <w:rFonts w:ascii="宋体" w:hAnsi="宋体" w:eastAsia="宋体" w:cs="宋体"/>
          <w:b/>
          <w:color w:val="auto"/>
          <w:sz w:val="32"/>
          <w:highlight w:val="none"/>
        </w:rPr>
        <w:t> </w:t>
      </w:r>
    </w:p>
    <w:p w14:paraId="105A0CBE">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auto"/>
          <w:highlight w:val="none"/>
        </w:rPr>
      </w:pPr>
      <w:r>
        <w:rPr>
          <w:rFonts w:ascii="宋体" w:hAnsi="宋体" w:eastAsia="宋体" w:cs="宋体"/>
          <w:b/>
          <w:color w:val="auto"/>
          <w:sz w:val="32"/>
          <w:highlight w:val="none"/>
        </w:rPr>
        <w:t> </w:t>
      </w:r>
    </w:p>
    <w:p w14:paraId="78D9F513">
      <w:pPr>
        <w:pBdr>
          <w:top w:val="none" w:color="000000" w:sz="0" w:space="0"/>
          <w:left w:val="none" w:color="000000" w:sz="0" w:space="0"/>
          <w:bottom w:val="none" w:color="000000" w:sz="0" w:space="0"/>
          <w:right w:val="none" w:color="000000" w:sz="0" w:space="0"/>
        </w:pBdr>
        <w:spacing w:before="0" w:after="0" w:line="439" w:lineRule="atLeast"/>
        <w:ind w:left="0" w:right="0" w:firstLine="0"/>
        <w:rPr>
          <w:color w:val="auto"/>
          <w:highlight w:val="none"/>
        </w:rPr>
      </w:pPr>
      <w:r>
        <w:rPr>
          <w:rFonts w:ascii="宋体" w:hAnsi="宋体" w:eastAsia="宋体" w:cs="宋体"/>
          <w:b/>
          <w:color w:val="auto"/>
          <w:sz w:val="32"/>
          <w:highlight w:val="none"/>
        </w:rPr>
        <w:t> </w:t>
      </w:r>
    </w:p>
    <w:p w14:paraId="55E631B7">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ascii="宋体" w:hAnsi="宋体" w:eastAsia="宋体" w:cs="宋体"/>
          <w:b/>
          <w:color w:val="auto"/>
          <w:sz w:val="32"/>
          <w:highlight w:val="none"/>
        </w:rPr>
      </w:pPr>
      <w:r>
        <w:rPr>
          <w:rFonts w:ascii="宋体" w:hAnsi="宋体" w:eastAsia="宋体" w:cs="宋体"/>
          <w:b/>
          <w:color w:val="auto"/>
          <w:sz w:val="32"/>
          <w:highlight w:val="none"/>
        </w:rPr>
        <w:t> </w:t>
      </w:r>
    </w:p>
    <w:p w14:paraId="6847A474">
      <w:pPr>
        <w:pBdr>
          <w:top w:val="none" w:color="000000" w:sz="0" w:space="0"/>
          <w:left w:val="none" w:color="000000" w:sz="0" w:space="0"/>
          <w:bottom w:val="none" w:color="000000" w:sz="0" w:space="0"/>
          <w:right w:val="none" w:color="000000" w:sz="0" w:space="0"/>
        </w:pBdr>
        <w:spacing w:before="0" w:after="0" w:line="439" w:lineRule="atLeast"/>
        <w:ind w:left="0" w:right="0" w:firstLine="0"/>
        <w:rPr>
          <w:rFonts w:ascii="宋体" w:hAnsi="宋体" w:eastAsia="宋体" w:cs="宋体"/>
          <w:b/>
          <w:color w:val="auto"/>
          <w:sz w:val="32"/>
          <w:highlight w:val="none"/>
        </w:rPr>
      </w:pPr>
    </w:p>
    <w:p w14:paraId="61A24BBC">
      <w:pPr>
        <w:pBdr>
          <w:top w:val="none" w:color="000000" w:sz="0" w:space="0"/>
          <w:left w:val="none" w:color="000000" w:sz="0" w:space="0"/>
          <w:bottom w:val="none" w:color="000000" w:sz="0" w:space="0"/>
          <w:right w:val="none" w:color="000000" w:sz="0" w:space="0"/>
        </w:pBdr>
        <w:spacing w:before="0" w:after="0" w:line="439" w:lineRule="atLeast"/>
        <w:ind w:left="0" w:right="0" w:firstLine="0"/>
        <w:rPr>
          <w:color w:val="auto"/>
          <w:highlight w:val="none"/>
        </w:rPr>
      </w:pPr>
      <w:r>
        <w:rPr>
          <w:rFonts w:ascii="宋体" w:hAnsi="宋体" w:eastAsia="宋体" w:cs="宋体"/>
          <w:b/>
          <w:color w:val="auto"/>
          <w:sz w:val="32"/>
          <w:highlight w:val="none"/>
        </w:rPr>
        <w:t> </w:t>
      </w:r>
    </w:p>
    <w:p w14:paraId="216EF824">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r>
        <w:rPr>
          <w:rFonts w:ascii="宋体" w:hAnsi="宋体" w:eastAsia="宋体" w:cs="宋体"/>
          <w:b/>
          <w:color w:val="auto"/>
          <w:sz w:val="32"/>
          <w:highlight w:val="none"/>
        </w:rPr>
        <w:t xml:space="preserve"> </w:t>
      </w:r>
    </w:p>
    <w:p w14:paraId="3C92A52B">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right="0"/>
        <w:jc w:val="center"/>
        <w:textAlignment w:val="auto"/>
        <w:rPr>
          <w:rFonts w:hint="eastAsia" w:ascii="宋体" w:hAnsi="宋体" w:eastAsia="宋体" w:cs="宋体"/>
          <w:b/>
          <w:color w:val="auto"/>
          <w:sz w:val="32"/>
          <w:szCs w:val="32"/>
          <w:highlight w:val="none"/>
          <w:u w:val="none"/>
          <w:lang w:val="en-US" w:eastAsia="zh-CN"/>
        </w:rPr>
      </w:pPr>
      <w:bookmarkStart w:id="17" w:name="_Toc11482"/>
      <w:bookmarkStart w:id="18" w:name="_Toc514054485"/>
    </w:p>
    <w:p w14:paraId="6702BE62">
      <w:pPr>
        <w:keepNext w:val="0"/>
        <w:keepLines w:val="0"/>
        <w:pageBreakBefore w:val="0"/>
        <w:widowControl/>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ind w:right="0"/>
        <w:jc w:val="center"/>
        <w:textAlignment w:val="auto"/>
        <w:rPr>
          <w:rFonts w:hint="eastAsia" w:ascii="宋体" w:hAnsi="宋体" w:eastAsia="宋体" w:cs="宋体"/>
          <w:b/>
          <w:color w:val="auto"/>
          <w:sz w:val="32"/>
          <w:szCs w:val="32"/>
          <w:highlight w:val="none"/>
          <w:u w:val="none"/>
          <w:lang w:val="en-US" w:eastAsia="zh-CN"/>
        </w:rPr>
      </w:pPr>
      <w:r>
        <w:rPr>
          <w:rFonts w:hint="eastAsia" w:ascii="宋体" w:hAnsi="宋体" w:eastAsia="宋体" w:cs="宋体"/>
          <w:b/>
          <w:color w:val="auto"/>
          <w:sz w:val="32"/>
          <w:szCs w:val="32"/>
          <w:highlight w:val="none"/>
          <w:u w:val="none"/>
          <w:lang w:val="en-US" w:eastAsia="zh-CN"/>
        </w:rPr>
        <w:t>目录</w:t>
      </w:r>
      <w:bookmarkEnd w:id="17"/>
      <w:bookmarkEnd w:id="18"/>
    </w:p>
    <w:p w14:paraId="234DCBCD">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0D52AABA">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56139211">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53D995D8">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5439FD78">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2D5B3CFA">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15C56523">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5B49F1B0">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421C4ADE">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4DE48CB6">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213D14A4">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37B38C54">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741BC0DA">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475106D7">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028821FC">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7FF37B5D">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786E06F4">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55837632">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28D44CD8">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49079061">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62544A2C">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1E7F6127">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1BE52752">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3553F59D">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387A2BBD">
      <w:pPr>
        <w:pBdr>
          <w:top w:val="none" w:color="000000" w:sz="0" w:space="0"/>
          <w:left w:val="none" w:color="000000" w:sz="0" w:space="0"/>
          <w:bottom w:val="none" w:color="000000" w:sz="0" w:space="0"/>
          <w:right w:val="none" w:color="000000" w:sz="0" w:space="0"/>
        </w:pBdr>
        <w:spacing w:before="0" w:after="0"/>
        <w:ind w:left="0" w:right="0" w:firstLine="0"/>
        <w:rPr>
          <w:rFonts w:ascii="宋体" w:hAnsi="宋体" w:eastAsia="宋体" w:cs="宋体"/>
          <w:b/>
          <w:color w:val="auto"/>
          <w:sz w:val="32"/>
          <w:highlight w:val="none"/>
        </w:rPr>
      </w:pPr>
    </w:p>
    <w:p w14:paraId="25B3C056">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auto"/>
          <w:sz w:val="21"/>
          <w:highlight w:val="none"/>
        </w:rPr>
      </w:pPr>
    </w:p>
    <w:p w14:paraId="49D32C57">
      <w:pPr>
        <w:widowControl/>
        <w:shd w:val="clear" w:color="auto" w:fill="FFFFFF"/>
        <w:spacing w:line="276" w:lineRule="auto"/>
        <w:outlineLvl w:val="0"/>
        <w:rPr>
          <w:rFonts w:hint="eastAsia" w:ascii="宋体" w:hAnsi="宋体" w:eastAsia="宋体" w:cs="宋体"/>
          <w:b/>
          <w:bCs/>
          <w:color w:val="auto"/>
          <w:kern w:val="0"/>
          <w:sz w:val="24"/>
          <w:szCs w:val="24"/>
          <w:highlight w:val="none"/>
          <w:lang w:val="zh-CN"/>
        </w:rPr>
      </w:pPr>
    </w:p>
    <w:p w14:paraId="3BF602BB">
      <w:pPr>
        <w:widowControl/>
        <w:shd w:val="clear" w:color="auto" w:fill="FFFFFF"/>
        <w:spacing w:line="276" w:lineRule="auto"/>
        <w:outlineLvl w:val="0"/>
        <w:rPr>
          <w:rFonts w:hint="eastAsia" w:ascii="宋体" w:hAnsi="宋体" w:eastAsia="宋体" w:cs="宋体"/>
          <w:b/>
          <w:bCs/>
          <w:color w:val="auto"/>
          <w:kern w:val="0"/>
          <w:sz w:val="28"/>
          <w:szCs w:val="28"/>
          <w:highlight w:val="none"/>
          <w:lang w:val="zh-CN"/>
        </w:rPr>
      </w:pPr>
      <w:r>
        <w:rPr>
          <w:rFonts w:hint="eastAsia" w:ascii="宋体" w:hAnsi="宋体" w:eastAsia="宋体" w:cs="宋体"/>
          <w:b/>
          <w:bCs/>
          <w:color w:val="auto"/>
          <w:kern w:val="0"/>
          <w:sz w:val="24"/>
          <w:szCs w:val="24"/>
          <w:highlight w:val="none"/>
          <w:lang w:val="zh-CN"/>
        </w:rPr>
        <w:t>一、投标申请及声明格式</w:t>
      </w:r>
    </w:p>
    <w:p w14:paraId="7282D73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8"/>
          <w:szCs w:val="28"/>
          <w:highlight w:val="none"/>
          <w:lang w:val="zh-CN"/>
        </w:rPr>
        <w:t>投标申请及声明</w:t>
      </w:r>
    </w:p>
    <w:p w14:paraId="6BAED9AE">
      <w:pPr>
        <w:keepNext w:val="0"/>
        <w:keepLines w:val="0"/>
        <w:pageBreakBefore w:val="0"/>
        <w:widowControl/>
        <w:shd w:val="clear" w:color="auto" w:fill="FFFFFF"/>
        <w:kinsoku/>
        <w:wordWrap/>
        <w:overflowPunct/>
        <w:topLinePunct w:val="0"/>
        <w:autoSpaceDE/>
        <w:autoSpaceDN/>
        <w:bidi w:val="0"/>
        <w:adjustRightInd/>
        <w:snapToGrid/>
        <w:spacing w:after="0" w:line="312"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eastAsia="宋体" w:cs="宋体"/>
          <w:color w:val="auto"/>
          <w:kern w:val="0"/>
          <w:sz w:val="24"/>
          <w:szCs w:val="24"/>
          <w:highlight w:val="none"/>
          <w:lang w:val="zh-CN" w:eastAsia="zh-CN"/>
        </w:rPr>
        <w:t>南京市江宁区市场监督管理局</w:t>
      </w:r>
    </w:p>
    <w:p w14:paraId="560DABC3">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根据贵方</w:t>
      </w:r>
      <w:r>
        <w:rPr>
          <w:rFonts w:hint="eastAsia" w:ascii="宋体" w:hAnsi="宋体" w:eastAsia="宋体" w:cs="宋体"/>
          <w:color w:val="auto"/>
          <w:kern w:val="0"/>
          <w:sz w:val="24"/>
          <w:szCs w:val="24"/>
          <w:highlight w:val="none"/>
          <w:u w:val="single"/>
        </w:rPr>
        <w:t>              </w:t>
      </w:r>
      <w:r>
        <w:rPr>
          <w:rFonts w:hint="eastAsia" w:ascii="宋体" w:hAnsi="宋体" w:eastAsia="宋体" w:cs="宋体"/>
          <w:b/>
          <w:bCs/>
          <w:color w:val="auto"/>
          <w:kern w:val="0"/>
          <w:sz w:val="24"/>
          <w:szCs w:val="24"/>
          <w:highlight w:val="none"/>
        </w:rPr>
        <w:t>（项目名称</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（项目编号）投标邀请，正式授权下述签字人</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(姓名和职务)代表投标人</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名称），提交投标文件。</w:t>
      </w:r>
    </w:p>
    <w:p w14:paraId="5A2F9CB0">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据此函，签字人兹宣布声明和承诺如下：</w:t>
      </w:r>
    </w:p>
    <w:p w14:paraId="1965CE5D">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b/>
          <w:bCs/>
          <w:color w:val="auto"/>
          <w:kern w:val="0"/>
          <w:sz w:val="24"/>
          <w:szCs w:val="24"/>
          <w:highlight w:val="none"/>
        </w:rPr>
        <w:t>我们的资格条件完全符合政府采购法和本次招标要求</w:t>
      </w:r>
      <w:r>
        <w:rPr>
          <w:rFonts w:hint="eastAsia" w:ascii="宋体" w:hAnsi="宋体" w:eastAsia="宋体" w:cs="宋体"/>
          <w:color w:val="auto"/>
          <w:kern w:val="0"/>
          <w:sz w:val="24"/>
          <w:szCs w:val="24"/>
          <w:highlight w:val="none"/>
        </w:rPr>
        <w:t>，我们同意并向贵方提供了与投标有关的所有证据和资料。</w:t>
      </w:r>
    </w:p>
    <w:p w14:paraId="40750EA2">
      <w:pPr>
        <w:pStyle w:val="3"/>
        <w:keepNext w:val="0"/>
        <w:keepLines w:val="0"/>
        <w:pageBreakBefore w:val="0"/>
        <w:widowControl/>
        <w:kinsoku/>
        <w:wordWrap/>
        <w:overflowPunct/>
        <w:topLinePunct w:val="0"/>
        <w:autoSpaceDE/>
        <w:autoSpaceDN/>
        <w:bidi w:val="0"/>
        <w:adjustRightInd/>
        <w:snapToGrid/>
        <w:spacing w:before="0" w:after="0" w:line="312" w:lineRule="auto"/>
        <w:ind w:firstLine="480" w:firstLineChars="200"/>
        <w:jc w:val="left"/>
        <w:textAlignment w:val="auto"/>
        <w:rPr>
          <w:rFonts w:hint="eastAsia" w:ascii="宋体" w:hAnsi="宋体" w:eastAsia="宋体" w:cs="宋体"/>
          <w:bCs w:val="0"/>
          <w:color w:val="auto"/>
          <w:sz w:val="24"/>
          <w:szCs w:val="24"/>
          <w:highlight w:val="none"/>
        </w:rPr>
      </w:pPr>
      <w:r>
        <w:rPr>
          <w:rFonts w:hint="eastAsia" w:ascii="宋体" w:hAnsi="宋体" w:eastAsia="宋体" w:cs="宋体"/>
          <w:color w:val="auto"/>
          <w:sz w:val="24"/>
          <w:szCs w:val="24"/>
          <w:highlight w:val="none"/>
        </w:rPr>
        <w:t>2、按招标要求，我们的投标总报价为：</w:t>
      </w:r>
      <w:r>
        <w:rPr>
          <w:rFonts w:hint="eastAsia" w:ascii="宋体" w:hAnsi="宋体" w:eastAsia="宋体" w:cs="宋体"/>
          <w:bCs w:val="0"/>
          <w:color w:val="auto"/>
          <w:sz w:val="24"/>
          <w:szCs w:val="24"/>
          <w:highlight w:val="none"/>
          <w:u w:val="single"/>
        </w:rPr>
        <w:t>       </w:t>
      </w:r>
      <w:r>
        <w:rPr>
          <w:rFonts w:hint="eastAsia" w:ascii="宋体" w:hAnsi="宋体" w:eastAsia="宋体" w:cs="宋体"/>
          <w:color w:val="auto"/>
          <w:sz w:val="24"/>
          <w:szCs w:val="24"/>
          <w:highlight w:val="none"/>
        </w:rPr>
        <w:t>元人</w:t>
      </w:r>
      <w:r>
        <w:rPr>
          <w:rFonts w:hint="eastAsia" w:ascii="宋体" w:hAnsi="宋体" w:eastAsia="宋体" w:cs="宋体"/>
          <w:bCs w:val="0"/>
          <w:color w:val="auto"/>
          <w:sz w:val="24"/>
          <w:szCs w:val="24"/>
          <w:highlight w:val="none"/>
        </w:rPr>
        <w:t>民币。</w:t>
      </w:r>
    </w:p>
    <w:p w14:paraId="5E80ABCF">
      <w:pPr>
        <w:pStyle w:val="3"/>
        <w:keepNext w:val="0"/>
        <w:keepLines w:val="0"/>
        <w:pageBreakBefore w:val="0"/>
        <w:widowControl/>
        <w:kinsoku/>
        <w:wordWrap/>
        <w:overflowPunct/>
        <w:topLinePunct w:val="0"/>
        <w:autoSpaceDE/>
        <w:autoSpaceDN/>
        <w:bidi w:val="0"/>
        <w:adjustRightInd/>
        <w:snapToGrid/>
        <w:spacing w:before="0" w:after="0" w:line="312" w:lineRule="auto"/>
        <w:ind w:firstLine="480" w:firstLineChars="200"/>
        <w:jc w:val="left"/>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3、本项目</w:t>
      </w:r>
      <w:r>
        <w:rPr>
          <w:rFonts w:hint="eastAsia" w:ascii="宋体" w:hAnsi="宋体" w:eastAsia="宋体" w:cs="宋体"/>
          <w:b w:val="0"/>
          <w:color w:val="auto"/>
          <w:sz w:val="24"/>
          <w:szCs w:val="24"/>
          <w:highlight w:val="none"/>
          <w:lang w:val="en-US" w:eastAsia="zh-CN"/>
        </w:rPr>
        <w:t>合同履行期限</w:t>
      </w:r>
      <w:r>
        <w:rPr>
          <w:rFonts w:hint="eastAsia" w:ascii="宋体" w:hAnsi="宋体" w:eastAsia="宋体" w:cs="宋体"/>
          <w:b w:val="0"/>
          <w:color w:val="auto"/>
          <w:sz w:val="24"/>
          <w:szCs w:val="24"/>
          <w:highlight w:val="none"/>
        </w:rPr>
        <w:t>：</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u w:val="none"/>
        </w:rPr>
        <w:t>。</w:t>
      </w:r>
    </w:p>
    <w:p w14:paraId="4B8B4F0D">
      <w:pPr>
        <w:pStyle w:val="3"/>
        <w:keepNext w:val="0"/>
        <w:keepLines w:val="0"/>
        <w:pageBreakBefore w:val="0"/>
        <w:widowControl/>
        <w:kinsoku/>
        <w:wordWrap/>
        <w:overflowPunct/>
        <w:topLinePunct w:val="0"/>
        <w:autoSpaceDE/>
        <w:autoSpaceDN/>
        <w:bidi w:val="0"/>
        <w:adjustRightInd/>
        <w:snapToGrid/>
        <w:spacing w:before="0" w:after="0" w:line="312" w:lineRule="auto"/>
        <w:ind w:firstLine="480" w:firstLineChars="200"/>
        <w:jc w:val="left"/>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4</w:t>
      </w:r>
      <w:r>
        <w:rPr>
          <w:rFonts w:hint="eastAsia" w:ascii="宋体" w:hAnsi="宋体" w:eastAsia="宋体" w:cs="宋体"/>
          <w:b w:val="0"/>
          <w:color w:val="auto"/>
          <w:sz w:val="24"/>
          <w:szCs w:val="24"/>
          <w:highlight w:val="none"/>
        </w:rPr>
        <w:t>、我们已详细审核全部招标文件及其有效补充文件，我们放弃对招标文件任何误解的权利，提交投标文件后，</w:t>
      </w:r>
      <w:r>
        <w:rPr>
          <w:rFonts w:hint="eastAsia" w:ascii="宋体" w:hAnsi="宋体" w:eastAsia="宋体" w:cs="宋体"/>
          <w:color w:val="auto"/>
          <w:sz w:val="24"/>
          <w:szCs w:val="24"/>
          <w:highlight w:val="none"/>
        </w:rPr>
        <w:t>不对招标文件本身提出质疑</w:t>
      </w:r>
      <w:r>
        <w:rPr>
          <w:rFonts w:hint="eastAsia" w:ascii="宋体" w:hAnsi="宋体" w:eastAsia="宋体" w:cs="宋体"/>
          <w:b w:val="0"/>
          <w:color w:val="auto"/>
          <w:sz w:val="24"/>
          <w:szCs w:val="24"/>
          <w:highlight w:val="none"/>
        </w:rPr>
        <w:t>。</w:t>
      </w:r>
    </w:p>
    <w:p w14:paraId="071AF8D4">
      <w:pPr>
        <w:pStyle w:val="3"/>
        <w:keepNext w:val="0"/>
        <w:keepLines w:val="0"/>
        <w:pageBreakBefore w:val="0"/>
        <w:widowControl/>
        <w:kinsoku/>
        <w:wordWrap/>
        <w:overflowPunct/>
        <w:topLinePunct w:val="0"/>
        <w:autoSpaceDE/>
        <w:autoSpaceDN/>
        <w:bidi w:val="0"/>
        <w:adjustRightInd/>
        <w:snapToGrid/>
        <w:spacing w:before="0" w:after="0" w:line="312" w:lineRule="auto"/>
        <w:ind w:firstLine="480" w:firstLineChars="200"/>
        <w:jc w:val="left"/>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5</w:t>
      </w:r>
      <w:r>
        <w:rPr>
          <w:rFonts w:hint="eastAsia" w:ascii="宋体" w:hAnsi="宋体" w:eastAsia="宋体" w:cs="宋体"/>
          <w:b w:val="0"/>
          <w:color w:val="auto"/>
          <w:sz w:val="24"/>
          <w:szCs w:val="24"/>
          <w:highlight w:val="none"/>
        </w:rPr>
        <w:t>、我们同意从规定的开标日期起遵循本投标文件，并在规定的投标有效期期满之前均具有约束力。</w:t>
      </w:r>
    </w:p>
    <w:p w14:paraId="61C37D16">
      <w:pPr>
        <w:pStyle w:val="3"/>
        <w:keepNext w:val="0"/>
        <w:keepLines w:val="0"/>
        <w:pageBreakBefore w:val="0"/>
        <w:widowControl/>
        <w:kinsoku/>
        <w:wordWrap/>
        <w:overflowPunct/>
        <w:topLinePunct w:val="0"/>
        <w:autoSpaceDE/>
        <w:autoSpaceDN/>
        <w:bidi w:val="0"/>
        <w:adjustRightInd/>
        <w:snapToGrid/>
        <w:spacing w:before="0" w:after="0" w:line="312" w:lineRule="auto"/>
        <w:ind w:firstLine="480" w:firstLineChars="200"/>
        <w:jc w:val="left"/>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6</w:t>
      </w:r>
      <w:r>
        <w:rPr>
          <w:rFonts w:hint="eastAsia" w:ascii="宋体" w:hAnsi="宋体" w:eastAsia="宋体" w:cs="宋体"/>
          <w:b w:val="0"/>
          <w:color w:val="auto"/>
          <w:sz w:val="24"/>
          <w:szCs w:val="24"/>
          <w:highlight w:val="none"/>
        </w:rPr>
        <w:t>、投标截止时间结束后参加投标的</w:t>
      </w:r>
      <w:r>
        <w:rPr>
          <w:rFonts w:hint="eastAsia" w:ascii="宋体" w:hAnsi="宋体" w:eastAsia="宋体" w:cs="宋体"/>
          <w:b w:val="0"/>
          <w:color w:val="auto"/>
          <w:sz w:val="24"/>
          <w:szCs w:val="24"/>
          <w:highlight w:val="none"/>
          <w:lang w:eastAsia="zh-CN"/>
        </w:rPr>
        <w:t>投标人</w:t>
      </w:r>
      <w:r>
        <w:rPr>
          <w:rFonts w:hint="eastAsia" w:ascii="宋体" w:hAnsi="宋体" w:eastAsia="宋体" w:cs="宋体"/>
          <w:b w:val="0"/>
          <w:color w:val="auto"/>
          <w:sz w:val="24"/>
          <w:szCs w:val="24"/>
          <w:highlight w:val="none"/>
        </w:rPr>
        <w:t>不足三家的，或在评标期间出现符合专业条件的</w:t>
      </w:r>
      <w:r>
        <w:rPr>
          <w:rFonts w:hint="eastAsia" w:ascii="宋体" w:hAnsi="宋体" w:eastAsia="宋体" w:cs="宋体"/>
          <w:b w:val="0"/>
          <w:color w:val="auto"/>
          <w:sz w:val="24"/>
          <w:szCs w:val="24"/>
          <w:highlight w:val="none"/>
          <w:lang w:eastAsia="zh-CN"/>
        </w:rPr>
        <w:t>投标人</w:t>
      </w:r>
      <w:r>
        <w:rPr>
          <w:rFonts w:hint="eastAsia" w:ascii="宋体" w:hAnsi="宋体" w:eastAsia="宋体" w:cs="宋体"/>
          <w:b w:val="0"/>
          <w:color w:val="auto"/>
          <w:sz w:val="24"/>
          <w:szCs w:val="24"/>
          <w:highlight w:val="none"/>
        </w:rPr>
        <w:t>或者对招标文件作出实质响应的</w:t>
      </w:r>
      <w:r>
        <w:rPr>
          <w:rFonts w:hint="eastAsia" w:ascii="宋体" w:hAnsi="宋体" w:eastAsia="宋体" w:cs="宋体"/>
          <w:b w:val="0"/>
          <w:color w:val="auto"/>
          <w:sz w:val="24"/>
          <w:szCs w:val="24"/>
          <w:highlight w:val="none"/>
          <w:lang w:eastAsia="zh-CN"/>
        </w:rPr>
        <w:t>投标人</w:t>
      </w:r>
      <w:r>
        <w:rPr>
          <w:rFonts w:hint="eastAsia" w:ascii="宋体" w:hAnsi="宋体" w:eastAsia="宋体" w:cs="宋体"/>
          <w:b w:val="0"/>
          <w:color w:val="auto"/>
          <w:sz w:val="24"/>
          <w:szCs w:val="24"/>
          <w:highlight w:val="none"/>
        </w:rPr>
        <w:t>不足三家情形的，我们酌情决定是否参加当场变更的竞争性谈判或单一来源方式采购。</w:t>
      </w:r>
    </w:p>
    <w:p w14:paraId="1D614AFA">
      <w:pPr>
        <w:pStyle w:val="3"/>
        <w:keepNext w:val="0"/>
        <w:keepLines w:val="0"/>
        <w:pageBreakBefore w:val="0"/>
        <w:widowControl/>
        <w:kinsoku/>
        <w:wordWrap/>
        <w:overflowPunct/>
        <w:topLinePunct w:val="0"/>
        <w:autoSpaceDE/>
        <w:autoSpaceDN/>
        <w:bidi w:val="0"/>
        <w:adjustRightInd/>
        <w:snapToGrid/>
        <w:spacing w:before="0" w:after="0" w:line="312" w:lineRule="auto"/>
        <w:ind w:firstLine="480" w:firstLineChars="200"/>
        <w:jc w:val="left"/>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7</w:t>
      </w:r>
      <w:r>
        <w:rPr>
          <w:rFonts w:hint="eastAsia" w:ascii="宋体" w:hAnsi="宋体" w:eastAsia="宋体" w:cs="宋体"/>
          <w:b w:val="0"/>
          <w:color w:val="auto"/>
          <w:sz w:val="24"/>
          <w:szCs w:val="24"/>
          <w:highlight w:val="none"/>
        </w:rPr>
        <w:t>、一旦我方中标，我方将根据招标文件的规定严格履行合同，并保证于承诺的时间完成货物的启动/集成、调试等服务，交付采购人验收、使用。</w:t>
      </w:r>
    </w:p>
    <w:p w14:paraId="0DE7A5CE">
      <w:pPr>
        <w:pStyle w:val="3"/>
        <w:keepNext w:val="0"/>
        <w:keepLines w:val="0"/>
        <w:pageBreakBefore w:val="0"/>
        <w:widowControl/>
        <w:kinsoku/>
        <w:wordWrap/>
        <w:overflowPunct/>
        <w:topLinePunct w:val="0"/>
        <w:autoSpaceDE/>
        <w:autoSpaceDN/>
        <w:bidi w:val="0"/>
        <w:adjustRightInd/>
        <w:snapToGrid/>
        <w:spacing w:before="0" w:after="0" w:line="312" w:lineRule="auto"/>
        <w:ind w:firstLine="480" w:firstLineChars="200"/>
        <w:jc w:val="left"/>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8</w:t>
      </w:r>
      <w:r>
        <w:rPr>
          <w:rFonts w:hint="eastAsia" w:ascii="宋体" w:hAnsi="宋体" w:eastAsia="宋体" w:cs="宋体"/>
          <w:b w:val="0"/>
          <w:color w:val="auto"/>
          <w:sz w:val="24"/>
          <w:szCs w:val="24"/>
          <w:highlight w:val="none"/>
        </w:rPr>
        <w:t>、我方决不提供虚假材料谋取中标、决不采取不正当手段诋毁、排挤其他</w:t>
      </w:r>
      <w:r>
        <w:rPr>
          <w:rFonts w:hint="eastAsia" w:ascii="宋体" w:hAnsi="宋体" w:eastAsia="宋体" w:cs="宋体"/>
          <w:b w:val="0"/>
          <w:color w:val="auto"/>
          <w:sz w:val="24"/>
          <w:szCs w:val="24"/>
          <w:highlight w:val="none"/>
          <w:lang w:eastAsia="zh-CN"/>
        </w:rPr>
        <w:t>投标人</w:t>
      </w:r>
      <w:r>
        <w:rPr>
          <w:rFonts w:hint="eastAsia" w:ascii="宋体" w:hAnsi="宋体" w:eastAsia="宋体" w:cs="宋体"/>
          <w:b w:val="0"/>
          <w:color w:val="auto"/>
          <w:sz w:val="24"/>
          <w:szCs w:val="24"/>
          <w:highlight w:val="none"/>
        </w:rPr>
        <w:t>、决不与采购人、其它</w:t>
      </w:r>
      <w:r>
        <w:rPr>
          <w:rFonts w:hint="eastAsia" w:ascii="宋体" w:hAnsi="宋体" w:eastAsia="宋体" w:cs="宋体"/>
          <w:b w:val="0"/>
          <w:color w:val="auto"/>
          <w:sz w:val="24"/>
          <w:szCs w:val="24"/>
          <w:highlight w:val="none"/>
          <w:lang w:eastAsia="zh-CN"/>
        </w:rPr>
        <w:t>投标人</w:t>
      </w:r>
      <w:r>
        <w:rPr>
          <w:rFonts w:hint="eastAsia" w:ascii="宋体" w:hAnsi="宋体" w:eastAsia="宋体" w:cs="宋体"/>
          <w:b w:val="0"/>
          <w:color w:val="auto"/>
          <w:sz w:val="24"/>
          <w:szCs w:val="24"/>
          <w:highlight w:val="none"/>
        </w:rPr>
        <w:t>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268331A4">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、与本投标有关的正式联系方式为：</w:t>
      </w:r>
    </w:p>
    <w:p w14:paraId="34DE0CBD">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w:t>
      </w:r>
    </w:p>
    <w:p w14:paraId="1116D050">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w:t>
      </w:r>
    </w:p>
    <w:p w14:paraId="5DB7FF09">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  真：</w:t>
      </w:r>
      <w:r>
        <w:rPr>
          <w:rFonts w:hint="eastAsia" w:ascii="宋体" w:hAnsi="宋体" w:eastAsia="宋体" w:cs="宋体"/>
          <w:color w:val="auto"/>
          <w:kern w:val="0"/>
          <w:sz w:val="24"/>
          <w:szCs w:val="24"/>
          <w:highlight w:val="none"/>
          <w:u w:val="single"/>
        </w:rPr>
        <w:t>              </w:t>
      </w:r>
    </w:p>
    <w:p w14:paraId="38E8F448">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开户银行：</w:t>
      </w:r>
    </w:p>
    <w:p w14:paraId="597D0D94">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银行账号：</w:t>
      </w:r>
    </w:p>
    <w:p w14:paraId="420B25BC">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投标人授权代表姓名（签字）：</w:t>
      </w:r>
      <w:r>
        <w:rPr>
          <w:rFonts w:hint="eastAsia" w:ascii="宋体" w:hAnsi="宋体" w:eastAsia="宋体" w:cs="宋体"/>
          <w:color w:val="auto"/>
          <w:kern w:val="0"/>
          <w:sz w:val="24"/>
          <w:szCs w:val="24"/>
          <w:highlight w:val="none"/>
          <w:u w:val="single"/>
        </w:rPr>
        <w:t>        </w:t>
      </w:r>
    </w:p>
    <w:p w14:paraId="6E385FE9">
      <w:pPr>
        <w:keepNext w:val="0"/>
        <w:keepLines w:val="0"/>
        <w:pageBreakBefore w:val="0"/>
        <w:widowControl/>
        <w:shd w:val="clear" w:color="auto" w:fill="FFFFFF"/>
        <w:kinsoku/>
        <w:wordWrap/>
        <w:overflowPunct/>
        <w:topLinePunct w:val="0"/>
        <w:autoSpaceDE/>
        <w:autoSpaceDN/>
        <w:bidi w:val="0"/>
        <w:adjustRightInd/>
        <w:snapToGrid/>
        <w:spacing w:after="0" w:line="312"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名称：</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（盖章）</w:t>
      </w:r>
    </w:p>
    <w:p w14:paraId="3768CDED">
      <w:pPr>
        <w:keepNext w:val="0"/>
        <w:keepLines w:val="0"/>
        <w:pageBreakBefore w:val="0"/>
        <w:widowControl/>
        <w:shd w:val="clear" w:color="auto" w:fill="auto"/>
        <w:kinsoku/>
        <w:wordWrap/>
        <w:overflowPunct/>
        <w:topLinePunct w:val="0"/>
        <w:autoSpaceDE/>
        <w:autoSpaceDN/>
        <w:bidi w:val="0"/>
        <w:adjustRightInd/>
        <w:snapToGrid/>
        <w:spacing w:after="0" w:line="312" w:lineRule="auto"/>
        <w:ind w:left="0" w:leftChars="0" w:firstLine="420" w:firstLineChars="175"/>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color w:val="auto"/>
          <w:kern w:val="0"/>
          <w:sz w:val="24"/>
          <w:szCs w:val="24"/>
          <w:highlight w:val="none"/>
        </w:rPr>
        <w:t>日   期：</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日</w:t>
      </w:r>
      <w:bookmarkStart w:id="19" w:name="_Toc537"/>
    </w:p>
    <w:p w14:paraId="4895AA21">
      <w:pPr>
        <w:widowControl/>
        <w:shd w:val="clear" w:color="auto" w:fill="FFFFFF"/>
        <w:spacing w:line="276" w:lineRule="auto"/>
        <w:outlineLvl w:val="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kern w:val="0"/>
          <w:sz w:val="24"/>
          <w:szCs w:val="24"/>
          <w:highlight w:val="none"/>
          <w:lang w:val="zh-CN"/>
        </w:rPr>
        <w:t>二、法定代表人授权委托书格式</w:t>
      </w:r>
      <w:bookmarkEnd w:id="19"/>
    </w:p>
    <w:p w14:paraId="3472A38F">
      <w:pPr>
        <w:spacing w:line="360" w:lineRule="auto"/>
        <w:ind w:firstLine="562"/>
        <w:jc w:val="center"/>
        <w:rPr>
          <w:rFonts w:hint="eastAsia" w:ascii="宋体" w:hAnsi="宋体" w:eastAsia="宋体" w:cs="宋体"/>
          <w:color w:val="auto"/>
          <w:kern w:val="0"/>
          <w:sz w:val="28"/>
          <w:szCs w:val="28"/>
          <w:highlight w:val="none"/>
        </w:rPr>
      </w:pPr>
      <w:r>
        <w:rPr>
          <w:rFonts w:hint="eastAsia" w:ascii="宋体" w:hAnsi="宋体" w:eastAsia="宋体" w:cs="宋体"/>
          <w:b/>
          <w:bCs/>
          <w:color w:val="auto"/>
          <w:sz w:val="28"/>
          <w:szCs w:val="28"/>
          <w:highlight w:val="none"/>
          <w:lang w:val="zh-CN"/>
        </w:rPr>
        <w:t>法定代表人授权委托书</w:t>
      </w:r>
    </w:p>
    <w:p w14:paraId="6D9C397B">
      <w:pPr>
        <w:shd w:val="clear" w:color="auto" w:fill="FFFFFF"/>
        <w:spacing w:line="30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eastAsia="宋体" w:cs="宋体"/>
          <w:color w:val="auto"/>
          <w:kern w:val="0"/>
          <w:sz w:val="24"/>
          <w:szCs w:val="24"/>
          <w:highlight w:val="none"/>
          <w:lang w:val="zh-CN" w:eastAsia="zh-CN"/>
        </w:rPr>
        <w:t>南京市江宁区市场监督管理局</w:t>
      </w:r>
    </w:p>
    <w:p w14:paraId="7EDFDD1D">
      <w:pPr>
        <w:pStyle w:val="3"/>
        <w:keepNext w:val="0"/>
        <w:keepLines w:val="0"/>
        <w:spacing w:before="0" w:after="0" w:line="300" w:lineRule="auto"/>
        <w:ind w:firstLine="480" w:firstLineChars="20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本授权书声明：注册于</w:t>
      </w:r>
      <w:r>
        <w:rPr>
          <w:rFonts w:hint="eastAsia" w:ascii="宋体" w:hAnsi="宋体" w:eastAsia="宋体" w:cs="宋体"/>
          <w:b w:val="0"/>
          <w:color w:val="auto"/>
          <w:sz w:val="24"/>
          <w:szCs w:val="24"/>
          <w:highlight w:val="none"/>
          <w:u w:val="single"/>
        </w:rPr>
        <w:t>         </w:t>
      </w:r>
      <w:r>
        <w:rPr>
          <w:rFonts w:hint="eastAsia" w:ascii="宋体" w:hAnsi="宋体" w:eastAsia="宋体" w:cs="宋体"/>
          <w:b w:val="0"/>
          <w:color w:val="auto"/>
          <w:sz w:val="24"/>
          <w:szCs w:val="24"/>
          <w:highlight w:val="none"/>
        </w:rPr>
        <w:t>（投标人住址）的</w:t>
      </w:r>
      <w:r>
        <w:rPr>
          <w:rFonts w:hint="eastAsia" w:ascii="宋体" w:hAnsi="宋体" w:eastAsia="宋体" w:cs="宋体"/>
          <w:b w:val="0"/>
          <w:color w:val="auto"/>
          <w:sz w:val="24"/>
          <w:szCs w:val="24"/>
          <w:highlight w:val="none"/>
          <w:u w:val="single"/>
        </w:rPr>
        <w:t>    </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r>
        <w:rPr>
          <w:rFonts w:hint="eastAsia" w:ascii="宋体" w:hAnsi="宋体" w:eastAsia="宋体" w:cs="宋体"/>
          <w:b w:val="0"/>
          <w:color w:val="auto"/>
          <w:sz w:val="24"/>
          <w:szCs w:val="24"/>
          <w:highlight w:val="none"/>
          <w:lang w:eastAsia="zh-CN"/>
        </w:rPr>
        <w:t>投标人</w:t>
      </w:r>
      <w:r>
        <w:rPr>
          <w:rFonts w:hint="eastAsia" w:ascii="宋体" w:hAnsi="宋体" w:eastAsia="宋体" w:cs="宋体"/>
          <w:b w:val="0"/>
          <w:color w:val="auto"/>
          <w:sz w:val="24"/>
          <w:szCs w:val="24"/>
          <w:highlight w:val="none"/>
        </w:rPr>
        <w:t>名称）法定代表人</w:t>
      </w:r>
      <w:r>
        <w:rPr>
          <w:rFonts w:hint="eastAsia" w:ascii="宋体" w:hAnsi="宋体" w:eastAsia="宋体" w:cs="宋体"/>
          <w:b w:val="0"/>
          <w:color w:val="auto"/>
          <w:sz w:val="24"/>
          <w:szCs w:val="24"/>
          <w:highlight w:val="none"/>
          <w:u w:val="single"/>
        </w:rPr>
        <w:t>            </w:t>
      </w:r>
      <w:r>
        <w:rPr>
          <w:rFonts w:hint="eastAsia" w:ascii="宋体" w:hAnsi="宋体" w:eastAsia="宋体" w:cs="宋体"/>
          <w:b w:val="0"/>
          <w:color w:val="auto"/>
          <w:sz w:val="24"/>
          <w:szCs w:val="24"/>
          <w:highlight w:val="none"/>
        </w:rPr>
        <w:t>（法定代表人姓名、职务）代表本公司授权在下面签字的</w:t>
      </w:r>
      <w:r>
        <w:rPr>
          <w:rFonts w:hint="eastAsia" w:ascii="宋体" w:hAnsi="宋体" w:eastAsia="宋体" w:cs="宋体"/>
          <w:b w:val="0"/>
          <w:color w:val="auto"/>
          <w:sz w:val="24"/>
          <w:szCs w:val="24"/>
          <w:highlight w:val="none"/>
          <w:u w:val="single"/>
        </w:rPr>
        <w:t>            </w:t>
      </w:r>
      <w:r>
        <w:rPr>
          <w:rFonts w:hint="eastAsia" w:ascii="宋体" w:hAnsi="宋体" w:eastAsia="宋体" w:cs="宋体"/>
          <w:b w:val="0"/>
          <w:color w:val="auto"/>
          <w:sz w:val="24"/>
          <w:szCs w:val="24"/>
          <w:highlight w:val="none"/>
        </w:rPr>
        <w:t>（投标人代表姓名、职务）为本公司的合法代理人，就贵方组织的</w:t>
      </w:r>
      <w:r>
        <w:rPr>
          <w:rFonts w:hint="eastAsia" w:ascii="宋体" w:hAnsi="宋体" w:eastAsia="宋体" w:cs="宋体"/>
          <w:b w:val="0"/>
          <w:color w:val="auto"/>
          <w:sz w:val="24"/>
          <w:szCs w:val="24"/>
          <w:highlight w:val="none"/>
          <w:u w:val="single"/>
        </w:rPr>
        <w:t>       </w:t>
      </w:r>
      <w:r>
        <w:rPr>
          <w:rFonts w:hint="eastAsia" w:ascii="宋体" w:hAnsi="宋体" w:eastAsia="宋体" w:cs="宋体"/>
          <w:b w:val="0"/>
          <w:color w:val="auto"/>
          <w:sz w:val="24"/>
          <w:szCs w:val="24"/>
          <w:highlight w:val="none"/>
        </w:rPr>
        <w:t>（项目名称</w:t>
      </w:r>
      <w:r>
        <w:rPr>
          <w:rFonts w:hint="eastAsia" w:ascii="宋体" w:hAnsi="宋体" w:eastAsia="宋体" w:cs="宋体"/>
          <w:b w:val="0"/>
          <w:color w:val="auto"/>
          <w:sz w:val="24"/>
          <w:szCs w:val="24"/>
          <w:highlight w:val="none"/>
          <w:lang w:eastAsia="zh-CN"/>
        </w:rPr>
        <w:t>、</w:t>
      </w:r>
      <w:r>
        <w:rPr>
          <w:rFonts w:hint="eastAsia" w:ascii="宋体" w:hAnsi="宋体"/>
          <w:color w:val="auto"/>
          <w:sz w:val="24"/>
          <w:highlight w:val="none"/>
          <w:lang w:val="en-US" w:eastAsia="zh-CN"/>
        </w:rPr>
        <w:t>采购包号</w:t>
      </w:r>
      <w:r>
        <w:rPr>
          <w:rFonts w:hint="eastAsia" w:ascii="宋体" w:hAnsi="宋体" w:eastAsia="宋体" w:cs="宋体"/>
          <w:b w:val="0"/>
          <w:color w:val="auto"/>
          <w:sz w:val="24"/>
          <w:szCs w:val="24"/>
          <w:highlight w:val="none"/>
        </w:rPr>
        <w:t>），</w:t>
      </w:r>
      <w:r>
        <w:rPr>
          <w:rFonts w:hint="eastAsia" w:ascii="宋体" w:hAnsi="宋体" w:eastAsia="宋体" w:cs="宋体"/>
          <w:b w:val="0"/>
          <w:color w:val="auto"/>
          <w:sz w:val="24"/>
          <w:szCs w:val="24"/>
          <w:highlight w:val="none"/>
          <w:u w:val="single"/>
        </w:rPr>
        <w:t>           </w:t>
      </w:r>
      <w:r>
        <w:rPr>
          <w:rFonts w:hint="eastAsia" w:ascii="宋体" w:hAnsi="宋体" w:eastAsia="宋体" w:cs="宋体"/>
          <w:b w:val="0"/>
          <w:color w:val="auto"/>
          <w:sz w:val="24"/>
          <w:szCs w:val="24"/>
          <w:highlight w:val="none"/>
        </w:rPr>
        <w:t>（项目编号）投标，以本公司名义处理一切与之有关的事务。</w:t>
      </w:r>
    </w:p>
    <w:p w14:paraId="12A60019">
      <w:pPr>
        <w:pStyle w:val="3"/>
        <w:keepNext w:val="0"/>
        <w:keepLines w:val="0"/>
        <w:spacing w:before="0" w:after="0" w:line="300" w:lineRule="auto"/>
        <w:ind w:firstLine="960" w:firstLineChars="40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本授权书于      年      月     日签字生效，特此声明。</w:t>
      </w:r>
    </w:p>
    <w:p w14:paraId="28FFB1E5">
      <w:pPr>
        <w:pStyle w:val="3"/>
        <w:keepNext w:val="0"/>
        <w:keepLines w:val="0"/>
        <w:spacing w:before="0" w:after="0" w:line="300" w:lineRule="auto"/>
        <w:ind w:firstLine="960" w:firstLineChars="40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法定代表人签字：</w:t>
      </w:r>
    </w:p>
    <w:p w14:paraId="5E152338">
      <w:pPr>
        <w:pStyle w:val="3"/>
        <w:keepNext w:val="0"/>
        <w:keepLines w:val="0"/>
        <w:spacing w:before="0" w:after="0" w:line="300" w:lineRule="auto"/>
        <w:ind w:firstLine="960" w:firstLineChars="40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授权委托人签字：</w:t>
      </w:r>
    </w:p>
    <w:p w14:paraId="683D40DB">
      <w:pPr>
        <w:pStyle w:val="3"/>
        <w:keepNext w:val="0"/>
        <w:keepLines w:val="0"/>
        <w:spacing w:before="0" w:after="0" w:line="300" w:lineRule="auto"/>
        <w:ind w:firstLine="960" w:firstLineChars="400"/>
        <w:jc w:val="lef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日          期：      年      月      日</w:t>
      </w:r>
    </w:p>
    <w:p w14:paraId="383A16DC">
      <w:pPr>
        <w:shd w:val="clear" w:color="auto" w:fill="auto"/>
        <w:rPr>
          <w:rFonts w:hint="eastAsia" w:ascii="宋体" w:hAnsi="宋体" w:eastAsia="宋体" w:cs="宋体"/>
          <w:color w:val="auto"/>
          <w:kern w:val="0"/>
          <w:sz w:val="24"/>
          <w:szCs w:val="24"/>
          <w:highlight w:val="none"/>
        </w:rPr>
      </w:pPr>
    </w:p>
    <w:p w14:paraId="6C0CE92D">
      <w:pPr>
        <w:shd w:val="clear" w:color="auto" w:fill="auto"/>
        <w:rPr>
          <w:rFonts w:hint="eastAsia" w:ascii="宋体" w:hAnsi="宋体" w:eastAsia="宋体" w:cs="宋体"/>
          <w:color w:val="auto"/>
          <w:kern w:val="0"/>
          <w:sz w:val="24"/>
          <w:szCs w:val="24"/>
          <w:highlight w:val="none"/>
        </w:rPr>
      </w:pPr>
    </w:p>
    <w:p w14:paraId="73E41A89">
      <w:pPr>
        <w:shd w:val="clear" w:color="auto" w:fil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法定代表人身份证复印件正、反面：委托代理人身份证复印件正、反面：</w:t>
      </w:r>
    </w:p>
    <w:p w14:paraId="47CFA7AF">
      <w:pPr>
        <w:pBdr>
          <w:top w:val="none" w:color="000000" w:sz="0" w:space="0"/>
          <w:left w:val="none" w:color="000000" w:sz="0" w:space="0"/>
          <w:bottom w:val="none" w:color="000000" w:sz="0" w:space="0"/>
          <w:right w:val="none" w:color="000000" w:sz="0" w:space="0"/>
        </w:pBdr>
        <w:spacing w:before="0" w:after="0"/>
        <w:ind w:left="0" w:right="0" w:firstLine="0"/>
        <w:jc w:val="both"/>
        <w:rPr>
          <w:rFonts w:ascii="宋体" w:hAnsi="宋体" w:eastAsia="宋体" w:cs="宋体"/>
          <w:color w:val="auto"/>
          <w:sz w:val="21"/>
          <w:highlight w:val="none"/>
        </w:rPr>
      </w:pPr>
    </w:p>
    <w:p w14:paraId="77419A76">
      <w:pPr>
        <w:pBdr>
          <w:top w:val="none" w:color="000000" w:sz="0" w:space="0"/>
          <w:left w:val="none" w:color="000000" w:sz="0" w:space="0"/>
          <w:bottom w:val="none" w:color="000000" w:sz="0" w:space="0"/>
          <w:right w:val="none" w:color="000000" w:sz="0" w:space="0"/>
        </w:pBdr>
        <w:spacing w:before="50" w:after="50"/>
        <w:ind w:left="0" w:right="0" w:firstLine="0"/>
        <w:jc w:val="center"/>
        <w:rPr>
          <w:rFonts w:ascii="宋体" w:hAnsi="宋体" w:eastAsia="宋体" w:cs="宋体"/>
          <w:b/>
          <w:color w:val="auto"/>
          <w:sz w:val="30"/>
          <w:highlight w:val="none"/>
        </w:rPr>
      </w:pPr>
    </w:p>
    <w:p w14:paraId="0564F420">
      <w:pPr>
        <w:pBdr>
          <w:top w:val="none" w:color="000000" w:sz="0" w:space="0"/>
          <w:left w:val="none" w:color="000000" w:sz="0" w:space="0"/>
          <w:bottom w:val="none" w:color="000000" w:sz="0" w:space="0"/>
          <w:right w:val="none" w:color="000000" w:sz="0" w:space="0"/>
        </w:pBdr>
        <w:spacing w:before="50" w:after="50"/>
        <w:ind w:left="0" w:right="0" w:firstLine="0"/>
        <w:jc w:val="center"/>
        <w:rPr>
          <w:rFonts w:ascii="宋体" w:hAnsi="宋体" w:eastAsia="宋体" w:cs="宋体"/>
          <w:b/>
          <w:color w:val="auto"/>
          <w:sz w:val="30"/>
          <w:highlight w:val="none"/>
        </w:rPr>
      </w:pPr>
    </w:p>
    <w:p w14:paraId="69891167">
      <w:pPr>
        <w:pBdr>
          <w:top w:val="none" w:color="000000" w:sz="0" w:space="0"/>
          <w:left w:val="none" w:color="000000" w:sz="0" w:space="0"/>
          <w:bottom w:val="none" w:color="000000" w:sz="0" w:space="0"/>
          <w:right w:val="none" w:color="000000" w:sz="0" w:space="0"/>
        </w:pBdr>
        <w:spacing w:before="50" w:after="50"/>
        <w:ind w:left="0" w:right="0" w:firstLine="0"/>
        <w:jc w:val="center"/>
        <w:rPr>
          <w:rFonts w:ascii="宋体" w:hAnsi="宋体" w:eastAsia="宋体" w:cs="宋体"/>
          <w:b/>
          <w:color w:val="auto"/>
          <w:sz w:val="30"/>
          <w:highlight w:val="none"/>
        </w:rPr>
      </w:pPr>
    </w:p>
    <w:p w14:paraId="1E4BBCF9">
      <w:pPr>
        <w:pBdr>
          <w:top w:val="none" w:color="000000" w:sz="0" w:space="0"/>
          <w:left w:val="none" w:color="000000" w:sz="0" w:space="0"/>
          <w:bottom w:val="none" w:color="000000" w:sz="0" w:space="0"/>
          <w:right w:val="none" w:color="000000" w:sz="0" w:space="0"/>
        </w:pBdr>
        <w:spacing w:before="0" w:after="0" w:line="460" w:lineRule="atLeast"/>
        <w:ind w:left="0" w:right="0" w:firstLine="0"/>
        <w:jc w:val="both"/>
        <w:rPr>
          <w:color w:val="auto"/>
          <w:highlight w:val="none"/>
        </w:rPr>
      </w:pPr>
      <w:r>
        <w:rPr>
          <w:rFonts w:ascii="宋体" w:hAnsi="宋体" w:eastAsia="宋体" w:cs="宋体"/>
          <w:color w:val="auto"/>
          <w:sz w:val="24"/>
          <w:highlight w:val="none"/>
        </w:rPr>
        <w:t> </w:t>
      </w:r>
    </w:p>
    <w:p w14:paraId="7FB8B8F0">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Calibri" w:hAnsi="Calibri" w:eastAsia="Calibri" w:cs="Calibri"/>
          <w:b/>
          <w:color w:val="auto"/>
          <w:sz w:val="32"/>
          <w:highlight w:val="none"/>
        </w:rPr>
        <w:t> </w:t>
      </w:r>
    </w:p>
    <w:p w14:paraId="3461F6AC">
      <w:pPr>
        <w:pBdr>
          <w:top w:val="none" w:color="000000" w:sz="0" w:space="0"/>
          <w:left w:val="none" w:color="000000" w:sz="0" w:space="0"/>
          <w:bottom w:val="none" w:color="000000" w:sz="0" w:space="0"/>
          <w:right w:val="none" w:color="000000" w:sz="0" w:space="0"/>
        </w:pBdr>
        <w:spacing w:before="0" w:after="0"/>
        <w:ind w:left="0" w:right="0" w:firstLine="0"/>
        <w:jc w:val="center"/>
        <w:rPr>
          <w:rFonts w:ascii="Calibri" w:hAnsi="Calibri" w:eastAsia="Calibri" w:cs="Calibri"/>
          <w:b/>
          <w:color w:val="auto"/>
          <w:sz w:val="32"/>
          <w:highlight w:val="none"/>
        </w:rPr>
      </w:pPr>
    </w:p>
    <w:p w14:paraId="3CF60607">
      <w:pPr>
        <w:pBdr>
          <w:top w:val="none" w:color="000000" w:sz="0" w:space="0"/>
          <w:left w:val="none" w:color="000000" w:sz="0" w:space="0"/>
          <w:bottom w:val="none" w:color="000000" w:sz="0" w:space="0"/>
          <w:right w:val="none" w:color="000000" w:sz="0" w:space="0"/>
        </w:pBdr>
        <w:spacing w:before="0" w:after="0"/>
        <w:ind w:left="0" w:right="0" w:firstLine="0"/>
        <w:jc w:val="center"/>
        <w:rPr>
          <w:rFonts w:ascii="Calibri" w:hAnsi="Calibri" w:eastAsia="Calibri" w:cs="Calibri"/>
          <w:b/>
          <w:color w:val="auto"/>
          <w:sz w:val="32"/>
          <w:highlight w:val="none"/>
        </w:rPr>
      </w:pPr>
    </w:p>
    <w:p w14:paraId="3E7F18B5">
      <w:pPr>
        <w:pBdr>
          <w:top w:val="none" w:color="000000" w:sz="0" w:space="0"/>
          <w:left w:val="none" w:color="000000" w:sz="0" w:space="0"/>
          <w:bottom w:val="none" w:color="000000" w:sz="0" w:space="0"/>
          <w:right w:val="none" w:color="000000" w:sz="0" w:space="0"/>
        </w:pBdr>
        <w:spacing w:before="0" w:after="0"/>
        <w:ind w:left="0" w:right="0" w:firstLine="0"/>
        <w:jc w:val="center"/>
        <w:rPr>
          <w:rFonts w:ascii="Calibri" w:hAnsi="Calibri" w:eastAsia="Calibri" w:cs="Calibri"/>
          <w:b/>
          <w:color w:val="auto"/>
          <w:sz w:val="32"/>
          <w:highlight w:val="none"/>
        </w:rPr>
      </w:pPr>
    </w:p>
    <w:p w14:paraId="79D16C27">
      <w:pPr>
        <w:pBdr>
          <w:top w:val="none" w:color="000000" w:sz="0" w:space="0"/>
          <w:left w:val="none" w:color="000000" w:sz="0" w:space="0"/>
          <w:bottom w:val="none" w:color="000000" w:sz="0" w:space="0"/>
          <w:right w:val="none" w:color="000000" w:sz="0" w:space="0"/>
        </w:pBdr>
        <w:spacing w:before="0" w:after="0"/>
        <w:ind w:left="0" w:right="0" w:firstLine="0"/>
        <w:jc w:val="center"/>
        <w:rPr>
          <w:rFonts w:ascii="Calibri" w:hAnsi="Calibri" w:eastAsia="Calibri" w:cs="Calibri"/>
          <w:b/>
          <w:color w:val="auto"/>
          <w:sz w:val="32"/>
          <w:highlight w:val="none"/>
        </w:rPr>
      </w:pPr>
    </w:p>
    <w:p w14:paraId="7118FD74">
      <w:pPr>
        <w:pBdr>
          <w:top w:val="none" w:color="000000" w:sz="0" w:space="0"/>
          <w:left w:val="none" w:color="000000" w:sz="0" w:space="0"/>
          <w:bottom w:val="none" w:color="000000" w:sz="0" w:space="0"/>
          <w:right w:val="none" w:color="000000" w:sz="0" w:space="0"/>
        </w:pBdr>
        <w:spacing w:before="0" w:after="0"/>
        <w:ind w:left="0" w:right="0" w:firstLine="0"/>
        <w:jc w:val="center"/>
        <w:rPr>
          <w:rFonts w:ascii="Calibri" w:hAnsi="Calibri" w:eastAsia="Calibri" w:cs="Calibri"/>
          <w:b/>
          <w:color w:val="auto"/>
          <w:sz w:val="32"/>
          <w:highlight w:val="none"/>
        </w:rPr>
      </w:pPr>
    </w:p>
    <w:p w14:paraId="7962FC50">
      <w:pPr>
        <w:pBdr>
          <w:top w:val="none" w:color="000000" w:sz="0" w:space="0"/>
          <w:left w:val="none" w:color="000000" w:sz="0" w:space="0"/>
          <w:bottom w:val="none" w:color="000000" w:sz="0" w:space="0"/>
          <w:right w:val="none" w:color="000000" w:sz="0" w:space="0"/>
        </w:pBdr>
        <w:spacing w:before="0" w:after="0"/>
        <w:ind w:left="0" w:right="0" w:firstLine="0"/>
        <w:jc w:val="both"/>
        <w:rPr>
          <w:rFonts w:ascii="Calibri" w:hAnsi="Calibri" w:eastAsia="Calibri" w:cs="Calibri"/>
          <w:b/>
          <w:color w:val="auto"/>
          <w:sz w:val="32"/>
          <w:highlight w:val="none"/>
        </w:rPr>
      </w:pPr>
      <w:r>
        <w:rPr>
          <w:rFonts w:ascii="Calibri" w:hAnsi="Calibri" w:eastAsia="Calibri" w:cs="Calibri"/>
          <w:b/>
          <w:color w:val="auto"/>
          <w:sz w:val="32"/>
          <w:highlight w:val="none"/>
        </w:rPr>
        <w:t> </w:t>
      </w:r>
    </w:p>
    <w:p w14:paraId="442A8F98">
      <w:pPr>
        <w:pBdr>
          <w:top w:val="none" w:color="000000" w:sz="0" w:space="0"/>
          <w:left w:val="none" w:color="000000" w:sz="0" w:space="0"/>
          <w:bottom w:val="none" w:color="000000" w:sz="0" w:space="0"/>
          <w:right w:val="none" w:color="000000" w:sz="0" w:space="0"/>
        </w:pBdr>
        <w:spacing w:before="0" w:after="0"/>
        <w:ind w:left="0" w:right="0" w:firstLine="0"/>
        <w:jc w:val="both"/>
        <w:rPr>
          <w:rFonts w:ascii="Calibri" w:hAnsi="Calibri" w:eastAsia="Calibri" w:cs="Calibri"/>
          <w:b/>
          <w:color w:val="auto"/>
          <w:sz w:val="32"/>
          <w:highlight w:val="none"/>
        </w:rPr>
      </w:pPr>
    </w:p>
    <w:p w14:paraId="74CDD8E9">
      <w:pPr>
        <w:pBdr>
          <w:top w:val="none" w:color="000000" w:sz="0" w:space="0"/>
          <w:left w:val="none" w:color="000000" w:sz="0" w:space="0"/>
          <w:bottom w:val="none" w:color="000000" w:sz="0" w:space="0"/>
          <w:right w:val="none" w:color="000000" w:sz="0" w:space="0"/>
        </w:pBdr>
        <w:spacing w:before="0" w:after="0"/>
        <w:ind w:left="0" w:right="0" w:firstLine="0"/>
        <w:jc w:val="both"/>
        <w:rPr>
          <w:rFonts w:ascii="Calibri" w:hAnsi="Calibri" w:eastAsia="Calibri" w:cs="Calibri"/>
          <w:b/>
          <w:color w:val="auto"/>
          <w:sz w:val="32"/>
          <w:highlight w:val="none"/>
        </w:rPr>
      </w:pPr>
    </w:p>
    <w:p w14:paraId="0FD3D0F6">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Calibri" w:hAnsi="Calibri" w:eastAsia="Calibri" w:cs="Calibri"/>
          <w:b/>
          <w:color w:val="auto"/>
          <w:sz w:val="32"/>
          <w:highlight w:val="none"/>
        </w:rPr>
        <w:t> </w:t>
      </w:r>
    </w:p>
    <w:p w14:paraId="54DE3CF1">
      <w:pPr>
        <w:pStyle w:val="3"/>
        <w:keepNext w:val="0"/>
        <w:keepLines w:val="0"/>
        <w:spacing w:before="0" w:after="0" w:line="300" w:lineRule="auto"/>
        <w:jc w:val="lef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三、开标一览表格式</w:t>
      </w:r>
    </w:p>
    <w:p w14:paraId="31942967">
      <w:pPr>
        <w:pBdr>
          <w:top w:val="none" w:color="000000" w:sz="0" w:space="0"/>
          <w:left w:val="none" w:color="000000" w:sz="0" w:space="0"/>
          <w:bottom w:val="none" w:color="000000" w:sz="0" w:space="0"/>
          <w:right w:val="none" w:color="000000" w:sz="0" w:space="0"/>
        </w:pBdr>
        <w:spacing w:before="0" w:after="0"/>
        <w:ind w:left="0" w:right="0" w:firstLine="0"/>
        <w:jc w:val="center"/>
        <w:rPr>
          <w:rFonts w:ascii="宋体" w:hAnsi="宋体" w:eastAsia="宋体" w:cs="宋体"/>
          <w:b/>
          <w:color w:val="auto"/>
          <w:sz w:val="32"/>
          <w:highlight w:val="none"/>
        </w:rPr>
      </w:pPr>
      <w:r>
        <w:rPr>
          <w:rFonts w:ascii="宋体" w:hAnsi="宋体" w:eastAsia="宋体" w:cs="宋体"/>
          <w:b/>
          <w:color w:val="auto"/>
          <w:sz w:val="32"/>
          <w:highlight w:val="none"/>
        </w:rPr>
        <w:t>开标一览表</w:t>
      </w:r>
    </w:p>
    <w:p w14:paraId="7E9E406E">
      <w:pPr>
        <w:pBdr>
          <w:top w:val="none" w:color="000000" w:sz="0" w:space="0"/>
          <w:left w:val="none" w:color="000000" w:sz="0" w:space="0"/>
          <w:bottom w:val="none" w:color="000000" w:sz="0" w:space="0"/>
          <w:right w:val="none" w:color="000000" w:sz="0" w:space="0"/>
        </w:pBdr>
        <w:spacing w:before="0" w:after="0"/>
        <w:ind w:left="0" w:right="0" w:firstLine="480"/>
        <w:jc w:val="both"/>
        <w:rPr>
          <w:rFonts w:ascii="宋体" w:hAnsi="宋体" w:eastAsia="宋体" w:cs="宋体"/>
          <w:b/>
          <w:color w:val="auto"/>
          <w:sz w:val="32"/>
          <w:highlight w:val="none"/>
        </w:rPr>
      </w:pPr>
      <w:r>
        <w:rPr>
          <w:rFonts w:ascii="宋体" w:hAnsi="宋体" w:eastAsia="宋体" w:cs="宋体"/>
          <w:color w:val="auto"/>
          <w:sz w:val="24"/>
          <w:highlight w:val="none"/>
        </w:rPr>
        <w:t>项目编号：</w:t>
      </w:r>
    </w:p>
    <w:p w14:paraId="788CC47C">
      <w:pPr>
        <w:pBdr>
          <w:top w:val="none" w:color="000000" w:sz="0" w:space="0"/>
          <w:left w:val="none" w:color="000000" w:sz="0" w:space="0"/>
          <w:bottom w:val="none" w:color="000000" w:sz="0" w:space="0"/>
          <w:right w:val="none" w:color="000000" w:sz="0" w:space="0"/>
        </w:pBdr>
        <w:spacing w:before="0" w:after="0"/>
        <w:ind w:left="0" w:right="0" w:firstLine="480"/>
        <w:jc w:val="both"/>
        <w:rPr>
          <w:rFonts w:ascii="宋体" w:hAnsi="宋体" w:eastAsia="宋体" w:cs="宋体"/>
          <w:color w:val="auto"/>
          <w:sz w:val="24"/>
          <w:highlight w:val="none"/>
        </w:rPr>
      </w:pPr>
      <w:r>
        <w:rPr>
          <w:rFonts w:ascii="宋体" w:hAnsi="宋体" w:eastAsia="宋体" w:cs="宋体"/>
          <w:color w:val="auto"/>
          <w:sz w:val="24"/>
          <w:highlight w:val="none"/>
        </w:rPr>
        <w:t>项目名称：</w:t>
      </w:r>
    </w:p>
    <w:tbl>
      <w:tblPr>
        <w:tblStyle w:val="34"/>
        <w:tblW w:w="10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4195"/>
        <w:gridCol w:w="2917"/>
        <w:gridCol w:w="2031"/>
      </w:tblGrid>
      <w:tr w14:paraId="14480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194" w:type="dxa"/>
            <w:noWrap w:val="0"/>
            <w:tcMar>
              <w:top w:w="0" w:type="dxa"/>
              <w:left w:w="108" w:type="dxa"/>
              <w:bottom w:w="0" w:type="dxa"/>
              <w:right w:w="108" w:type="dxa"/>
            </w:tcMar>
            <w:vAlign w:val="center"/>
          </w:tcPr>
          <w:p w14:paraId="672D4304">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b/>
                <w:bCs/>
                <w:color w:val="auto"/>
                <w:sz w:val="24"/>
                <w:szCs w:val="24"/>
                <w:highlight w:val="none"/>
              </w:rPr>
            </w:pPr>
            <w:r>
              <w:rPr>
                <w:rFonts w:ascii="宋体" w:hAnsi="宋体" w:eastAsia="宋体" w:cs="宋体"/>
                <w:b/>
                <w:bCs/>
                <w:color w:val="auto"/>
                <w:sz w:val="24"/>
                <w:szCs w:val="24"/>
                <w:highlight w:val="none"/>
              </w:rPr>
              <w:t>投标分包号</w:t>
            </w:r>
          </w:p>
        </w:tc>
        <w:tc>
          <w:tcPr>
            <w:tcW w:w="4195" w:type="dxa"/>
            <w:noWrap w:val="0"/>
            <w:tcMar>
              <w:top w:w="0" w:type="dxa"/>
              <w:left w:w="108" w:type="dxa"/>
              <w:bottom w:w="0" w:type="dxa"/>
              <w:right w:w="108" w:type="dxa"/>
            </w:tcMar>
            <w:vAlign w:val="center"/>
          </w:tcPr>
          <w:p w14:paraId="3F07D855">
            <w:pPr>
              <w:pBdr>
                <w:top w:val="none" w:color="000000" w:sz="0" w:space="0"/>
                <w:left w:val="none" w:color="000000" w:sz="0" w:space="0"/>
                <w:bottom w:val="none" w:color="000000" w:sz="0" w:space="0"/>
                <w:right w:val="none" w:color="000000" w:sz="0" w:space="0"/>
              </w:pBdr>
              <w:spacing w:before="0" w:after="0"/>
              <w:ind w:left="0" w:right="0" w:firstLine="0"/>
              <w:jc w:val="center"/>
              <w:rPr>
                <w:b/>
                <w:bCs/>
                <w:color w:val="auto"/>
                <w:sz w:val="24"/>
                <w:szCs w:val="24"/>
                <w:highlight w:val="none"/>
              </w:rPr>
            </w:pPr>
            <w:r>
              <w:rPr>
                <w:rFonts w:ascii="宋体" w:hAnsi="宋体" w:eastAsia="宋体" w:cs="宋体"/>
                <w:b/>
                <w:bCs/>
                <w:color w:val="auto"/>
                <w:sz w:val="24"/>
                <w:szCs w:val="24"/>
                <w:highlight w:val="none"/>
              </w:rPr>
              <w:t>投标报价</w:t>
            </w:r>
          </w:p>
        </w:tc>
        <w:tc>
          <w:tcPr>
            <w:tcW w:w="2917" w:type="dxa"/>
            <w:noWrap w:val="0"/>
            <w:tcMar>
              <w:top w:w="0" w:type="dxa"/>
              <w:left w:w="108" w:type="dxa"/>
              <w:bottom w:w="0" w:type="dxa"/>
              <w:right w:w="108" w:type="dxa"/>
            </w:tcMar>
            <w:vAlign w:val="top"/>
          </w:tcPr>
          <w:p w14:paraId="57D0C6D8">
            <w:pPr>
              <w:pBdr>
                <w:top w:val="none" w:color="000000" w:sz="0" w:space="0"/>
                <w:left w:val="none" w:color="000000" w:sz="0" w:space="0"/>
                <w:bottom w:val="none" w:color="000000" w:sz="0" w:space="0"/>
                <w:right w:val="none" w:color="000000" w:sz="0" w:space="0"/>
              </w:pBdr>
              <w:spacing w:before="0" w:after="0"/>
              <w:ind w:left="0" w:right="0" w:firstLine="0"/>
              <w:jc w:val="center"/>
              <w:rPr>
                <w:b/>
                <w:bCs/>
                <w:color w:val="auto"/>
                <w:sz w:val="24"/>
                <w:szCs w:val="24"/>
                <w:highlight w:val="none"/>
              </w:rPr>
            </w:pPr>
            <w:r>
              <w:rPr>
                <w:rFonts w:ascii="宋体" w:hAnsi="宋体" w:eastAsia="宋体" w:cs="宋体"/>
                <w:b/>
                <w:bCs/>
                <w:color w:val="auto"/>
                <w:sz w:val="24"/>
                <w:szCs w:val="24"/>
                <w:highlight w:val="none"/>
              </w:rPr>
              <w:t>服务期</w:t>
            </w:r>
          </w:p>
        </w:tc>
        <w:tc>
          <w:tcPr>
            <w:tcW w:w="2031" w:type="dxa"/>
            <w:noWrap w:val="0"/>
            <w:tcMar>
              <w:top w:w="0" w:type="dxa"/>
              <w:left w:w="108" w:type="dxa"/>
              <w:bottom w:w="0" w:type="dxa"/>
              <w:right w:w="108" w:type="dxa"/>
            </w:tcMar>
            <w:vAlign w:val="top"/>
          </w:tcPr>
          <w:p w14:paraId="79E04239">
            <w:pPr>
              <w:pBdr>
                <w:top w:val="none" w:color="000000" w:sz="0" w:space="0"/>
                <w:left w:val="none" w:color="000000" w:sz="0" w:space="0"/>
                <w:bottom w:val="none" w:color="000000" w:sz="0" w:space="0"/>
                <w:right w:val="none" w:color="000000" w:sz="0" w:space="0"/>
              </w:pBdr>
              <w:spacing w:before="0" w:after="0"/>
              <w:ind w:left="0" w:right="0" w:firstLine="0"/>
              <w:jc w:val="center"/>
              <w:rPr>
                <w:b/>
                <w:bCs/>
                <w:color w:val="auto"/>
                <w:sz w:val="24"/>
                <w:szCs w:val="24"/>
                <w:highlight w:val="none"/>
              </w:rPr>
            </w:pPr>
            <w:r>
              <w:rPr>
                <w:rFonts w:ascii="宋体" w:hAnsi="宋体" w:eastAsia="宋体" w:cs="宋体"/>
                <w:b/>
                <w:bCs/>
                <w:color w:val="auto"/>
                <w:sz w:val="24"/>
                <w:szCs w:val="24"/>
                <w:highlight w:val="none"/>
              </w:rPr>
              <w:t>备注</w:t>
            </w:r>
          </w:p>
        </w:tc>
      </w:tr>
      <w:tr w14:paraId="15400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1194" w:type="dxa"/>
            <w:noWrap w:val="0"/>
            <w:tcMar>
              <w:top w:w="0" w:type="dxa"/>
              <w:left w:w="108" w:type="dxa"/>
              <w:bottom w:w="0" w:type="dxa"/>
              <w:right w:w="108" w:type="dxa"/>
            </w:tcMar>
            <w:vAlign w:val="center"/>
          </w:tcPr>
          <w:p w14:paraId="0F713350">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hint="eastAsia" w:eastAsia="宋体"/>
                <w:color w:val="auto"/>
                <w:highlight w:val="none"/>
                <w:lang w:eastAsia="zh-CN"/>
              </w:rPr>
            </w:pP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1</w:t>
            </w:r>
          </w:p>
        </w:tc>
        <w:tc>
          <w:tcPr>
            <w:tcW w:w="4195" w:type="dxa"/>
            <w:noWrap w:val="0"/>
            <w:tcMar>
              <w:top w:w="0" w:type="dxa"/>
              <w:left w:w="108" w:type="dxa"/>
              <w:bottom w:w="0" w:type="dxa"/>
              <w:right w:w="108" w:type="dxa"/>
            </w:tcMar>
            <w:vAlign w:val="center"/>
          </w:tcPr>
          <w:p w14:paraId="1F426F7A">
            <w:pPr>
              <w:pBdr>
                <w:top w:val="none" w:color="000000" w:sz="0" w:space="0"/>
                <w:left w:val="none" w:color="000000" w:sz="0" w:space="0"/>
                <w:bottom w:val="none" w:color="000000" w:sz="0" w:space="0"/>
                <w:right w:val="none" w:color="000000" w:sz="0" w:space="0"/>
              </w:pBdr>
              <w:spacing w:before="0" w:after="0" w:line="499" w:lineRule="atLeast"/>
              <w:ind w:left="0" w:right="0" w:firstLine="0"/>
              <w:rPr>
                <w:rFonts w:hint="eastAsia" w:eastAsia="宋体"/>
                <w:color w:val="auto"/>
                <w:highlight w:val="none"/>
                <w:lang w:eastAsia="zh-CN"/>
              </w:rPr>
            </w:pPr>
            <w:r>
              <w:rPr>
                <w:rFonts w:ascii="宋体" w:hAnsi="宋体" w:eastAsia="宋体" w:cs="宋体"/>
                <w:color w:val="auto"/>
                <w:sz w:val="24"/>
                <w:highlight w:val="none"/>
              </w:rPr>
              <w:t>大写：人民币</w:t>
            </w:r>
            <w:r>
              <w:rPr>
                <w:rFonts w:ascii="宋体" w:hAnsi="宋体" w:eastAsia="宋体" w:cs="宋体"/>
                <w:color w:val="auto"/>
                <w:sz w:val="24"/>
                <w:highlight w:val="none"/>
                <w:u w:val="single"/>
              </w:rPr>
              <w:t>          </w:t>
            </w:r>
            <w:r>
              <w:rPr>
                <w:rFonts w:hint="eastAsia" w:ascii="宋体" w:hAnsi="宋体" w:cs="宋体"/>
                <w:color w:val="auto"/>
                <w:sz w:val="24"/>
                <w:highlight w:val="none"/>
                <w:u w:val="single"/>
                <w:lang w:val="en-US" w:eastAsia="zh-CN"/>
              </w:rPr>
              <w:t>元</w:t>
            </w:r>
          </w:p>
          <w:p w14:paraId="249C7177">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小写：人民币</w:t>
            </w:r>
            <w:r>
              <w:rPr>
                <w:rFonts w:ascii="宋体" w:hAnsi="宋体" w:eastAsia="宋体" w:cs="宋体"/>
                <w:color w:val="auto"/>
                <w:sz w:val="24"/>
                <w:highlight w:val="none"/>
                <w:u w:val="single"/>
              </w:rPr>
              <w:t>￥           </w:t>
            </w:r>
          </w:p>
        </w:tc>
        <w:tc>
          <w:tcPr>
            <w:tcW w:w="2917" w:type="dxa"/>
            <w:vMerge w:val="restart"/>
            <w:noWrap w:val="0"/>
            <w:tcMar>
              <w:top w:w="0" w:type="dxa"/>
              <w:left w:w="108" w:type="dxa"/>
              <w:bottom w:w="0" w:type="dxa"/>
              <w:right w:w="108" w:type="dxa"/>
            </w:tcMar>
            <w:vAlign w:val="top"/>
          </w:tcPr>
          <w:p w14:paraId="35D70FF9">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4C55E0D1">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376FA86E">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155704FC">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1557145D">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4B97F1DB">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086DA3B4">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59F9FC4E">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6E80B5C9">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70369721">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5F75B590">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726B0CBE">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0FFC89BE">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1A196302">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1E28E05C">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4151CDFF">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09293939">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2F333045">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0A509300">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color w:val="auto"/>
                <w:highlight w:val="none"/>
              </w:rPr>
            </w:pPr>
            <w:r>
              <w:rPr>
                <w:rFonts w:ascii="宋体" w:hAnsi="宋体" w:eastAsia="宋体" w:cs="宋体"/>
                <w:color w:val="auto"/>
                <w:sz w:val="24"/>
                <w:highlight w:val="none"/>
              </w:rPr>
              <w:t>按招标文件和采购人要求执行</w:t>
            </w:r>
          </w:p>
        </w:tc>
        <w:tc>
          <w:tcPr>
            <w:tcW w:w="2031" w:type="dxa"/>
            <w:vMerge w:val="restart"/>
            <w:noWrap w:val="0"/>
            <w:tcMar>
              <w:top w:w="0" w:type="dxa"/>
              <w:left w:w="108" w:type="dxa"/>
              <w:bottom w:w="0" w:type="dxa"/>
              <w:right w:w="108" w:type="dxa"/>
            </w:tcMar>
            <w:vAlign w:val="center"/>
          </w:tcPr>
          <w:p w14:paraId="2AF9E888">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55E30B39">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111240FF">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0A2E97BA">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33A6A16E">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0294E782">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36827188">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427006AD">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127C117D">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0C5C5E8D">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5FB9BC0D">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p>
          <w:p w14:paraId="354E3227">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color w:val="auto"/>
                <w:highlight w:val="none"/>
              </w:rPr>
            </w:pPr>
            <w:r>
              <w:rPr>
                <w:rFonts w:ascii="宋体" w:hAnsi="宋体" w:eastAsia="宋体" w:cs="宋体"/>
                <w:color w:val="auto"/>
                <w:sz w:val="24"/>
                <w:highlight w:val="none"/>
              </w:rPr>
              <w:t>服务提供者是否属于并已声明小微企业：</w:t>
            </w:r>
          </w:p>
          <w:p w14:paraId="4E305C20">
            <w:pPr>
              <w:pBdr>
                <w:top w:val="none" w:color="000000" w:sz="0" w:space="0"/>
                <w:left w:val="none" w:color="000000" w:sz="0" w:space="0"/>
                <w:bottom w:val="none" w:color="000000" w:sz="0" w:space="0"/>
                <w:right w:val="none" w:color="000000" w:sz="0" w:space="0"/>
              </w:pBdr>
              <w:spacing w:before="0" w:after="0" w:line="71" w:lineRule="atLeast"/>
              <w:ind w:left="0" w:right="0" w:firstLine="0"/>
              <w:rPr>
                <w:color w:val="auto"/>
                <w:highlight w:val="none"/>
              </w:rPr>
            </w:pPr>
            <w:r>
              <w:rPr>
                <w:rFonts w:ascii="宋体" w:hAnsi="宋体" w:eastAsia="宋体" w:cs="宋体"/>
                <w:color w:val="auto"/>
                <w:sz w:val="24"/>
                <w:highlight w:val="none"/>
                <w:u w:val="single"/>
              </w:rPr>
              <w:t xml:space="preserve">                 </w:t>
            </w:r>
          </w:p>
          <w:p w14:paraId="4F3BB7D2">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color w:val="auto"/>
                <w:highlight w:val="none"/>
              </w:rPr>
            </w:pPr>
            <w:r>
              <w:rPr>
                <w:rFonts w:ascii="宋体" w:hAnsi="宋体" w:eastAsia="宋体" w:cs="宋体"/>
                <w:color w:val="auto"/>
                <w:sz w:val="24"/>
                <w:highlight w:val="none"/>
              </w:rPr>
              <w:t>（填“是”或“否”）</w:t>
            </w:r>
          </w:p>
        </w:tc>
      </w:tr>
      <w:tr w14:paraId="36C3E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1194" w:type="dxa"/>
            <w:noWrap w:val="0"/>
            <w:tcMar>
              <w:top w:w="0" w:type="dxa"/>
              <w:left w:w="108" w:type="dxa"/>
              <w:bottom w:w="0" w:type="dxa"/>
              <w:right w:w="108" w:type="dxa"/>
            </w:tcMar>
            <w:vAlign w:val="center"/>
          </w:tcPr>
          <w:p w14:paraId="1D7C44A5">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hint="eastAsia" w:eastAsia="宋体"/>
                <w:color w:val="auto"/>
                <w:highlight w:val="none"/>
                <w:lang w:eastAsia="zh-CN"/>
              </w:rPr>
            </w:pP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2</w:t>
            </w:r>
          </w:p>
        </w:tc>
        <w:tc>
          <w:tcPr>
            <w:tcW w:w="4195" w:type="dxa"/>
            <w:noWrap w:val="0"/>
            <w:tcMar>
              <w:top w:w="0" w:type="dxa"/>
              <w:left w:w="108" w:type="dxa"/>
              <w:bottom w:w="0" w:type="dxa"/>
              <w:right w:w="108" w:type="dxa"/>
            </w:tcMar>
            <w:vAlign w:val="center"/>
          </w:tcPr>
          <w:p w14:paraId="6654F1CA">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大写：人民币</w:t>
            </w:r>
            <w:r>
              <w:rPr>
                <w:rFonts w:ascii="宋体" w:hAnsi="宋体" w:eastAsia="宋体" w:cs="宋体"/>
                <w:color w:val="auto"/>
                <w:sz w:val="24"/>
                <w:highlight w:val="none"/>
                <w:u w:val="single"/>
              </w:rPr>
              <w:t>           </w:t>
            </w:r>
            <w:r>
              <w:rPr>
                <w:rFonts w:hint="eastAsia" w:ascii="宋体" w:hAnsi="宋体" w:cs="宋体"/>
                <w:color w:val="auto"/>
                <w:sz w:val="24"/>
                <w:highlight w:val="none"/>
                <w:u w:val="single"/>
                <w:lang w:val="en-US" w:eastAsia="zh-CN"/>
              </w:rPr>
              <w:t>元</w:t>
            </w:r>
          </w:p>
          <w:p w14:paraId="00843898">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小写：人民币</w:t>
            </w:r>
            <w:r>
              <w:rPr>
                <w:rFonts w:ascii="宋体" w:hAnsi="宋体" w:eastAsia="宋体" w:cs="宋体"/>
                <w:color w:val="auto"/>
                <w:sz w:val="24"/>
                <w:highlight w:val="none"/>
                <w:u w:val="single"/>
              </w:rPr>
              <w:t>￥           </w:t>
            </w:r>
          </w:p>
        </w:tc>
        <w:tc>
          <w:tcPr>
            <w:tcW w:w="2917" w:type="dxa"/>
            <w:vMerge w:val="continue"/>
            <w:noWrap w:val="0"/>
          </w:tcPr>
          <w:p w14:paraId="1A52CCDE">
            <w:pPr>
              <w:rPr>
                <w:color w:val="auto"/>
                <w:highlight w:val="none"/>
              </w:rPr>
            </w:pPr>
          </w:p>
        </w:tc>
        <w:tc>
          <w:tcPr>
            <w:tcW w:w="2031" w:type="dxa"/>
            <w:vMerge w:val="continue"/>
            <w:noWrap w:val="0"/>
          </w:tcPr>
          <w:p w14:paraId="6C55A86A">
            <w:pPr>
              <w:rPr>
                <w:color w:val="auto"/>
                <w:highlight w:val="none"/>
              </w:rPr>
            </w:pPr>
          </w:p>
        </w:tc>
      </w:tr>
      <w:tr w14:paraId="1D2F6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1194" w:type="dxa"/>
            <w:noWrap w:val="0"/>
            <w:tcMar>
              <w:top w:w="0" w:type="dxa"/>
              <w:left w:w="108" w:type="dxa"/>
              <w:bottom w:w="0" w:type="dxa"/>
              <w:right w:w="108" w:type="dxa"/>
            </w:tcMar>
            <w:vAlign w:val="center"/>
          </w:tcPr>
          <w:p w14:paraId="0C3219BE">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hint="eastAsia" w:eastAsia="宋体"/>
                <w:color w:val="auto"/>
                <w:highlight w:val="none"/>
                <w:lang w:eastAsia="zh-CN"/>
              </w:rPr>
            </w:pP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3</w:t>
            </w:r>
          </w:p>
        </w:tc>
        <w:tc>
          <w:tcPr>
            <w:tcW w:w="4195" w:type="dxa"/>
            <w:noWrap w:val="0"/>
            <w:tcMar>
              <w:top w:w="0" w:type="dxa"/>
              <w:left w:w="108" w:type="dxa"/>
              <w:bottom w:w="0" w:type="dxa"/>
              <w:right w:w="108" w:type="dxa"/>
            </w:tcMar>
            <w:vAlign w:val="center"/>
          </w:tcPr>
          <w:p w14:paraId="39CCF197">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大写：人民币</w:t>
            </w:r>
            <w:r>
              <w:rPr>
                <w:rFonts w:ascii="宋体" w:hAnsi="宋体" w:eastAsia="宋体" w:cs="宋体"/>
                <w:color w:val="auto"/>
                <w:sz w:val="24"/>
                <w:highlight w:val="none"/>
                <w:u w:val="single"/>
              </w:rPr>
              <w:t>           </w:t>
            </w:r>
            <w:r>
              <w:rPr>
                <w:rFonts w:hint="eastAsia" w:ascii="宋体" w:hAnsi="宋体" w:cs="宋体"/>
                <w:color w:val="auto"/>
                <w:sz w:val="24"/>
                <w:highlight w:val="none"/>
                <w:u w:val="single"/>
                <w:lang w:val="en-US" w:eastAsia="zh-CN"/>
              </w:rPr>
              <w:t>元</w:t>
            </w:r>
          </w:p>
          <w:p w14:paraId="63E820F2">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小写：人民币</w:t>
            </w:r>
            <w:r>
              <w:rPr>
                <w:rFonts w:ascii="宋体" w:hAnsi="宋体" w:eastAsia="宋体" w:cs="宋体"/>
                <w:color w:val="auto"/>
                <w:sz w:val="24"/>
                <w:highlight w:val="none"/>
                <w:u w:val="single"/>
              </w:rPr>
              <w:t>￥           </w:t>
            </w:r>
          </w:p>
        </w:tc>
        <w:tc>
          <w:tcPr>
            <w:tcW w:w="2917" w:type="dxa"/>
            <w:vMerge w:val="continue"/>
            <w:noWrap w:val="0"/>
          </w:tcPr>
          <w:p w14:paraId="0AE824E9">
            <w:pPr>
              <w:rPr>
                <w:color w:val="auto"/>
                <w:highlight w:val="none"/>
              </w:rPr>
            </w:pPr>
          </w:p>
        </w:tc>
        <w:tc>
          <w:tcPr>
            <w:tcW w:w="2031" w:type="dxa"/>
            <w:vMerge w:val="continue"/>
            <w:noWrap w:val="0"/>
          </w:tcPr>
          <w:p w14:paraId="2E622A67">
            <w:pPr>
              <w:rPr>
                <w:color w:val="auto"/>
                <w:highlight w:val="none"/>
              </w:rPr>
            </w:pPr>
          </w:p>
        </w:tc>
      </w:tr>
      <w:tr w14:paraId="0BA40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1194" w:type="dxa"/>
            <w:noWrap w:val="0"/>
            <w:tcMar>
              <w:top w:w="0" w:type="dxa"/>
              <w:left w:w="108" w:type="dxa"/>
              <w:bottom w:w="0" w:type="dxa"/>
              <w:right w:w="108" w:type="dxa"/>
            </w:tcMar>
            <w:vAlign w:val="center"/>
          </w:tcPr>
          <w:p w14:paraId="275135AF">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hint="eastAsia" w:eastAsia="宋体"/>
                <w:color w:val="auto"/>
                <w:highlight w:val="none"/>
                <w:lang w:eastAsia="zh-CN"/>
              </w:rPr>
            </w:pP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4</w:t>
            </w:r>
          </w:p>
        </w:tc>
        <w:tc>
          <w:tcPr>
            <w:tcW w:w="4195" w:type="dxa"/>
            <w:noWrap w:val="0"/>
            <w:tcMar>
              <w:top w:w="0" w:type="dxa"/>
              <w:left w:w="108" w:type="dxa"/>
              <w:bottom w:w="0" w:type="dxa"/>
              <w:right w:w="108" w:type="dxa"/>
            </w:tcMar>
            <w:vAlign w:val="center"/>
          </w:tcPr>
          <w:p w14:paraId="46E87954">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大写：人民币</w:t>
            </w:r>
            <w:r>
              <w:rPr>
                <w:rFonts w:ascii="宋体" w:hAnsi="宋体" w:eastAsia="宋体" w:cs="宋体"/>
                <w:color w:val="auto"/>
                <w:sz w:val="24"/>
                <w:highlight w:val="none"/>
                <w:u w:val="single"/>
              </w:rPr>
              <w:t>           </w:t>
            </w:r>
            <w:r>
              <w:rPr>
                <w:rFonts w:hint="eastAsia" w:ascii="宋体" w:hAnsi="宋体" w:cs="宋体"/>
                <w:color w:val="auto"/>
                <w:sz w:val="24"/>
                <w:highlight w:val="none"/>
                <w:u w:val="single"/>
                <w:lang w:val="en-US" w:eastAsia="zh-CN"/>
              </w:rPr>
              <w:t>元</w:t>
            </w:r>
          </w:p>
          <w:p w14:paraId="25516D11">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小写：人民币</w:t>
            </w:r>
            <w:r>
              <w:rPr>
                <w:rFonts w:ascii="宋体" w:hAnsi="宋体" w:eastAsia="宋体" w:cs="宋体"/>
                <w:color w:val="auto"/>
                <w:sz w:val="24"/>
                <w:highlight w:val="none"/>
                <w:u w:val="single"/>
              </w:rPr>
              <w:t>￥           </w:t>
            </w:r>
          </w:p>
        </w:tc>
        <w:tc>
          <w:tcPr>
            <w:tcW w:w="2917" w:type="dxa"/>
            <w:vMerge w:val="continue"/>
            <w:noWrap w:val="0"/>
          </w:tcPr>
          <w:p w14:paraId="2BB32387">
            <w:pPr>
              <w:rPr>
                <w:color w:val="auto"/>
                <w:highlight w:val="none"/>
              </w:rPr>
            </w:pPr>
          </w:p>
        </w:tc>
        <w:tc>
          <w:tcPr>
            <w:tcW w:w="2031" w:type="dxa"/>
            <w:vMerge w:val="continue"/>
            <w:noWrap w:val="0"/>
          </w:tcPr>
          <w:p w14:paraId="44117D28">
            <w:pPr>
              <w:rPr>
                <w:color w:val="auto"/>
                <w:highlight w:val="none"/>
              </w:rPr>
            </w:pPr>
          </w:p>
        </w:tc>
      </w:tr>
      <w:tr w14:paraId="65C5F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trPr>
        <w:tc>
          <w:tcPr>
            <w:tcW w:w="1194" w:type="dxa"/>
            <w:noWrap w:val="0"/>
            <w:tcMar>
              <w:top w:w="0" w:type="dxa"/>
              <w:left w:w="108" w:type="dxa"/>
              <w:bottom w:w="0" w:type="dxa"/>
              <w:right w:w="108" w:type="dxa"/>
            </w:tcMar>
            <w:vAlign w:val="center"/>
          </w:tcPr>
          <w:p w14:paraId="07C61353">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hint="eastAsia" w:eastAsia="宋体"/>
                <w:color w:val="auto"/>
                <w:highlight w:val="none"/>
                <w:lang w:eastAsia="zh-CN"/>
              </w:rPr>
            </w:pP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5</w:t>
            </w:r>
          </w:p>
        </w:tc>
        <w:tc>
          <w:tcPr>
            <w:tcW w:w="4195" w:type="dxa"/>
            <w:noWrap w:val="0"/>
            <w:tcMar>
              <w:top w:w="0" w:type="dxa"/>
              <w:left w:w="108" w:type="dxa"/>
              <w:bottom w:w="0" w:type="dxa"/>
              <w:right w:w="108" w:type="dxa"/>
            </w:tcMar>
            <w:vAlign w:val="center"/>
          </w:tcPr>
          <w:p w14:paraId="2A412439">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大写：人民币</w:t>
            </w:r>
            <w:r>
              <w:rPr>
                <w:rFonts w:ascii="宋体" w:hAnsi="宋体" w:eastAsia="宋体" w:cs="宋体"/>
                <w:color w:val="auto"/>
                <w:sz w:val="24"/>
                <w:highlight w:val="none"/>
                <w:u w:val="single"/>
              </w:rPr>
              <w:t>           </w:t>
            </w:r>
            <w:r>
              <w:rPr>
                <w:rFonts w:hint="eastAsia" w:ascii="宋体" w:hAnsi="宋体" w:cs="宋体"/>
                <w:color w:val="auto"/>
                <w:sz w:val="24"/>
                <w:highlight w:val="none"/>
                <w:u w:val="single"/>
                <w:lang w:val="en-US" w:eastAsia="zh-CN"/>
              </w:rPr>
              <w:t>元</w:t>
            </w:r>
          </w:p>
          <w:p w14:paraId="49894105">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小写：人民币</w:t>
            </w:r>
            <w:r>
              <w:rPr>
                <w:rFonts w:ascii="宋体" w:hAnsi="宋体" w:eastAsia="宋体" w:cs="宋体"/>
                <w:color w:val="auto"/>
                <w:sz w:val="24"/>
                <w:highlight w:val="none"/>
                <w:u w:val="single"/>
              </w:rPr>
              <w:t>￥           </w:t>
            </w:r>
          </w:p>
        </w:tc>
        <w:tc>
          <w:tcPr>
            <w:tcW w:w="2917" w:type="dxa"/>
            <w:vMerge w:val="continue"/>
            <w:noWrap w:val="0"/>
          </w:tcPr>
          <w:p w14:paraId="0697A93F">
            <w:pPr>
              <w:rPr>
                <w:color w:val="auto"/>
                <w:highlight w:val="none"/>
              </w:rPr>
            </w:pPr>
          </w:p>
        </w:tc>
        <w:tc>
          <w:tcPr>
            <w:tcW w:w="2031" w:type="dxa"/>
            <w:vMerge w:val="continue"/>
            <w:noWrap w:val="0"/>
          </w:tcPr>
          <w:p w14:paraId="7B04B36A">
            <w:pPr>
              <w:rPr>
                <w:color w:val="auto"/>
                <w:highlight w:val="none"/>
              </w:rPr>
            </w:pPr>
          </w:p>
        </w:tc>
      </w:tr>
      <w:tr w14:paraId="1BF3E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1194" w:type="dxa"/>
            <w:noWrap w:val="0"/>
            <w:tcMar>
              <w:top w:w="0" w:type="dxa"/>
              <w:left w:w="108" w:type="dxa"/>
              <w:bottom w:w="0" w:type="dxa"/>
              <w:right w:w="108" w:type="dxa"/>
            </w:tcMar>
            <w:vAlign w:val="center"/>
          </w:tcPr>
          <w:p w14:paraId="3F17BFAD">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hint="eastAsia" w:eastAsia="宋体"/>
                <w:color w:val="auto"/>
                <w:highlight w:val="none"/>
                <w:lang w:eastAsia="zh-CN"/>
              </w:rPr>
            </w:pP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6</w:t>
            </w:r>
          </w:p>
        </w:tc>
        <w:tc>
          <w:tcPr>
            <w:tcW w:w="4195" w:type="dxa"/>
            <w:noWrap w:val="0"/>
            <w:tcMar>
              <w:top w:w="0" w:type="dxa"/>
              <w:left w:w="108" w:type="dxa"/>
              <w:bottom w:w="0" w:type="dxa"/>
              <w:right w:w="108" w:type="dxa"/>
            </w:tcMar>
            <w:vAlign w:val="center"/>
          </w:tcPr>
          <w:p w14:paraId="7CF83E4E">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大写：人民币</w:t>
            </w:r>
            <w:r>
              <w:rPr>
                <w:rFonts w:ascii="宋体" w:hAnsi="宋体" w:eastAsia="宋体" w:cs="宋体"/>
                <w:color w:val="auto"/>
                <w:sz w:val="24"/>
                <w:highlight w:val="none"/>
                <w:u w:val="single"/>
              </w:rPr>
              <w:t>           </w:t>
            </w:r>
            <w:r>
              <w:rPr>
                <w:rFonts w:hint="eastAsia" w:ascii="宋体" w:hAnsi="宋体" w:cs="宋体"/>
                <w:color w:val="auto"/>
                <w:sz w:val="24"/>
                <w:highlight w:val="none"/>
                <w:u w:val="single"/>
                <w:lang w:val="en-US" w:eastAsia="zh-CN"/>
              </w:rPr>
              <w:t>元</w:t>
            </w:r>
          </w:p>
          <w:p w14:paraId="35770EFD">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小写：人民币</w:t>
            </w:r>
            <w:r>
              <w:rPr>
                <w:rFonts w:ascii="宋体" w:hAnsi="宋体" w:eastAsia="宋体" w:cs="宋体"/>
                <w:color w:val="auto"/>
                <w:sz w:val="24"/>
                <w:highlight w:val="none"/>
                <w:u w:val="single"/>
              </w:rPr>
              <w:t>￥           </w:t>
            </w:r>
          </w:p>
        </w:tc>
        <w:tc>
          <w:tcPr>
            <w:tcW w:w="2917" w:type="dxa"/>
            <w:vMerge w:val="continue"/>
            <w:noWrap w:val="0"/>
          </w:tcPr>
          <w:p w14:paraId="5CF40605">
            <w:pPr>
              <w:rPr>
                <w:color w:val="auto"/>
                <w:highlight w:val="none"/>
              </w:rPr>
            </w:pPr>
          </w:p>
        </w:tc>
        <w:tc>
          <w:tcPr>
            <w:tcW w:w="2031" w:type="dxa"/>
            <w:vMerge w:val="continue"/>
            <w:noWrap w:val="0"/>
          </w:tcPr>
          <w:p w14:paraId="06B5D3E9">
            <w:pPr>
              <w:rPr>
                <w:color w:val="auto"/>
                <w:highlight w:val="none"/>
              </w:rPr>
            </w:pPr>
          </w:p>
        </w:tc>
      </w:tr>
      <w:tr w14:paraId="236DE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rPr>
        <w:tc>
          <w:tcPr>
            <w:tcW w:w="1194" w:type="dxa"/>
            <w:noWrap w:val="0"/>
            <w:tcMar>
              <w:top w:w="0" w:type="dxa"/>
              <w:left w:w="108" w:type="dxa"/>
              <w:bottom w:w="0" w:type="dxa"/>
              <w:right w:w="108" w:type="dxa"/>
            </w:tcMar>
            <w:vAlign w:val="center"/>
          </w:tcPr>
          <w:p w14:paraId="739C0D4F">
            <w:pPr>
              <w:pBdr>
                <w:top w:val="none" w:color="000000" w:sz="0" w:space="0"/>
                <w:left w:val="none" w:color="000000" w:sz="0" w:space="0"/>
                <w:bottom w:val="none" w:color="000000" w:sz="0" w:space="0"/>
                <w:right w:val="none" w:color="000000" w:sz="0" w:space="0"/>
              </w:pBdr>
              <w:spacing w:before="0" w:after="0" w:line="71" w:lineRule="atLeast"/>
              <w:ind w:left="0" w:right="0" w:firstLine="0"/>
              <w:jc w:val="center"/>
              <w:rPr>
                <w:rFonts w:ascii="宋体" w:hAnsi="宋体" w:eastAsia="宋体" w:cs="宋体"/>
                <w:color w:val="auto"/>
                <w:sz w:val="24"/>
                <w:highlight w:val="none"/>
              </w:rPr>
            </w:pPr>
            <w:r>
              <w:rPr>
                <w:rFonts w:ascii="宋体" w:hAnsi="宋体" w:eastAsia="宋体" w:cs="宋体"/>
                <w:color w:val="auto"/>
                <w:sz w:val="24"/>
                <w:highlight w:val="none"/>
              </w:rPr>
              <w:t>分包</w:t>
            </w:r>
            <w:r>
              <w:rPr>
                <w:rFonts w:hint="eastAsia" w:ascii="宋体" w:hAnsi="宋体" w:cs="宋体"/>
                <w:color w:val="auto"/>
                <w:sz w:val="24"/>
                <w:highlight w:val="none"/>
                <w:lang w:val="en-US" w:eastAsia="zh-CN"/>
              </w:rPr>
              <w:t>7</w:t>
            </w:r>
          </w:p>
        </w:tc>
        <w:tc>
          <w:tcPr>
            <w:tcW w:w="4195" w:type="dxa"/>
            <w:noWrap w:val="0"/>
            <w:tcMar>
              <w:top w:w="0" w:type="dxa"/>
              <w:left w:w="108" w:type="dxa"/>
              <w:bottom w:w="0" w:type="dxa"/>
              <w:right w:w="108" w:type="dxa"/>
            </w:tcMar>
            <w:vAlign w:val="center"/>
          </w:tcPr>
          <w:p w14:paraId="673D7A1B">
            <w:pPr>
              <w:pBdr>
                <w:top w:val="none" w:color="000000" w:sz="0" w:space="0"/>
                <w:left w:val="none" w:color="000000" w:sz="0" w:space="0"/>
                <w:bottom w:val="none" w:color="000000" w:sz="0" w:space="0"/>
                <w:right w:val="none" w:color="000000" w:sz="0" w:space="0"/>
              </w:pBdr>
              <w:spacing w:before="0" w:after="0" w:line="499" w:lineRule="atLeast"/>
              <w:ind w:left="0" w:right="0" w:firstLine="0"/>
              <w:rPr>
                <w:color w:val="auto"/>
                <w:highlight w:val="none"/>
              </w:rPr>
            </w:pPr>
            <w:r>
              <w:rPr>
                <w:rFonts w:ascii="宋体" w:hAnsi="宋体" w:eastAsia="宋体" w:cs="宋体"/>
                <w:color w:val="auto"/>
                <w:sz w:val="24"/>
                <w:highlight w:val="none"/>
              </w:rPr>
              <w:t>大写：人民币</w:t>
            </w:r>
            <w:r>
              <w:rPr>
                <w:rFonts w:ascii="宋体" w:hAnsi="宋体" w:eastAsia="宋体" w:cs="宋体"/>
                <w:color w:val="auto"/>
                <w:sz w:val="24"/>
                <w:highlight w:val="none"/>
                <w:u w:val="single"/>
              </w:rPr>
              <w:t>           </w:t>
            </w:r>
            <w:r>
              <w:rPr>
                <w:rFonts w:ascii="宋体" w:hAnsi="宋体" w:eastAsia="宋体" w:cs="宋体"/>
                <w:color w:val="auto"/>
                <w:sz w:val="24"/>
                <w:highlight w:val="none"/>
              </w:rPr>
              <w:t>元</w:t>
            </w:r>
          </w:p>
          <w:p w14:paraId="7B9987C0">
            <w:pPr>
              <w:pBdr>
                <w:top w:val="none" w:color="000000" w:sz="0" w:space="0"/>
                <w:left w:val="none" w:color="000000" w:sz="0" w:space="0"/>
                <w:bottom w:val="none" w:color="000000" w:sz="0" w:space="0"/>
                <w:right w:val="none" w:color="000000" w:sz="0" w:space="0"/>
              </w:pBdr>
              <w:spacing w:before="0" w:after="0" w:line="499"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小写：人民币</w:t>
            </w:r>
            <w:r>
              <w:rPr>
                <w:rFonts w:ascii="宋体" w:hAnsi="宋体" w:eastAsia="宋体" w:cs="宋体"/>
                <w:color w:val="auto"/>
                <w:sz w:val="24"/>
                <w:highlight w:val="none"/>
                <w:u w:val="single"/>
              </w:rPr>
              <w:t>￥           </w:t>
            </w:r>
          </w:p>
        </w:tc>
        <w:tc>
          <w:tcPr>
            <w:tcW w:w="2917" w:type="dxa"/>
            <w:vMerge w:val="continue"/>
            <w:noWrap w:val="0"/>
          </w:tcPr>
          <w:p w14:paraId="6FA6FD68">
            <w:pPr>
              <w:rPr>
                <w:color w:val="auto"/>
                <w:highlight w:val="none"/>
              </w:rPr>
            </w:pPr>
          </w:p>
        </w:tc>
        <w:tc>
          <w:tcPr>
            <w:tcW w:w="2031" w:type="dxa"/>
            <w:vMerge w:val="continue"/>
            <w:noWrap w:val="0"/>
          </w:tcPr>
          <w:p w14:paraId="107EE609">
            <w:pPr>
              <w:rPr>
                <w:color w:val="auto"/>
                <w:highlight w:val="none"/>
              </w:rPr>
            </w:pPr>
          </w:p>
        </w:tc>
      </w:tr>
    </w:tbl>
    <w:p w14:paraId="476FF982">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sz w:val="24"/>
          <w:highlight w:val="none"/>
        </w:rPr>
      </w:pPr>
    </w:p>
    <w:p w14:paraId="3B60A7B5">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投标</w:t>
      </w:r>
      <w:r>
        <w:rPr>
          <w:rFonts w:hint="eastAsia" w:ascii="宋体" w:hAnsi="宋体" w:eastAsia="宋体" w:cs="宋体"/>
          <w:color w:val="auto"/>
          <w:sz w:val="24"/>
          <w:highlight w:val="none"/>
          <w:lang w:val="en-US" w:eastAsia="zh-CN"/>
        </w:rPr>
        <w:t>人名称</w:t>
      </w:r>
      <w:r>
        <w:rPr>
          <w:rFonts w:hint="eastAsia" w:ascii="宋体" w:hAnsi="宋体" w:eastAsia="宋体" w:cs="宋体"/>
          <w:color w:val="auto"/>
          <w:sz w:val="24"/>
          <w:highlight w:val="none"/>
        </w:rPr>
        <w:t>（盖章）：</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 </w:t>
      </w:r>
    </w:p>
    <w:p w14:paraId="62859B54">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lang w:val="en-US" w:eastAsia="zh-CN"/>
        </w:rPr>
        <w:t>签字</w:t>
      </w:r>
      <w:r>
        <w:rPr>
          <w:rFonts w:hint="eastAsia" w:ascii="宋体" w:hAnsi="宋体" w:eastAsia="宋体" w:cs="宋体"/>
          <w:color w:val="auto"/>
          <w:sz w:val="24"/>
          <w:highlight w:val="none"/>
        </w:rPr>
        <w:t>（或授权代表</w:t>
      </w:r>
      <w:r>
        <w:rPr>
          <w:rFonts w:hint="eastAsia" w:ascii="宋体" w:hAnsi="宋体" w:eastAsia="宋体" w:cs="宋体"/>
          <w:color w:val="auto"/>
          <w:sz w:val="24"/>
          <w:highlight w:val="none"/>
          <w:lang w:val="en-US" w:eastAsia="zh-CN"/>
        </w:rPr>
        <w:t>签字</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   </w:t>
      </w:r>
    </w:p>
    <w:p w14:paraId="5DC59AA3">
      <w:pPr>
        <w:pBdr>
          <w:top w:val="none" w:color="000000" w:sz="0" w:space="0"/>
          <w:left w:val="none" w:color="000000" w:sz="0" w:space="0"/>
          <w:bottom w:val="none" w:color="000000" w:sz="0" w:space="0"/>
          <w:right w:val="none" w:color="000000" w:sz="0" w:space="0"/>
        </w:pBdr>
        <w:spacing w:before="0" w:after="0"/>
        <w:ind w:left="0" w:right="0" w:firstLine="480"/>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日  期：   年   月   日</w:t>
      </w:r>
    </w:p>
    <w:p w14:paraId="3C73C4CF">
      <w:pPr>
        <w:pBdr>
          <w:top w:val="none" w:color="000000" w:sz="0" w:space="0"/>
          <w:left w:val="none" w:color="000000" w:sz="0" w:space="0"/>
          <w:bottom w:val="none" w:color="000000" w:sz="0" w:space="0"/>
          <w:right w:val="none" w:color="000000" w:sz="0" w:space="0"/>
        </w:pBdr>
        <w:spacing w:before="0" w:after="0"/>
        <w:ind w:left="0" w:right="0" w:firstLine="480"/>
        <w:jc w:val="both"/>
        <w:rPr>
          <w:rFonts w:ascii="宋体" w:hAnsi="宋体" w:eastAsia="宋体" w:cs="宋体"/>
          <w:color w:val="auto"/>
          <w:sz w:val="24"/>
          <w:highlight w:val="none"/>
        </w:rPr>
      </w:pPr>
    </w:p>
    <w:p w14:paraId="232378E5">
      <w:pPr>
        <w:pBdr>
          <w:top w:val="none" w:color="000000" w:sz="0" w:space="0"/>
          <w:left w:val="none" w:color="000000" w:sz="0" w:space="0"/>
          <w:bottom w:val="none" w:color="000000" w:sz="0" w:space="0"/>
          <w:right w:val="none" w:color="000000" w:sz="0" w:space="0"/>
        </w:pBdr>
        <w:spacing w:before="0" w:after="0"/>
        <w:ind w:right="0" w:firstLine="241" w:firstLineChars="100"/>
        <w:jc w:val="both"/>
        <w:rPr>
          <w:rFonts w:ascii="宋体" w:hAnsi="宋体" w:eastAsia="宋体" w:cs="宋体"/>
          <w:b/>
          <w:bCs/>
          <w:color w:val="auto"/>
          <w:sz w:val="24"/>
          <w:highlight w:val="none"/>
        </w:rPr>
      </w:pPr>
      <w:r>
        <w:rPr>
          <w:rFonts w:ascii="宋体" w:hAnsi="宋体" w:eastAsia="宋体" w:cs="宋体"/>
          <w:b/>
          <w:bCs/>
          <w:color w:val="auto"/>
          <w:sz w:val="24"/>
          <w:highlight w:val="none"/>
        </w:rPr>
        <w:t>说明：</w:t>
      </w:r>
    </w:p>
    <w:p w14:paraId="619773F5">
      <w:pPr>
        <w:pBdr>
          <w:top w:val="none" w:color="000000" w:sz="0" w:space="0"/>
          <w:left w:val="none" w:color="000000" w:sz="0" w:space="0"/>
          <w:bottom w:val="none" w:color="000000" w:sz="0" w:space="0"/>
          <w:right w:val="none" w:color="000000" w:sz="0" w:space="0"/>
        </w:pBdr>
        <w:spacing w:before="0" w:after="0"/>
        <w:ind w:right="0" w:firstLine="240" w:firstLineChars="100"/>
        <w:jc w:val="both"/>
        <w:rPr>
          <w:rFonts w:ascii="宋体" w:hAnsi="宋体" w:eastAsia="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本项目仅接受一个价格，不得填报有选择性报价方案。若有优惠条款须注明，但不得影响报价，影响产品整体功能。</w:t>
      </w:r>
    </w:p>
    <w:p w14:paraId="26999BF7">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宋体" w:hAnsi="宋体" w:eastAsia="宋体" w:cs="宋体"/>
          <w:color w:val="auto"/>
          <w:sz w:val="24"/>
          <w:highlight w:val="none"/>
        </w:rPr>
        <w:t> </w:t>
      </w:r>
      <w:r>
        <w:rPr>
          <w:rFonts w:hint="eastAsia" w:ascii="宋体" w:hAnsi="宋体" w:cs="宋体"/>
          <w:b/>
          <w:color w:val="auto"/>
          <w:sz w:val="24"/>
          <w:highlight w:val="none"/>
          <w:u w:val="single"/>
          <w:lang w:val="en-US" w:eastAsia="zh-CN"/>
        </w:rPr>
        <w:t>2</w:t>
      </w:r>
      <w:r>
        <w:rPr>
          <w:rFonts w:ascii="宋体" w:hAnsi="宋体" w:eastAsia="宋体" w:cs="宋体"/>
          <w:b/>
          <w:color w:val="auto"/>
          <w:sz w:val="24"/>
          <w:highlight w:val="none"/>
          <w:u w:val="single"/>
        </w:rPr>
        <w:t>、投标多个分包，需明确填写每个投标分包的分包号和详细报价。未投标的分包无需填写。</w:t>
      </w:r>
    </w:p>
    <w:p w14:paraId="76461BDF">
      <w:pPr>
        <w:pBdr>
          <w:top w:val="none" w:color="000000" w:sz="0" w:space="0"/>
          <w:left w:val="none" w:color="000000" w:sz="0" w:space="0"/>
          <w:bottom w:val="none" w:color="000000" w:sz="0" w:space="0"/>
          <w:right w:val="none" w:color="000000" w:sz="0" w:space="0"/>
        </w:pBdr>
        <w:spacing w:before="0" w:after="0" w:line="419" w:lineRule="atLeast"/>
        <w:ind w:left="0" w:right="0" w:firstLine="0"/>
        <w:jc w:val="center"/>
        <w:rPr>
          <w:rFonts w:ascii="黑体" w:hAnsi="黑体" w:eastAsia="黑体" w:cs="黑体"/>
          <w:color w:val="auto"/>
          <w:sz w:val="36"/>
          <w:highlight w:val="none"/>
        </w:rPr>
      </w:pPr>
    </w:p>
    <w:p w14:paraId="69514FCB">
      <w:pPr>
        <w:pBdr>
          <w:top w:val="none" w:color="000000" w:sz="0" w:space="0"/>
          <w:left w:val="none" w:color="000000" w:sz="0" w:space="0"/>
          <w:bottom w:val="none" w:color="000000" w:sz="0" w:space="0"/>
          <w:right w:val="none" w:color="000000" w:sz="0" w:space="0"/>
        </w:pBdr>
        <w:spacing w:before="0" w:after="0" w:line="419" w:lineRule="atLeast"/>
        <w:ind w:left="0" w:right="0" w:firstLine="0"/>
        <w:jc w:val="center"/>
        <w:rPr>
          <w:rFonts w:ascii="黑体" w:hAnsi="黑体" w:eastAsia="黑体" w:cs="黑体"/>
          <w:color w:val="auto"/>
          <w:sz w:val="36"/>
          <w:highlight w:val="none"/>
        </w:rPr>
      </w:pPr>
    </w:p>
    <w:p w14:paraId="79ADF912">
      <w:pPr>
        <w:pBdr>
          <w:top w:val="none" w:color="000000" w:sz="0" w:space="0"/>
          <w:left w:val="none" w:color="000000" w:sz="0" w:space="0"/>
          <w:bottom w:val="none" w:color="000000" w:sz="0" w:space="0"/>
          <w:right w:val="none" w:color="000000" w:sz="0" w:space="0"/>
        </w:pBdr>
        <w:spacing w:before="0" w:after="0" w:line="419" w:lineRule="atLeast"/>
        <w:ind w:left="0" w:right="0" w:firstLine="0"/>
        <w:jc w:val="center"/>
        <w:rPr>
          <w:rFonts w:ascii="黑体" w:hAnsi="黑体" w:eastAsia="黑体" w:cs="黑体"/>
          <w:color w:val="auto"/>
          <w:sz w:val="36"/>
          <w:highlight w:val="none"/>
        </w:rPr>
      </w:pPr>
    </w:p>
    <w:p w14:paraId="13ECD756">
      <w:pPr>
        <w:pBdr>
          <w:top w:val="none" w:color="000000" w:sz="0" w:space="0"/>
          <w:left w:val="none" w:color="000000" w:sz="0" w:space="0"/>
          <w:bottom w:val="none" w:color="000000" w:sz="0" w:space="0"/>
          <w:right w:val="none" w:color="000000" w:sz="0" w:space="0"/>
        </w:pBdr>
        <w:spacing w:before="0" w:after="0" w:line="419" w:lineRule="atLeast"/>
        <w:ind w:left="0" w:right="0" w:firstLine="0"/>
        <w:jc w:val="center"/>
        <w:rPr>
          <w:rFonts w:ascii="黑体" w:hAnsi="黑体" w:eastAsia="黑体" w:cs="黑体"/>
          <w:color w:val="auto"/>
          <w:sz w:val="36"/>
          <w:highlight w:val="none"/>
        </w:rPr>
      </w:pPr>
    </w:p>
    <w:p w14:paraId="3AFB245C">
      <w:pPr>
        <w:pStyle w:val="39"/>
        <w:rPr>
          <w:rFonts w:ascii="黑体" w:hAnsi="黑体" w:eastAsia="黑体" w:cs="黑体"/>
          <w:color w:val="auto"/>
          <w:sz w:val="36"/>
          <w:highlight w:val="none"/>
        </w:rPr>
      </w:pPr>
    </w:p>
    <w:p w14:paraId="4E0DDE6F">
      <w:pPr>
        <w:pStyle w:val="39"/>
        <w:rPr>
          <w:rFonts w:ascii="黑体" w:hAnsi="黑体" w:eastAsia="黑体" w:cs="黑体"/>
          <w:color w:val="auto"/>
          <w:sz w:val="36"/>
          <w:highlight w:val="none"/>
        </w:rPr>
      </w:pPr>
    </w:p>
    <w:p w14:paraId="4F2BBA8F">
      <w:pPr>
        <w:pStyle w:val="39"/>
        <w:rPr>
          <w:rFonts w:ascii="黑体" w:hAnsi="黑体" w:eastAsia="黑体" w:cs="黑体"/>
          <w:color w:val="auto"/>
          <w:sz w:val="36"/>
          <w:highlight w:val="none"/>
        </w:rPr>
      </w:pPr>
    </w:p>
    <w:p w14:paraId="3235FC6E">
      <w:pPr>
        <w:pStyle w:val="39"/>
        <w:rPr>
          <w:rFonts w:ascii="黑体" w:hAnsi="黑体" w:eastAsia="黑体" w:cs="黑体"/>
          <w:color w:val="auto"/>
          <w:sz w:val="36"/>
          <w:highlight w:val="none"/>
        </w:rPr>
      </w:pPr>
    </w:p>
    <w:p w14:paraId="11841F3F">
      <w:pPr>
        <w:pStyle w:val="39"/>
        <w:rPr>
          <w:rFonts w:ascii="黑体" w:hAnsi="黑体" w:eastAsia="黑体" w:cs="黑体"/>
          <w:color w:val="auto"/>
          <w:sz w:val="36"/>
          <w:highlight w:val="none"/>
        </w:rPr>
      </w:pPr>
    </w:p>
    <w:p w14:paraId="3DC1B71F">
      <w:pPr>
        <w:pBdr>
          <w:top w:val="none" w:color="000000" w:sz="0" w:space="0"/>
          <w:left w:val="none" w:color="000000" w:sz="0" w:space="0"/>
          <w:bottom w:val="none" w:color="000000" w:sz="0" w:space="0"/>
          <w:right w:val="none" w:color="000000" w:sz="0" w:space="0"/>
        </w:pBdr>
        <w:spacing w:before="0" w:after="0"/>
        <w:ind w:left="0" w:right="0" w:firstLine="0"/>
        <w:jc w:val="both"/>
        <w:rPr>
          <w:rFonts w:ascii="黑体" w:hAnsi="黑体" w:eastAsia="黑体" w:cs="黑体"/>
          <w:b/>
          <w:color w:val="auto"/>
          <w:sz w:val="36"/>
          <w:highlight w:val="none"/>
        </w:rPr>
      </w:pPr>
    </w:p>
    <w:p w14:paraId="2CF3AA9C">
      <w:pPr>
        <w:numPr>
          <w:ilvl w:val="0"/>
          <w:numId w:val="8"/>
        </w:numPr>
        <w:adjustRightInd w:val="0"/>
        <w:snapToGrid w:val="0"/>
        <w:spacing w:line="360" w:lineRule="auto"/>
        <w:rPr>
          <w:rFonts w:hint="eastAsia" w:ascii="宋体" w:hAnsi="宋体" w:eastAsia="宋体" w:cs="Times New Roman"/>
          <w:b/>
          <w:color w:val="auto"/>
          <w:kern w:val="2"/>
          <w:sz w:val="24"/>
          <w:szCs w:val="24"/>
          <w:highlight w:val="none"/>
          <w:lang w:val="en-US" w:eastAsia="zh-CN"/>
        </w:rPr>
      </w:pPr>
      <w:r>
        <w:rPr>
          <w:rFonts w:hint="eastAsia" w:ascii="宋体" w:hAnsi="宋体" w:eastAsia="宋体" w:cs="Times New Roman"/>
          <w:b/>
          <w:color w:val="auto"/>
          <w:kern w:val="2"/>
          <w:sz w:val="24"/>
          <w:szCs w:val="24"/>
          <w:highlight w:val="none"/>
          <w:lang w:val="en-US" w:eastAsia="zh-CN"/>
        </w:rPr>
        <w:t>分部分项报价表</w:t>
      </w:r>
    </w:p>
    <w:p w14:paraId="517EDBFE">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黑体" w:hAnsi="黑体" w:eastAsia="黑体" w:cs="黑体"/>
          <w:b w:val="0"/>
          <w:bCs/>
          <w:color w:val="auto"/>
          <w:sz w:val="36"/>
          <w:highlight w:val="none"/>
          <w:lang w:val="en-US" w:eastAsia="zh-CN"/>
        </w:rPr>
      </w:pPr>
    </w:p>
    <w:p w14:paraId="3B257331">
      <w:pPr>
        <w:pBdr>
          <w:top w:val="none" w:color="000000" w:sz="0" w:space="0"/>
          <w:left w:val="none" w:color="000000" w:sz="0" w:space="0"/>
          <w:bottom w:val="none" w:color="000000" w:sz="0" w:space="0"/>
          <w:right w:val="none" w:color="000000" w:sz="0" w:space="0"/>
        </w:pBdr>
        <w:spacing w:before="0" w:after="0"/>
        <w:ind w:left="0" w:right="0" w:firstLine="0"/>
        <w:jc w:val="center"/>
        <w:rPr>
          <w:rFonts w:hint="eastAsia" w:ascii="黑体" w:hAnsi="黑体" w:eastAsia="黑体" w:cs="黑体"/>
          <w:b w:val="0"/>
          <w:bCs/>
          <w:color w:val="auto"/>
          <w:sz w:val="36"/>
          <w:highlight w:val="none"/>
          <w:lang w:val="en-US" w:eastAsia="zh-CN"/>
        </w:rPr>
      </w:pPr>
      <w:r>
        <w:rPr>
          <w:rFonts w:hint="eastAsia" w:ascii="黑体" w:hAnsi="黑体" w:eastAsia="黑体" w:cs="黑体"/>
          <w:b w:val="0"/>
          <w:bCs/>
          <w:color w:val="auto"/>
          <w:sz w:val="36"/>
          <w:highlight w:val="none"/>
          <w:lang w:val="en-US" w:eastAsia="zh-CN"/>
        </w:rPr>
        <w:t>分部分项报价表（如有）</w:t>
      </w:r>
    </w:p>
    <w:p w14:paraId="3672C6D0">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val="0"/>
          <w:bCs/>
          <w:color w:val="auto"/>
          <w:sz w:val="36"/>
          <w:highlight w:val="none"/>
        </w:rPr>
      </w:pPr>
    </w:p>
    <w:p w14:paraId="4D85A604">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说明：</w:t>
      </w:r>
    </w:p>
    <w:p w14:paraId="3269E9C2">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1、采购代理机构对每一项货物和服务仅接受一个价格，不得填报有选择性报价方案。</w:t>
      </w:r>
    </w:p>
    <w:p w14:paraId="66B8DD7C">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p>
    <w:p w14:paraId="2C1F3CB8">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cs="宋体"/>
          <w:color w:val="auto"/>
          <w:kern w:val="2"/>
          <w:sz w:val="24"/>
          <w:szCs w:val="24"/>
          <w:highlight w:val="none"/>
          <w:lang w:val="en-US" w:eastAsia="zh-CN" w:bidi="ar-SA"/>
        </w:rPr>
        <w:t xml:space="preserve"> 投标人名称</w:t>
      </w:r>
      <w:r>
        <w:rPr>
          <w:rFonts w:hint="eastAsia" w:ascii="宋体" w:hAnsi="宋体" w:eastAsia="宋体" w:cs="宋体"/>
          <w:color w:val="auto"/>
          <w:kern w:val="2"/>
          <w:sz w:val="24"/>
          <w:szCs w:val="24"/>
          <w:highlight w:val="none"/>
          <w:lang w:val="en-US" w:eastAsia="zh-CN" w:bidi="ar-SA"/>
        </w:rPr>
        <w:t>（盖章）：</w:t>
      </w:r>
    </w:p>
    <w:p w14:paraId="1C2ADB4E">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授权代表签字：</w:t>
      </w:r>
    </w:p>
    <w:p w14:paraId="7EF66287">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 xml:space="preserve">                                                            日</w:t>
      </w:r>
      <w:r>
        <w:rPr>
          <w:rFonts w:hint="eastAsia" w:ascii="宋体" w:hAnsi="宋体" w:eastAsia="宋体" w:cs="宋体"/>
          <w:color w:val="auto"/>
          <w:kern w:val="2"/>
          <w:sz w:val="24"/>
          <w:szCs w:val="24"/>
          <w:highlight w:val="none"/>
          <w:lang w:val="en-US" w:eastAsia="zh-CN" w:bidi="ar-SA"/>
        </w:rPr>
        <w:tab/>
      </w:r>
      <w:r>
        <w:rPr>
          <w:rFonts w:hint="eastAsia" w:ascii="宋体" w:hAnsi="宋体" w:eastAsia="宋体" w:cs="宋体"/>
          <w:color w:val="auto"/>
          <w:kern w:val="2"/>
          <w:sz w:val="24"/>
          <w:szCs w:val="24"/>
          <w:highlight w:val="none"/>
          <w:lang w:val="en-US" w:eastAsia="zh-CN" w:bidi="ar-SA"/>
        </w:rPr>
        <w:t>期：</w:t>
      </w:r>
      <w:r>
        <w:rPr>
          <w:rFonts w:hint="eastAsia" w:ascii="宋体" w:hAnsi="宋体" w:eastAsia="宋体" w:cs="宋体"/>
          <w:color w:val="auto"/>
          <w:kern w:val="2"/>
          <w:sz w:val="24"/>
          <w:szCs w:val="24"/>
          <w:highlight w:val="none"/>
          <w:lang w:val="en-US" w:eastAsia="zh-CN" w:bidi="ar-SA"/>
        </w:rPr>
        <w:tab/>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年</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ab/>
      </w:r>
      <w:r>
        <w:rPr>
          <w:rFonts w:hint="eastAsia" w:ascii="宋体" w:hAnsi="宋体" w:eastAsia="宋体" w:cs="宋体"/>
          <w:color w:val="auto"/>
          <w:kern w:val="2"/>
          <w:sz w:val="24"/>
          <w:szCs w:val="24"/>
          <w:highlight w:val="none"/>
          <w:lang w:val="en-US" w:eastAsia="zh-CN" w:bidi="ar-SA"/>
        </w:rPr>
        <w:t>月</w:t>
      </w:r>
    </w:p>
    <w:p w14:paraId="4CA19A28">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0D1570BB">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6"/>
          <w:highlight w:val="none"/>
        </w:rPr>
        <w:t> </w:t>
      </w:r>
    </w:p>
    <w:p w14:paraId="048BA8BC">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66F2FBB2">
      <w:pPr>
        <w:rPr>
          <w:color w:val="auto"/>
          <w:highlight w:val="none"/>
        </w:rPr>
      </w:pPr>
    </w:p>
    <w:p w14:paraId="14148FA2">
      <w:pPr>
        <w:rPr>
          <w:color w:val="auto"/>
          <w:highlight w:val="none"/>
        </w:rPr>
      </w:pPr>
    </w:p>
    <w:p w14:paraId="654DCBD8">
      <w:pPr>
        <w:rPr>
          <w:color w:val="auto"/>
          <w:highlight w:val="none"/>
        </w:rPr>
      </w:pPr>
    </w:p>
    <w:p w14:paraId="60BE9538">
      <w:pPr>
        <w:rPr>
          <w:color w:val="auto"/>
          <w:highlight w:val="none"/>
        </w:rPr>
      </w:pPr>
    </w:p>
    <w:p w14:paraId="125E5961">
      <w:pPr>
        <w:rPr>
          <w:color w:val="auto"/>
          <w:highlight w:val="none"/>
        </w:rPr>
      </w:pPr>
    </w:p>
    <w:p w14:paraId="7903F49E">
      <w:pPr>
        <w:rPr>
          <w:color w:val="auto"/>
          <w:highlight w:val="none"/>
        </w:rPr>
      </w:pPr>
    </w:p>
    <w:p w14:paraId="79EA5A4C">
      <w:pPr>
        <w:rPr>
          <w:color w:val="auto"/>
          <w:highlight w:val="none"/>
        </w:rPr>
      </w:pPr>
    </w:p>
    <w:p w14:paraId="0F23E23B">
      <w:pPr>
        <w:rPr>
          <w:color w:val="auto"/>
          <w:highlight w:val="none"/>
        </w:rPr>
      </w:pPr>
    </w:p>
    <w:p w14:paraId="3A30A886">
      <w:pPr>
        <w:rPr>
          <w:color w:val="auto"/>
          <w:highlight w:val="none"/>
        </w:rPr>
      </w:pPr>
    </w:p>
    <w:p w14:paraId="6F48ED67">
      <w:pPr>
        <w:rPr>
          <w:color w:val="auto"/>
          <w:highlight w:val="none"/>
        </w:rPr>
      </w:pPr>
    </w:p>
    <w:p w14:paraId="06E2125A">
      <w:pPr>
        <w:jc w:val="left"/>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五</w:t>
      </w:r>
      <w:r>
        <w:rPr>
          <w:rFonts w:hint="eastAsia" w:ascii="宋体" w:hAnsi="宋体" w:eastAsia="宋体" w:cs="宋体"/>
          <w:b/>
          <w:color w:val="auto"/>
          <w:sz w:val="24"/>
          <w:szCs w:val="24"/>
          <w:highlight w:val="none"/>
        </w:rPr>
        <w:t>、</w:t>
      </w:r>
      <w:r>
        <w:rPr>
          <w:rFonts w:hint="eastAsia" w:ascii="宋体" w:hAnsi="宋体" w:eastAsia="宋体" w:cs="宋体"/>
          <w:b/>
          <w:bCs/>
          <w:color w:val="auto"/>
          <w:sz w:val="24"/>
          <w:szCs w:val="24"/>
          <w:highlight w:val="none"/>
          <w:lang w:val="zh-CN"/>
        </w:rPr>
        <w:t>资格证明文件</w:t>
      </w:r>
    </w:p>
    <w:p w14:paraId="36146A45">
      <w:pPr>
        <w:jc w:val="both"/>
        <w:rPr>
          <w:rFonts w:hint="eastAsia" w:ascii="宋体" w:hAnsi="宋体" w:eastAsia="宋体" w:cs="宋体"/>
          <w:b/>
          <w:color w:val="auto"/>
          <w:sz w:val="24"/>
          <w:szCs w:val="24"/>
          <w:highlight w:val="none"/>
          <w:lang w:val="zh-CN"/>
        </w:rPr>
      </w:pPr>
      <w:bookmarkStart w:id="20" w:name="_Toc506199229"/>
      <w:bookmarkStart w:id="21" w:name="_Toc2759"/>
      <w:bookmarkStart w:id="22" w:name="_Toc2864"/>
      <w:bookmarkStart w:id="23" w:name="_Toc13890"/>
    </w:p>
    <w:p w14:paraId="1F56B1D5">
      <w:pPr>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资格证明文件（参考）</w:t>
      </w:r>
      <w:bookmarkEnd w:id="20"/>
      <w:bookmarkEnd w:id="21"/>
      <w:bookmarkEnd w:id="22"/>
      <w:bookmarkEnd w:id="23"/>
    </w:p>
    <w:p w14:paraId="7BD99C97">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宋体" w:hAnsi="宋体" w:eastAsia="宋体" w:cs="宋体"/>
          <w:color w:val="auto"/>
          <w:sz w:val="24"/>
          <w:szCs w:val="24"/>
          <w:highlight w:val="none"/>
          <w:lang w:val="zh-CN"/>
        </w:rPr>
      </w:pPr>
    </w:p>
    <w:p w14:paraId="4A898971">
      <w:pPr>
        <w:pStyle w:val="346"/>
        <w:keepNext w:val="0"/>
        <w:keepLines w:val="0"/>
        <w:pageBreakBefore w:val="0"/>
        <w:widowControl/>
        <w:tabs>
          <w:tab w:val="left" w:pos="1824"/>
        </w:tabs>
        <w:kinsoku/>
        <w:wordWrap/>
        <w:overflowPunct/>
        <w:topLinePunct w:val="0"/>
        <w:autoSpaceDE/>
        <w:autoSpaceDN/>
        <w:bidi w:val="0"/>
        <w:adjustRightInd/>
        <w:snapToGrid/>
        <w:spacing w:line="240" w:lineRule="auto"/>
        <w:ind w:left="-18" w:firstLine="772"/>
        <w:textAlignment w:val="auto"/>
        <w:rPr>
          <w:rFonts w:hint="default"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bCs/>
          <w:color w:val="auto"/>
          <w:sz w:val="24"/>
          <w:szCs w:val="24"/>
          <w:highlight w:val="none"/>
        </w:rPr>
        <w:t xml:space="preserve">第一章投标邀请中 </w:t>
      </w:r>
      <w:r>
        <w:rPr>
          <w:rFonts w:hint="eastAsia" w:ascii="宋体" w:hAnsi="宋体" w:cs="宋体"/>
          <w:bCs/>
          <w:color w:val="auto"/>
          <w:sz w:val="24"/>
          <w:szCs w:val="24"/>
          <w:highlight w:val="none"/>
          <w:lang w:val="en-US" w:eastAsia="zh-CN"/>
        </w:rPr>
        <w:t>3.1满足《中华人民共和国政府采购法》第二十二条规定要求的证明材料；</w:t>
      </w:r>
    </w:p>
    <w:p w14:paraId="1B17C152">
      <w:pPr>
        <w:pStyle w:val="346"/>
        <w:keepNext w:val="0"/>
        <w:keepLines w:val="0"/>
        <w:pageBreakBefore w:val="0"/>
        <w:widowControl/>
        <w:tabs>
          <w:tab w:val="left" w:pos="1824"/>
        </w:tabs>
        <w:kinsoku/>
        <w:wordWrap/>
        <w:overflowPunct/>
        <w:topLinePunct w:val="0"/>
        <w:autoSpaceDE/>
        <w:autoSpaceDN/>
        <w:bidi w:val="0"/>
        <w:adjustRightInd/>
        <w:snapToGrid/>
        <w:spacing w:line="240" w:lineRule="auto"/>
        <w:ind w:left="0" w:leftChars="0" w:firstLine="1200" w:firstLineChars="5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第一章投标邀请中 </w:t>
      </w:r>
      <w:r>
        <w:rPr>
          <w:rFonts w:hint="eastAsia" w:ascii="宋体" w:hAnsi="宋体" w:cs="宋体"/>
          <w:bCs/>
          <w:color w:val="auto"/>
          <w:sz w:val="24"/>
          <w:szCs w:val="24"/>
          <w:highlight w:val="none"/>
          <w:lang w:val="en-US" w:eastAsia="zh-CN"/>
        </w:rPr>
        <w:t>3.2</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本项目的特定资格要求的证明材料</w:t>
      </w:r>
      <w:r>
        <w:rPr>
          <w:rFonts w:hint="eastAsia" w:ascii="宋体" w:hAnsi="宋体" w:eastAsia="宋体" w:cs="宋体"/>
          <w:bCs/>
          <w:color w:val="auto"/>
          <w:sz w:val="24"/>
          <w:szCs w:val="24"/>
          <w:highlight w:val="none"/>
        </w:rPr>
        <w:t>；</w:t>
      </w:r>
    </w:p>
    <w:p w14:paraId="6415440C">
      <w:pPr>
        <w:keepNext w:val="0"/>
        <w:keepLines w:val="0"/>
        <w:pageBreakBefore w:val="0"/>
        <w:widowControl w:val="0"/>
        <w:kinsoku/>
        <w:wordWrap/>
        <w:overflowPunct/>
        <w:topLinePunct w:val="0"/>
        <w:autoSpaceDE w:val="0"/>
        <w:autoSpaceDN w:val="0"/>
        <w:bidi w:val="0"/>
        <w:adjustRightInd w:val="0"/>
        <w:snapToGrid/>
        <w:spacing w:line="360" w:lineRule="auto"/>
        <w:ind w:firstLine="720" w:firstLineChars="3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lang w:val="zh-CN"/>
        </w:rPr>
        <w:t>认为有必要有其他证明文件</w:t>
      </w:r>
    </w:p>
    <w:p w14:paraId="1CFE2939">
      <w:pPr>
        <w:spacing w:line="440" w:lineRule="exact"/>
        <w:jc w:val="left"/>
        <w:rPr>
          <w:rFonts w:hint="eastAsia" w:ascii="宋体" w:hAnsi="宋体" w:eastAsia="宋体" w:cs="宋体"/>
          <w:color w:val="auto"/>
          <w:sz w:val="24"/>
          <w:szCs w:val="24"/>
          <w:highlight w:val="none"/>
        </w:rPr>
      </w:pPr>
    </w:p>
    <w:p w14:paraId="2F801700">
      <w:pPr>
        <w:autoSpaceDE w:val="0"/>
        <w:autoSpaceDN w:val="0"/>
        <w:adjustRightInd w:val="0"/>
        <w:spacing w:line="600" w:lineRule="exact"/>
        <w:ind w:right="480" w:firstLine="6480" w:firstLineChars="2700"/>
        <w:rPr>
          <w:rFonts w:hint="eastAsia" w:ascii="宋体" w:hAnsi="宋体" w:eastAsia="宋体" w:cs="宋体"/>
          <w:color w:val="auto"/>
          <w:sz w:val="24"/>
          <w:szCs w:val="24"/>
          <w:highlight w:val="none"/>
          <w:lang w:val="zh-CN"/>
        </w:rPr>
      </w:pPr>
    </w:p>
    <w:p w14:paraId="79E67B6D">
      <w:pPr>
        <w:autoSpaceDE w:val="0"/>
        <w:autoSpaceDN w:val="0"/>
        <w:adjustRightInd w:val="0"/>
        <w:spacing w:line="600" w:lineRule="exact"/>
        <w:ind w:right="480" w:firstLine="6480" w:firstLineChars="2700"/>
        <w:rPr>
          <w:rFonts w:hint="eastAsia" w:ascii="宋体" w:hAnsi="宋体" w:eastAsia="宋体" w:cs="宋体"/>
          <w:color w:val="auto"/>
          <w:sz w:val="24"/>
          <w:szCs w:val="24"/>
          <w:highlight w:val="none"/>
          <w:lang w:val="zh-CN"/>
        </w:rPr>
      </w:pPr>
    </w:p>
    <w:p w14:paraId="6222BD7A">
      <w:pPr>
        <w:autoSpaceDE w:val="0"/>
        <w:autoSpaceDN w:val="0"/>
        <w:adjustRightInd w:val="0"/>
        <w:spacing w:line="600" w:lineRule="exact"/>
        <w:ind w:right="480" w:firstLine="6480" w:firstLineChars="2700"/>
        <w:rPr>
          <w:rFonts w:hint="eastAsia" w:ascii="宋体" w:hAnsi="宋体" w:eastAsia="宋体" w:cs="宋体"/>
          <w:color w:val="auto"/>
          <w:sz w:val="24"/>
          <w:szCs w:val="24"/>
          <w:highlight w:val="none"/>
          <w:lang w:val="zh-CN"/>
        </w:rPr>
      </w:pPr>
    </w:p>
    <w:p w14:paraId="712656F0">
      <w:pPr>
        <w:autoSpaceDE w:val="0"/>
        <w:autoSpaceDN w:val="0"/>
        <w:adjustRightInd w:val="0"/>
        <w:spacing w:line="600" w:lineRule="exact"/>
        <w:ind w:right="480" w:firstLine="6480" w:firstLineChars="270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 xml:space="preserve">（盖章）：            </w:t>
      </w:r>
    </w:p>
    <w:p w14:paraId="18ECA001">
      <w:pPr>
        <w:autoSpaceDE w:val="0"/>
        <w:autoSpaceDN w:val="0"/>
        <w:adjustRightInd w:val="0"/>
        <w:spacing w:line="600" w:lineRule="exact"/>
        <w:ind w:right="480" w:firstLine="6480" w:firstLineChars="27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p>
    <w:p w14:paraId="60632986">
      <w:pPr>
        <w:adjustRightInd w:val="0"/>
        <w:snapToGrid w:val="0"/>
        <w:spacing w:line="360" w:lineRule="auto"/>
        <w:jc w:val="righ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    年    月   日</w:t>
      </w:r>
    </w:p>
    <w:p w14:paraId="47EB48EF">
      <w:pPr>
        <w:widowControl/>
        <w:shd w:val="clear" w:color="auto" w:fill="FFFFFF"/>
        <w:spacing w:line="360" w:lineRule="auto"/>
        <w:jc w:val="left"/>
        <w:rPr>
          <w:rFonts w:hint="eastAsia" w:ascii="宋体" w:hAnsi="宋体" w:eastAsia="宋体" w:cs="宋体"/>
          <w:color w:val="auto"/>
          <w:sz w:val="24"/>
          <w:szCs w:val="24"/>
          <w:highlight w:val="none"/>
          <w:lang w:val="zh-CN" w:eastAsia="zh-CN"/>
        </w:rPr>
      </w:pPr>
    </w:p>
    <w:p w14:paraId="03F4952E">
      <w:pPr>
        <w:rPr>
          <w:color w:val="auto"/>
          <w:highlight w:val="none"/>
        </w:rPr>
      </w:pPr>
    </w:p>
    <w:p w14:paraId="3E43BA76">
      <w:pPr>
        <w:rPr>
          <w:color w:val="auto"/>
          <w:highlight w:val="none"/>
        </w:rPr>
      </w:pPr>
    </w:p>
    <w:p w14:paraId="39A01B13">
      <w:pPr>
        <w:rPr>
          <w:color w:val="auto"/>
          <w:highlight w:val="none"/>
        </w:rPr>
      </w:pPr>
    </w:p>
    <w:p w14:paraId="6913A2AF">
      <w:pPr>
        <w:jc w:val="left"/>
        <w:outlineLvl w:val="1"/>
        <w:rPr>
          <w:rFonts w:hint="eastAsia" w:ascii="宋体" w:hAnsi="宋体" w:eastAsia="宋体" w:cs="宋体"/>
          <w:b/>
          <w:color w:val="auto"/>
          <w:sz w:val="24"/>
          <w:szCs w:val="24"/>
          <w:highlight w:val="none"/>
          <w:lang w:val="en-US" w:eastAsia="zh-CN"/>
        </w:rPr>
      </w:pPr>
    </w:p>
    <w:p w14:paraId="556FEE7D">
      <w:pPr>
        <w:jc w:val="left"/>
        <w:outlineLvl w:val="1"/>
        <w:rPr>
          <w:rFonts w:hint="eastAsia" w:ascii="宋体" w:hAnsi="宋体" w:eastAsia="宋体" w:cs="宋体"/>
          <w:b/>
          <w:color w:val="auto"/>
          <w:sz w:val="24"/>
          <w:szCs w:val="24"/>
          <w:highlight w:val="none"/>
          <w:lang w:val="en-US" w:eastAsia="zh-CN"/>
        </w:rPr>
      </w:pPr>
    </w:p>
    <w:p w14:paraId="0AF587C4">
      <w:pPr>
        <w:jc w:val="left"/>
        <w:outlineLvl w:val="1"/>
        <w:rPr>
          <w:rFonts w:hint="eastAsia" w:ascii="宋体" w:hAnsi="宋体" w:eastAsia="宋体" w:cs="宋体"/>
          <w:b/>
          <w:color w:val="auto"/>
          <w:sz w:val="24"/>
          <w:szCs w:val="24"/>
          <w:highlight w:val="none"/>
          <w:lang w:val="en-US" w:eastAsia="zh-CN"/>
        </w:rPr>
      </w:pPr>
    </w:p>
    <w:p w14:paraId="31D5D93E">
      <w:pPr>
        <w:jc w:val="left"/>
        <w:outlineLvl w:val="1"/>
        <w:rPr>
          <w:rFonts w:hint="eastAsia" w:ascii="宋体" w:hAnsi="宋体" w:eastAsia="宋体" w:cs="宋体"/>
          <w:b/>
          <w:color w:val="auto"/>
          <w:sz w:val="24"/>
          <w:szCs w:val="24"/>
          <w:highlight w:val="none"/>
          <w:lang w:val="en-US" w:eastAsia="zh-CN"/>
        </w:rPr>
      </w:pPr>
    </w:p>
    <w:p w14:paraId="05D653C6">
      <w:pPr>
        <w:jc w:val="left"/>
        <w:outlineLvl w:val="1"/>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lang w:val="zh-CN"/>
        </w:rPr>
        <w:t>、</w:t>
      </w:r>
      <w:r>
        <w:rPr>
          <w:rFonts w:hint="eastAsia" w:ascii="宋体" w:hAnsi="宋体" w:cs="宋体"/>
          <w:b/>
          <w:color w:val="auto"/>
          <w:sz w:val="24"/>
          <w:szCs w:val="24"/>
          <w:highlight w:val="none"/>
          <w:lang w:val="zh-CN"/>
        </w:rPr>
        <w:t>投标人</w:t>
      </w:r>
      <w:r>
        <w:rPr>
          <w:rFonts w:hint="eastAsia" w:ascii="宋体" w:hAnsi="宋体" w:eastAsia="宋体" w:cs="宋体"/>
          <w:b/>
          <w:color w:val="auto"/>
          <w:sz w:val="24"/>
          <w:szCs w:val="24"/>
          <w:highlight w:val="none"/>
          <w:lang w:val="zh-CN"/>
        </w:rPr>
        <w:t>基本情况说明</w:t>
      </w:r>
    </w:p>
    <w:p w14:paraId="1AA73D53">
      <w:pPr>
        <w:ind w:firstLine="482" w:firstLineChars="200"/>
        <w:jc w:val="center"/>
        <w:rPr>
          <w:rFonts w:hint="eastAsia" w:ascii="宋体" w:hAnsi="宋体" w:cs="宋体"/>
          <w:b/>
          <w:color w:val="auto"/>
          <w:sz w:val="24"/>
          <w:szCs w:val="24"/>
          <w:highlight w:val="none"/>
          <w:lang w:val="zh-CN"/>
        </w:rPr>
      </w:pPr>
    </w:p>
    <w:p w14:paraId="056296E6">
      <w:pPr>
        <w:ind w:firstLine="482" w:firstLineChars="200"/>
        <w:jc w:val="center"/>
        <w:rPr>
          <w:rFonts w:hint="eastAsia" w:ascii="宋体" w:hAnsi="宋体" w:eastAsia="宋体" w:cs="宋体"/>
          <w:color w:val="auto"/>
          <w:sz w:val="24"/>
          <w:szCs w:val="24"/>
          <w:highlight w:val="none"/>
          <w:lang w:val="zh-CN"/>
        </w:rPr>
      </w:pPr>
      <w:r>
        <w:rPr>
          <w:rFonts w:hint="eastAsia" w:ascii="宋体" w:hAnsi="宋体" w:cs="宋体"/>
          <w:b/>
          <w:color w:val="auto"/>
          <w:sz w:val="24"/>
          <w:szCs w:val="24"/>
          <w:highlight w:val="none"/>
          <w:lang w:val="zh-CN"/>
        </w:rPr>
        <w:t>投标人</w:t>
      </w:r>
      <w:r>
        <w:rPr>
          <w:rFonts w:hint="eastAsia" w:ascii="宋体" w:hAnsi="宋体" w:eastAsia="宋体" w:cs="宋体"/>
          <w:b/>
          <w:color w:val="auto"/>
          <w:sz w:val="24"/>
          <w:szCs w:val="24"/>
          <w:highlight w:val="none"/>
          <w:lang w:val="zh-CN"/>
        </w:rPr>
        <w:t>基本情况说明</w:t>
      </w:r>
    </w:p>
    <w:p w14:paraId="0CC1624A">
      <w:pPr>
        <w:ind w:firstLine="600" w:firstLineChars="250"/>
        <w:jc w:val="left"/>
        <w:rPr>
          <w:rFonts w:hint="eastAsia" w:ascii="宋体" w:hAnsi="宋体" w:eastAsia="宋体" w:cs="宋体"/>
          <w:color w:val="auto"/>
          <w:sz w:val="24"/>
          <w:szCs w:val="24"/>
          <w:highlight w:val="none"/>
          <w:lang w:val="zh-CN"/>
        </w:rPr>
      </w:pPr>
    </w:p>
    <w:p w14:paraId="5676D64C">
      <w:pPr>
        <w:ind w:firstLine="600" w:firstLineChars="25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要求尽可能简短精炼。</w:t>
      </w:r>
    </w:p>
    <w:p w14:paraId="7DFC2EDD">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（一）名称及有关情况：</w:t>
      </w:r>
    </w:p>
    <w:p w14:paraId="16BDBF89">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（1）名称：</w:t>
      </w:r>
    </w:p>
    <w:p w14:paraId="6BA79B66">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（2）地址：　　　　　　　　　传真/电话：　　　　　邮编：</w:t>
      </w:r>
    </w:p>
    <w:p w14:paraId="7B0FE876">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（3）成立或注册日期：</w:t>
      </w:r>
    </w:p>
    <w:p w14:paraId="19C63A5E">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（4）法人代表姓名：</w:t>
      </w:r>
    </w:p>
    <w:p w14:paraId="194B1C24">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（5）开户银行名称及地址：</w:t>
      </w:r>
    </w:p>
    <w:p w14:paraId="7FB56815">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w:t>
      </w:r>
      <w:r>
        <w:rPr>
          <w:rFonts w:hint="eastAsia" w:ascii="宋体" w:hAnsi="宋体" w:cs="宋体"/>
          <w:color w:val="auto"/>
          <w:sz w:val="24"/>
          <w:szCs w:val="24"/>
          <w:highlight w:val="none"/>
          <w:lang w:val="zh-CN"/>
        </w:rPr>
        <w:t>投标人</w:t>
      </w:r>
      <w:r>
        <w:rPr>
          <w:rFonts w:hint="eastAsia" w:ascii="宋体" w:hAnsi="宋体" w:eastAsia="宋体" w:cs="宋体"/>
          <w:color w:val="auto"/>
          <w:sz w:val="24"/>
          <w:szCs w:val="24"/>
          <w:highlight w:val="none"/>
          <w:lang w:val="zh-CN"/>
        </w:rPr>
        <w:t>在南京地区的代表姓名和地址邮编、传真、电话</w:t>
      </w:r>
    </w:p>
    <w:p w14:paraId="2A29234C">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（二）</w:t>
      </w:r>
      <w:r>
        <w:rPr>
          <w:rFonts w:hint="eastAsia" w:ascii="宋体" w:hAnsi="宋体" w:cs="宋体"/>
          <w:color w:val="auto"/>
          <w:sz w:val="24"/>
          <w:szCs w:val="24"/>
          <w:highlight w:val="none"/>
          <w:lang w:val="zh-CN"/>
        </w:rPr>
        <w:t>投标人</w:t>
      </w:r>
      <w:r>
        <w:rPr>
          <w:rFonts w:hint="eastAsia" w:ascii="宋体" w:hAnsi="宋体" w:eastAsia="宋体" w:cs="宋体"/>
          <w:color w:val="auto"/>
          <w:sz w:val="24"/>
          <w:szCs w:val="24"/>
          <w:highlight w:val="none"/>
          <w:lang w:val="zh-CN"/>
        </w:rPr>
        <w:t>简介：主要包括以下内容</w:t>
      </w:r>
    </w:p>
    <w:p w14:paraId="5DECDD3A">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（1）企业发展简史</w:t>
      </w:r>
    </w:p>
    <w:p w14:paraId="111B4C46">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（2）企业获得的荣誉、受过的违规处罚情况等</w:t>
      </w:r>
    </w:p>
    <w:p w14:paraId="43EE7F5F">
      <w:pPr>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（三）</w:t>
      </w:r>
      <w:r>
        <w:rPr>
          <w:rFonts w:hint="eastAsia" w:ascii="宋体" w:hAnsi="宋体" w:cs="宋体"/>
          <w:color w:val="auto"/>
          <w:sz w:val="24"/>
          <w:szCs w:val="24"/>
          <w:highlight w:val="none"/>
          <w:lang w:val="zh-CN"/>
        </w:rPr>
        <w:t>投标人</w:t>
      </w:r>
      <w:r>
        <w:rPr>
          <w:rFonts w:hint="eastAsia" w:ascii="宋体" w:hAnsi="宋体" w:eastAsia="宋体" w:cs="宋体"/>
          <w:color w:val="auto"/>
          <w:sz w:val="24"/>
          <w:szCs w:val="24"/>
          <w:highlight w:val="none"/>
          <w:lang w:val="zh-CN"/>
        </w:rPr>
        <w:t>认为需要说明的其它情况</w:t>
      </w:r>
    </w:p>
    <w:p w14:paraId="4598D109">
      <w:pPr>
        <w:autoSpaceDE w:val="0"/>
        <w:autoSpaceDN w:val="0"/>
        <w:adjustRightInd w:val="0"/>
        <w:spacing w:line="600" w:lineRule="exact"/>
        <w:ind w:right="48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 xml:space="preserve">（盖章）：            </w:t>
      </w:r>
    </w:p>
    <w:p w14:paraId="73C3667F">
      <w:pPr>
        <w:autoSpaceDE w:val="0"/>
        <w:autoSpaceDN w:val="0"/>
        <w:adjustRightInd w:val="0"/>
        <w:spacing w:line="600" w:lineRule="exact"/>
        <w:ind w:right="480" w:firstLine="6480" w:firstLineChars="27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p>
    <w:p w14:paraId="553203C9">
      <w:pPr>
        <w:autoSpaceDE w:val="0"/>
        <w:autoSpaceDN w:val="0"/>
        <w:adjustRightInd w:val="0"/>
        <w:spacing w:line="600" w:lineRule="exact"/>
        <w:jc w:val="righ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    年    月   日</w:t>
      </w:r>
    </w:p>
    <w:p w14:paraId="062C4944">
      <w:pPr>
        <w:widowControl/>
        <w:spacing w:line="360" w:lineRule="auto"/>
        <w:rPr>
          <w:rFonts w:hint="eastAsia" w:ascii="宋体" w:hAnsi="宋体" w:eastAsia="宋体" w:cs="宋体"/>
          <w:b/>
          <w:color w:val="auto"/>
          <w:sz w:val="24"/>
          <w:szCs w:val="24"/>
          <w:highlight w:val="none"/>
          <w:lang w:val="en-US" w:eastAsia="zh-CN"/>
        </w:rPr>
      </w:pPr>
    </w:p>
    <w:p w14:paraId="6151AD95">
      <w:pPr>
        <w:rPr>
          <w:color w:val="auto"/>
          <w:highlight w:val="none"/>
        </w:rPr>
      </w:pPr>
    </w:p>
    <w:p w14:paraId="4A62B8E4">
      <w:pPr>
        <w:widowControl/>
        <w:spacing w:line="360" w:lineRule="auto"/>
        <w:rPr>
          <w:rFonts w:hint="eastAsia" w:ascii="宋体" w:hAnsi="宋体" w:eastAsia="宋体" w:cs="宋体"/>
          <w:b/>
          <w:color w:val="auto"/>
          <w:sz w:val="24"/>
          <w:szCs w:val="24"/>
          <w:highlight w:val="none"/>
          <w:lang w:val="en-US" w:eastAsia="zh-CN"/>
        </w:rPr>
      </w:pPr>
    </w:p>
    <w:p w14:paraId="0D16B6A4">
      <w:pPr>
        <w:widowControl/>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七</w:t>
      </w:r>
      <w:r>
        <w:rPr>
          <w:rFonts w:hint="eastAsia" w:ascii="宋体" w:hAnsi="宋体" w:eastAsia="宋体" w:cs="宋体"/>
          <w:b/>
          <w:color w:val="auto"/>
          <w:sz w:val="24"/>
          <w:szCs w:val="24"/>
          <w:highlight w:val="none"/>
        </w:rPr>
        <w:t>、项目实施方案</w:t>
      </w:r>
    </w:p>
    <w:p w14:paraId="0D64795F">
      <w:pPr>
        <w:rPr>
          <w:rFonts w:hint="eastAsia" w:ascii="宋体" w:hAnsi="宋体" w:eastAsia="宋体" w:cs="宋体"/>
          <w:color w:val="auto"/>
          <w:sz w:val="24"/>
          <w:szCs w:val="24"/>
          <w:highlight w:val="none"/>
        </w:rPr>
      </w:pPr>
    </w:p>
    <w:p w14:paraId="41F3C281">
      <w:pPr>
        <w:jc w:val="center"/>
        <w:rPr>
          <w:rFonts w:hint="eastAsia" w:ascii="宋体" w:hAnsi="宋体" w:eastAsia="宋体" w:cs="宋体"/>
          <w:color w:val="auto"/>
          <w:sz w:val="24"/>
          <w:szCs w:val="24"/>
          <w:highlight w:val="none"/>
        </w:rPr>
      </w:pPr>
    </w:p>
    <w:p w14:paraId="09DA566E">
      <w:pPr>
        <w:jc w:val="center"/>
        <w:rPr>
          <w:rFonts w:hint="eastAsia" w:ascii="宋体" w:hAnsi="宋体" w:eastAsia="宋体" w:cs="宋体"/>
          <w:color w:val="auto"/>
          <w:sz w:val="24"/>
          <w:szCs w:val="24"/>
          <w:highlight w:val="none"/>
        </w:rPr>
      </w:pPr>
    </w:p>
    <w:p w14:paraId="2F7AD1C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项目实施方案</w:t>
      </w:r>
    </w:p>
    <w:p w14:paraId="14E084C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（格式自拟）</w:t>
      </w:r>
    </w:p>
    <w:p w14:paraId="30B0E651">
      <w:pPr>
        <w:autoSpaceDE w:val="0"/>
        <w:autoSpaceDN w:val="0"/>
        <w:adjustRightInd w:val="0"/>
        <w:outlineLvl w:val="1"/>
        <w:rPr>
          <w:rFonts w:hint="eastAsia" w:ascii="宋体" w:hAnsi="宋体" w:eastAsia="宋体" w:cs="宋体"/>
          <w:b/>
          <w:color w:val="auto"/>
          <w:sz w:val="24"/>
          <w:szCs w:val="24"/>
          <w:highlight w:val="none"/>
        </w:rPr>
      </w:pPr>
    </w:p>
    <w:p w14:paraId="1C250846">
      <w:pPr>
        <w:autoSpaceDE w:val="0"/>
        <w:autoSpaceDN w:val="0"/>
        <w:adjustRightInd w:val="0"/>
        <w:outlineLvl w:val="1"/>
        <w:rPr>
          <w:rFonts w:hint="eastAsia" w:ascii="宋体" w:hAnsi="宋体" w:eastAsia="宋体" w:cs="宋体"/>
          <w:b/>
          <w:color w:val="auto"/>
          <w:sz w:val="24"/>
          <w:szCs w:val="24"/>
          <w:highlight w:val="none"/>
        </w:rPr>
      </w:pPr>
    </w:p>
    <w:p w14:paraId="3434E504">
      <w:pPr>
        <w:autoSpaceDE w:val="0"/>
        <w:autoSpaceDN w:val="0"/>
        <w:adjustRightInd w:val="0"/>
        <w:outlineLvl w:val="1"/>
        <w:rPr>
          <w:rFonts w:hint="eastAsia" w:ascii="宋体" w:hAnsi="宋体" w:eastAsia="宋体" w:cs="宋体"/>
          <w:b/>
          <w:color w:val="auto"/>
          <w:sz w:val="24"/>
          <w:szCs w:val="24"/>
          <w:highlight w:val="none"/>
        </w:rPr>
      </w:pPr>
    </w:p>
    <w:p w14:paraId="41034622">
      <w:pPr>
        <w:autoSpaceDE w:val="0"/>
        <w:autoSpaceDN w:val="0"/>
        <w:adjustRightInd w:val="0"/>
        <w:outlineLvl w:val="1"/>
        <w:rPr>
          <w:rFonts w:hint="eastAsia" w:ascii="宋体" w:hAnsi="宋体" w:eastAsia="宋体" w:cs="宋体"/>
          <w:b/>
          <w:color w:val="auto"/>
          <w:sz w:val="24"/>
          <w:szCs w:val="24"/>
          <w:highlight w:val="none"/>
        </w:rPr>
      </w:pPr>
    </w:p>
    <w:p w14:paraId="66A9A602">
      <w:pPr>
        <w:autoSpaceDE w:val="0"/>
        <w:autoSpaceDN w:val="0"/>
        <w:adjustRightInd w:val="0"/>
        <w:outlineLvl w:val="1"/>
        <w:rPr>
          <w:rFonts w:hint="eastAsia" w:ascii="宋体" w:hAnsi="宋体" w:eastAsia="宋体" w:cs="宋体"/>
          <w:b/>
          <w:color w:val="auto"/>
          <w:sz w:val="24"/>
          <w:szCs w:val="24"/>
          <w:highlight w:val="none"/>
        </w:rPr>
      </w:pPr>
    </w:p>
    <w:p w14:paraId="017A81E1">
      <w:pPr>
        <w:autoSpaceDE w:val="0"/>
        <w:autoSpaceDN w:val="0"/>
        <w:adjustRightInd w:val="0"/>
        <w:outlineLvl w:val="1"/>
        <w:rPr>
          <w:rFonts w:hint="eastAsia" w:ascii="宋体" w:hAnsi="宋体" w:eastAsia="宋体" w:cs="宋体"/>
          <w:b/>
          <w:color w:val="auto"/>
          <w:sz w:val="24"/>
          <w:szCs w:val="24"/>
          <w:highlight w:val="none"/>
        </w:rPr>
      </w:pPr>
    </w:p>
    <w:p w14:paraId="7687E828">
      <w:pPr>
        <w:autoSpaceDE w:val="0"/>
        <w:autoSpaceDN w:val="0"/>
        <w:adjustRightInd w:val="0"/>
        <w:outlineLvl w:val="1"/>
        <w:rPr>
          <w:rFonts w:hint="eastAsia" w:ascii="宋体" w:hAnsi="宋体" w:eastAsia="宋体" w:cs="宋体"/>
          <w:b/>
          <w:color w:val="auto"/>
          <w:sz w:val="24"/>
          <w:szCs w:val="24"/>
          <w:highlight w:val="none"/>
        </w:rPr>
      </w:pPr>
    </w:p>
    <w:p w14:paraId="1F4F6E87">
      <w:pPr>
        <w:wordWrap w:val="0"/>
        <w:autoSpaceDE w:val="0"/>
        <w:autoSpaceDN w:val="0"/>
        <w:adjustRightInd w:val="0"/>
        <w:snapToGrid w:val="0"/>
        <w:spacing w:line="360" w:lineRule="auto"/>
        <w:jc w:val="righ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eastAsia="zh-CN"/>
        </w:rPr>
        <w:tab/>
      </w:r>
      <w:r>
        <w:rPr>
          <w:rFonts w:hint="eastAsia" w:ascii="宋体" w:hAnsi="宋体" w:eastAsia="宋体" w:cs="宋体"/>
          <w:b/>
          <w:color w:val="auto"/>
          <w:sz w:val="24"/>
          <w:szCs w:val="24"/>
          <w:highlight w:val="none"/>
          <w:lang w:val="en-US" w:eastAsia="zh-CN"/>
        </w:rPr>
        <w:t xml:space="preserve"> </w:t>
      </w:r>
    </w:p>
    <w:p w14:paraId="1ED7421C">
      <w:pPr>
        <w:wordWrap w:val="0"/>
        <w:autoSpaceDE w:val="0"/>
        <w:autoSpaceDN w:val="0"/>
        <w:adjustRightInd w:val="0"/>
        <w:snapToGrid w:val="0"/>
        <w:spacing w:line="360" w:lineRule="auto"/>
        <w:jc w:val="right"/>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 </w:t>
      </w: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 xml:space="preserve">（盖章）：            </w:t>
      </w:r>
    </w:p>
    <w:p w14:paraId="5A852966">
      <w:pPr>
        <w:autoSpaceDE w:val="0"/>
        <w:autoSpaceDN w:val="0"/>
        <w:adjustRightInd w:val="0"/>
        <w:snapToGrid w:val="0"/>
        <w:spacing w:line="360" w:lineRule="auto"/>
        <w:jc w:val="center"/>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日    期：    年    月   日</w:t>
      </w:r>
    </w:p>
    <w:p w14:paraId="6EC1FB73">
      <w:pPr>
        <w:rPr>
          <w:color w:val="auto"/>
          <w:highlight w:val="none"/>
        </w:rPr>
      </w:pPr>
    </w:p>
    <w:p w14:paraId="26518EE4">
      <w:pPr>
        <w:rPr>
          <w:color w:val="auto"/>
          <w:highlight w:val="none"/>
        </w:rPr>
      </w:pPr>
    </w:p>
    <w:p w14:paraId="1892E7E3">
      <w:pPr>
        <w:rPr>
          <w:color w:val="auto"/>
          <w:highlight w:val="none"/>
        </w:rPr>
      </w:pPr>
    </w:p>
    <w:p w14:paraId="2A1971E2">
      <w:pPr>
        <w:rPr>
          <w:color w:val="auto"/>
          <w:highlight w:val="none"/>
        </w:rPr>
      </w:pPr>
    </w:p>
    <w:p w14:paraId="20ACA484">
      <w:pPr>
        <w:rPr>
          <w:color w:val="auto"/>
          <w:highlight w:val="none"/>
        </w:rPr>
      </w:pPr>
    </w:p>
    <w:p w14:paraId="4A56A5CC">
      <w:pPr>
        <w:pStyle w:val="39"/>
        <w:rPr>
          <w:color w:val="auto"/>
          <w:highlight w:val="none"/>
        </w:rPr>
      </w:pPr>
    </w:p>
    <w:p w14:paraId="517C4884">
      <w:pPr>
        <w:pStyle w:val="39"/>
        <w:rPr>
          <w:color w:val="auto"/>
          <w:highlight w:val="none"/>
        </w:rPr>
      </w:pPr>
    </w:p>
    <w:p w14:paraId="569688F7">
      <w:pPr>
        <w:pStyle w:val="39"/>
        <w:ind w:left="0" w:leftChars="0" w:firstLine="0" w:firstLineChars="0"/>
        <w:rPr>
          <w:color w:val="auto"/>
          <w:highlight w:val="none"/>
        </w:rPr>
      </w:pPr>
    </w:p>
    <w:p w14:paraId="34EE92FF">
      <w:pPr>
        <w:jc w:val="left"/>
        <w:outlineLvl w:val="1"/>
        <w:rPr>
          <w:rFonts w:hint="eastAsia" w:ascii="宋体" w:hAnsi="宋体" w:eastAsia="宋体" w:cs="宋体"/>
          <w:b/>
          <w:bCs/>
          <w:color w:val="auto"/>
          <w:sz w:val="24"/>
          <w:szCs w:val="24"/>
          <w:highlight w:val="none"/>
          <w:lang w:val="zh-CN"/>
        </w:rPr>
      </w:pPr>
      <w:r>
        <w:rPr>
          <w:rFonts w:hint="eastAsia" w:ascii="宋体" w:hAnsi="宋体" w:eastAsia="宋体" w:cs="宋体"/>
          <w:b/>
          <w:color w:val="auto"/>
          <w:sz w:val="24"/>
          <w:szCs w:val="24"/>
          <w:highlight w:val="none"/>
          <w:lang w:val="zh-CN"/>
        </w:rPr>
        <w:t>八、项目组成员一览表</w:t>
      </w:r>
    </w:p>
    <w:p w14:paraId="046887CA">
      <w:pPr>
        <w:autoSpaceDE w:val="0"/>
        <w:autoSpaceDN w:val="0"/>
        <w:adjustRightInd w:val="0"/>
        <w:spacing w:line="460" w:lineRule="exact"/>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项目组成员一览表</w:t>
      </w:r>
    </w:p>
    <w:p w14:paraId="4285ECB6">
      <w:pPr>
        <w:autoSpaceDE w:val="0"/>
        <w:autoSpaceDN w:val="0"/>
        <w:adjustRightInd w:val="0"/>
        <w:ind w:firstLine="420"/>
        <w:jc w:val="left"/>
        <w:rPr>
          <w:rFonts w:hint="eastAsia" w:ascii="宋体" w:hAnsi="宋体" w:eastAsia="宋体" w:cs="宋体"/>
          <w:color w:val="auto"/>
          <w:sz w:val="24"/>
          <w:szCs w:val="24"/>
          <w:highlight w:val="none"/>
          <w:lang w:val="zh-CN"/>
        </w:rPr>
      </w:pPr>
    </w:p>
    <w:tbl>
      <w:tblPr>
        <w:tblStyle w:val="33"/>
        <w:tblW w:w="983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6"/>
        <w:gridCol w:w="1351"/>
        <w:gridCol w:w="1352"/>
        <w:gridCol w:w="1803"/>
        <w:gridCol w:w="2103"/>
        <w:gridCol w:w="2064"/>
      </w:tblGrid>
      <w:tr w14:paraId="77902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5672" w:type="dxa"/>
            <w:gridSpan w:val="4"/>
            <w:tcBorders>
              <w:top w:val="single" w:color="auto" w:sz="4" w:space="0"/>
              <w:left w:val="single" w:color="auto" w:sz="4" w:space="0"/>
              <w:bottom w:val="single" w:color="auto" w:sz="4" w:space="0"/>
              <w:right w:val="single" w:color="auto" w:sz="4" w:space="0"/>
            </w:tcBorders>
            <w:noWrap w:val="0"/>
            <w:vAlign w:val="center"/>
          </w:tcPr>
          <w:p w14:paraId="3F360FEF">
            <w:pPr>
              <w:autoSpaceDE w:val="0"/>
              <w:autoSpaceDN w:val="0"/>
              <w:adjustRightInd w:val="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项目编号：</w:t>
            </w:r>
          </w:p>
        </w:tc>
        <w:tc>
          <w:tcPr>
            <w:tcW w:w="4167" w:type="dxa"/>
            <w:gridSpan w:val="2"/>
            <w:tcBorders>
              <w:top w:val="single" w:color="auto" w:sz="4" w:space="0"/>
              <w:left w:val="single" w:color="auto" w:sz="4" w:space="0"/>
              <w:bottom w:val="single" w:color="auto" w:sz="4" w:space="0"/>
              <w:right w:val="single" w:color="auto" w:sz="4" w:space="0"/>
            </w:tcBorders>
            <w:noWrap w:val="0"/>
            <w:vAlign w:val="center"/>
          </w:tcPr>
          <w:p w14:paraId="6A8C3128">
            <w:pPr>
              <w:autoSpaceDE w:val="0"/>
              <w:autoSpaceDN w:val="0"/>
              <w:adjustRightIn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r>
      <w:tr w14:paraId="065A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839" w:type="dxa"/>
            <w:gridSpan w:val="6"/>
            <w:tcBorders>
              <w:top w:val="single" w:color="auto" w:sz="4" w:space="0"/>
              <w:left w:val="single" w:color="auto" w:sz="4" w:space="0"/>
              <w:bottom w:val="single" w:color="auto" w:sz="4" w:space="0"/>
              <w:right w:val="single" w:color="auto" w:sz="4" w:space="0"/>
            </w:tcBorders>
            <w:noWrap w:val="0"/>
            <w:vAlign w:val="center"/>
          </w:tcPr>
          <w:p w14:paraId="4E02CB72">
            <w:pPr>
              <w:autoSpaceDE w:val="0"/>
              <w:autoSpaceDN w:val="0"/>
              <w:adjustRightInd w:val="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采购包号：</w:t>
            </w:r>
          </w:p>
        </w:tc>
      </w:tr>
      <w:tr w14:paraId="6A87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36B8818B">
            <w:pPr>
              <w:autoSpaceDE w:val="0"/>
              <w:autoSpaceDN w:val="0"/>
              <w:adjustRightInd w:val="0"/>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序号</w:t>
            </w:r>
          </w:p>
        </w:tc>
        <w:tc>
          <w:tcPr>
            <w:tcW w:w="1351" w:type="dxa"/>
            <w:tcBorders>
              <w:top w:val="single" w:color="auto" w:sz="4" w:space="0"/>
              <w:left w:val="single" w:color="auto" w:sz="4" w:space="0"/>
              <w:bottom w:val="single" w:color="auto" w:sz="4" w:space="0"/>
              <w:right w:val="single" w:color="auto" w:sz="4" w:space="0"/>
            </w:tcBorders>
            <w:noWrap w:val="0"/>
            <w:vAlign w:val="center"/>
          </w:tcPr>
          <w:p w14:paraId="2C08E71D">
            <w:pPr>
              <w:autoSpaceDE w:val="0"/>
              <w:autoSpaceDN w:val="0"/>
              <w:adjustRightInd w:val="0"/>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姓名</w:t>
            </w:r>
          </w:p>
        </w:tc>
        <w:tc>
          <w:tcPr>
            <w:tcW w:w="1352" w:type="dxa"/>
            <w:tcBorders>
              <w:top w:val="single" w:color="auto" w:sz="4" w:space="0"/>
              <w:left w:val="single" w:color="auto" w:sz="4" w:space="0"/>
              <w:bottom w:val="single" w:color="auto" w:sz="4" w:space="0"/>
              <w:right w:val="single" w:color="auto" w:sz="4" w:space="0"/>
            </w:tcBorders>
            <w:noWrap w:val="0"/>
            <w:vAlign w:val="center"/>
          </w:tcPr>
          <w:p w14:paraId="14D9D0AF">
            <w:pPr>
              <w:autoSpaceDE w:val="0"/>
              <w:autoSpaceDN w:val="0"/>
              <w:adjustRightInd w:val="0"/>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性别</w:t>
            </w:r>
          </w:p>
        </w:tc>
        <w:tc>
          <w:tcPr>
            <w:tcW w:w="1803" w:type="dxa"/>
            <w:tcBorders>
              <w:top w:val="single" w:color="auto" w:sz="4" w:space="0"/>
              <w:left w:val="single" w:color="auto" w:sz="4" w:space="0"/>
              <w:bottom w:val="single" w:color="auto" w:sz="4" w:space="0"/>
              <w:right w:val="single" w:color="auto" w:sz="4" w:space="0"/>
            </w:tcBorders>
            <w:noWrap w:val="0"/>
            <w:vAlign w:val="center"/>
          </w:tcPr>
          <w:p w14:paraId="77314DB9">
            <w:pPr>
              <w:autoSpaceDE w:val="0"/>
              <w:autoSpaceDN w:val="0"/>
              <w:adjustRightInd w:val="0"/>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本项目职务</w:t>
            </w:r>
          </w:p>
        </w:tc>
        <w:tc>
          <w:tcPr>
            <w:tcW w:w="2103" w:type="dxa"/>
            <w:tcBorders>
              <w:top w:val="single" w:color="auto" w:sz="4" w:space="0"/>
              <w:left w:val="single" w:color="auto" w:sz="4" w:space="0"/>
              <w:bottom w:val="single" w:color="auto" w:sz="4" w:space="0"/>
              <w:right w:val="single" w:color="auto" w:sz="4" w:space="0"/>
            </w:tcBorders>
            <w:noWrap w:val="0"/>
            <w:vAlign w:val="center"/>
          </w:tcPr>
          <w:p w14:paraId="593019CC">
            <w:pPr>
              <w:autoSpaceDE w:val="0"/>
              <w:autoSpaceDN w:val="0"/>
              <w:adjustRightInd w:val="0"/>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执业资格或职称</w:t>
            </w:r>
          </w:p>
        </w:tc>
        <w:tc>
          <w:tcPr>
            <w:tcW w:w="2064" w:type="dxa"/>
            <w:tcBorders>
              <w:top w:val="single" w:color="auto" w:sz="4" w:space="0"/>
              <w:left w:val="single" w:color="auto" w:sz="4" w:space="0"/>
              <w:bottom w:val="single" w:color="auto" w:sz="4" w:space="0"/>
              <w:right w:val="single" w:color="auto" w:sz="4" w:space="0"/>
            </w:tcBorders>
            <w:noWrap w:val="0"/>
            <w:vAlign w:val="center"/>
          </w:tcPr>
          <w:p w14:paraId="167C44EE">
            <w:pPr>
              <w:autoSpaceDE w:val="0"/>
              <w:autoSpaceDN w:val="0"/>
              <w:adjustRightInd w:val="0"/>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备    注</w:t>
            </w:r>
          </w:p>
        </w:tc>
      </w:tr>
      <w:tr w14:paraId="7347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43B6A45A">
            <w:pPr>
              <w:autoSpaceDE w:val="0"/>
              <w:autoSpaceDN w:val="0"/>
              <w:adjustRightInd w:val="0"/>
              <w:jc w:val="left"/>
              <w:rPr>
                <w:rFonts w:hint="eastAsia" w:ascii="宋体" w:hAnsi="宋体" w:eastAsia="宋体" w:cs="宋体"/>
                <w:color w:val="auto"/>
                <w:sz w:val="24"/>
                <w:szCs w:val="24"/>
                <w:highlight w:val="none"/>
                <w:lang w:val="zh-CN"/>
              </w:rPr>
            </w:pPr>
          </w:p>
        </w:tc>
        <w:tc>
          <w:tcPr>
            <w:tcW w:w="1351" w:type="dxa"/>
            <w:tcBorders>
              <w:top w:val="single" w:color="auto" w:sz="4" w:space="0"/>
              <w:left w:val="single" w:color="auto" w:sz="4" w:space="0"/>
              <w:bottom w:val="single" w:color="auto" w:sz="4" w:space="0"/>
              <w:right w:val="single" w:color="auto" w:sz="4" w:space="0"/>
            </w:tcBorders>
            <w:noWrap w:val="0"/>
            <w:vAlign w:val="top"/>
          </w:tcPr>
          <w:p w14:paraId="347638EA">
            <w:pPr>
              <w:autoSpaceDE w:val="0"/>
              <w:autoSpaceDN w:val="0"/>
              <w:adjustRightInd w:val="0"/>
              <w:jc w:val="left"/>
              <w:rPr>
                <w:rFonts w:hint="eastAsia" w:ascii="宋体" w:hAnsi="宋体" w:eastAsia="宋体" w:cs="宋体"/>
                <w:color w:val="auto"/>
                <w:sz w:val="24"/>
                <w:szCs w:val="24"/>
                <w:highlight w:val="none"/>
                <w:lang w:val="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0FEBC567">
            <w:pPr>
              <w:autoSpaceDE w:val="0"/>
              <w:autoSpaceDN w:val="0"/>
              <w:adjustRightInd w:val="0"/>
              <w:jc w:val="left"/>
              <w:rPr>
                <w:rFonts w:hint="eastAsia" w:ascii="宋体" w:hAnsi="宋体" w:eastAsia="宋体" w:cs="宋体"/>
                <w:color w:val="auto"/>
                <w:sz w:val="24"/>
                <w:szCs w:val="24"/>
                <w:highlight w:val="none"/>
                <w:lang w:val="zh-CN"/>
              </w:rPr>
            </w:pPr>
          </w:p>
        </w:tc>
        <w:tc>
          <w:tcPr>
            <w:tcW w:w="1803" w:type="dxa"/>
            <w:tcBorders>
              <w:top w:val="single" w:color="auto" w:sz="4" w:space="0"/>
              <w:left w:val="single" w:color="auto" w:sz="4" w:space="0"/>
              <w:bottom w:val="single" w:color="auto" w:sz="4" w:space="0"/>
              <w:right w:val="single" w:color="auto" w:sz="4" w:space="0"/>
            </w:tcBorders>
            <w:noWrap w:val="0"/>
            <w:vAlign w:val="top"/>
          </w:tcPr>
          <w:p w14:paraId="09D6CF7C">
            <w:pPr>
              <w:autoSpaceDE w:val="0"/>
              <w:autoSpaceDN w:val="0"/>
              <w:adjustRightInd w:val="0"/>
              <w:jc w:val="left"/>
              <w:rPr>
                <w:rFonts w:hint="eastAsia" w:ascii="宋体" w:hAnsi="宋体" w:eastAsia="宋体" w:cs="宋体"/>
                <w:color w:val="auto"/>
                <w:sz w:val="24"/>
                <w:szCs w:val="24"/>
                <w:highlight w:val="none"/>
                <w:lang w:val="zh-CN"/>
              </w:rPr>
            </w:pPr>
          </w:p>
        </w:tc>
        <w:tc>
          <w:tcPr>
            <w:tcW w:w="2103" w:type="dxa"/>
            <w:tcBorders>
              <w:top w:val="single" w:color="auto" w:sz="4" w:space="0"/>
              <w:left w:val="single" w:color="auto" w:sz="4" w:space="0"/>
              <w:bottom w:val="single" w:color="auto" w:sz="4" w:space="0"/>
              <w:right w:val="single" w:color="auto" w:sz="4" w:space="0"/>
            </w:tcBorders>
            <w:noWrap w:val="0"/>
            <w:vAlign w:val="top"/>
          </w:tcPr>
          <w:p w14:paraId="33A6A16C">
            <w:pPr>
              <w:autoSpaceDE w:val="0"/>
              <w:autoSpaceDN w:val="0"/>
              <w:adjustRightInd w:val="0"/>
              <w:jc w:val="left"/>
              <w:rPr>
                <w:rFonts w:hint="eastAsia" w:ascii="宋体" w:hAnsi="宋体" w:eastAsia="宋体" w:cs="宋体"/>
                <w:color w:val="auto"/>
                <w:sz w:val="24"/>
                <w:szCs w:val="24"/>
                <w:highlight w:val="none"/>
                <w:lang w:val="zh-CN"/>
              </w:rPr>
            </w:pPr>
          </w:p>
        </w:tc>
        <w:tc>
          <w:tcPr>
            <w:tcW w:w="2064" w:type="dxa"/>
            <w:tcBorders>
              <w:top w:val="single" w:color="auto" w:sz="4" w:space="0"/>
              <w:left w:val="single" w:color="auto" w:sz="4" w:space="0"/>
              <w:bottom w:val="single" w:color="auto" w:sz="4" w:space="0"/>
              <w:right w:val="single" w:color="auto" w:sz="4" w:space="0"/>
            </w:tcBorders>
            <w:noWrap w:val="0"/>
            <w:vAlign w:val="top"/>
          </w:tcPr>
          <w:p w14:paraId="05F2EF42">
            <w:pPr>
              <w:autoSpaceDE w:val="0"/>
              <w:autoSpaceDN w:val="0"/>
              <w:adjustRightInd w:val="0"/>
              <w:jc w:val="left"/>
              <w:rPr>
                <w:rFonts w:hint="eastAsia" w:ascii="宋体" w:hAnsi="宋体" w:eastAsia="宋体" w:cs="宋体"/>
                <w:color w:val="auto"/>
                <w:sz w:val="24"/>
                <w:szCs w:val="24"/>
                <w:highlight w:val="none"/>
                <w:lang w:val="zh-CN"/>
              </w:rPr>
            </w:pPr>
          </w:p>
        </w:tc>
      </w:tr>
      <w:tr w14:paraId="5106F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4E4CA38C">
            <w:pPr>
              <w:autoSpaceDE w:val="0"/>
              <w:autoSpaceDN w:val="0"/>
              <w:adjustRightInd w:val="0"/>
              <w:jc w:val="left"/>
              <w:rPr>
                <w:rFonts w:hint="eastAsia" w:ascii="宋体" w:hAnsi="宋体" w:eastAsia="宋体" w:cs="宋体"/>
                <w:color w:val="auto"/>
                <w:sz w:val="24"/>
                <w:szCs w:val="24"/>
                <w:highlight w:val="none"/>
                <w:lang w:val="zh-CN"/>
              </w:rPr>
            </w:pPr>
          </w:p>
        </w:tc>
        <w:tc>
          <w:tcPr>
            <w:tcW w:w="1351" w:type="dxa"/>
            <w:tcBorders>
              <w:top w:val="single" w:color="auto" w:sz="4" w:space="0"/>
              <w:left w:val="single" w:color="auto" w:sz="4" w:space="0"/>
              <w:bottom w:val="single" w:color="auto" w:sz="4" w:space="0"/>
              <w:right w:val="single" w:color="auto" w:sz="4" w:space="0"/>
            </w:tcBorders>
            <w:noWrap w:val="0"/>
            <w:vAlign w:val="top"/>
          </w:tcPr>
          <w:p w14:paraId="047DE0F3">
            <w:pPr>
              <w:autoSpaceDE w:val="0"/>
              <w:autoSpaceDN w:val="0"/>
              <w:adjustRightInd w:val="0"/>
              <w:jc w:val="left"/>
              <w:rPr>
                <w:rFonts w:hint="eastAsia" w:ascii="宋体" w:hAnsi="宋体" w:eastAsia="宋体" w:cs="宋体"/>
                <w:color w:val="auto"/>
                <w:sz w:val="24"/>
                <w:szCs w:val="24"/>
                <w:highlight w:val="none"/>
                <w:lang w:val="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317EE083">
            <w:pPr>
              <w:autoSpaceDE w:val="0"/>
              <w:autoSpaceDN w:val="0"/>
              <w:adjustRightInd w:val="0"/>
              <w:jc w:val="left"/>
              <w:rPr>
                <w:rFonts w:hint="eastAsia" w:ascii="宋体" w:hAnsi="宋体" w:eastAsia="宋体" w:cs="宋体"/>
                <w:color w:val="auto"/>
                <w:sz w:val="24"/>
                <w:szCs w:val="24"/>
                <w:highlight w:val="none"/>
                <w:lang w:val="zh-CN"/>
              </w:rPr>
            </w:pPr>
          </w:p>
        </w:tc>
        <w:tc>
          <w:tcPr>
            <w:tcW w:w="1803" w:type="dxa"/>
            <w:tcBorders>
              <w:top w:val="single" w:color="auto" w:sz="4" w:space="0"/>
              <w:left w:val="single" w:color="auto" w:sz="4" w:space="0"/>
              <w:bottom w:val="single" w:color="auto" w:sz="4" w:space="0"/>
              <w:right w:val="single" w:color="auto" w:sz="4" w:space="0"/>
            </w:tcBorders>
            <w:noWrap w:val="0"/>
            <w:vAlign w:val="top"/>
          </w:tcPr>
          <w:p w14:paraId="6F8A28ED">
            <w:pPr>
              <w:autoSpaceDE w:val="0"/>
              <w:autoSpaceDN w:val="0"/>
              <w:adjustRightInd w:val="0"/>
              <w:jc w:val="left"/>
              <w:rPr>
                <w:rFonts w:hint="eastAsia" w:ascii="宋体" w:hAnsi="宋体" w:eastAsia="宋体" w:cs="宋体"/>
                <w:color w:val="auto"/>
                <w:sz w:val="24"/>
                <w:szCs w:val="24"/>
                <w:highlight w:val="none"/>
                <w:lang w:val="zh-CN"/>
              </w:rPr>
            </w:pPr>
          </w:p>
        </w:tc>
        <w:tc>
          <w:tcPr>
            <w:tcW w:w="2103" w:type="dxa"/>
            <w:tcBorders>
              <w:top w:val="single" w:color="auto" w:sz="4" w:space="0"/>
              <w:left w:val="single" w:color="auto" w:sz="4" w:space="0"/>
              <w:bottom w:val="single" w:color="auto" w:sz="4" w:space="0"/>
              <w:right w:val="single" w:color="auto" w:sz="4" w:space="0"/>
            </w:tcBorders>
            <w:noWrap w:val="0"/>
            <w:vAlign w:val="top"/>
          </w:tcPr>
          <w:p w14:paraId="7E7D4D6D">
            <w:pPr>
              <w:autoSpaceDE w:val="0"/>
              <w:autoSpaceDN w:val="0"/>
              <w:adjustRightInd w:val="0"/>
              <w:jc w:val="left"/>
              <w:rPr>
                <w:rFonts w:hint="eastAsia" w:ascii="宋体" w:hAnsi="宋体" w:eastAsia="宋体" w:cs="宋体"/>
                <w:color w:val="auto"/>
                <w:sz w:val="24"/>
                <w:szCs w:val="24"/>
                <w:highlight w:val="none"/>
                <w:lang w:val="zh-CN"/>
              </w:rPr>
            </w:pPr>
          </w:p>
        </w:tc>
        <w:tc>
          <w:tcPr>
            <w:tcW w:w="2064" w:type="dxa"/>
            <w:tcBorders>
              <w:top w:val="single" w:color="auto" w:sz="4" w:space="0"/>
              <w:left w:val="single" w:color="auto" w:sz="4" w:space="0"/>
              <w:bottom w:val="single" w:color="auto" w:sz="4" w:space="0"/>
              <w:right w:val="single" w:color="auto" w:sz="4" w:space="0"/>
            </w:tcBorders>
            <w:noWrap w:val="0"/>
            <w:vAlign w:val="top"/>
          </w:tcPr>
          <w:p w14:paraId="3F964936">
            <w:pPr>
              <w:autoSpaceDE w:val="0"/>
              <w:autoSpaceDN w:val="0"/>
              <w:adjustRightInd w:val="0"/>
              <w:jc w:val="left"/>
              <w:rPr>
                <w:rFonts w:hint="eastAsia" w:ascii="宋体" w:hAnsi="宋体" w:eastAsia="宋体" w:cs="宋体"/>
                <w:color w:val="auto"/>
                <w:sz w:val="24"/>
                <w:szCs w:val="24"/>
                <w:highlight w:val="none"/>
                <w:lang w:val="zh-CN"/>
              </w:rPr>
            </w:pPr>
          </w:p>
        </w:tc>
      </w:tr>
      <w:tr w14:paraId="01CE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296DB146">
            <w:pPr>
              <w:autoSpaceDE w:val="0"/>
              <w:autoSpaceDN w:val="0"/>
              <w:adjustRightInd w:val="0"/>
              <w:jc w:val="left"/>
              <w:rPr>
                <w:rFonts w:hint="eastAsia" w:ascii="宋体" w:hAnsi="宋体" w:eastAsia="宋体" w:cs="宋体"/>
                <w:color w:val="auto"/>
                <w:sz w:val="24"/>
                <w:szCs w:val="24"/>
                <w:highlight w:val="none"/>
                <w:lang w:val="zh-CN"/>
              </w:rPr>
            </w:pPr>
          </w:p>
        </w:tc>
        <w:tc>
          <w:tcPr>
            <w:tcW w:w="1351" w:type="dxa"/>
            <w:tcBorders>
              <w:top w:val="single" w:color="auto" w:sz="4" w:space="0"/>
              <w:left w:val="single" w:color="auto" w:sz="4" w:space="0"/>
              <w:bottom w:val="single" w:color="auto" w:sz="4" w:space="0"/>
              <w:right w:val="single" w:color="auto" w:sz="4" w:space="0"/>
            </w:tcBorders>
            <w:noWrap w:val="0"/>
            <w:vAlign w:val="top"/>
          </w:tcPr>
          <w:p w14:paraId="25D1911F">
            <w:pPr>
              <w:autoSpaceDE w:val="0"/>
              <w:autoSpaceDN w:val="0"/>
              <w:adjustRightInd w:val="0"/>
              <w:jc w:val="left"/>
              <w:rPr>
                <w:rFonts w:hint="eastAsia" w:ascii="宋体" w:hAnsi="宋体" w:eastAsia="宋体" w:cs="宋体"/>
                <w:color w:val="auto"/>
                <w:sz w:val="24"/>
                <w:szCs w:val="24"/>
                <w:highlight w:val="none"/>
                <w:lang w:val="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4DCA5504">
            <w:pPr>
              <w:autoSpaceDE w:val="0"/>
              <w:autoSpaceDN w:val="0"/>
              <w:adjustRightInd w:val="0"/>
              <w:jc w:val="left"/>
              <w:rPr>
                <w:rFonts w:hint="eastAsia" w:ascii="宋体" w:hAnsi="宋体" w:eastAsia="宋体" w:cs="宋体"/>
                <w:color w:val="auto"/>
                <w:sz w:val="24"/>
                <w:szCs w:val="24"/>
                <w:highlight w:val="none"/>
                <w:lang w:val="zh-CN"/>
              </w:rPr>
            </w:pPr>
          </w:p>
        </w:tc>
        <w:tc>
          <w:tcPr>
            <w:tcW w:w="1803" w:type="dxa"/>
            <w:tcBorders>
              <w:top w:val="single" w:color="auto" w:sz="4" w:space="0"/>
              <w:left w:val="single" w:color="auto" w:sz="4" w:space="0"/>
              <w:bottom w:val="single" w:color="auto" w:sz="4" w:space="0"/>
              <w:right w:val="single" w:color="auto" w:sz="4" w:space="0"/>
            </w:tcBorders>
            <w:noWrap w:val="0"/>
            <w:vAlign w:val="top"/>
          </w:tcPr>
          <w:p w14:paraId="0D554307">
            <w:pPr>
              <w:autoSpaceDE w:val="0"/>
              <w:autoSpaceDN w:val="0"/>
              <w:adjustRightInd w:val="0"/>
              <w:jc w:val="left"/>
              <w:rPr>
                <w:rFonts w:hint="eastAsia" w:ascii="宋体" w:hAnsi="宋体" w:eastAsia="宋体" w:cs="宋体"/>
                <w:color w:val="auto"/>
                <w:sz w:val="24"/>
                <w:szCs w:val="24"/>
                <w:highlight w:val="none"/>
                <w:lang w:val="zh-CN"/>
              </w:rPr>
            </w:pPr>
          </w:p>
        </w:tc>
        <w:tc>
          <w:tcPr>
            <w:tcW w:w="2103" w:type="dxa"/>
            <w:tcBorders>
              <w:top w:val="single" w:color="auto" w:sz="4" w:space="0"/>
              <w:left w:val="single" w:color="auto" w:sz="4" w:space="0"/>
              <w:bottom w:val="single" w:color="auto" w:sz="4" w:space="0"/>
              <w:right w:val="single" w:color="auto" w:sz="4" w:space="0"/>
            </w:tcBorders>
            <w:noWrap w:val="0"/>
            <w:vAlign w:val="top"/>
          </w:tcPr>
          <w:p w14:paraId="055DC479">
            <w:pPr>
              <w:autoSpaceDE w:val="0"/>
              <w:autoSpaceDN w:val="0"/>
              <w:adjustRightInd w:val="0"/>
              <w:jc w:val="left"/>
              <w:rPr>
                <w:rFonts w:hint="eastAsia" w:ascii="宋体" w:hAnsi="宋体" w:eastAsia="宋体" w:cs="宋体"/>
                <w:color w:val="auto"/>
                <w:sz w:val="24"/>
                <w:szCs w:val="24"/>
                <w:highlight w:val="none"/>
                <w:lang w:val="zh-CN"/>
              </w:rPr>
            </w:pPr>
          </w:p>
        </w:tc>
        <w:tc>
          <w:tcPr>
            <w:tcW w:w="2064" w:type="dxa"/>
            <w:tcBorders>
              <w:top w:val="single" w:color="auto" w:sz="4" w:space="0"/>
              <w:left w:val="single" w:color="auto" w:sz="4" w:space="0"/>
              <w:bottom w:val="single" w:color="auto" w:sz="4" w:space="0"/>
              <w:right w:val="single" w:color="auto" w:sz="4" w:space="0"/>
            </w:tcBorders>
            <w:noWrap w:val="0"/>
            <w:vAlign w:val="top"/>
          </w:tcPr>
          <w:p w14:paraId="6CE49316">
            <w:pPr>
              <w:autoSpaceDE w:val="0"/>
              <w:autoSpaceDN w:val="0"/>
              <w:adjustRightInd w:val="0"/>
              <w:jc w:val="left"/>
              <w:rPr>
                <w:rFonts w:hint="eastAsia" w:ascii="宋体" w:hAnsi="宋体" w:eastAsia="宋体" w:cs="宋体"/>
                <w:color w:val="auto"/>
                <w:sz w:val="24"/>
                <w:szCs w:val="24"/>
                <w:highlight w:val="none"/>
                <w:lang w:val="zh-CN"/>
              </w:rPr>
            </w:pPr>
          </w:p>
        </w:tc>
      </w:tr>
      <w:tr w14:paraId="74E61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1213EB3D">
            <w:pPr>
              <w:autoSpaceDE w:val="0"/>
              <w:autoSpaceDN w:val="0"/>
              <w:adjustRightInd w:val="0"/>
              <w:jc w:val="left"/>
              <w:rPr>
                <w:rFonts w:hint="eastAsia" w:ascii="宋体" w:hAnsi="宋体" w:eastAsia="宋体" w:cs="宋体"/>
                <w:color w:val="auto"/>
                <w:sz w:val="24"/>
                <w:szCs w:val="24"/>
                <w:highlight w:val="none"/>
                <w:lang w:val="zh-CN"/>
              </w:rPr>
            </w:pPr>
          </w:p>
        </w:tc>
        <w:tc>
          <w:tcPr>
            <w:tcW w:w="1351" w:type="dxa"/>
            <w:tcBorders>
              <w:top w:val="single" w:color="auto" w:sz="4" w:space="0"/>
              <w:left w:val="single" w:color="auto" w:sz="4" w:space="0"/>
              <w:bottom w:val="single" w:color="auto" w:sz="4" w:space="0"/>
              <w:right w:val="single" w:color="auto" w:sz="4" w:space="0"/>
            </w:tcBorders>
            <w:noWrap w:val="0"/>
            <w:vAlign w:val="top"/>
          </w:tcPr>
          <w:p w14:paraId="62CE3253">
            <w:pPr>
              <w:autoSpaceDE w:val="0"/>
              <w:autoSpaceDN w:val="0"/>
              <w:adjustRightInd w:val="0"/>
              <w:jc w:val="left"/>
              <w:rPr>
                <w:rFonts w:hint="eastAsia" w:ascii="宋体" w:hAnsi="宋体" w:eastAsia="宋体" w:cs="宋体"/>
                <w:color w:val="auto"/>
                <w:sz w:val="24"/>
                <w:szCs w:val="24"/>
                <w:highlight w:val="none"/>
                <w:lang w:val="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4CDAA419">
            <w:pPr>
              <w:autoSpaceDE w:val="0"/>
              <w:autoSpaceDN w:val="0"/>
              <w:adjustRightInd w:val="0"/>
              <w:jc w:val="left"/>
              <w:rPr>
                <w:rFonts w:hint="eastAsia" w:ascii="宋体" w:hAnsi="宋体" w:eastAsia="宋体" w:cs="宋体"/>
                <w:color w:val="auto"/>
                <w:sz w:val="24"/>
                <w:szCs w:val="24"/>
                <w:highlight w:val="none"/>
                <w:lang w:val="zh-CN"/>
              </w:rPr>
            </w:pPr>
          </w:p>
        </w:tc>
        <w:tc>
          <w:tcPr>
            <w:tcW w:w="1803" w:type="dxa"/>
            <w:tcBorders>
              <w:top w:val="single" w:color="auto" w:sz="4" w:space="0"/>
              <w:left w:val="single" w:color="auto" w:sz="4" w:space="0"/>
              <w:bottom w:val="single" w:color="auto" w:sz="4" w:space="0"/>
              <w:right w:val="single" w:color="auto" w:sz="4" w:space="0"/>
            </w:tcBorders>
            <w:noWrap w:val="0"/>
            <w:vAlign w:val="top"/>
          </w:tcPr>
          <w:p w14:paraId="13D8C847">
            <w:pPr>
              <w:autoSpaceDE w:val="0"/>
              <w:autoSpaceDN w:val="0"/>
              <w:adjustRightInd w:val="0"/>
              <w:jc w:val="left"/>
              <w:rPr>
                <w:rFonts w:hint="eastAsia" w:ascii="宋体" w:hAnsi="宋体" w:eastAsia="宋体" w:cs="宋体"/>
                <w:color w:val="auto"/>
                <w:sz w:val="24"/>
                <w:szCs w:val="24"/>
                <w:highlight w:val="none"/>
                <w:lang w:val="zh-CN"/>
              </w:rPr>
            </w:pPr>
          </w:p>
        </w:tc>
        <w:tc>
          <w:tcPr>
            <w:tcW w:w="2103" w:type="dxa"/>
            <w:tcBorders>
              <w:top w:val="single" w:color="auto" w:sz="4" w:space="0"/>
              <w:left w:val="single" w:color="auto" w:sz="4" w:space="0"/>
              <w:bottom w:val="single" w:color="auto" w:sz="4" w:space="0"/>
              <w:right w:val="single" w:color="auto" w:sz="4" w:space="0"/>
            </w:tcBorders>
            <w:noWrap w:val="0"/>
            <w:vAlign w:val="top"/>
          </w:tcPr>
          <w:p w14:paraId="294EB50B">
            <w:pPr>
              <w:autoSpaceDE w:val="0"/>
              <w:autoSpaceDN w:val="0"/>
              <w:adjustRightInd w:val="0"/>
              <w:jc w:val="left"/>
              <w:rPr>
                <w:rFonts w:hint="eastAsia" w:ascii="宋体" w:hAnsi="宋体" w:eastAsia="宋体" w:cs="宋体"/>
                <w:color w:val="auto"/>
                <w:sz w:val="24"/>
                <w:szCs w:val="24"/>
                <w:highlight w:val="none"/>
                <w:lang w:val="zh-CN"/>
              </w:rPr>
            </w:pPr>
          </w:p>
        </w:tc>
        <w:tc>
          <w:tcPr>
            <w:tcW w:w="2064" w:type="dxa"/>
            <w:tcBorders>
              <w:top w:val="single" w:color="auto" w:sz="4" w:space="0"/>
              <w:left w:val="single" w:color="auto" w:sz="4" w:space="0"/>
              <w:bottom w:val="single" w:color="auto" w:sz="4" w:space="0"/>
              <w:right w:val="single" w:color="auto" w:sz="4" w:space="0"/>
            </w:tcBorders>
            <w:noWrap w:val="0"/>
            <w:vAlign w:val="top"/>
          </w:tcPr>
          <w:p w14:paraId="6604073E">
            <w:pPr>
              <w:autoSpaceDE w:val="0"/>
              <w:autoSpaceDN w:val="0"/>
              <w:adjustRightInd w:val="0"/>
              <w:jc w:val="left"/>
              <w:rPr>
                <w:rFonts w:hint="eastAsia" w:ascii="宋体" w:hAnsi="宋体" w:eastAsia="宋体" w:cs="宋体"/>
                <w:color w:val="auto"/>
                <w:sz w:val="24"/>
                <w:szCs w:val="24"/>
                <w:highlight w:val="none"/>
                <w:lang w:val="zh-CN"/>
              </w:rPr>
            </w:pPr>
          </w:p>
        </w:tc>
      </w:tr>
      <w:tr w14:paraId="17F9D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7C1D3F00">
            <w:pPr>
              <w:autoSpaceDE w:val="0"/>
              <w:autoSpaceDN w:val="0"/>
              <w:adjustRightInd w:val="0"/>
              <w:jc w:val="left"/>
              <w:rPr>
                <w:rFonts w:hint="eastAsia" w:ascii="宋体" w:hAnsi="宋体" w:eastAsia="宋体" w:cs="宋体"/>
                <w:color w:val="auto"/>
                <w:sz w:val="24"/>
                <w:szCs w:val="24"/>
                <w:highlight w:val="none"/>
                <w:lang w:val="zh-CN"/>
              </w:rPr>
            </w:pPr>
          </w:p>
        </w:tc>
        <w:tc>
          <w:tcPr>
            <w:tcW w:w="1351" w:type="dxa"/>
            <w:tcBorders>
              <w:top w:val="single" w:color="auto" w:sz="4" w:space="0"/>
              <w:left w:val="single" w:color="auto" w:sz="4" w:space="0"/>
              <w:bottom w:val="single" w:color="auto" w:sz="4" w:space="0"/>
              <w:right w:val="single" w:color="auto" w:sz="4" w:space="0"/>
            </w:tcBorders>
            <w:noWrap w:val="0"/>
            <w:vAlign w:val="top"/>
          </w:tcPr>
          <w:p w14:paraId="7EAFAB33">
            <w:pPr>
              <w:autoSpaceDE w:val="0"/>
              <w:autoSpaceDN w:val="0"/>
              <w:adjustRightInd w:val="0"/>
              <w:jc w:val="left"/>
              <w:rPr>
                <w:rFonts w:hint="eastAsia" w:ascii="宋体" w:hAnsi="宋体" w:eastAsia="宋体" w:cs="宋体"/>
                <w:color w:val="auto"/>
                <w:sz w:val="24"/>
                <w:szCs w:val="24"/>
                <w:highlight w:val="none"/>
                <w:lang w:val="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45360335">
            <w:pPr>
              <w:autoSpaceDE w:val="0"/>
              <w:autoSpaceDN w:val="0"/>
              <w:adjustRightInd w:val="0"/>
              <w:jc w:val="left"/>
              <w:rPr>
                <w:rFonts w:hint="eastAsia" w:ascii="宋体" w:hAnsi="宋体" w:eastAsia="宋体" w:cs="宋体"/>
                <w:color w:val="auto"/>
                <w:sz w:val="24"/>
                <w:szCs w:val="24"/>
                <w:highlight w:val="none"/>
                <w:lang w:val="zh-CN"/>
              </w:rPr>
            </w:pPr>
          </w:p>
        </w:tc>
        <w:tc>
          <w:tcPr>
            <w:tcW w:w="1803" w:type="dxa"/>
            <w:tcBorders>
              <w:top w:val="single" w:color="auto" w:sz="4" w:space="0"/>
              <w:left w:val="single" w:color="auto" w:sz="4" w:space="0"/>
              <w:bottom w:val="single" w:color="auto" w:sz="4" w:space="0"/>
              <w:right w:val="single" w:color="auto" w:sz="4" w:space="0"/>
            </w:tcBorders>
            <w:noWrap w:val="0"/>
            <w:vAlign w:val="top"/>
          </w:tcPr>
          <w:p w14:paraId="5982A7CD">
            <w:pPr>
              <w:autoSpaceDE w:val="0"/>
              <w:autoSpaceDN w:val="0"/>
              <w:adjustRightInd w:val="0"/>
              <w:jc w:val="left"/>
              <w:rPr>
                <w:rFonts w:hint="eastAsia" w:ascii="宋体" w:hAnsi="宋体" w:eastAsia="宋体" w:cs="宋体"/>
                <w:color w:val="auto"/>
                <w:sz w:val="24"/>
                <w:szCs w:val="24"/>
                <w:highlight w:val="none"/>
                <w:lang w:val="zh-CN"/>
              </w:rPr>
            </w:pPr>
          </w:p>
        </w:tc>
        <w:tc>
          <w:tcPr>
            <w:tcW w:w="2103" w:type="dxa"/>
            <w:tcBorders>
              <w:top w:val="single" w:color="auto" w:sz="4" w:space="0"/>
              <w:left w:val="single" w:color="auto" w:sz="4" w:space="0"/>
              <w:bottom w:val="single" w:color="auto" w:sz="4" w:space="0"/>
              <w:right w:val="single" w:color="auto" w:sz="4" w:space="0"/>
            </w:tcBorders>
            <w:noWrap w:val="0"/>
            <w:vAlign w:val="top"/>
          </w:tcPr>
          <w:p w14:paraId="342248F6">
            <w:pPr>
              <w:autoSpaceDE w:val="0"/>
              <w:autoSpaceDN w:val="0"/>
              <w:adjustRightInd w:val="0"/>
              <w:jc w:val="left"/>
              <w:rPr>
                <w:rFonts w:hint="eastAsia" w:ascii="宋体" w:hAnsi="宋体" w:eastAsia="宋体" w:cs="宋体"/>
                <w:color w:val="auto"/>
                <w:sz w:val="24"/>
                <w:szCs w:val="24"/>
                <w:highlight w:val="none"/>
                <w:lang w:val="zh-CN"/>
              </w:rPr>
            </w:pPr>
          </w:p>
        </w:tc>
        <w:tc>
          <w:tcPr>
            <w:tcW w:w="2064" w:type="dxa"/>
            <w:tcBorders>
              <w:top w:val="single" w:color="auto" w:sz="4" w:space="0"/>
              <w:left w:val="single" w:color="auto" w:sz="4" w:space="0"/>
              <w:bottom w:val="single" w:color="auto" w:sz="4" w:space="0"/>
              <w:right w:val="single" w:color="auto" w:sz="4" w:space="0"/>
            </w:tcBorders>
            <w:noWrap w:val="0"/>
            <w:vAlign w:val="top"/>
          </w:tcPr>
          <w:p w14:paraId="778755DB">
            <w:pPr>
              <w:autoSpaceDE w:val="0"/>
              <w:autoSpaceDN w:val="0"/>
              <w:adjustRightInd w:val="0"/>
              <w:jc w:val="left"/>
              <w:rPr>
                <w:rFonts w:hint="eastAsia" w:ascii="宋体" w:hAnsi="宋体" w:eastAsia="宋体" w:cs="宋体"/>
                <w:color w:val="auto"/>
                <w:sz w:val="24"/>
                <w:szCs w:val="24"/>
                <w:highlight w:val="none"/>
                <w:lang w:val="zh-CN"/>
              </w:rPr>
            </w:pPr>
          </w:p>
        </w:tc>
      </w:tr>
      <w:tr w14:paraId="1C3E5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5FF9732D">
            <w:pPr>
              <w:autoSpaceDE w:val="0"/>
              <w:autoSpaceDN w:val="0"/>
              <w:adjustRightInd w:val="0"/>
              <w:jc w:val="left"/>
              <w:rPr>
                <w:rFonts w:hint="eastAsia" w:ascii="宋体" w:hAnsi="宋体" w:eastAsia="宋体" w:cs="宋体"/>
                <w:color w:val="auto"/>
                <w:sz w:val="24"/>
                <w:szCs w:val="24"/>
                <w:highlight w:val="none"/>
                <w:lang w:val="zh-CN"/>
              </w:rPr>
            </w:pPr>
          </w:p>
        </w:tc>
        <w:tc>
          <w:tcPr>
            <w:tcW w:w="1351" w:type="dxa"/>
            <w:tcBorders>
              <w:top w:val="single" w:color="auto" w:sz="4" w:space="0"/>
              <w:left w:val="single" w:color="auto" w:sz="4" w:space="0"/>
              <w:bottom w:val="single" w:color="auto" w:sz="4" w:space="0"/>
              <w:right w:val="single" w:color="auto" w:sz="4" w:space="0"/>
            </w:tcBorders>
            <w:noWrap w:val="0"/>
            <w:vAlign w:val="top"/>
          </w:tcPr>
          <w:p w14:paraId="0AB73391">
            <w:pPr>
              <w:autoSpaceDE w:val="0"/>
              <w:autoSpaceDN w:val="0"/>
              <w:adjustRightInd w:val="0"/>
              <w:jc w:val="left"/>
              <w:rPr>
                <w:rFonts w:hint="eastAsia" w:ascii="宋体" w:hAnsi="宋体" w:eastAsia="宋体" w:cs="宋体"/>
                <w:color w:val="auto"/>
                <w:sz w:val="24"/>
                <w:szCs w:val="24"/>
                <w:highlight w:val="none"/>
                <w:lang w:val="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68DBBE42">
            <w:pPr>
              <w:autoSpaceDE w:val="0"/>
              <w:autoSpaceDN w:val="0"/>
              <w:adjustRightInd w:val="0"/>
              <w:jc w:val="left"/>
              <w:rPr>
                <w:rFonts w:hint="eastAsia" w:ascii="宋体" w:hAnsi="宋体" w:eastAsia="宋体" w:cs="宋体"/>
                <w:color w:val="auto"/>
                <w:sz w:val="24"/>
                <w:szCs w:val="24"/>
                <w:highlight w:val="none"/>
                <w:lang w:val="zh-CN"/>
              </w:rPr>
            </w:pPr>
          </w:p>
        </w:tc>
        <w:tc>
          <w:tcPr>
            <w:tcW w:w="1803" w:type="dxa"/>
            <w:tcBorders>
              <w:top w:val="single" w:color="auto" w:sz="4" w:space="0"/>
              <w:left w:val="single" w:color="auto" w:sz="4" w:space="0"/>
              <w:bottom w:val="single" w:color="auto" w:sz="4" w:space="0"/>
              <w:right w:val="single" w:color="auto" w:sz="4" w:space="0"/>
            </w:tcBorders>
            <w:noWrap w:val="0"/>
            <w:vAlign w:val="top"/>
          </w:tcPr>
          <w:p w14:paraId="6F57AA9B">
            <w:pPr>
              <w:autoSpaceDE w:val="0"/>
              <w:autoSpaceDN w:val="0"/>
              <w:adjustRightInd w:val="0"/>
              <w:jc w:val="left"/>
              <w:rPr>
                <w:rFonts w:hint="eastAsia" w:ascii="宋体" w:hAnsi="宋体" w:eastAsia="宋体" w:cs="宋体"/>
                <w:color w:val="auto"/>
                <w:sz w:val="24"/>
                <w:szCs w:val="24"/>
                <w:highlight w:val="none"/>
                <w:lang w:val="zh-CN"/>
              </w:rPr>
            </w:pPr>
          </w:p>
        </w:tc>
        <w:tc>
          <w:tcPr>
            <w:tcW w:w="2103" w:type="dxa"/>
            <w:tcBorders>
              <w:top w:val="single" w:color="auto" w:sz="4" w:space="0"/>
              <w:left w:val="single" w:color="auto" w:sz="4" w:space="0"/>
              <w:bottom w:val="single" w:color="auto" w:sz="4" w:space="0"/>
              <w:right w:val="single" w:color="auto" w:sz="4" w:space="0"/>
            </w:tcBorders>
            <w:noWrap w:val="0"/>
            <w:vAlign w:val="top"/>
          </w:tcPr>
          <w:p w14:paraId="1C85EF11">
            <w:pPr>
              <w:autoSpaceDE w:val="0"/>
              <w:autoSpaceDN w:val="0"/>
              <w:adjustRightInd w:val="0"/>
              <w:jc w:val="left"/>
              <w:rPr>
                <w:rFonts w:hint="eastAsia" w:ascii="宋体" w:hAnsi="宋体" w:eastAsia="宋体" w:cs="宋体"/>
                <w:color w:val="auto"/>
                <w:sz w:val="24"/>
                <w:szCs w:val="24"/>
                <w:highlight w:val="none"/>
                <w:lang w:val="zh-CN"/>
              </w:rPr>
            </w:pPr>
          </w:p>
        </w:tc>
        <w:tc>
          <w:tcPr>
            <w:tcW w:w="2064" w:type="dxa"/>
            <w:tcBorders>
              <w:top w:val="single" w:color="auto" w:sz="4" w:space="0"/>
              <w:left w:val="single" w:color="auto" w:sz="4" w:space="0"/>
              <w:bottom w:val="single" w:color="auto" w:sz="4" w:space="0"/>
              <w:right w:val="single" w:color="auto" w:sz="4" w:space="0"/>
            </w:tcBorders>
            <w:noWrap w:val="0"/>
            <w:vAlign w:val="top"/>
          </w:tcPr>
          <w:p w14:paraId="368B5262">
            <w:pPr>
              <w:autoSpaceDE w:val="0"/>
              <w:autoSpaceDN w:val="0"/>
              <w:adjustRightInd w:val="0"/>
              <w:jc w:val="left"/>
              <w:rPr>
                <w:rFonts w:hint="eastAsia" w:ascii="宋体" w:hAnsi="宋体" w:eastAsia="宋体" w:cs="宋体"/>
                <w:color w:val="auto"/>
                <w:sz w:val="24"/>
                <w:szCs w:val="24"/>
                <w:highlight w:val="none"/>
                <w:lang w:val="zh-CN"/>
              </w:rPr>
            </w:pPr>
          </w:p>
        </w:tc>
      </w:tr>
      <w:tr w14:paraId="7725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05CF4428">
            <w:pPr>
              <w:autoSpaceDE w:val="0"/>
              <w:autoSpaceDN w:val="0"/>
              <w:adjustRightInd w:val="0"/>
              <w:jc w:val="left"/>
              <w:rPr>
                <w:rFonts w:hint="eastAsia" w:ascii="宋体" w:hAnsi="宋体" w:eastAsia="宋体" w:cs="宋体"/>
                <w:color w:val="auto"/>
                <w:sz w:val="24"/>
                <w:szCs w:val="24"/>
                <w:highlight w:val="none"/>
                <w:lang w:val="zh-CN"/>
              </w:rPr>
            </w:pPr>
          </w:p>
        </w:tc>
        <w:tc>
          <w:tcPr>
            <w:tcW w:w="1351" w:type="dxa"/>
            <w:tcBorders>
              <w:top w:val="single" w:color="auto" w:sz="4" w:space="0"/>
              <w:left w:val="single" w:color="auto" w:sz="4" w:space="0"/>
              <w:bottom w:val="single" w:color="auto" w:sz="4" w:space="0"/>
              <w:right w:val="single" w:color="auto" w:sz="4" w:space="0"/>
            </w:tcBorders>
            <w:noWrap w:val="0"/>
            <w:vAlign w:val="top"/>
          </w:tcPr>
          <w:p w14:paraId="5DFA3356">
            <w:pPr>
              <w:autoSpaceDE w:val="0"/>
              <w:autoSpaceDN w:val="0"/>
              <w:adjustRightInd w:val="0"/>
              <w:jc w:val="left"/>
              <w:rPr>
                <w:rFonts w:hint="eastAsia" w:ascii="宋体" w:hAnsi="宋体" w:eastAsia="宋体" w:cs="宋体"/>
                <w:color w:val="auto"/>
                <w:sz w:val="24"/>
                <w:szCs w:val="24"/>
                <w:highlight w:val="none"/>
                <w:lang w:val="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38F18643">
            <w:pPr>
              <w:autoSpaceDE w:val="0"/>
              <w:autoSpaceDN w:val="0"/>
              <w:adjustRightInd w:val="0"/>
              <w:jc w:val="left"/>
              <w:rPr>
                <w:rFonts w:hint="eastAsia" w:ascii="宋体" w:hAnsi="宋体" w:eastAsia="宋体" w:cs="宋体"/>
                <w:color w:val="auto"/>
                <w:sz w:val="24"/>
                <w:szCs w:val="24"/>
                <w:highlight w:val="none"/>
                <w:lang w:val="zh-CN"/>
              </w:rPr>
            </w:pPr>
          </w:p>
        </w:tc>
        <w:tc>
          <w:tcPr>
            <w:tcW w:w="1803" w:type="dxa"/>
            <w:tcBorders>
              <w:top w:val="single" w:color="auto" w:sz="4" w:space="0"/>
              <w:left w:val="single" w:color="auto" w:sz="4" w:space="0"/>
              <w:bottom w:val="single" w:color="auto" w:sz="4" w:space="0"/>
              <w:right w:val="single" w:color="auto" w:sz="4" w:space="0"/>
            </w:tcBorders>
            <w:noWrap w:val="0"/>
            <w:vAlign w:val="top"/>
          </w:tcPr>
          <w:p w14:paraId="1B97BA00">
            <w:pPr>
              <w:autoSpaceDE w:val="0"/>
              <w:autoSpaceDN w:val="0"/>
              <w:adjustRightInd w:val="0"/>
              <w:jc w:val="left"/>
              <w:rPr>
                <w:rFonts w:hint="eastAsia" w:ascii="宋体" w:hAnsi="宋体" w:eastAsia="宋体" w:cs="宋体"/>
                <w:color w:val="auto"/>
                <w:sz w:val="24"/>
                <w:szCs w:val="24"/>
                <w:highlight w:val="none"/>
                <w:lang w:val="zh-CN"/>
              </w:rPr>
            </w:pPr>
          </w:p>
        </w:tc>
        <w:tc>
          <w:tcPr>
            <w:tcW w:w="2103" w:type="dxa"/>
            <w:tcBorders>
              <w:top w:val="single" w:color="auto" w:sz="4" w:space="0"/>
              <w:left w:val="single" w:color="auto" w:sz="4" w:space="0"/>
              <w:bottom w:val="single" w:color="auto" w:sz="4" w:space="0"/>
              <w:right w:val="single" w:color="auto" w:sz="4" w:space="0"/>
            </w:tcBorders>
            <w:noWrap w:val="0"/>
            <w:vAlign w:val="top"/>
          </w:tcPr>
          <w:p w14:paraId="46BCDE24">
            <w:pPr>
              <w:autoSpaceDE w:val="0"/>
              <w:autoSpaceDN w:val="0"/>
              <w:adjustRightInd w:val="0"/>
              <w:jc w:val="left"/>
              <w:rPr>
                <w:rFonts w:hint="eastAsia" w:ascii="宋体" w:hAnsi="宋体" w:eastAsia="宋体" w:cs="宋体"/>
                <w:color w:val="auto"/>
                <w:sz w:val="24"/>
                <w:szCs w:val="24"/>
                <w:highlight w:val="none"/>
                <w:lang w:val="zh-CN"/>
              </w:rPr>
            </w:pPr>
          </w:p>
        </w:tc>
        <w:tc>
          <w:tcPr>
            <w:tcW w:w="2064" w:type="dxa"/>
            <w:tcBorders>
              <w:top w:val="single" w:color="auto" w:sz="4" w:space="0"/>
              <w:left w:val="single" w:color="auto" w:sz="4" w:space="0"/>
              <w:bottom w:val="single" w:color="auto" w:sz="4" w:space="0"/>
              <w:right w:val="single" w:color="auto" w:sz="4" w:space="0"/>
            </w:tcBorders>
            <w:noWrap w:val="0"/>
            <w:vAlign w:val="top"/>
          </w:tcPr>
          <w:p w14:paraId="205F5B0C">
            <w:pPr>
              <w:autoSpaceDE w:val="0"/>
              <w:autoSpaceDN w:val="0"/>
              <w:adjustRightInd w:val="0"/>
              <w:jc w:val="left"/>
              <w:rPr>
                <w:rFonts w:hint="eastAsia" w:ascii="宋体" w:hAnsi="宋体" w:eastAsia="宋体" w:cs="宋体"/>
                <w:color w:val="auto"/>
                <w:sz w:val="24"/>
                <w:szCs w:val="24"/>
                <w:highlight w:val="none"/>
                <w:lang w:val="zh-CN"/>
              </w:rPr>
            </w:pPr>
          </w:p>
        </w:tc>
      </w:tr>
      <w:tr w14:paraId="7F9C1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4058F606">
            <w:pPr>
              <w:autoSpaceDE w:val="0"/>
              <w:autoSpaceDN w:val="0"/>
              <w:adjustRightInd w:val="0"/>
              <w:jc w:val="left"/>
              <w:rPr>
                <w:rFonts w:hint="eastAsia" w:ascii="宋体" w:hAnsi="宋体" w:eastAsia="宋体" w:cs="宋体"/>
                <w:color w:val="auto"/>
                <w:sz w:val="24"/>
                <w:szCs w:val="24"/>
                <w:highlight w:val="none"/>
                <w:lang w:val="zh-CN"/>
              </w:rPr>
            </w:pPr>
          </w:p>
        </w:tc>
        <w:tc>
          <w:tcPr>
            <w:tcW w:w="1351" w:type="dxa"/>
            <w:tcBorders>
              <w:top w:val="single" w:color="auto" w:sz="4" w:space="0"/>
              <w:left w:val="single" w:color="auto" w:sz="4" w:space="0"/>
              <w:bottom w:val="single" w:color="auto" w:sz="4" w:space="0"/>
              <w:right w:val="single" w:color="auto" w:sz="4" w:space="0"/>
            </w:tcBorders>
            <w:noWrap w:val="0"/>
            <w:vAlign w:val="top"/>
          </w:tcPr>
          <w:p w14:paraId="0F0D513D">
            <w:pPr>
              <w:autoSpaceDE w:val="0"/>
              <w:autoSpaceDN w:val="0"/>
              <w:adjustRightInd w:val="0"/>
              <w:jc w:val="left"/>
              <w:rPr>
                <w:rFonts w:hint="eastAsia" w:ascii="宋体" w:hAnsi="宋体" w:eastAsia="宋体" w:cs="宋体"/>
                <w:color w:val="auto"/>
                <w:sz w:val="24"/>
                <w:szCs w:val="24"/>
                <w:highlight w:val="none"/>
                <w:lang w:val="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22351548">
            <w:pPr>
              <w:autoSpaceDE w:val="0"/>
              <w:autoSpaceDN w:val="0"/>
              <w:adjustRightInd w:val="0"/>
              <w:jc w:val="left"/>
              <w:rPr>
                <w:rFonts w:hint="eastAsia" w:ascii="宋体" w:hAnsi="宋体" w:eastAsia="宋体" w:cs="宋体"/>
                <w:color w:val="auto"/>
                <w:sz w:val="24"/>
                <w:szCs w:val="24"/>
                <w:highlight w:val="none"/>
                <w:lang w:val="zh-CN"/>
              </w:rPr>
            </w:pPr>
          </w:p>
        </w:tc>
        <w:tc>
          <w:tcPr>
            <w:tcW w:w="1803" w:type="dxa"/>
            <w:tcBorders>
              <w:top w:val="single" w:color="auto" w:sz="4" w:space="0"/>
              <w:left w:val="single" w:color="auto" w:sz="4" w:space="0"/>
              <w:bottom w:val="single" w:color="auto" w:sz="4" w:space="0"/>
              <w:right w:val="single" w:color="auto" w:sz="4" w:space="0"/>
            </w:tcBorders>
            <w:noWrap w:val="0"/>
            <w:vAlign w:val="top"/>
          </w:tcPr>
          <w:p w14:paraId="65BFD79E">
            <w:pPr>
              <w:autoSpaceDE w:val="0"/>
              <w:autoSpaceDN w:val="0"/>
              <w:adjustRightInd w:val="0"/>
              <w:jc w:val="left"/>
              <w:rPr>
                <w:rFonts w:hint="eastAsia" w:ascii="宋体" w:hAnsi="宋体" w:eastAsia="宋体" w:cs="宋体"/>
                <w:color w:val="auto"/>
                <w:sz w:val="24"/>
                <w:szCs w:val="24"/>
                <w:highlight w:val="none"/>
                <w:lang w:val="zh-CN"/>
              </w:rPr>
            </w:pPr>
          </w:p>
        </w:tc>
        <w:tc>
          <w:tcPr>
            <w:tcW w:w="2103" w:type="dxa"/>
            <w:tcBorders>
              <w:top w:val="single" w:color="auto" w:sz="4" w:space="0"/>
              <w:left w:val="single" w:color="auto" w:sz="4" w:space="0"/>
              <w:bottom w:val="single" w:color="auto" w:sz="4" w:space="0"/>
              <w:right w:val="single" w:color="auto" w:sz="4" w:space="0"/>
            </w:tcBorders>
            <w:noWrap w:val="0"/>
            <w:vAlign w:val="top"/>
          </w:tcPr>
          <w:p w14:paraId="7342339F">
            <w:pPr>
              <w:autoSpaceDE w:val="0"/>
              <w:autoSpaceDN w:val="0"/>
              <w:adjustRightInd w:val="0"/>
              <w:jc w:val="left"/>
              <w:rPr>
                <w:rFonts w:hint="eastAsia" w:ascii="宋体" w:hAnsi="宋体" w:eastAsia="宋体" w:cs="宋体"/>
                <w:color w:val="auto"/>
                <w:sz w:val="24"/>
                <w:szCs w:val="24"/>
                <w:highlight w:val="none"/>
                <w:lang w:val="zh-CN"/>
              </w:rPr>
            </w:pPr>
          </w:p>
        </w:tc>
        <w:tc>
          <w:tcPr>
            <w:tcW w:w="2064" w:type="dxa"/>
            <w:tcBorders>
              <w:top w:val="single" w:color="auto" w:sz="4" w:space="0"/>
              <w:left w:val="single" w:color="auto" w:sz="4" w:space="0"/>
              <w:bottom w:val="single" w:color="auto" w:sz="4" w:space="0"/>
              <w:right w:val="single" w:color="auto" w:sz="4" w:space="0"/>
            </w:tcBorders>
            <w:noWrap w:val="0"/>
            <w:vAlign w:val="top"/>
          </w:tcPr>
          <w:p w14:paraId="15825258">
            <w:pPr>
              <w:autoSpaceDE w:val="0"/>
              <w:autoSpaceDN w:val="0"/>
              <w:adjustRightInd w:val="0"/>
              <w:jc w:val="left"/>
              <w:rPr>
                <w:rFonts w:hint="eastAsia" w:ascii="宋体" w:hAnsi="宋体" w:eastAsia="宋体" w:cs="宋体"/>
                <w:color w:val="auto"/>
                <w:sz w:val="24"/>
                <w:szCs w:val="24"/>
                <w:highlight w:val="none"/>
                <w:lang w:val="zh-CN"/>
              </w:rPr>
            </w:pPr>
          </w:p>
        </w:tc>
      </w:tr>
      <w:tr w14:paraId="115D8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166" w:type="dxa"/>
            <w:tcBorders>
              <w:top w:val="single" w:color="auto" w:sz="4" w:space="0"/>
              <w:left w:val="single" w:color="auto" w:sz="4" w:space="0"/>
              <w:bottom w:val="single" w:color="auto" w:sz="4" w:space="0"/>
              <w:right w:val="single" w:color="auto" w:sz="4" w:space="0"/>
            </w:tcBorders>
            <w:noWrap w:val="0"/>
            <w:vAlign w:val="top"/>
          </w:tcPr>
          <w:p w14:paraId="60A3D87A">
            <w:pPr>
              <w:autoSpaceDE w:val="0"/>
              <w:autoSpaceDN w:val="0"/>
              <w:adjustRightInd w:val="0"/>
              <w:jc w:val="left"/>
              <w:rPr>
                <w:rFonts w:hint="eastAsia" w:ascii="宋体" w:hAnsi="宋体" w:eastAsia="宋体" w:cs="宋体"/>
                <w:color w:val="auto"/>
                <w:sz w:val="24"/>
                <w:szCs w:val="24"/>
                <w:highlight w:val="none"/>
                <w:lang w:val="zh-CN"/>
              </w:rPr>
            </w:pPr>
          </w:p>
        </w:tc>
        <w:tc>
          <w:tcPr>
            <w:tcW w:w="1351" w:type="dxa"/>
            <w:tcBorders>
              <w:top w:val="single" w:color="auto" w:sz="4" w:space="0"/>
              <w:left w:val="single" w:color="auto" w:sz="4" w:space="0"/>
              <w:bottom w:val="single" w:color="auto" w:sz="4" w:space="0"/>
              <w:right w:val="single" w:color="auto" w:sz="4" w:space="0"/>
            </w:tcBorders>
            <w:noWrap w:val="0"/>
            <w:vAlign w:val="top"/>
          </w:tcPr>
          <w:p w14:paraId="7A6EE796">
            <w:pPr>
              <w:autoSpaceDE w:val="0"/>
              <w:autoSpaceDN w:val="0"/>
              <w:adjustRightInd w:val="0"/>
              <w:jc w:val="left"/>
              <w:rPr>
                <w:rFonts w:hint="eastAsia" w:ascii="宋体" w:hAnsi="宋体" w:eastAsia="宋体" w:cs="宋体"/>
                <w:color w:val="auto"/>
                <w:sz w:val="24"/>
                <w:szCs w:val="24"/>
                <w:highlight w:val="none"/>
                <w:lang w:val="zh-CN"/>
              </w:rPr>
            </w:pPr>
          </w:p>
        </w:tc>
        <w:tc>
          <w:tcPr>
            <w:tcW w:w="1352" w:type="dxa"/>
            <w:tcBorders>
              <w:top w:val="single" w:color="auto" w:sz="4" w:space="0"/>
              <w:left w:val="single" w:color="auto" w:sz="4" w:space="0"/>
              <w:bottom w:val="single" w:color="auto" w:sz="4" w:space="0"/>
              <w:right w:val="single" w:color="auto" w:sz="4" w:space="0"/>
            </w:tcBorders>
            <w:noWrap w:val="0"/>
            <w:vAlign w:val="top"/>
          </w:tcPr>
          <w:p w14:paraId="6026BFF0">
            <w:pPr>
              <w:autoSpaceDE w:val="0"/>
              <w:autoSpaceDN w:val="0"/>
              <w:adjustRightInd w:val="0"/>
              <w:jc w:val="left"/>
              <w:rPr>
                <w:rFonts w:hint="eastAsia" w:ascii="宋体" w:hAnsi="宋体" w:eastAsia="宋体" w:cs="宋体"/>
                <w:color w:val="auto"/>
                <w:sz w:val="24"/>
                <w:szCs w:val="24"/>
                <w:highlight w:val="none"/>
                <w:lang w:val="zh-CN"/>
              </w:rPr>
            </w:pPr>
          </w:p>
        </w:tc>
        <w:tc>
          <w:tcPr>
            <w:tcW w:w="1803" w:type="dxa"/>
            <w:tcBorders>
              <w:top w:val="single" w:color="auto" w:sz="4" w:space="0"/>
              <w:left w:val="single" w:color="auto" w:sz="4" w:space="0"/>
              <w:bottom w:val="single" w:color="auto" w:sz="4" w:space="0"/>
              <w:right w:val="single" w:color="auto" w:sz="4" w:space="0"/>
            </w:tcBorders>
            <w:noWrap w:val="0"/>
            <w:vAlign w:val="top"/>
          </w:tcPr>
          <w:p w14:paraId="32D1210F">
            <w:pPr>
              <w:autoSpaceDE w:val="0"/>
              <w:autoSpaceDN w:val="0"/>
              <w:adjustRightInd w:val="0"/>
              <w:jc w:val="left"/>
              <w:rPr>
                <w:rFonts w:hint="eastAsia" w:ascii="宋体" w:hAnsi="宋体" w:eastAsia="宋体" w:cs="宋体"/>
                <w:color w:val="auto"/>
                <w:sz w:val="24"/>
                <w:szCs w:val="24"/>
                <w:highlight w:val="none"/>
                <w:lang w:val="zh-CN"/>
              </w:rPr>
            </w:pPr>
          </w:p>
        </w:tc>
        <w:tc>
          <w:tcPr>
            <w:tcW w:w="2103" w:type="dxa"/>
            <w:tcBorders>
              <w:top w:val="single" w:color="auto" w:sz="4" w:space="0"/>
              <w:left w:val="single" w:color="auto" w:sz="4" w:space="0"/>
              <w:bottom w:val="single" w:color="auto" w:sz="4" w:space="0"/>
              <w:right w:val="single" w:color="auto" w:sz="4" w:space="0"/>
            </w:tcBorders>
            <w:noWrap w:val="0"/>
            <w:vAlign w:val="top"/>
          </w:tcPr>
          <w:p w14:paraId="2757F492">
            <w:pPr>
              <w:autoSpaceDE w:val="0"/>
              <w:autoSpaceDN w:val="0"/>
              <w:adjustRightInd w:val="0"/>
              <w:jc w:val="left"/>
              <w:rPr>
                <w:rFonts w:hint="eastAsia" w:ascii="宋体" w:hAnsi="宋体" w:eastAsia="宋体" w:cs="宋体"/>
                <w:color w:val="auto"/>
                <w:sz w:val="24"/>
                <w:szCs w:val="24"/>
                <w:highlight w:val="none"/>
                <w:lang w:val="zh-CN"/>
              </w:rPr>
            </w:pPr>
          </w:p>
        </w:tc>
        <w:tc>
          <w:tcPr>
            <w:tcW w:w="2064" w:type="dxa"/>
            <w:tcBorders>
              <w:top w:val="single" w:color="auto" w:sz="4" w:space="0"/>
              <w:left w:val="single" w:color="auto" w:sz="4" w:space="0"/>
              <w:bottom w:val="single" w:color="auto" w:sz="4" w:space="0"/>
              <w:right w:val="single" w:color="auto" w:sz="4" w:space="0"/>
            </w:tcBorders>
            <w:noWrap w:val="0"/>
            <w:vAlign w:val="top"/>
          </w:tcPr>
          <w:p w14:paraId="3C5D0DF8">
            <w:pPr>
              <w:autoSpaceDE w:val="0"/>
              <w:autoSpaceDN w:val="0"/>
              <w:adjustRightInd w:val="0"/>
              <w:jc w:val="left"/>
              <w:rPr>
                <w:rFonts w:hint="eastAsia" w:ascii="宋体" w:hAnsi="宋体" w:eastAsia="宋体" w:cs="宋体"/>
                <w:color w:val="auto"/>
                <w:sz w:val="24"/>
                <w:szCs w:val="24"/>
                <w:highlight w:val="none"/>
                <w:lang w:val="zh-CN"/>
              </w:rPr>
            </w:pPr>
          </w:p>
        </w:tc>
      </w:tr>
    </w:tbl>
    <w:p w14:paraId="324A62F8">
      <w:pPr>
        <w:autoSpaceDE w:val="0"/>
        <w:autoSpaceDN w:val="0"/>
        <w:adjustRightInd w:val="0"/>
        <w:spacing w:line="600" w:lineRule="exact"/>
        <w:jc w:val="lef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 xml:space="preserve">（盖章）：            </w:t>
      </w:r>
    </w:p>
    <w:p w14:paraId="58D2E279">
      <w:pPr>
        <w:autoSpaceDE w:val="0"/>
        <w:autoSpaceDN w:val="0"/>
        <w:adjustRightInd w:val="0"/>
        <w:spacing w:line="60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p>
    <w:p w14:paraId="19BD74A1">
      <w:pPr>
        <w:autoSpaceDE w:val="0"/>
        <w:autoSpaceDN w:val="0"/>
        <w:adjustRightInd w:val="0"/>
        <w:spacing w:line="600" w:lineRule="exact"/>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    年    月   日</w:t>
      </w:r>
    </w:p>
    <w:p w14:paraId="67712CFD">
      <w:pPr>
        <w:autoSpaceDE w:val="0"/>
        <w:autoSpaceDN w:val="0"/>
        <w:adjustRightInd w:val="0"/>
        <w:jc w:val="left"/>
        <w:rPr>
          <w:rFonts w:hint="eastAsia" w:ascii="宋体" w:hAnsi="宋体" w:eastAsia="宋体" w:cs="宋体"/>
          <w:color w:val="auto"/>
          <w:sz w:val="24"/>
          <w:szCs w:val="24"/>
          <w:highlight w:val="none"/>
          <w:lang w:val="zh-CN"/>
        </w:rPr>
      </w:pPr>
    </w:p>
    <w:p w14:paraId="6075DD7E">
      <w:pPr>
        <w:autoSpaceDE w:val="0"/>
        <w:autoSpaceDN w:val="0"/>
        <w:adjustRightInd w:val="0"/>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备注栏，可填写该人员擅长的工种，附相关证件复印件加盖公章。</w:t>
      </w:r>
    </w:p>
    <w:p w14:paraId="64F0DDF2">
      <w:pPr>
        <w:shd w:val="clear" w:color="auto" w:fill="auto"/>
        <w:rPr>
          <w:rFonts w:hint="eastAsia" w:ascii="宋体" w:hAnsi="宋体" w:cs="宋体"/>
          <w:b w:val="0"/>
          <w:color w:val="auto"/>
          <w:sz w:val="21"/>
          <w:szCs w:val="21"/>
          <w:highlight w:val="none"/>
        </w:rPr>
      </w:pPr>
    </w:p>
    <w:p w14:paraId="6676E689">
      <w:pPr>
        <w:pStyle w:val="348"/>
        <w:snapToGrid w:val="0"/>
        <w:ind w:left="0" w:leftChars="0" w:firstLine="0" w:firstLineChars="0"/>
        <w:rPr>
          <w:rStyle w:val="349"/>
          <w:rFonts w:hint="eastAsia" w:ascii="宋体" w:hAnsi="宋体" w:eastAsia="宋体" w:cs="宋体"/>
          <w:b/>
          <w:bCs w:val="0"/>
          <w:color w:val="auto"/>
          <w:sz w:val="24"/>
          <w:szCs w:val="24"/>
          <w:highlight w:val="none"/>
          <w:lang w:eastAsia="zh-CN"/>
        </w:rPr>
      </w:pPr>
    </w:p>
    <w:p w14:paraId="6B0F2BE0">
      <w:pPr>
        <w:pStyle w:val="348"/>
        <w:snapToGrid w:val="0"/>
        <w:ind w:left="0" w:leftChars="0" w:firstLine="0" w:firstLineChars="0"/>
        <w:rPr>
          <w:rStyle w:val="349"/>
          <w:rFonts w:hint="eastAsia" w:ascii="宋体" w:hAnsi="宋体" w:eastAsia="宋体" w:cs="宋体"/>
          <w:b/>
          <w:bCs w:val="0"/>
          <w:color w:val="auto"/>
          <w:sz w:val="24"/>
          <w:szCs w:val="24"/>
          <w:highlight w:val="none"/>
          <w:lang w:eastAsia="zh-CN"/>
        </w:rPr>
      </w:pPr>
      <w:r>
        <w:rPr>
          <w:rStyle w:val="349"/>
          <w:rFonts w:hint="eastAsia" w:ascii="宋体" w:hAnsi="宋体" w:eastAsia="宋体" w:cs="宋体"/>
          <w:b/>
          <w:bCs w:val="0"/>
          <w:color w:val="auto"/>
          <w:sz w:val="24"/>
          <w:szCs w:val="24"/>
          <w:highlight w:val="none"/>
          <w:lang w:eastAsia="zh-CN"/>
        </w:rPr>
        <w:t>九、无重大违法记录声明格式</w:t>
      </w:r>
    </w:p>
    <w:p w14:paraId="4671DB3E">
      <w:pPr>
        <w:jc w:val="center"/>
        <w:rPr>
          <w:rFonts w:hint="eastAsia" w:ascii="宋体" w:hAnsi="宋体" w:eastAsia="宋体" w:cs="宋体"/>
          <w:b/>
          <w:bCs/>
          <w:color w:val="auto"/>
          <w:sz w:val="24"/>
          <w:szCs w:val="24"/>
          <w:highlight w:val="none"/>
          <w:lang w:val="zh-CN"/>
        </w:rPr>
      </w:pPr>
    </w:p>
    <w:p w14:paraId="5FA9095E">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无重大违法记录声明</w:t>
      </w:r>
    </w:p>
    <w:p w14:paraId="11996E49">
      <w:pPr>
        <w:spacing w:line="360" w:lineRule="auto"/>
        <w:jc w:val="left"/>
        <w:rPr>
          <w:rFonts w:hint="eastAsia" w:ascii="宋体" w:hAnsi="宋体" w:eastAsia="宋体" w:cs="宋体"/>
          <w:color w:val="auto"/>
          <w:spacing w:val="6"/>
          <w:sz w:val="24"/>
          <w:szCs w:val="24"/>
          <w:highlight w:val="none"/>
        </w:rPr>
      </w:pPr>
    </w:p>
    <w:p w14:paraId="085F7C83">
      <w:pPr>
        <w:spacing w:line="360" w:lineRule="auto"/>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pacing w:val="6"/>
          <w:sz w:val="24"/>
          <w:szCs w:val="24"/>
          <w:highlight w:val="none"/>
          <w:lang w:val="zh-CN" w:eastAsia="zh-CN"/>
        </w:rPr>
        <w:t>南京市江宁区市场监督管理局</w:t>
      </w:r>
      <w:r>
        <w:rPr>
          <w:rFonts w:hint="eastAsia" w:ascii="宋体" w:hAnsi="宋体" w:eastAsia="宋体" w:cs="宋体"/>
          <w:color w:val="auto"/>
          <w:spacing w:val="6"/>
          <w:sz w:val="24"/>
          <w:szCs w:val="24"/>
          <w:highlight w:val="none"/>
        </w:rPr>
        <w:t>：</w:t>
      </w:r>
      <w:bookmarkStart w:id="24" w:name="_GoBack"/>
      <w:bookmarkEnd w:id="24"/>
    </w:p>
    <w:p w14:paraId="5AAC00A4">
      <w:pPr>
        <w:spacing w:line="360" w:lineRule="auto"/>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我单位</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w:t>
      </w:r>
      <w:r>
        <w:rPr>
          <w:rFonts w:hint="eastAsia" w:ascii="宋体" w:hAnsi="宋体" w:cs="宋体"/>
          <w:color w:val="auto"/>
          <w:spacing w:val="6"/>
          <w:sz w:val="24"/>
          <w:szCs w:val="24"/>
          <w:highlight w:val="none"/>
          <w:lang w:eastAsia="zh-CN"/>
        </w:rPr>
        <w:t>投标人</w:t>
      </w:r>
      <w:r>
        <w:rPr>
          <w:rFonts w:hint="eastAsia" w:ascii="宋体" w:hAnsi="宋体" w:eastAsia="宋体" w:cs="宋体"/>
          <w:color w:val="auto"/>
          <w:spacing w:val="6"/>
          <w:sz w:val="24"/>
          <w:szCs w:val="24"/>
          <w:highlight w:val="none"/>
        </w:rPr>
        <w:t>名称）郑重声明：</w:t>
      </w:r>
    </w:p>
    <w:p w14:paraId="70879D7B">
      <w:pPr>
        <w:spacing w:line="360" w:lineRule="auto"/>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参加政府采购活动前3年内在经营活动中</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（在下划线上如实填写：有或没有）重大违法记录。</w:t>
      </w:r>
    </w:p>
    <w:p w14:paraId="1E95E4CB">
      <w:pPr>
        <w:spacing w:line="600" w:lineRule="exact"/>
        <w:jc w:val="lef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（说明：政府采购法第二十二条第一款第五项所称重大违法记录，是指</w:t>
      </w:r>
      <w:r>
        <w:rPr>
          <w:rFonts w:hint="eastAsia" w:ascii="宋体" w:hAnsi="宋体" w:cs="宋体"/>
          <w:color w:val="auto"/>
          <w:spacing w:val="6"/>
          <w:sz w:val="24"/>
          <w:szCs w:val="24"/>
          <w:highlight w:val="none"/>
          <w:lang w:eastAsia="zh-CN"/>
        </w:rPr>
        <w:t>投标人</w:t>
      </w:r>
      <w:r>
        <w:rPr>
          <w:rFonts w:hint="eastAsia" w:ascii="宋体" w:hAnsi="宋体" w:eastAsia="宋体" w:cs="宋体"/>
          <w:color w:val="auto"/>
          <w:spacing w:val="6"/>
          <w:sz w:val="24"/>
          <w:szCs w:val="24"/>
          <w:highlight w:val="none"/>
        </w:rPr>
        <w:t>因违法经营受到刑事处罚或者责令停产停业、吊销许可证或者执照、较大数额罚款等行政处罚。）</w:t>
      </w:r>
    </w:p>
    <w:p w14:paraId="3231C5A0">
      <w:pPr>
        <w:autoSpaceDE w:val="0"/>
        <w:autoSpaceDN w:val="0"/>
        <w:adjustRightInd w:val="0"/>
        <w:spacing w:line="600" w:lineRule="exact"/>
        <w:ind w:right="444"/>
        <w:jc w:val="left"/>
        <w:rPr>
          <w:rFonts w:hint="eastAsia" w:ascii="宋体" w:hAnsi="宋体" w:eastAsia="宋体" w:cs="宋体"/>
          <w:color w:val="auto"/>
          <w:sz w:val="24"/>
          <w:szCs w:val="24"/>
          <w:highlight w:val="none"/>
          <w:lang w:val="zh-CN"/>
        </w:rPr>
      </w:pPr>
      <w:r>
        <w:rPr>
          <w:rFonts w:hint="eastAsia" w:ascii="宋体" w:hAnsi="宋体" w:eastAsia="宋体" w:cs="宋体"/>
          <w:color w:val="auto"/>
          <w:spacing w:val="6"/>
          <w:sz w:val="24"/>
          <w:szCs w:val="24"/>
          <w:highlight w:val="none"/>
        </w:rPr>
        <w:t xml:space="preserve">                                                 </w:t>
      </w: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 xml:space="preserve">（盖章）：            </w:t>
      </w:r>
    </w:p>
    <w:p w14:paraId="69F4D1A6">
      <w:pPr>
        <w:autoSpaceDE w:val="0"/>
        <w:autoSpaceDN w:val="0"/>
        <w:adjustRightInd w:val="0"/>
        <w:spacing w:line="600" w:lineRule="exact"/>
        <w:ind w:right="480" w:firstLine="6600" w:firstLineChars="275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w:t>
      </w:r>
    </w:p>
    <w:p w14:paraId="4B863C1D">
      <w:pPr>
        <w:autoSpaceDE w:val="0"/>
        <w:autoSpaceDN w:val="0"/>
        <w:adjustRightInd w:val="0"/>
        <w:spacing w:line="600" w:lineRule="exact"/>
        <w:jc w:val="righ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日    期：    年    月   日</w:t>
      </w:r>
    </w:p>
    <w:p w14:paraId="3D506727">
      <w:pPr>
        <w:shd w:val="clear" w:color="auto" w:fill="auto"/>
        <w:rPr>
          <w:rStyle w:val="349"/>
          <w:rFonts w:hint="eastAsia" w:ascii="宋体" w:hAnsi="宋体" w:cs="宋体"/>
          <w:bCs/>
          <w:color w:val="auto"/>
          <w:kern w:val="0"/>
          <w:szCs w:val="21"/>
          <w:highlight w:val="none"/>
        </w:rPr>
      </w:pPr>
    </w:p>
    <w:p w14:paraId="2D444C5A">
      <w:pPr>
        <w:shd w:val="clear" w:color="auto" w:fill="auto"/>
        <w:rPr>
          <w:rStyle w:val="349"/>
          <w:rFonts w:hint="eastAsia" w:ascii="宋体" w:hAnsi="宋体" w:cs="宋体"/>
          <w:bCs/>
          <w:color w:val="auto"/>
          <w:kern w:val="0"/>
          <w:szCs w:val="21"/>
          <w:highlight w:val="none"/>
        </w:rPr>
      </w:pPr>
    </w:p>
    <w:p w14:paraId="7CAE6DDD">
      <w:pPr>
        <w:shd w:val="clear" w:color="auto" w:fill="auto"/>
        <w:rPr>
          <w:rStyle w:val="349"/>
          <w:rFonts w:hint="eastAsia" w:ascii="宋体" w:hAnsi="宋体" w:cs="宋体"/>
          <w:bCs/>
          <w:color w:val="auto"/>
          <w:kern w:val="0"/>
          <w:szCs w:val="21"/>
          <w:highlight w:val="none"/>
        </w:rPr>
      </w:pPr>
    </w:p>
    <w:p w14:paraId="087A5B22">
      <w:pPr>
        <w:shd w:val="clear" w:color="auto" w:fill="auto"/>
        <w:rPr>
          <w:rStyle w:val="349"/>
          <w:rFonts w:hint="eastAsia" w:ascii="宋体" w:hAnsi="宋体" w:cs="宋体"/>
          <w:bCs/>
          <w:color w:val="auto"/>
          <w:kern w:val="0"/>
          <w:szCs w:val="21"/>
          <w:highlight w:val="none"/>
        </w:rPr>
      </w:pPr>
    </w:p>
    <w:p w14:paraId="56B0103A">
      <w:pPr>
        <w:shd w:val="clear" w:color="auto" w:fill="auto"/>
        <w:rPr>
          <w:rStyle w:val="349"/>
          <w:rFonts w:hint="eastAsia" w:ascii="宋体" w:hAnsi="宋体" w:cs="宋体"/>
          <w:bCs/>
          <w:color w:val="auto"/>
          <w:kern w:val="0"/>
          <w:szCs w:val="21"/>
          <w:highlight w:val="none"/>
        </w:rPr>
      </w:pPr>
    </w:p>
    <w:p w14:paraId="7ABCFD30">
      <w:pPr>
        <w:shd w:val="clear" w:color="auto" w:fill="auto"/>
        <w:rPr>
          <w:rStyle w:val="349"/>
          <w:rFonts w:hint="eastAsia" w:ascii="宋体" w:hAnsi="宋体" w:cs="宋体"/>
          <w:bCs/>
          <w:color w:val="auto"/>
          <w:kern w:val="0"/>
          <w:szCs w:val="21"/>
          <w:highlight w:val="none"/>
        </w:rPr>
      </w:pPr>
    </w:p>
    <w:p w14:paraId="19589374">
      <w:pPr>
        <w:shd w:val="clear" w:color="auto" w:fill="auto"/>
        <w:rPr>
          <w:rStyle w:val="349"/>
          <w:rFonts w:hint="eastAsia" w:ascii="宋体" w:hAnsi="宋体" w:cs="宋体"/>
          <w:bCs/>
          <w:color w:val="auto"/>
          <w:kern w:val="0"/>
          <w:szCs w:val="21"/>
          <w:highlight w:val="none"/>
        </w:rPr>
      </w:pPr>
    </w:p>
    <w:p w14:paraId="25FBFDD7">
      <w:pPr>
        <w:shd w:val="clear" w:color="auto" w:fill="auto"/>
        <w:rPr>
          <w:rStyle w:val="349"/>
          <w:rFonts w:hint="eastAsia" w:ascii="宋体" w:hAnsi="宋体" w:cs="宋体"/>
          <w:bCs/>
          <w:color w:val="auto"/>
          <w:kern w:val="0"/>
          <w:szCs w:val="21"/>
          <w:highlight w:val="none"/>
        </w:rPr>
      </w:pPr>
    </w:p>
    <w:p w14:paraId="60E6B43B">
      <w:pPr>
        <w:pStyle w:val="348"/>
        <w:snapToGrid w:val="0"/>
        <w:ind w:left="0" w:leftChars="0" w:firstLine="0" w:firstLineChars="0"/>
        <w:rPr>
          <w:rStyle w:val="349"/>
          <w:rFonts w:hint="eastAsia" w:ascii="宋体" w:hAnsi="宋体" w:eastAsia="宋体" w:cs="宋体"/>
          <w:b/>
          <w:bCs w:val="0"/>
          <w:color w:val="auto"/>
          <w:sz w:val="24"/>
          <w:szCs w:val="24"/>
          <w:highlight w:val="none"/>
          <w:lang w:val="zh-CN" w:eastAsia="zh-CN" w:bidi="ar-SA"/>
        </w:rPr>
      </w:pPr>
      <w:r>
        <w:rPr>
          <w:rStyle w:val="349"/>
          <w:rFonts w:hint="eastAsia" w:ascii="宋体" w:hAnsi="宋体" w:eastAsia="宋体" w:cs="宋体"/>
          <w:b/>
          <w:bCs w:val="0"/>
          <w:color w:val="auto"/>
          <w:sz w:val="24"/>
          <w:szCs w:val="24"/>
          <w:highlight w:val="none"/>
          <w:lang w:val="en-US" w:eastAsia="zh-CN" w:bidi="ar-SA"/>
        </w:rPr>
        <w:t>十</w:t>
      </w:r>
      <w:r>
        <w:rPr>
          <w:rStyle w:val="349"/>
          <w:rFonts w:hint="eastAsia" w:ascii="宋体" w:hAnsi="宋体" w:eastAsia="宋体" w:cs="宋体"/>
          <w:b/>
          <w:bCs w:val="0"/>
          <w:color w:val="auto"/>
          <w:sz w:val="24"/>
          <w:szCs w:val="24"/>
          <w:highlight w:val="none"/>
          <w:lang w:val="zh-CN" w:eastAsia="zh-CN" w:bidi="ar-SA"/>
        </w:rPr>
        <w:t>、具备履行合同所必需的设备和专业技术能力的书面声明</w:t>
      </w:r>
    </w:p>
    <w:p w14:paraId="02E49F10">
      <w:pPr>
        <w:spacing w:line="360" w:lineRule="auto"/>
        <w:ind w:firstLine="504" w:firstLineChars="200"/>
        <w:jc w:val="left"/>
        <w:rPr>
          <w:rFonts w:hint="eastAsia" w:ascii="宋体" w:hAnsi="宋体" w:eastAsia="宋体" w:cs="宋体"/>
          <w:color w:val="auto"/>
          <w:spacing w:val="6"/>
          <w:sz w:val="24"/>
          <w:szCs w:val="24"/>
          <w:highlight w:val="none"/>
        </w:rPr>
      </w:pPr>
    </w:p>
    <w:p w14:paraId="596E5FF4">
      <w:pPr>
        <w:keepNext w:val="0"/>
        <w:keepLines w:val="0"/>
        <w:pageBreakBefore w:val="0"/>
        <w:widowControl/>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我单位郑重声明：我单位具备履行本项采购合同所必需的设备和专业技术能力，为履行本项采购合同我公司具备如下主要设备和主要专业技术能力：</w:t>
      </w:r>
    </w:p>
    <w:p w14:paraId="59A544D0">
      <w:pPr>
        <w:keepNext w:val="0"/>
        <w:keepLines w:val="0"/>
        <w:pageBreakBefore w:val="0"/>
        <w:widowControl/>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主要设备有：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5CBED493">
      <w:pPr>
        <w:keepNext w:val="0"/>
        <w:keepLines w:val="0"/>
        <w:pageBreakBefore w:val="0"/>
        <w:widowControl/>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主要专业技术能力有：</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w:t>
      </w:r>
    </w:p>
    <w:p w14:paraId="5A51349E">
      <w:pPr>
        <w:keepNext w:val="0"/>
        <w:keepLines w:val="0"/>
        <w:pageBreakBefore w:val="0"/>
        <w:widowControl/>
        <w:kinsoku/>
        <w:wordWrap/>
        <w:overflowPunct/>
        <w:topLinePunct w:val="0"/>
        <w:autoSpaceDE w:val="0"/>
        <w:autoSpaceDN w:val="0"/>
        <w:bidi w:val="0"/>
        <w:adjustRightInd w:val="0"/>
        <w:snapToGrid/>
        <w:spacing w:line="360" w:lineRule="auto"/>
        <w:jc w:val="left"/>
        <w:textAlignment w:val="baseline"/>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w:t>
      </w:r>
    </w:p>
    <w:p w14:paraId="3E954A38">
      <w:pPr>
        <w:autoSpaceDE w:val="0"/>
        <w:autoSpaceDN w:val="0"/>
        <w:adjustRightInd w:val="0"/>
        <w:spacing w:line="600" w:lineRule="exact"/>
        <w:ind w:right="444" w:firstLine="6960" w:firstLineChars="2900"/>
        <w:jc w:val="lef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 xml:space="preserve">（盖章）：            </w:t>
      </w:r>
    </w:p>
    <w:p w14:paraId="7A2DB89C">
      <w:pPr>
        <w:autoSpaceDE w:val="0"/>
        <w:autoSpaceDN w:val="0"/>
        <w:adjustRightInd w:val="0"/>
        <w:snapToGrid w:val="0"/>
        <w:spacing w:line="600" w:lineRule="exact"/>
        <w:ind w:right="42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授权代表签字：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            </w:t>
      </w:r>
    </w:p>
    <w:p w14:paraId="6094A584">
      <w:pPr>
        <w:autoSpaceDE w:val="0"/>
        <w:autoSpaceDN w:val="0"/>
        <w:adjustRightInd w:val="0"/>
        <w:snapToGrid w:val="0"/>
        <w:spacing w:line="600" w:lineRule="exact"/>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日    期：    年    月   日</w:t>
      </w:r>
    </w:p>
    <w:p w14:paraId="2CA7181E">
      <w:pPr>
        <w:pStyle w:val="348"/>
        <w:snapToGrid w:val="0"/>
        <w:ind w:left="0" w:leftChars="0" w:firstLine="0" w:firstLineChars="0"/>
        <w:rPr>
          <w:rStyle w:val="349"/>
          <w:rFonts w:hint="eastAsia" w:ascii="宋体" w:hAnsi="宋体" w:eastAsia="宋体" w:cs="宋体"/>
          <w:b/>
          <w:bCs w:val="0"/>
          <w:color w:val="auto"/>
          <w:sz w:val="24"/>
          <w:szCs w:val="24"/>
          <w:highlight w:val="none"/>
          <w:lang w:val="en-US" w:eastAsia="zh-CN" w:bidi="ar-SA"/>
        </w:rPr>
      </w:pPr>
    </w:p>
    <w:p w14:paraId="7D65BF62">
      <w:pPr>
        <w:rPr>
          <w:color w:val="auto"/>
          <w:highlight w:val="none"/>
        </w:rPr>
      </w:pPr>
    </w:p>
    <w:p w14:paraId="0AB76F63">
      <w:pPr>
        <w:rPr>
          <w:color w:val="auto"/>
          <w:highlight w:val="none"/>
        </w:rPr>
      </w:pPr>
    </w:p>
    <w:p w14:paraId="411A4256">
      <w:pPr>
        <w:rPr>
          <w:color w:val="auto"/>
          <w:highlight w:val="none"/>
        </w:rPr>
      </w:pPr>
    </w:p>
    <w:p w14:paraId="23FAF9D4">
      <w:pPr>
        <w:rPr>
          <w:color w:val="auto"/>
          <w:highlight w:val="none"/>
        </w:rPr>
      </w:pPr>
    </w:p>
    <w:p w14:paraId="7D2CACAB">
      <w:pPr>
        <w:rPr>
          <w:color w:val="auto"/>
          <w:highlight w:val="none"/>
        </w:rPr>
      </w:pPr>
    </w:p>
    <w:p w14:paraId="425031D7">
      <w:pPr>
        <w:rPr>
          <w:color w:val="auto"/>
          <w:highlight w:val="none"/>
        </w:rPr>
      </w:pPr>
    </w:p>
    <w:p w14:paraId="31BC6BE1">
      <w:pPr>
        <w:rPr>
          <w:color w:val="auto"/>
          <w:highlight w:val="none"/>
        </w:rPr>
      </w:pPr>
    </w:p>
    <w:p w14:paraId="264CF250">
      <w:pPr>
        <w:rPr>
          <w:color w:val="auto"/>
          <w:highlight w:val="none"/>
        </w:rPr>
      </w:pPr>
    </w:p>
    <w:p w14:paraId="52A65EC5">
      <w:pPr>
        <w:pStyle w:val="39"/>
        <w:ind w:left="0" w:leftChars="0" w:firstLine="0" w:firstLineChars="0"/>
        <w:rPr>
          <w:color w:val="auto"/>
          <w:highlight w:val="none"/>
        </w:rPr>
      </w:pPr>
    </w:p>
    <w:p w14:paraId="2B6A8F0E">
      <w:pPr>
        <w:pStyle w:val="348"/>
        <w:snapToGrid w:val="0"/>
        <w:ind w:left="0" w:leftChars="0" w:firstLine="0" w:firstLineChars="0"/>
        <w:rPr>
          <w:rStyle w:val="349"/>
          <w:rFonts w:hint="eastAsia" w:ascii="宋体" w:hAnsi="宋体" w:eastAsia="宋体" w:cs="宋体"/>
          <w:b/>
          <w:bCs w:val="0"/>
          <w:color w:val="auto"/>
          <w:sz w:val="24"/>
          <w:szCs w:val="24"/>
          <w:highlight w:val="none"/>
          <w:lang w:val="en-US" w:eastAsia="zh-CN" w:bidi="ar-SA"/>
        </w:rPr>
      </w:pPr>
    </w:p>
    <w:p w14:paraId="385AC52E">
      <w:pPr>
        <w:pStyle w:val="348"/>
        <w:snapToGrid w:val="0"/>
        <w:ind w:left="0" w:leftChars="0" w:firstLine="0" w:firstLineChars="0"/>
        <w:rPr>
          <w:rStyle w:val="349"/>
          <w:rFonts w:hint="eastAsia" w:ascii="宋体" w:hAnsi="宋体" w:eastAsia="宋体" w:cs="宋体"/>
          <w:b/>
          <w:bCs w:val="0"/>
          <w:color w:val="auto"/>
          <w:sz w:val="24"/>
          <w:szCs w:val="24"/>
          <w:highlight w:val="none"/>
          <w:lang w:val="en-US" w:eastAsia="zh-CN" w:bidi="ar-SA"/>
        </w:rPr>
      </w:pPr>
      <w:r>
        <w:rPr>
          <w:rStyle w:val="349"/>
          <w:rFonts w:hint="eastAsia" w:ascii="宋体" w:hAnsi="宋体" w:eastAsia="宋体" w:cs="宋体"/>
          <w:b/>
          <w:bCs w:val="0"/>
          <w:color w:val="auto"/>
          <w:sz w:val="24"/>
          <w:szCs w:val="24"/>
          <w:highlight w:val="none"/>
          <w:lang w:val="en-US" w:eastAsia="zh-CN" w:bidi="ar-SA"/>
        </w:rPr>
        <w:t>十一、质量保证及服务</w:t>
      </w:r>
    </w:p>
    <w:p w14:paraId="2D833FA5">
      <w:pPr>
        <w:autoSpaceDE w:val="0"/>
        <w:autoSpaceDN w:val="0"/>
        <w:adjustRightInd w:val="0"/>
        <w:spacing w:line="460" w:lineRule="exact"/>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质量保证及服务承</w:t>
      </w:r>
      <w:r>
        <w:rPr>
          <w:rFonts w:hint="eastAsia" w:ascii="宋体" w:hAnsi="宋体" w:eastAsia="宋体" w:cs="宋体"/>
          <w:b/>
          <w:bCs/>
          <w:color w:val="auto"/>
          <w:sz w:val="24"/>
          <w:szCs w:val="24"/>
          <w:highlight w:val="none"/>
          <w:lang w:val="zh-CN"/>
        </w:rPr>
        <w:t>诺</w:t>
      </w:r>
    </w:p>
    <w:p w14:paraId="10F5494E">
      <w:pPr>
        <w:autoSpaceDE w:val="0"/>
        <w:autoSpaceDN w:val="0"/>
        <w:adjustRightInd w:val="0"/>
        <w:jc w:val="left"/>
        <w:rPr>
          <w:rFonts w:hint="eastAsia" w:ascii="宋体" w:hAnsi="宋体" w:eastAsia="宋体" w:cs="宋体"/>
          <w:color w:val="auto"/>
          <w:sz w:val="24"/>
          <w:szCs w:val="24"/>
          <w:highlight w:val="none"/>
        </w:rPr>
      </w:pPr>
    </w:p>
    <w:p w14:paraId="1F2D7A6D">
      <w:pPr>
        <w:autoSpaceDE w:val="0"/>
        <w:autoSpaceDN w:val="0"/>
        <w:adjustRightInd w:val="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ab/>
      </w:r>
      <w:r>
        <w:rPr>
          <w:rFonts w:hint="eastAsia" w:ascii="宋体" w:hAnsi="宋体" w:eastAsia="宋体" w:cs="宋体"/>
          <w:color w:val="auto"/>
          <w:sz w:val="24"/>
          <w:szCs w:val="24"/>
          <w:highlight w:val="none"/>
          <w:lang w:val="zh-CN"/>
        </w:rPr>
        <w:t>我公司就项目编号为“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；（采购包号）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质量保证及服务承诺如下：</w:t>
      </w:r>
    </w:p>
    <w:p w14:paraId="0792C7A8">
      <w:pPr>
        <w:autoSpaceDE w:val="0"/>
        <w:autoSpaceDN w:val="0"/>
        <w:adjustRightInd w:val="0"/>
        <w:ind w:firstLine="360"/>
        <w:jc w:val="left"/>
        <w:rPr>
          <w:rFonts w:hint="eastAsia" w:ascii="宋体" w:hAnsi="宋体" w:eastAsia="宋体" w:cs="宋体"/>
          <w:color w:val="auto"/>
          <w:sz w:val="24"/>
          <w:szCs w:val="24"/>
          <w:highlight w:val="none"/>
          <w:lang w:val="zh-CN"/>
        </w:rPr>
      </w:pPr>
    </w:p>
    <w:p w14:paraId="45608FFA">
      <w:pPr>
        <w:autoSpaceDE w:val="0"/>
        <w:autoSpaceDN w:val="0"/>
        <w:adjustRightInd w:val="0"/>
        <w:ind w:firstLine="36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lang w:val="zh-CN"/>
        </w:rPr>
        <w:t>投标人</w:t>
      </w:r>
      <w:r>
        <w:rPr>
          <w:rFonts w:hint="eastAsia" w:ascii="宋体" w:hAnsi="宋体" w:eastAsia="宋体" w:cs="宋体"/>
          <w:color w:val="auto"/>
          <w:sz w:val="24"/>
          <w:szCs w:val="24"/>
          <w:highlight w:val="none"/>
          <w:lang w:val="zh-CN"/>
        </w:rPr>
        <w:t>自拟）</w:t>
      </w:r>
    </w:p>
    <w:p w14:paraId="5F826ECB">
      <w:pPr>
        <w:autoSpaceDE w:val="0"/>
        <w:autoSpaceDN w:val="0"/>
        <w:adjustRightInd w:val="0"/>
        <w:ind w:firstLine="360"/>
        <w:jc w:val="left"/>
        <w:rPr>
          <w:rFonts w:hint="eastAsia" w:ascii="宋体" w:hAnsi="宋体" w:eastAsia="宋体" w:cs="宋体"/>
          <w:color w:val="auto"/>
          <w:sz w:val="24"/>
          <w:szCs w:val="24"/>
          <w:highlight w:val="none"/>
          <w:lang w:val="zh-CN"/>
        </w:rPr>
      </w:pPr>
    </w:p>
    <w:p w14:paraId="7BDC5699">
      <w:pPr>
        <w:autoSpaceDE w:val="0"/>
        <w:autoSpaceDN w:val="0"/>
        <w:adjustRightInd w:val="0"/>
        <w:spacing w:line="600" w:lineRule="exact"/>
        <w:jc w:val="righ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 xml:space="preserve">（盖章）：            </w:t>
      </w:r>
    </w:p>
    <w:p w14:paraId="022005E0">
      <w:pPr>
        <w:autoSpaceDE w:val="0"/>
        <w:autoSpaceDN w:val="0"/>
        <w:adjustRightInd w:val="0"/>
        <w:spacing w:line="600" w:lineRule="exact"/>
        <w:jc w:val="center"/>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授权代表签字：             </w:t>
      </w:r>
    </w:p>
    <w:p w14:paraId="31DF97C5">
      <w:pPr>
        <w:autoSpaceDE w:val="0"/>
        <w:autoSpaceDN w:val="0"/>
        <w:adjustRightInd w:val="0"/>
        <w:spacing w:line="600" w:lineRule="exact"/>
        <w:jc w:val="righ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    年    月   日</w:t>
      </w:r>
    </w:p>
    <w:p w14:paraId="4C767F56">
      <w:pPr>
        <w:rPr>
          <w:color w:val="auto"/>
          <w:highlight w:val="none"/>
        </w:rPr>
      </w:pPr>
    </w:p>
    <w:p w14:paraId="6BF6D8AE">
      <w:pPr>
        <w:rPr>
          <w:color w:val="auto"/>
          <w:highlight w:val="none"/>
        </w:rPr>
      </w:pPr>
    </w:p>
    <w:p w14:paraId="4CB3BBAD">
      <w:pPr>
        <w:rPr>
          <w:color w:val="auto"/>
          <w:highlight w:val="none"/>
        </w:rPr>
      </w:pPr>
    </w:p>
    <w:p w14:paraId="3D41FA73">
      <w:pPr>
        <w:rPr>
          <w:color w:val="auto"/>
          <w:highlight w:val="none"/>
        </w:rPr>
      </w:pPr>
    </w:p>
    <w:p w14:paraId="5D17A8A4">
      <w:pPr>
        <w:rPr>
          <w:color w:val="auto"/>
          <w:highlight w:val="none"/>
        </w:rPr>
      </w:pPr>
    </w:p>
    <w:p w14:paraId="0473E7B5">
      <w:pPr>
        <w:rPr>
          <w:color w:val="auto"/>
          <w:highlight w:val="none"/>
        </w:rPr>
      </w:pPr>
    </w:p>
    <w:p w14:paraId="1181A35B">
      <w:pPr>
        <w:rPr>
          <w:color w:val="auto"/>
          <w:highlight w:val="none"/>
        </w:rPr>
      </w:pPr>
    </w:p>
    <w:p w14:paraId="614B9C11">
      <w:pPr>
        <w:rPr>
          <w:color w:val="auto"/>
          <w:highlight w:val="none"/>
        </w:rPr>
      </w:pPr>
    </w:p>
    <w:p w14:paraId="41E7E50F">
      <w:pPr>
        <w:rPr>
          <w:color w:val="auto"/>
          <w:highlight w:val="none"/>
        </w:rPr>
      </w:pPr>
    </w:p>
    <w:p w14:paraId="2D274907">
      <w:pPr>
        <w:rPr>
          <w:color w:val="auto"/>
          <w:highlight w:val="none"/>
        </w:rPr>
      </w:pPr>
    </w:p>
    <w:p w14:paraId="7878A81C">
      <w:pPr>
        <w:pStyle w:val="39"/>
        <w:rPr>
          <w:color w:val="auto"/>
          <w:highlight w:val="none"/>
        </w:rPr>
      </w:pPr>
    </w:p>
    <w:p w14:paraId="3591C8B5">
      <w:pPr>
        <w:pStyle w:val="39"/>
        <w:rPr>
          <w:color w:val="auto"/>
          <w:highlight w:val="none"/>
        </w:rPr>
      </w:pPr>
    </w:p>
    <w:p w14:paraId="2ADD1174">
      <w:pPr>
        <w:rPr>
          <w:color w:val="auto"/>
          <w:highlight w:val="none"/>
        </w:rPr>
      </w:pPr>
    </w:p>
    <w:p w14:paraId="370C53F6">
      <w:pPr>
        <w:jc w:val="left"/>
        <w:outlineLvl w:val="1"/>
        <w:rPr>
          <w:rFonts w:hint="eastAsia" w:ascii="宋体" w:hAnsi="宋体" w:eastAsia="宋体" w:cs="宋体"/>
          <w:b/>
          <w:bCs/>
          <w:color w:val="auto"/>
          <w:sz w:val="24"/>
          <w:szCs w:val="24"/>
          <w:highlight w:val="none"/>
          <w:lang w:val="zh-CN"/>
        </w:rPr>
      </w:pPr>
      <w:r>
        <w:rPr>
          <w:rStyle w:val="349"/>
          <w:rFonts w:hint="eastAsia" w:ascii="宋体" w:hAnsi="宋体" w:eastAsia="宋体" w:cs="宋体"/>
          <w:b/>
          <w:bCs w:val="0"/>
          <w:color w:val="auto"/>
          <w:sz w:val="24"/>
          <w:szCs w:val="24"/>
          <w:highlight w:val="none"/>
          <w:lang w:val="en-US" w:eastAsia="zh-CN" w:bidi="ar-SA"/>
        </w:rPr>
        <w:t>十二、中小企业声明函</w:t>
      </w:r>
    </w:p>
    <w:p w14:paraId="396904E6">
      <w:pPr>
        <w:autoSpaceDE w:val="0"/>
        <w:autoSpaceDN w:val="0"/>
        <w:adjustRightInd w:val="0"/>
        <w:spacing w:line="460" w:lineRule="exact"/>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zh-CN"/>
        </w:rPr>
        <w:t>中小企业声明函</w:t>
      </w:r>
    </w:p>
    <w:p w14:paraId="6F4FC1F3">
      <w:pPr>
        <w:spacing w:line="360" w:lineRule="auto"/>
        <w:ind w:firstLine="420"/>
        <w:rPr>
          <w:rFonts w:hint="eastAsia" w:ascii="宋体" w:hAnsi="宋体" w:eastAsia="宋体" w:cs="宋体"/>
          <w:color w:val="auto"/>
          <w:sz w:val="24"/>
          <w:szCs w:val="24"/>
          <w:highlight w:val="none"/>
        </w:rPr>
      </w:pPr>
    </w:p>
    <w:p w14:paraId="33AB8A80">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cs="宋体"/>
          <w:color w:val="auto"/>
          <w:sz w:val="24"/>
          <w:szCs w:val="24"/>
          <w:highlight w:val="none"/>
          <w:u w:val="single"/>
          <w:lang w:eastAsia="zh-CN"/>
        </w:rPr>
        <w:t>；</w:t>
      </w:r>
      <w:r>
        <w:rPr>
          <w:rFonts w:hint="eastAsia" w:ascii="宋体" w:hAnsi="宋体" w:cs="宋体"/>
          <w:color w:val="auto"/>
          <w:sz w:val="24"/>
          <w:szCs w:val="24"/>
          <w:highlight w:val="none"/>
          <w:u w:val="single"/>
          <w:lang w:val="en-US" w:eastAsia="zh-CN"/>
        </w:rPr>
        <w:t>（采购包号）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C99E241">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  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B647A6C">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  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p>
    <w:p w14:paraId="214FA45A">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BCB2C6D">
      <w:pPr>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54826D64">
      <w:pPr>
        <w:spacing w:line="360" w:lineRule="auto"/>
        <w:ind w:firstLine="42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本企业对上述声明内容的真实性负责。如有虚假，将依法承担相应责任。</w:t>
      </w:r>
    </w:p>
    <w:p w14:paraId="2310097E">
      <w:pPr>
        <w:autoSpaceDE w:val="0"/>
        <w:autoSpaceDN w:val="0"/>
        <w:adjustRightInd w:val="0"/>
        <w:spacing w:line="600" w:lineRule="exact"/>
        <w:jc w:val="righ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（盖章）：</w:t>
      </w:r>
    </w:p>
    <w:p w14:paraId="3A4843B9">
      <w:pPr>
        <w:autoSpaceDE w:val="0"/>
        <w:autoSpaceDN w:val="0"/>
        <w:adjustRightInd w:val="0"/>
        <w:spacing w:line="600" w:lineRule="exact"/>
        <w:jc w:val="center"/>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授权代表签字：</w:t>
      </w:r>
    </w:p>
    <w:p w14:paraId="0F8A20E0">
      <w:pPr>
        <w:autoSpaceDE w:val="0"/>
        <w:autoSpaceDN w:val="0"/>
        <w:adjustRightInd w:val="0"/>
        <w:spacing w:line="600" w:lineRule="exact"/>
        <w:jc w:val="righ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日    期：    年    月   日</w:t>
      </w:r>
    </w:p>
    <w:p w14:paraId="26D2BA0F">
      <w:pPr>
        <w:spacing w:line="360" w:lineRule="auto"/>
        <w:rPr>
          <w:rStyle w:val="349"/>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color w:val="auto"/>
          <w:sz w:val="24"/>
          <w:szCs w:val="24"/>
          <w:highlight w:val="none"/>
        </w:rPr>
        <w:t>从业人员、营业收入、资产总额填报上一年度数据，无上一年度数据的新成立企业可不填报。请投标人根据实际情况如实填写。</w:t>
      </w:r>
    </w:p>
    <w:p w14:paraId="661F5DDC">
      <w:pPr>
        <w:jc w:val="left"/>
        <w:outlineLvl w:val="1"/>
        <w:rPr>
          <w:rFonts w:hint="eastAsia" w:ascii="宋体" w:hAnsi="宋体" w:eastAsia="宋体" w:cs="宋体"/>
          <w:b/>
          <w:color w:val="auto"/>
          <w:sz w:val="24"/>
          <w:szCs w:val="24"/>
          <w:highlight w:val="none"/>
        </w:rPr>
      </w:pPr>
      <w:r>
        <w:rPr>
          <w:rStyle w:val="349"/>
          <w:rFonts w:hint="eastAsia" w:ascii="宋体" w:hAnsi="宋体" w:eastAsia="宋体" w:cs="宋体"/>
          <w:b/>
          <w:bCs w:val="0"/>
          <w:color w:val="auto"/>
          <w:sz w:val="24"/>
          <w:szCs w:val="24"/>
          <w:highlight w:val="none"/>
          <w:lang w:val="en-US" w:eastAsia="zh-CN" w:bidi="ar-SA"/>
        </w:rPr>
        <w:t>十三、残疾人福利性单位声明函</w:t>
      </w:r>
    </w:p>
    <w:p w14:paraId="0C2E30CB">
      <w:pPr>
        <w:widowControl/>
        <w:ind w:firstLine="482" w:firstLineChars="200"/>
        <w:jc w:val="center"/>
        <w:rPr>
          <w:rFonts w:hint="eastAsia" w:ascii="宋体" w:hAnsi="宋体" w:eastAsia="宋体" w:cs="宋体"/>
          <w:b/>
          <w:bCs/>
          <w:color w:val="auto"/>
          <w:sz w:val="24"/>
          <w:szCs w:val="24"/>
          <w:highlight w:val="none"/>
        </w:rPr>
      </w:pPr>
    </w:p>
    <w:p w14:paraId="301317BD">
      <w:pPr>
        <w:autoSpaceDE w:val="0"/>
        <w:autoSpaceDN w:val="0"/>
        <w:adjustRightInd w:val="0"/>
        <w:spacing w:line="460" w:lineRule="exact"/>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残疾人福利性单位声明函</w:t>
      </w:r>
    </w:p>
    <w:p w14:paraId="18991082">
      <w:pPr>
        <w:ind w:firstLine="504" w:firstLineChars="200"/>
        <w:jc w:val="left"/>
        <w:rPr>
          <w:rFonts w:hint="eastAsia" w:ascii="宋体" w:hAnsi="宋体" w:eastAsia="宋体" w:cs="宋体"/>
          <w:color w:val="auto"/>
          <w:spacing w:val="6"/>
          <w:sz w:val="24"/>
          <w:szCs w:val="24"/>
          <w:highlight w:val="none"/>
          <w:lang w:val="zh-CN"/>
        </w:rPr>
      </w:pPr>
    </w:p>
    <w:p w14:paraId="0F8DF1FC">
      <w:pPr>
        <w:keepNext w:val="0"/>
        <w:keepLines w:val="0"/>
        <w:pageBreakBefore w:val="0"/>
        <w:widowControl/>
        <w:kinsoku/>
        <w:wordWrap/>
        <w:overflowPunct/>
        <w:topLinePunct w:val="0"/>
        <w:autoSpaceDE/>
        <w:autoSpaceDN/>
        <w:bidi w:val="0"/>
        <w:adjustRightInd/>
        <w:snapToGrid/>
        <w:spacing w:line="360" w:lineRule="auto"/>
        <w:ind w:firstLine="504" w:firstLineChars="200"/>
        <w:jc w:val="left"/>
        <w:textAlignment w:val="baseline"/>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 xml:space="preserve">本单位郑重声明，根据《财政部 民政部 中国残疾人联合会关于促进残疾人就业政府采购政策的通知》（财库〔2017〕 141号）的规定，本单位为 </w:t>
      </w:r>
      <w:r>
        <w:rPr>
          <w:rFonts w:hint="eastAsia" w:ascii="宋体" w:hAnsi="宋体" w:eastAsia="宋体" w:cs="宋体"/>
          <w:color w:val="auto"/>
          <w:spacing w:val="6"/>
          <w:sz w:val="24"/>
          <w:szCs w:val="24"/>
          <w:highlight w:val="none"/>
          <w:u w:val="single"/>
          <w:lang w:val="zh-CN"/>
        </w:rPr>
        <w:t xml:space="preserve">    （符合/不符合）   </w:t>
      </w:r>
      <w:r>
        <w:rPr>
          <w:rFonts w:hint="eastAsia" w:ascii="宋体" w:hAnsi="宋体" w:eastAsia="宋体" w:cs="宋体"/>
          <w:color w:val="auto"/>
          <w:spacing w:val="6"/>
          <w:sz w:val="24"/>
          <w:szCs w:val="24"/>
          <w:highlight w:val="none"/>
          <w:lang w:val="zh-CN"/>
        </w:rPr>
        <w:t>条件的残疾人福利性单位，且本单位参加______单位的</w:t>
      </w:r>
      <w:r>
        <w:rPr>
          <w:rFonts w:hint="eastAsia" w:ascii="宋体" w:hAnsi="宋体" w:eastAsia="宋体" w:cs="宋体"/>
          <w:color w:val="auto"/>
          <w:spacing w:val="6"/>
          <w:sz w:val="24"/>
          <w:szCs w:val="24"/>
          <w:highlight w:val="none"/>
          <w:u w:val="single"/>
          <w:lang w:val="zh-CN"/>
        </w:rPr>
        <w:t>（</w:t>
      </w:r>
      <w:r>
        <w:rPr>
          <w:rFonts w:hint="eastAsia" w:ascii="宋体" w:hAnsi="宋体" w:eastAsia="宋体" w:cs="宋体"/>
          <w:color w:val="auto"/>
          <w:spacing w:val="6"/>
          <w:sz w:val="24"/>
          <w:szCs w:val="24"/>
          <w:highlight w:val="none"/>
          <w:u w:val="single"/>
          <w:lang w:val="en-US" w:eastAsia="zh-CN"/>
        </w:rPr>
        <w:t>项目名称</w:t>
      </w:r>
      <w:r>
        <w:rPr>
          <w:rFonts w:hint="eastAsia" w:ascii="宋体" w:hAnsi="宋体" w:eastAsia="宋体" w:cs="宋体"/>
          <w:color w:val="auto"/>
          <w:spacing w:val="6"/>
          <w:sz w:val="24"/>
          <w:szCs w:val="24"/>
          <w:highlight w:val="none"/>
          <w:u w:val="single"/>
          <w:lang w:val="zh-CN"/>
        </w:rPr>
        <w:t>）</w:t>
      </w:r>
      <w:r>
        <w:rPr>
          <w:rFonts w:hint="eastAsia" w:ascii="宋体" w:hAnsi="宋体" w:cs="宋体"/>
          <w:color w:val="auto"/>
          <w:spacing w:val="6"/>
          <w:sz w:val="24"/>
          <w:szCs w:val="24"/>
          <w:highlight w:val="none"/>
          <w:u w:val="single"/>
          <w:lang w:val="zh-CN"/>
        </w:rPr>
        <w:t>；（</w:t>
      </w:r>
      <w:r>
        <w:rPr>
          <w:rFonts w:hint="eastAsia" w:ascii="宋体" w:hAnsi="宋体" w:cs="宋体"/>
          <w:color w:val="auto"/>
          <w:spacing w:val="6"/>
          <w:sz w:val="24"/>
          <w:szCs w:val="24"/>
          <w:highlight w:val="none"/>
          <w:u w:val="single"/>
          <w:lang w:val="en-US" w:eastAsia="zh-CN"/>
        </w:rPr>
        <w:t>采购包号</w:t>
      </w:r>
      <w:r>
        <w:rPr>
          <w:rFonts w:hint="eastAsia" w:ascii="宋体" w:hAnsi="宋体" w:cs="宋体"/>
          <w:color w:val="auto"/>
          <w:spacing w:val="6"/>
          <w:sz w:val="24"/>
          <w:szCs w:val="24"/>
          <w:highlight w:val="none"/>
          <w:u w:val="single"/>
          <w:lang w:val="zh-CN"/>
        </w:rPr>
        <w:t>）</w:t>
      </w:r>
      <w:r>
        <w:rPr>
          <w:rFonts w:hint="eastAsia" w:ascii="宋体" w:hAnsi="宋体" w:eastAsia="宋体" w:cs="宋体"/>
          <w:color w:val="auto"/>
          <w:spacing w:val="6"/>
          <w:sz w:val="24"/>
          <w:szCs w:val="24"/>
          <w:highlight w:val="none"/>
          <w:lang w:val="zh-CN"/>
        </w:rPr>
        <w:t>项目采购活动提供本单位制造的货物（由本单位承担工程/提供服务），或者提供其他残疾人福利性单位制造的货物（不包括使用非残疾人福利性单位注册商标的货物）。</w:t>
      </w:r>
    </w:p>
    <w:p w14:paraId="3282043D">
      <w:pPr>
        <w:keepNext w:val="0"/>
        <w:keepLines w:val="0"/>
        <w:pageBreakBefore w:val="0"/>
        <w:widowControl/>
        <w:kinsoku/>
        <w:wordWrap/>
        <w:overflowPunct/>
        <w:topLinePunct w:val="0"/>
        <w:autoSpaceDE/>
        <w:autoSpaceDN/>
        <w:bidi w:val="0"/>
        <w:adjustRightInd/>
        <w:snapToGrid/>
        <w:spacing w:line="360" w:lineRule="auto"/>
        <w:ind w:firstLine="504" w:firstLineChars="200"/>
        <w:jc w:val="left"/>
        <w:textAlignment w:val="baseline"/>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本单位对上述声明的真实性负责。如有虚假，将依法承担相应责任。</w:t>
      </w:r>
    </w:p>
    <w:p w14:paraId="7B9FDF52">
      <w:pPr>
        <w:autoSpaceDE w:val="0"/>
        <w:autoSpaceDN w:val="0"/>
        <w:adjustRightInd w:val="0"/>
        <w:spacing w:line="600" w:lineRule="exact"/>
        <w:jc w:val="left"/>
        <w:rPr>
          <w:rFonts w:hint="eastAsia" w:ascii="宋体" w:hAnsi="宋体" w:eastAsia="宋体" w:cs="宋体"/>
          <w:color w:val="auto"/>
          <w:sz w:val="24"/>
          <w:szCs w:val="24"/>
          <w:highlight w:val="none"/>
          <w:lang w:val="zh-CN"/>
        </w:rPr>
      </w:pPr>
    </w:p>
    <w:p w14:paraId="44B7343F">
      <w:pPr>
        <w:autoSpaceDE w:val="0"/>
        <w:autoSpaceDN w:val="0"/>
        <w:adjustRightInd w:val="0"/>
        <w:spacing w:line="600" w:lineRule="exact"/>
        <w:jc w:val="right"/>
        <w:rPr>
          <w:rFonts w:hint="eastAsia" w:ascii="宋体" w:hAnsi="宋体" w:eastAsia="宋体" w:cs="宋体"/>
          <w:color w:val="auto"/>
          <w:sz w:val="24"/>
          <w:szCs w:val="24"/>
          <w:highlight w:val="none"/>
          <w:lang w:val="zh-CN"/>
        </w:rPr>
      </w:pPr>
    </w:p>
    <w:p w14:paraId="5B0641EE">
      <w:pPr>
        <w:autoSpaceDE w:val="0"/>
        <w:autoSpaceDN w:val="0"/>
        <w:adjustRightInd w:val="0"/>
        <w:spacing w:line="600" w:lineRule="exact"/>
        <w:jc w:val="right"/>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投标人</w:t>
      </w:r>
      <w:r>
        <w:rPr>
          <w:rFonts w:hint="eastAsia" w:ascii="宋体" w:hAnsi="宋体" w:cs="宋体"/>
          <w:color w:val="auto"/>
          <w:sz w:val="24"/>
          <w:szCs w:val="24"/>
          <w:highlight w:val="none"/>
          <w:lang w:val="en-US" w:eastAsia="zh-CN"/>
        </w:rPr>
        <w:t>名称</w:t>
      </w:r>
      <w:r>
        <w:rPr>
          <w:rFonts w:hint="eastAsia" w:ascii="宋体" w:hAnsi="宋体" w:eastAsia="宋体" w:cs="宋体"/>
          <w:color w:val="auto"/>
          <w:sz w:val="24"/>
          <w:szCs w:val="24"/>
          <w:highlight w:val="none"/>
        </w:rPr>
        <w:t xml:space="preserve">（盖章）：            </w:t>
      </w:r>
    </w:p>
    <w:p w14:paraId="33CF1D43">
      <w:pPr>
        <w:autoSpaceDE w:val="0"/>
        <w:autoSpaceDN w:val="0"/>
        <w:adjustRightInd w:val="0"/>
        <w:spacing w:line="600" w:lineRule="exact"/>
        <w:jc w:val="center"/>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授权代表签字：             </w:t>
      </w:r>
    </w:p>
    <w:p w14:paraId="5181A292">
      <w:pPr>
        <w:jc w:val="right"/>
        <w:outlineLvl w:val="1"/>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zh-CN"/>
        </w:rPr>
        <w:t>日    期：    年    月   日</w:t>
      </w:r>
    </w:p>
    <w:p w14:paraId="6067A884">
      <w:pPr>
        <w:rPr>
          <w:color w:val="auto"/>
          <w:highlight w:val="none"/>
        </w:rPr>
      </w:pPr>
    </w:p>
    <w:p w14:paraId="3A2EAF15">
      <w:pPr>
        <w:rPr>
          <w:color w:val="auto"/>
          <w:highlight w:val="none"/>
        </w:rPr>
      </w:pPr>
    </w:p>
    <w:p w14:paraId="3A615FBB">
      <w:pPr>
        <w:rPr>
          <w:color w:val="auto"/>
          <w:highlight w:val="none"/>
        </w:rPr>
      </w:pPr>
    </w:p>
    <w:p w14:paraId="783D2362">
      <w:pPr>
        <w:rPr>
          <w:color w:val="auto"/>
          <w:highlight w:val="none"/>
        </w:rPr>
      </w:pPr>
    </w:p>
    <w:p w14:paraId="1070EF75">
      <w:pPr>
        <w:rPr>
          <w:color w:val="auto"/>
          <w:highlight w:val="none"/>
        </w:rPr>
      </w:pPr>
    </w:p>
    <w:p w14:paraId="4D97939C">
      <w:pPr>
        <w:rPr>
          <w:color w:val="auto"/>
          <w:highlight w:val="none"/>
        </w:rPr>
      </w:pPr>
    </w:p>
    <w:p w14:paraId="1E358BB1">
      <w:pPr>
        <w:rPr>
          <w:color w:val="auto"/>
          <w:highlight w:val="none"/>
        </w:rPr>
      </w:pPr>
    </w:p>
    <w:p w14:paraId="1C921375">
      <w:pPr>
        <w:rPr>
          <w:color w:val="auto"/>
          <w:highlight w:val="none"/>
        </w:rPr>
      </w:pPr>
    </w:p>
    <w:p w14:paraId="1D85B64D">
      <w:pPr>
        <w:jc w:val="left"/>
        <w:outlineLvl w:val="1"/>
        <w:rPr>
          <w:rStyle w:val="349"/>
          <w:rFonts w:hint="eastAsia" w:ascii="宋体" w:hAnsi="宋体" w:eastAsia="宋体" w:cs="宋体"/>
          <w:b/>
          <w:bCs w:val="0"/>
          <w:color w:val="auto"/>
          <w:sz w:val="24"/>
          <w:szCs w:val="24"/>
          <w:highlight w:val="none"/>
          <w:lang w:val="en-US" w:eastAsia="zh-CN" w:bidi="ar-SA"/>
        </w:rPr>
      </w:pPr>
    </w:p>
    <w:p w14:paraId="64542BA2">
      <w:pPr>
        <w:jc w:val="left"/>
        <w:outlineLvl w:val="1"/>
        <w:rPr>
          <w:rStyle w:val="349"/>
          <w:rFonts w:hint="eastAsia" w:ascii="宋体" w:hAnsi="宋体" w:eastAsia="宋体" w:cs="宋体"/>
          <w:b/>
          <w:bCs w:val="0"/>
          <w:color w:val="auto"/>
          <w:sz w:val="24"/>
          <w:szCs w:val="24"/>
          <w:highlight w:val="none"/>
          <w:lang w:val="en-US" w:eastAsia="zh-CN" w:bidi="ar-SA"/>
        </w:rPr>
      </w:pPr>
      <w:r>
        <w:rPr>
          <w:rStyle w:val="349"/>
          <w:rFonts w:hint="eastAsia" w:ascii="宋体" w:hAnsi="宋体" w:eastAsia="宋体" w:cs="宋体"/>
          <w:b/>
          <w:bCs w:val="0"/>
          <w:color w:val="auto"/>
          <w:sz w:val="24"/>
          <w:szCs w:val="24"/>
          <w:highlight w:val="none"/>
          <w:lang w:val="en-US" w:eastAsia="zh-CN" w:bidi="ar-SA"/>
        </w:rPr>
        <w:t>十四、商务条款响应表格式</w:t>
      </w:r>
    </w:p>
    <w:p w14:paraId="178BB322">
      <w:pPr>
        <w:widowControl/>
        <w:adjustRightInd w:val="0"/>
        <w:spacing w:line="360" w:lineRule="auto"/>
        <w:ind w:firstLine="482" w:firstLineChars="200"/>
        <w:jc w:val="center"/>
        <w:rPr>
          <w:rFonts w:hint="eastAsia" w:ascii="宋体" w:hAnsi="宋体" w:eastAsia="宋体" w:cs="宋体"/>
          <w:b/>
          <w:bCs/>
          <w:color w:val="auto"/>
          <w:sz w:val="24"/>
          <w:szCs w:val="24"/>
          <w:highlight w:val="none"/>
        </w:rPr>
      </w:pPr>
    </w:p>
    <w:p w14:paraId="2A411EDF">
      <w:pPr>
        <w:autoSpaceDE w:val="0"/>
        <w:autoSpaceDN w:val="0"/>
        <w:adjustRightInd w:val="0"/>
        <w:spacing w:line="460" w:lineRule="exact"/>
        <w:jc w:val="center"/>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rPr>
        <w:t>商务条款</w:t>
      </w:r>
      <w:r>
        <w:rPr>
          <w:rFonts w:hint="eastAsia" w:ascii="宋体" w:hAnsi="宋体" w:eastAsia="宋体" w:cs="宋体"/>
          <w:b/>
          <w:bCs/>
          <w:color w:val="auto"/>
          <w:sz w:val="24"/>
          <w:szCs w:val="24"/>
          <w:highlight w:val="none"/>
          <w:lang w:val="en-US" w:eastAsia="zh-CN"/>
        </w:rPr>
        <w:t>响应表</w:t>
      </w:r>
    </w:p>
    <w:tbl>
      <w:tblPr>
        <w:tblStyle w:val="33"/>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5"/>
        <w:gridCol w:w="2013"/>
        <w:gridCol w:w="2913"/>
        <w:gridCol w:w="2354"/>
        <w:gridCol w:w="1345"/>
      </w:tblGrid>
      <w:tr w14:paraId="08885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tblHeader/>
          <w:jc w:val="center"/>
        </w:trPr>
        <w:tc>
          <w:tcPr>
            <w:tcW w:w="9280" w:type="dxa"/>
            <w:gridSpan w:val="5"/>
            <w:tcBorders>
              <w:top w:val="nil"/>
              <w:left w:val="nil"/>
              <w:bottom w:val="single" w:color="auto" w:sz="4" w:space="0"/>
              <w:right w:val="nil"/>
            </w:tcBorders>
            <w:noWrap w:val="0"/>
            <w:vAlign w:val="center"/>
          </w:tcPr>
          <w:p w14:paraId="254CA481">
            <w:pPr>
              <w:keepNext w:val="0"/>
              <w:keepLines w:val="0"/>
              <w:pageBreakBefore w:val="0"/>
              <w:widowControl/>
              <w:kinsoku/>
              <w:wordWrap/>
              <w:overflowPunct/>
              <w:topLinePunct w:val="0"/>
              <w:autoSpaceDE/>
              <w:autoSpaceDN/>
              <w:bidi w:val="0"/>
              <w:adjustRightInd w:val="0"/>
              <w:snapToGrid/>
              <w:spacing w:line="240" w:lineRule="auto"/>
              <w:jc w:val="left"/>
              <w:textAlignment w:val="baseline"/>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项目编号：</w:t>
            </w:r>
          </w:p>
          <w:p w14:paraId="2A104547">
            <w:pPr>
              <w:pStyle w:val="39"/>
              <w:keepNext w:val="0"/>
              <w:keepLines w:val="0"/>
              <w:pageBreakBefore w:val="0"/>
              <w:widowControl/>
              <w:kinsoku/>
              <w:wordWrap/>
              <w:overflowPunct/>
              <w:topLinePunct w:val="0"/>
              <w:autoSpaceDE/>
              <w:autoSpaceDN/>
              <w:bidi w:val="0"/>
              <w:snapToGrid/>
              <w:spacing w:line="240" w:lineRule="auto"/>
              <w:ind w:left="0" w:leftChars="0" w:firstLine="0" w:firstLineChars="0"/>
              <w:rPr>
                <w:rFonts w:hint="default" w:eastAsia="宋体"/>
                <w:color w:val="auto"/>
                <w:highlight w:val="none"/>
                <w:lang w:val="en-US" w:eastAsia="zh-CN"/>
              </w:rPr>
            </w:pPr>
            <w:r>
              <w:rPr>
                <w:rFonts w:hint="eastAsia" w:ascii="宋体" w:hAnsi="宋体" w:cs="宋体"/>
                <w:color w:val="auto"/>
                <w:spacing w:val="6"/>
                <w:sz w:val="24"/>
                <w:szCs w:val="24"/>
                <w:highlight w:val="none"/>
                <w:lang w:val="en-US" w:eastAsia="zh-CN"/>
              </w:rPr>
              <w:t>采购包号:</w:t>
            </w:r>
          </w:p>
          <w:p w14:paraId="1343B322">
            <w:pPr>
              <w:keepNext w:val="0"/>
              <w:keepLines w:val="0"/>
              <w:pageBreakBefore w:val="0"/>
              <w:widowControl/>
              <w:kinsoku/>
              <w:wordWrap/>
              <w:overflowPunct/>
              <w:topLinePunct w:val="0"/>
              <w:autoSpaceDE/>
              <w:autoSpaceDN/>
              <w:bidi w:val="0"/>
              <w:adjustRightInd w:val="0"/>
              <w:snapToGrid/>
              <w:spacing w:line="240" w:lineRule="auto"/>
              <w:jc w:val="left"/>
              <w:textAlignment w:val="baseline"/>
              <w:rPr>
                <w:rFonts w:hint="eastAsia" w:ascii="宋体" w:hAnsi="宋体" w:eastAsia="宋体" w:cs="宋体"/>
                <w:color w:val="auto"/>
                <w:spacing w:val="6"/>
                <w:sz w:val="24"/>
                <w:szCs w:val="24"/>
                <w:highlight w:val="none"/>
                <w:lang w:val="zh-CN" w:eastAsia="zh-CN"/>
              </w:rPr>
            </w:pPr>
            <w:r>
              <w:rPr>
                <w:rFonts w:hint="eastAsia" w:ascii="宋体" w:hAnsi="宋体" w:eastAsia="宋体" w:cs="宋体"/>
                <w:color w:val="auto"/>
                <w:spacing w:val="6"/>
                <w:sz w:val="24"/>
                <w:szCs w:val="24"/>
                <w:highlight w:val="none"/>
                <w:lang w:val="zh-CN"/>
              </w:rPr>
              <w:t>项目名称：</w:t>
            </w:r>
          </w:p>
        </w:tc>
      </w:tr>
      <w:tr w14:paraId="5871C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6" w:hRule="atLeast"/>
          <w:jc w:val="center"/>
        </w:trPr>
        <w:tc>
          <w:tcPr>
            <w:tcW w:w="655" w:type="dxa"/>
            <w:tcBorders>
              <w:top w:val="single" w:color="auto" w:sz="4" w:space="0"/>
              <w:left w:val="single" w:color="auto" w:sz="4" w:space="0"/>
              <w:bottom w:val="single" w:color="auto" w:sz="4" w:space="0"/>
              <w:right w:val="single" w:color="auto" w:sz="4" w:space="0"/>
            </w:tcBorders>
            <w:noWrap w:val="0"/>
            <w:vAlign w:val="center"/>
          </w:tcPr>
          <w:p w14:paraId="0C0084FB">
            <w:pPr>
              <w:widowControl/>
              <w:adjustRightInd w:val="0"/>
              <w:spacing w:line="360" w:lineRule="auto"/>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序号</w:t>
            </w:r>
          </w:p>
        </w:tc>
        <w:tc>
          <w:tcPr>
            <w:tcW w:w="2013" w:type="dxa"/>
            <w:tcBorders>
              <w:top w:val="single" w:color="auto" w:sz="4" w:space="0"/>
              <w:left w:val="single" w:color="auto" w:sz="4" w:space="0"/>
              <w:bottom w:val="single" w:color="auto" w:sz="4" w:space="0"/>
              <w:right w:val="single" w:color="auto" w:sz="4" w:space="0"/>
            </w:tcBorders>
            <w:noWrap w:val="0"/>
            <w:vAlign w:val="center"/>
          </w:tcPr>
          <w:p w14:paraId="70F97E60">
            <w:pPr>
              <w:widowControl/>
              <w:adjustRightInd w:val="0"/>
              <w:spacing w:line="360" w:lineRule="auto"/>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采购文件条目号</w:t>
            </w:r>
          </w:p>
        </w:tc>
        <w:tc>
          <w:tcPr>
            <w:tcW w:w="2913" w:type="dxa"/>
            <w:tcBorders>
              <w:top w:val="single" w:color="auto" w:sz="4" w:space="0"/>
              <w:left w:val="single" w:color="auto" w:sz="4" w:space="0"/>
              <w:bottom w:val="single" w:color="auto" w:sz="4" w:space="0"/>
              <w:right w:val="single" w:color="auto" w:sz="4" w:space="0"/>
            </w:tcBorders>
            <w:noWrap w:val="0"/>
            <w:vAlign w:val="center"/>
          </w:tcPr>
          <w:p w14:paraId="4623061A">
            <w:pPr>
              <w:widowControl/>
              <w:adjustRightInd w:val="0"/>
              <w:spacing w:line="360" w:lineRule="auto"/>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采购文件要求的商务条款</w:t>
            </w:r>
          </w:p>
        </w:tc>
        <w:tc>
          <w:tcPr>
            <w:tcW w:w="2354" w:type="dxa"/>
            <w:tcBorders>
              <w:top w:val="single" w:color="auto" w:sz="4" w:space="0"/>
              <w:left w:val="single" w:color="auto" w:sz="4" w:space="0"/>
              <w:bottom w:val="single" w:color="auto" w:sz="4" w:space="0"/>
              <w:right w:val="single" w:color="auto" w:sz="4" w:space="0"/>
            </w:tcBorders>
            <w:noWrap w:val="0"/>
            <w:vAlign w:val="center"/>
          </w:tcPr>
          <w:p w14:paraId="2E149CEF">
            <w:pPr>
              <w:widowControl/>
              <w:adjustRightInd w:val="0"/>
              <w:spacing w:line="360" w:lineRule="auto"/>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投标响应</w:t>
            </w:r>
          </w:p>
        </w:tc>
        <w:tc>
          <w:tcPr>
            <w:tcW w:w="1345" w:type="dxa"/>
            <w:tcBorders>
              <w:top w:val="single" w:color="auto" w:sz="4" w:space="0"/>
              <w:left w:val="single" w:color="auto" w:sz="4" w:space="0"/>
              <w:bottom w:val="single" w:color="auto" w:sz="4" w:space="0"/>
              <w:right w:val="single" w:color="auto" w:sz="4" w:space="0"/>
            </w:tcBorders>
            <w:noWrap w:val="0"/>
            <w:vAlign w:val="center"/>
          </w:tcPr>
          <w:p w14:paraId="549CBE4F">
            <w:pPr>
              <w:widowControl/>
              <w:adjustRightInd w:val="0"/>
              <w:spacing w:line="360" w:lineRule="auto"/>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偏离</w:t>
            </w:r>
          </w:p>
        </w:tc>
      </w:tr>
      <w:tr w14:paraId="1E419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jc w:val="center"/>
        </w:trPr>
        <w:tc>
          <w:tcPr>
            <w:tcW w:w="655" w:type="dxa"/>
            <w:tcBorders>
              <w:top w:val="single" w:color="auto" w:sz="4" w:space="0"/>
              <w:left w:val="single" w:color="auto" w:sz="4" w:space="0"/>
              <w:bottom w:val="single" w:color="auto" w:sz="4" w:space="0"/>
              <w:right w:val="single" w:color="auto" w:sz="4" w:space="0"/>
            </w:tcBorders>
            <w:noWrap w:val="0"/>
            <w:vAlign w:val="center"/>
          </w:tcPr>
          <w:p w14:paraId="58FC07BF">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013" w:type="dxa"/>
            <w:tcBorders>
              <w:top w:val="single" w:color="auto" w:sz="4" w:space="0"/>
              <w:left w:val="single" w:color="auto" w:sz="4" w:space="0"/>
              <w:bottom w:val="single" w:color="auto" w:sz="4" w:space="0"/>
              <w:right w:val="single" w:color="auto" w:sz="4" w:space="0"/>
            </w:tcBorders>
            <w:noWrap w:val="0"/>
            <w:vAlign w:val="center"/>
          </w:tcPr>
          <w:p w14:paraId="3C382159">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913" w:type="dxa"/>
            <w:tcBorders>
              <w:top w:val="single" w:color="auto" w:sz="4" w:space="0"/>
              <w:left w:val="single" w:color="auto" w:sz="4" w:space="0"/>
              <w:bottom w:val="single" w:color="auto" w:sz="4" w:space="0"/>
              <w:right w:val="single" w:color="auto" w:sz="4" w:space="0"/>
            </w:tcBorders>
            <w:noWrap w:val="0"/>
            <w:vAlign w:val="center"/>
          </w:tcPr>
          <w:p w14:paraId="095A265E">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354" w:type="dxa"/>
            <w:tcBorders>
              <w:top w:val="single" w:color="auto" w:sz="4" w:space="0"/>
              <w:left w:val="single" w:color="auto" w:sz="4" w:space="0"/>
              <w:bottom w:val="single" w:color="auto" w:sz="4" w:space="0"/>
              <w:right w:val="single" w:color="auto" w:sz="4" w:space="0"/>
            </w:tcBorders>
            <w:noWrap w:val="0"/>
            <w:vAlign w:val="center"/>
          </w:tcPr>
          <w:p w14:paraId="0F946A9E">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1C8CACEC">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r>
      <w:tr w14:paraId="52FBA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jc w:val="center"/>
        </w:trPr>
        <w:tc>
          <w:tcPr>
            <w:tcW w:w="655" w:type="dxa"/>
            <w:tcBorders>
              <w:top w:val="single" w:color="auto" w:sz="4" w:space="0"/>
              <w:left w:val="single" w:color="auto" w:sz="4" w:space="0"/>
              <w:bottom w:val="single" w:color="auto" w:sz="4" w:space="0"/>
              <w:right w:val="single" w:color="auto" w:sz="4" w:space="0"/>
            </w:tcBorders>
            <w:noWrap w:val="0"/>
            <w:vAlign w:val="center"/>
          </w:tcPr>
          <w:p w14:paraId="332207A8">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013" w:type="dxa"/>
            <w:tcBorders>
              <w:top w:val="single" w:color="auto" w:sz="4" w:space="0"/>
              <w:left w:val="single" w:color="auto" w:sz="4" w:space="0"/>
              <w:bottom w:val="single" w:color="auto" w:sz="4" w:space="0"/>
              <w:right w:val="single" w:color="auto" w:sz="4" w:space="0"/>
            </w:tcBorders>
            <w:noWrap w:val="0"/>
            <w:vAlign w:val="center"/>
          </w:tcPr>
          <w:p w14:paraId="2EA11CE9">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913" w:type="dxa"/>
            <w:tcBorders>
              <w:top w:val="single" w:color="auto" w:sz="4" w:space="0"/>
              <w:left w:val="single" w:color="auto" w:sz="4" w:space="0"/>
              <w:bottom w:val="single" w:color="auto" w:sz="4" w:space="0"/>
              <w:right w:val="single" w:color="auto" w:sz="4" w:space="0"/>
            </w:tcBorders>
            <w:noWrap w:val="0"/>
            <w:vAlign w:val="center"/>
          </w:tcPr>
          <w:p w14:paraId="4D058F34">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354" w:type="dxa"/>
            <w:tcBorders>
              <w:top w:val="single" w:color="auto" w:sz="4" w:space="0"/>
              <w:left w:val="single" w:color="auto" w:sz="4" w:space="0"/>
              <w:bottom w:val="single" w:color="auto" w:sz="4" w:space="0"/>
              <w:right w:val="single" w:color="auto" w:sz="4" w:space="0"/>
            </w:tcBorders>
            <w:noWrap w:val="0"/>
            <w:vAlign w:val="center"/>
          </w:tcPr>
          <w:p w14:paraId="67816E40">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19242497">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r>
      <w:tr w14:paraId="306A9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jc w:val="center"/>
        </w:trPr>
        <w:tc>
          <w:tcPr>
            <w:tcW w:w="655" w:type="dxa"/>
            <w:tcBorders>
              <w:top w:val="single" w:color="auto" w:sz="4" w:space="0"/>
              <w:left w:val="single" w:color="auto" w:sz="4" w:space="0"/>
              <w:bottom w:val="single" w:color="auto" w:sz="4" w:space="0"/>
              <w:right w:val="single" w:color="auto" w:sz="4" w:space="0"/>
            </w:tcBorders>
            <w:noWrap w:val="0"/>
            <w:vAlign w:val="center"/>
          </w:tcPr>
          <w:p w14:paraId="5C828700">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013" w:type="dxa"/>
            <w:tcBorders>
              <w:top w:val="single" w:color="auto" w:sz="4" w:space="0"/>
              <w:left w:val="single" w:color="auto" w:sz="4" w:space="0"/>
              <w:bottom w:val="single" w:color="auto" w:sz="4" w:space="0"/>
              <w:right w:val="single" w:color="auto" w:sz="4" w:space="0"/>
            </w:tcBorders>
            <w:noWrap w:val="0"/>
            <w:vAlign w:val="center"/>
          </w:tcPr>
          <w:p w14:paraId="5343A8ED">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913" w:type="dxa"/>
            <w:tcBorders>
              <w:top w:val="single" w:color="auto" w:sz="4" w:space="0"/>
              <w:left w:val="single" w:color="auto" w:sz="4" w:space="0"/>
              <w:bottom w:val="single" w:color="auto" w:sz="4" w:space="0"/>
              <w:right w:val="single" w:color="auto" w:sz="4" w:space="0"/>
            </w:tcBorders>
            <w:noWrap w:val="0"/>
            <w:vAlign w:val="center"/>
          </w:tcPr>
          <w:p w14:paraId="79FD41AD">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354" w:type="dxa"/>
            <w:tcBorders>
              <w:top w:val="single" w:color="auto" w:sz="4" w:space="0"/>
              <w:left w:val="single" w:color="auto" w:sz="4" w:space="0"/>
              <w:bottom w:val="single" w:color="auto" w:sz="4" w:space="0"/>
              <w:right w:val="single" w:color="auto" w:sz="4" w:space="0"/>
            </w:tcBorders>
            <w:noWrap w:val="0"/>
            <w:vAlign w:val="center"/>
          </w:tcPr>
          <w:p w14:paraId="6BEDB22A">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16CC3747">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r>
      <w:tr w14:paraId="39457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jc w:val="center"/>
        </w:trPr>
        <w:tc>
          <w:tcPr>
            <w:tcW w:w="655" w:type="dxa"/>
            <w:tcBorders>
              <w:top w:val="single" w:color="auto" w:sz="4" w:space="0"/>
              <w:left w:val="single" w:color="auto" w:sz="4" w:space="0"/>
              <w:bottom w:val="single" w:color="auto" w:sz="4" w:space="0"/>
              <w:right w:val="single" w:color="auto" w:sz="4" w:space="0"/>
            </w:tcBorders>
            <w:noWrap w:val="0"/>
            <w:vAlign w:val="center"/>
          </w:tcPr>
          <w:p w14:paraId="4B3739AF">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013" w:type="dxa"/>
            <w:tcBorders>
              <w:top w:val="single" w:color="auto" w:sz="4" w:space="0"/>
              <w:left w:val="single" w:color="auto" w:sz="4" w:space="0"/>
              <w:bottom w:val="single" w:color="auto" w:sz="4" w:space="0"/>
              <w:right w:val="single" w:color="auto" w:sz="4" w:space="0"/>
            </w:tcBorders>
            <w:noWrap w:val="0"/>
            <w:vAlign w:val="center"/>
          </w:tcPr>
          <w:p w14:paraId="10C46530">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913" w:type="dxa"/>
            <w:tcBorders>
              <w:top w:val="single" w:color="auto" w:sz="4" w:space="0"/>
              <w:left w:val="single" w:color="auto" w:sz="4" w:space="0"/>
              <w:bottom w:val="single" w:color="auto" w:sz="4" w:space="0"/>
              <w:right w:val="single" w:color="auto" w:sz="4" w:space="0"/>
            </w:tcBorders>
            <w:noWrap w:val="0"/>
            <w:vAlign w:val="center"/>
          </w:tcPr>
          <w:p w14:paraId="362B5F03">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2354" w:type="dxa"/>
            <w:tcBorders>
              <w:top w:val="single" w:color="auto" w:sz="4" w:space="0"/>
              <w:left w:val="single" w:color="auto" w:sz="4" w:space="0"/>
              <w:bottom w:val="single" w:color="auto" w:sz="4" w:space="0"/>
              <w:right w:val="single" w:color="auto" w:sz="4" w:space="0"/>
            </w:tcBorders>
            <w:noWrap w:val="0"/>
            <w:vAlign w:val="center"/>
          </w:tcPr>
          <w:p w14:paraId="65FD5A12">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129EE5E4">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p>
        </w:tc>
      </w:tr>
      <w:tr w14:paraId="304BD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jc w:val="center"/>
        </w:trPr>
        <w:tc>
          <w:tcPr>
            <w:tcW w:w="655" w:type="dxa"/>
            <w:tcBorders>
              <w:top w:val="single" w:color="auto" w:sz="4" w:space="0"/>
              <w:left w:val="single" w:color="auto" w:sz="4" w:space="0"/>
              <w:bottom w:val="single" w:color="auto" w:sz="4" w:space="0"/>
              <w:right w:val="single" w:color="auto" w:sz="4" w:space="0"/>
            </w:tcBorders>
            <w:noWrap w:val="0"/>
            <w:vAlign w:val="center"/>
          </w:tcPr>
          <w:p w14:paraId="4BE68C91">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c>
          <w:tcPr>
            <w:tcW w:w="2013" w:type="dxa"/>
            <w:tcBorders>
              <w:top w:val="single" w:color="auto" w:sz="4" w:space="0"/>
              <w:left w:val="single" w:color="auto" w:sz="4" w:space="0"/>
              <w:bottom w:val="single" w:color="auto" w:sz="4" w:space="0"/>
              <w:right w:val="single" w:color="auto" w:sz="4" w:space="0"/>
            </w:tcBorders>
            <w:noWrap w:val="0"/>
            <w:vAlign w:val="center"/>
          </w:tcPr>
          <w:p w14:paraId="3F3A6B66">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c>
          <w:tcPr>
            <w:tcW w:w="2913" w:type="dxa"/>
            <w:tcBorders>
              <w:top w:val="single" w:color="auto" w:sz="4" w:space="0"/>
              <w:left w:val="single" w:color="auto" w:sz="4" w:space="0"/>
              <w:bottom w:val="single" w:color="auto" w:sz="4" w:space="0"/>
              <w:right w:val="single" w:color="auto" w:sz="4" w:space="0"/>
            </w:tcBorders>
            <w:noWrap w:val="0"/>
            <w:vAlign w:val="center"/>
          </w:tcPr>
          <w:p w14:paraId="1204ACA7">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c>
          <w:tcPr>
            <w:tcW w:w="2354" w:type="dxa"/>
            <w:tcBorders>
              <w:top w:val="single" w:color="auto" w:sz="4" w:space="0"/>
              <w:left w:val="single" w:color="auto" w:sz="4" w:space="0"/>
              <w:bottom w:val="single" w:color="auto" w:sz="4" w:space="0"/>
              <w:right w:val="single" w:color="auto" w:sz="4" w:space="0"/>
            </w:tcBorders>
            <w:noWrap w:val="0"/>
            <w:vAlign w:val="center"/>
          </w:tcPr>
          <w:p w14:paraId="0715F70D">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2E4E0CB0">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r>
      <w:tr w14:paraId="260B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1" w:hRule="atLeast"/>
          <w:jc w:val="center"/>
        </w:trPr>
        <w:tc>
          <w:tcPr>
            <w:tcW w:w="655" w:type="dxa"/>
            <w:tcBorders>
              <w:top w:val="single" w:color="auto" w:sz="4" w:space="0"/>
              <w:left w:val="single" w:color="auto" w:sz="4" w:space="0"/>
              <w:bottom w:val="single" w:color="auto" w:sz="4" w:space="0"/>
              <w:right w:val="single" w:color="auto" w:sz="4" w:space="0"/>
            </w:tcBorders>
            <w:noWrap w:val="0"/>
            <w:vAlign w:val="center"/>
          </w:tcPr>
          <w:p w14:paraId="42FA28CF">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c>
          <w:tcPr>
            <w:tcW w:w="2013" w:type="dxa"/>
            <w:tcBorders>
              <w:top w:val="single" w:color="auto" w:sz="4" w:space="0"/>
              <w:left w:val="single" w:color="auto" w:sz="4" w:space="0"/>
              <w:bottom w:val="single" w:color="auto" w:sz="4" w:space="0"/>
              <w:right w:val="single" w:color="auto" w:sz="4" w:space="0"/>
            </w:tcBorders>
            <w:noWrap w:val="0"/>
            <w:vAlign w:val="center"/>
          </w:tcPr>
          <w:p w14:paraId="3656A826">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c>
          <w:tcPr>
            <w:tcW w:w="2913" w:type="dxa"/>
            <w:tcBorders>
              <w:top w:val="single" w:color="auto" w:sz="4" w:space="0"/>
              <w:left w:val="single" w:color="auto" w:sz="4" w:space="0"/>
              <w:bottom w:val="single" w:color="auto" w:sz="4" w:space="0"/>
              <w:right w:val="single" w:color="auto" w:sz="4" w:space="0"/>
            </w:tcBorders>
            <w:noWrap w:val="0"/>
            <w:vAlign w:val="center"/>
          </w:tcPr>
          <w:p w14:paraId="057ACED4">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c>
          <w:tcPr>
            <w:tcW w:w="2354" w:type="dxa"/>
            <w:tcBorders>
              <w:top w:val="single" w:color="auto" w:sz="4" w:space="0"/>
              <w:left w:val="single" w:color="auto" w:sz="4" w:space="0"/>
              <w:bottom w:val="single" w:color="auto" w:sz="4" w:space="0"/>
              <w:right w:val="single" w:color="auto" w:sz="4" w:space="0"/>
            </w:tcBorders>
            <w:noWrap w:val="0"/>
            <w:vAlign w:val="center"/>
          </w:tcPr>
          <w:p w14:paraId="58D12847">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c>
          <w:tcPr>
            <w:tcW w:w="1345" w:type="dxa"/>
            <w:tcBorders>
              <w:top w:val="single" w:color="auto" w:sz="4" w:space="0"/>
              <w:left w:val="single" w:color="auto" w:sz="4" w:space="0"/>
              <w:bottom w:val="single" w:color="auto" w:sz="4" w:space="0"/>
              <w:right w:val="single" w:color="auto" w:sz="4" w:space="0"/>
            </w:tcBorders>
            <w:noWrap w:val="0"/>
            <w:vAlign w:val="center"/>
          </w:tcPr>
          <w:p w14:paraId="1DBB6616">
            <w:pPr>
              <w:widowControl/>
              <w:spacing w:line="360" w:lineRule="auto"/>
              <w:ind w:firstLine="504" w:firstLineChars="200"/>
              <w:jc w:val="left"/>
              <w:rPr>
                <w:rFonts w:hint="eastAsia" w:ascii="宋体" w:hAnsi="宋体" w:eastAsia="宋体" w:cs="宋体"/>
                <w:color w:val="auto"/>
                <w:spacing w:val="6"/>
                <w:sz w:val="24"/>
                <w:szCs w:val="24"/>
                <w:highlight w:val="none"/>
                <w:lang w:val="zh-CN"/>
              </w:rPr>
            </w:pPr>
          </w:p>
        </w:tc>
      </w:tr>
    </w:tbl>
    <w:p w14:paraId="772CC768">
      <w:pPr>
        <w:widowControl/>
        <w:adjustRightInd w:val="0"/>
        <w:spacing w:line="360" w:lineRule="auto"/>
        <w:ind w:firstLine="504" w:firstLineChars="200"/>
        <w:jc w:val="left"/>
        <w:rPr>
          <w:rFonts w:hint="eastAsia" w:ascii="宋体" w:hAnsi="宋体" w:eastAsia="宋体" w:cs="宋体"/>
          <w:color w:val="auto"/>
          <w:spacing w:val="6"/>
          <w:sz w:val="24"/>
          <w:szCs w:val="24"/>
          <w:highlight w:val="none"/>
          <w:lang w:val="zh-CN"/>
        </w:rPr>
      </w:pPr>
    </w:p>
    <w:p w14:paraId="2945EF8B">
      <w:pPr>
        <w:widowControl/>
        <w:adjustRightInd w:val="0"/>
        <w:spacing w:line="360" w:lineRule="auto"/>
        <w:ind w:firstLine="504" w:firstLineChars="200"/>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我方承诺，除上表所列内容外，我方完全响应采购文件商务条款要求。</w:t>
      </w:r>
    </w:p>
    <w:p w14:paraId="5F623B1D">
      <w:pPr>
        <w:widowControl/>
        <w:adjustRightInd w:val="0"/>
        <w:spacing w:line="360" w:lineRule="auto"/>
        <w:ind w:firstLine="504" w:firstLineChars="200"/>
        <w:jc w:val="right"/>
        <w:rPr>
          <w:rFonts w:hint="eastAsia" w:ascii="宋体" w:hAnsi="宋体" w:eastAsia="宋体" w:cs="宋体"/>
          <w:color w:val="auto"/>
          <w:spacing w:val="6"/>
          <w:sz w:val="24"/>
          <w:szCs w:val="24"/>
          <w:highlight w:val="none"/>
          <w:lang w:val="zh-CN"/>
        </w:rPr>
      </w:pPr>
    </w:p>
    <w:p w14:paraId="47738ECB">
      <w:pPr>
        <w:widowControl/>
        <w:adjustRightInd w:val="0"/>
        <w:spacing w:line="360" w:lineRule="auto"/>
        <w:ind w:firstLine="504" w:firstLineChars="200"/>
        <w:jc w:val="right"/>
        <w:rPr>
          <w:rFonts w:hint="eastAsia" w:ascii="宋体" w:hAnsi="宋体" w:eastAsia="宋体" w:cs="宋体"/>
          <w:color w:val="auto"/>
          <w:spacing w:val="6"/>
          <w:sz w:val="24"/>
          <w:szCs w:val="24"/>
          <w:highlight w:val="none"/>
          <w:lang w:val="zh-CN"/>
        </w:rPr>
      </w:pPr>
      <w:r>
        <w:rPr>
          <w:rFonts w:hint="eastAsia" w:ascii="宋体" w:hAnsi="宋体" w:cs="宋体"/>
          <w:color w:val="auto"/>
          <w:spacing w:val="6"/>
          <w:sz w:val="24"/>
          <w:szCs w:val="24"/>
          <w:highlight w:val="none"/>
          <w:lang w:val="zh-CN"/>
        </w:rPr>
        <w:t>投标人</w:t>
      </w:r>
      <w:r>
        <w:rPr>
          <w:rFonts w:hint="eastAsia" w:ascii="宋体" w:hAnsi="宋体" w:cs="宋体"/>
          <w:color w:val="auto"/>
          <w:spacing w:val="6"/>
          <w:sz w:val="24"/>
          <w:szCs w:val="24"/>
          <w:highlight w:val="none"/>
          <w:lang w:val="en-US" w:eastAsia="zh-CN"/>
        </w:rPr>
        <w:t>名称</w:t>
      </w:r>
      <w:r>
        <w:rPr>
          <w:rFonts w:hint="eastAsia" w:ascii="宋体" w:hAnsi="宋体" w:eastAsia="宋体" w:cs="宋体"/>
          <w:color w:val="auto"/>
          <w:spacing w:val="6"/>
          <w:sz w:val="24"/>
          <w:szCs w:val="24"/>
          <w:highlight w:val="none"/>
          <w:lang w:val="zh-CN"/>
        </w:rPr>
        <w:t>：（盖章）</w:t>
      </w:r>
    </w:p>
    <w:p w14:paraId="2B053EDC">
      <w:pPr>
        <w:widowControl/>
        <w:adjustRightInd w:val="0"/>
        <w:spacing w:line="360" w:lineRule="auto"/>
        <w:ind w:firstLine="504" w:firstLineChars="200"/>
        <w:jc w:val="center"/>
        <w:rPr>
          <w:rFonts w:hint="eastAsia" w:ascii="宋体" w:hAnsi="宋体" w:eastAsia="宋体" w:cs="宋体"/>
          <w:color w:val="auto"/>
          <w:spacing w:val="6"/>
          <w:sz w:val="24"/>
          <w:szCs w:val="24"/>
          <w:highlight w:val="none"/>
          <w:lang w:val="zh-CN"/>
        </w:rPr>
      </w:pP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val="zh-CN"/>
        </w:rPr>
        <w:t>日期：</w:t>
      </w:r>
    </w:p>
    <w:p w14:paraId="11A98F6D">
      <w:pPr>
        <w:spacing w:line="360" w:lineRule="exact"/>
        <w:ind w:firstLine="756" w:firstLineChars="300"/>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说明：如果行数不够，请自行增加。</w:t>
      </w:r>
    </w:p>
    <w:p w14:paraId="50C51774">
      <w:pPr>
        <w:shd w:val="clear" w:color="auto" w:fill="auto"/>
        <w:rPr>
          <w:rStyle w:val="349"/>
          <w:rFonts w:hint="eastAsia" w:ascii="宋体" w:hAnsi="宋体" w:cs="宋体"/>
          <w:bCs/>
          <w:color w:val="auto"/>
          <w:kern w:val="0"/>
          <w:szCs w:val="21"/>
          <w:highlight w:val="none"/>
        </w:rPr>
      </w:pPr>
    </w:p>
    <w:p w14:paraId="46CC2DBF">
      <w:pPr>
        <w:shd w:val="clear" w:color="auto" w:fill="auto"/>
        <w:rPr>
          <w:rStyle w:val="349"/>
          <w:rFonts w:hint="eastAsia" w:ascii="宋体" w:hAnsi="宋体" w:cs="宋体"/>
          <w:bCs/>
          <w:color w:val="auto"/>
          <w:kern w:val="0"/>
          <w:szCs w:val="21"/>
          <w:highlight w:val="none"/>
        </w:rPr>
      </w:pPr>
    </w:p>
    <w:p w14:paraId="744A45F4">
      <w:pPr>
        <w:rPr>
          <w:color w:val="auto"/>
          <w:highlight w:val="none"/>
        </w:rPr>
      </w:pPr>
    </w:p>
    <w:p w14:paraId="1BA7966F">
      <w:pPr>
        <w:jc w:val="left"/>
        <w:outlineLvl w:val="1"/>
        <w:rPr>
          <w:rStyle w:val="349"/>
          <w:rFonts w:hint="eastAsia" w:ascii="宋体" w:hAnsi="宋体" w:eastAsia="宋体" w:cs="宋体"/>
          <w:b/>
          <w:bCs w:val="0"/>
          <w:color w:val="auto"/>
          <w:sz w:val="24"/>
          <w:szCs w:val="24"/>
          <w:highlight w:val="none"/>
          <w:lang w:val="en-US" w:eastAsia="zh-CN" w:bidi="ar-SA"/>
        </w:rPr>
      </w:pPr>
      <w:r>
        <w:rPr>
          <w:rStyle w:val="349"/>
          <w:rFonts w:hint="eastAsia" w:ascii="宋体" w:hAnsi="宋体" w:eastAsia="宋体" w:cs="宋体"/>
          <w:b/>
          <w:bCs w:val="0"/>
          <w:color w:val="auto"/>
          <w:sz w:val="24"/>
          <w:szCs w:val="24"/>
          <w:highlight w:val="none"/>
          <w:lang w:val="en-US" w:eastAsia="zh-CN" w:bidi="ar-SA"/>
        </w:rPr>
        <w:t>十五、技术条款偏离表格式</w:t>
      </w:r>
    </w:p>
    <w:p w14:paraId="51CC18D2">
      <w:pPr>
        <w:autoSpaceDE w:val="0"/>
        <w:autoSpaceDN w:val="0"/>
        <w:adjustRightInd w:val="0"/>
        <w:spacing w:line="460" w:lineRule="exact"/>
        <w:jc w:val="center"/>
        <w:rPr>
          <w:rFonts w:hint="eastAsia" w:ascii="宋体" w:hAnsi="宋体" w:eastAsia="宋体" w:cs="宋体"/>
          <w:b/>
          <w:bCs/>
          <w:color w:val="auto"/>
          <w:sz w:val="24"/>
          <w:szCs w:val="24"/>
          <w:highlight w:val="none"/>
          <w:lang w:val="zh-CN"/>
        </w:rPr>
      </w:pPr>
    </w:p>
    <w:p w14:paraId="34CFFBC1">
      <w:pPr>
        <w:autoSpaceDE w:val="0"/>
        <w:autoSpaceDN w:val="0"/>
        <w:adjustRightInd w:val="0"/>
        <w:spacing w:line="460" w:lineRule="exact"/>
        <w:jc w:val="center"/>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技术条款偏离表</w:t>
      </w:r>
    </w:p>
    <w:tbl>
      <w:tblPr>
        <w:tblStyle w:val="33"/>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57"/>
        <w:gridCol w:w="2318"/>
        <w:gridCol w:w="2951"/>
        <w:gridCol w:w="1930"/>
        <w:gridCol w:w="1404"/>
      </w:tblGrid>
      <w:tr w14:paraId="74158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0" w:hRule="atLeast"/>
          <w:jc w:val="center"/>
        </w:trPr>
        <w:tc>
          <w:tcPr>
            <w:tcW w:w="9360" w:type="dxa"/>
            <w:gridSpan w:val="5"/>
            <w:tcBorders>
              <w:top w:val="nil"/>
              <w:left w:val="nil"/>
              <w:bottom w:val="single" w:color="auto" w:sz="4" w:space="0"/>
              <w:right w:val="nil"/>
            </w:tcBorders>
            <w:noWrap w:val="0"/>
            <w:vAlign w:val="center"/>
          </w:tcPr>
          <w:p w14:paraId="1AA83555">
            <w:pPr>
              <w:keepNext w:val="0"/>
              <w:keepLines w:val="0"/>
              <w:pageBreakBefore w:val="0"/>
              <w:widowControl/>
              <w:kinsoku/>
              <w:wordWrap/>
              <w:overflowPunct/>
              <w:topLinePunct w:val="0"/>
              <w:autoSpaceDE/>
              <w:autoSpaceDN/>
              <w:bidi w:val="0"/>
              <w:adjustRightInd w:val="0"/>
              <w:snapToGrid/>
              <w:spacing w:line="240" w:lineRule="auto"/>
              <w:jc w:val="left"/>
              <w:textAlignment w:val="baseline"/>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项目编号：</w:t>
            </w:r>
          </w:p>
          <w:p w14:paraId="648E1A02">
            <w:pPr>
              <w:pStyle w:val="39"/>
              <w:keepNext w:val="0"/>
              <w:keepLines w:val="0"/>
              <w:pageBreakBefore w:val="0"/>
              <w:widowControl/>
              <w:kinsoku/>
              <w:wordWrap/>
              <w:overflowPunct/>
              <w:topLinePunct w:val="0"/>
              <w:autoSpaceDE/>
              <w:autoSpaceDN/>
              <w:bidi w:val="0"/>
              <w:snapToGrid/>
              <w:spacing w:line="240" w:lineRule="auto"/>
              <w:ind w:left="0" w:leftChars="0" w:firstLine="0" w:firstLineChars="0"/>
              <w:rPr>
                <w:rFonts w:hint="default" w:eastAsia="宋体"/>
                <w:color w:val="auto"/>
                <w:highlight w:val="none"/>
                <w:lang w:val="en-US" w:eastAsia="zh-CN"/>
              </w:rPr>
            </w:pPr>
            <w:r>
              <w:rPr>
                <w:rFonts w:hint="eastAsia" w:ascii="宋体" w:hAnsi="宋体" w:cs="宋体"/>
                <w:color w:val="auto"/>
                <w:spacing w:val="6"/>
                <w:sz w:val="24"/>
                <w:szCs w:val="24"/>
                <w:highlight w:val="none"/>
                <w:lang w:val="en-US" w:eastAsia="zh-CN"/>
              </w:rPr>
              <w:t>采购包号:</w:t>
            </w:r>
          </w:p>
          <w:p w14:paraId="472F825D">
            <w:pPr>
              <w:jc w:val="left"/>
              <w:rPr>
                <w:rFonts w:hint="eastAsia" w:ascii="宋体" w:hAnsi="宋体" w:eastAsia="宋体" w:cs="宋体"/>
                <w:color w:val="auto"/>
                <w:spacing w:val="6"/>
                <w:sz w:val="24"/>
                <w:szCs w:val="24"/>
                <w:highlight w:val="none"/>
                <w:lang w:val="zh-CN" w:eastAsia="zh-CN"/>
              </w:rPr>
            </w:pPr>
            <w:r>
              <w:rPr>
                <w:rFonts w:hint="eastAsia" w:ascii="宋体" w:hAnsi="宋体" w:eastAsia="宋体" w:cs="宋体"/>
                <w:color w:val="auto"/>
                <w:spacing w:val="6"/>
                <w:sz w:val="24"/>
                <w:szCs w:val="24"/>
                <w:highlight w:val="none"/>
                <w:lang w:val="zh-CN"/>
              </w:rPr>
              <w:t>项目名称：</w:t>
            </w:r>
          </w:p>
        </w:tc>
      </w:tr>
      <w:tr w14:paraId="13DF4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7"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107ACA35">
            <w:pPr>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序号</w:t>
            </w:r>
          </w:p>
        </w:tc>
        <w:tc>
          <w:tcPr>
            <w:tcW w:w="2318" w:type="dxa"/>
            <w:tcBorders>
              <w:top w:val="single" w:color="auto" w:sz="4" w:space="0"/>
              <w:left w:val="single" w:color="auto" w:sz="4" w:space="0"/>
              <w:bottom w:val="single" w:color="auto" w:sz="4" w:space="0"/>
              <w:right w:val="single" w:color="auto" w:sz="4" w:space="0"/>
            </w:tcBorders>
            <w:noWrap w:val="0"/>
            <w:vAlign w:val="center"/>
          </w:tcPr>
          <w:p w14:paraId="6C835EC1">
            <w:pPr>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采购文件条目号</w:t>
            </w:r>
          </w:p>
        </w:tc>
        <w:tc>
          <w:tcPr>
            <w:tcW w:w="2951" w:type="dxa"/>
            <w:tcBorders>
              <w:top w:val="single" w:color="auto" w:sz="4" w:space="0"/>
              <w:left w:val="single" w:color="auto" w:sz="4" w:space="0"/>
              <w:bottom w:val="single" w:color="auto" w:sz="4" w:space="0"/>
              <w:right w:val="single" w:color="auto" w:sz="4" w:space="0"/>
            </w:tcBorders>
            <w:noWrap w:val="0"/>
            <w:vAlign w:val="center"/>
          </w:tcPr>
          <w:p w14:paraId="1D8B034E">
            <w:pPr>
              <w:jc w:val="center"/>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招标要求规格</w:t>
            </w:r>
          </w:p>
        </w:tc>
        <w:tc>
          <w:tcPr>
            <w:tcW w:w="1930" w:type="dxa"/>
            <w:tcBorders>
              <w:top w:val="single" w:color="auto" w:sz="4" w:space="0"/>
              <w:left w:val="single" w:color="auto" w:sz="4" w:space="0"/>
              <w:bottom w:val="single" w:color="auto" w:sz="4" w:space="0"/>
              <w:right w:val="single" w:color="auto" w:sz="4" w:space="0"/>
            </w:tcBorders>
            <w:noWrap w:val="0"/>
            <w:vAlign w:val="center"/>
          </w:tcPr>
          <w:p w14:paraId="0A8A5CD2">
            <w:pPr>
              <w:ind w:firstLine="504" w:firstLineChars="200"/>
              <w:jc w:val="both"/>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投标响应</w:t>
            </w:r>
          </w:p>
        </w:tc>
        <w:tc>
          <w:tcPr>
            <w:tcW w:w="1404" w:type="dxa"/>
            <w:tcBorders>
              <w:top w:val="single" w:color="auto" w:sz="4" w:space="0"/>
              <w:left w:val="single" w:color="auto" w:sz="4" w:space="0"/>
              <w:bottom w:val="single" w:color="auto" w:sz="4" w:space="0"/>
              <w:right w:val="single" w:color="auto" w:sz="4" w:space="0"/>
            </w:tcBorders>
            <w:noWrap w:val="0"/>
            <w:vAlign w:val="center"/>
          </w:tcPr>
          <w:p w14:paraId="70746E7F">
            <w:pPr>
              <w:ind w:firstLine="504" w:firstLineChars="200"/>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偏离</w:t>
            </w:r>
          </w:p>
        </w:tc>
      </w:tr>
      <w:tr w14:paraId="4B69E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237005B">
            <w:pPr>
              <w:ind w:firstLine="504" w:firstLineChars="200"/>
              <w:jc w:val="left"/>
              <w:rPr>
                <w:rFonts w:hint="eastAsia" w:ascii="宋体" w:hAnsi="宋体" w:eastAsia="宋体" w:cs="宋体"/>
                <w:color w:val="auto"/>
                <w:spacing w:val="6"/>
                <w:sz w:val="24"/>
                <w:szCs w:val="24"/>
                <w:highlight w:val="none"/>
                <w:lang w:val="zh-CN"/>
              </w:rPr>
            </w:pPr>
          </w:p>
        </w:tc>
        <w:tc>
          <w:tcPr>
            <w:tcW w:w="2318" w:type="dxa"/>
            <w:tcBorders>
              <w:top w:val="single" w:color="auto" w:sz="4" w:space="0"/>
              <w:left w:val="single" w:color="auto" w:sz="4" w:space="0"/>
              <w:bottom w:val="single" w:color="auto" w:sz="4" w:space="0"/>
              <w:right w:val="single" w:color="auto" w:sz="4" w:space="0"/>
            </w:tcBorders>
            <w:noWrap w:val="0"/>
            <w:vAlign w:val="center"/>
          </w:tcPr>
          <w:p w14:paraId="7BC7E2F1">
            <w:pPr>
              <w:ind w:firstLine="504" w:firstLineChars="200"/>
              <w:jc w:val="left"/>
              <w:rPr>
                <w:rFonts w:hint="eastAsia" w:ascii="宋体" w:hAnsi="宋体" w:eastAsia="宋体" w:cs="宋体"/>
                <w:color w:val="auto"/>
                <w:spacing w:val="6"/>
                <w:sz w:val="24"/>
                <w:szCs w:val="24"/>
                <w:highlight w:val="none"/>
                <w:lang w:val="zh-CN"/>
              </w:rPr>
            </w:pPr>
          </w:p>
        </w:tc>
        <w:tc>
          <w:tcPr>
            <w:tcW w:w="2951" w:type="dxa"/>
            <w:tcBorders>
              <w:top w:val="single" w:color="auto" w:sz="4" w:space="0"/>
              <w:left w:val="single" w:color="auto" w:sz="4" w:space="0"/>
              <w:bottom w:val="single" w:color="auto" w:sz="4" w:space="0"/>
              <w:right w:val="single" w:color="auto" w:sz="4" w:space="0"/>
            </w:tcBorders>
            <w:noWrap w:val="0"/>
            <w:vAlign w:val="center"/>
          </w:tcPr>
          <w:p w14:paraId="3B90A49C">
            <w:pPr>
              <w:ind w:firstLine="504" w:firstLineChars="200"/>
              <w:jc w:val="left"/>
              <w:rPr>
                <w:rFonts w:hint="eastAsia" w:ascii="宋体" w:hAnsi="宋体" w:eastAsia="宋体" w:cs="宋体"/>
                <w:color w:val="auto"/>
                <w:spacing w:val="6"/>
                <w:sz w:val="24"/>
                <w:szCs w:val="24"/>
                <w:highlight w:val="none"/>
                <w:lang w:val="zh-CN"/>
              </w:rPr>
            </w:pPr>
          </w:p>
        </w:tc>
        <w:tc>
          <w:tcPr>
            <w:tcW w:w="1930" w:type="dxa"/>
            <w:tcBorders>
              <w:top w:val="single" w:color="auto" w:sz="4" w:space="0"/>
              <w:left w:val="single" w:color="auto" w:sz="4" w:space="0"/>
              <w:bottom w:val="single" w:color="auto" w:sz="4" w:space="0"/>
              <w:right w:val="single" w:color="auto" w:sz="4" w:space="0"/>
            </w:tcBorders>
            <w:noWrap w:val="0"/>
            <w:vAlign w:val="center"/>
          </w:tcPr>
          <w:p w14:paraId="0370A04D">
            <w:pPr>
              <w:ind w:firstLine="504" w:firstLineChars="200"/>
              <w:jc w:val="left"/>
              <w:rPr>
                <w:rFonts w:hint="eastAsia" w:ascii="宋体" w:hAnsi="宋体" w:eastAsia="宋体" w:cs="宋体"/>
                <w:color w:val="auto"/>
                <w:spacing w:val="6"/>
                <w:sz w:val="24"/>
                <w:szCs w:val="24"/>
                <w:highlight w:val="none"/>
                <w:lang w:val="zh-CN"/>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4F42033F">
            <w:pPr>
              <w:ind w:firstLine="504" w:firstLineChars="200"/>
              <w:jc w:val="left"/>
              <w:rPr>
                <w:rFonts w:hint="eastAsia" w:ascii="宋体" w:hAnsi="宋体" w:eastAsia="宋体" w:cs="宋体"/>
                <w:color w:val="auto"/>
                <w:spacing w:val="6"/>
                <w:sz w:val="24"/>
                <w:szCs w:val="24"/>
                <w:highlight w:val="none"/>
                <w:lang w:val="zh-CN"/>
              </w:rPr>
            </w:pPr>
          </w:p>
        </w:tc>
      </w:tr>
      <w:tr w14:paraId="60A5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66682AF1">
            <w:pPr>
              <w:ind w:firstLine="504" w:firstLineChars="200"/>
              <w:jc w:val="left"/>
              <w:rPr>
                <w:rFonts w:hint="eastAsia" w:ascii="宋体" w:hAnsi="宋体" w:eastAsia="宋体" w:cs="宋体"/>
                <w:color w:val="auto"/>
                <w:spacing w:val="6"/>
                <w:sz w:val="24"/>
                <w:szCs w:val="24"/>
                <w:highlight w:val="none"/>
                <w:lang w:val="zh-CN"/>
              </w:rPr>
            </w:pPr>
          </w:p>
        </w:tc>
        <w:tc>
          <w:tcPr>
            <w:tcW w:w="2318" w:type="dxa"/>
            <w:tcBorders>
              <w:top w:val="single" w:color="auto" w:sz="4" w:space="0"/>
              <w:left w:val="single" w:color="auto" w:sz="4" w:space="0"/>
              <w:bottom w:val="single" w:color="auto" w:sz="4" w:space="0"/>
              <w:right w:val="single" w:color="auto" w:sz="4" w:space="0"/>
            </w:tcBorders>
            <w:noWrap w:val="0"/>
            <w:vAlign w:val="center"/>
          </w:tcPr>
          <w:p w14:paraId="50A326CE">
            <w:pPr>
              <w:ind w:firstLine="504" w:firstLineChars="200"/>
              <w:jc w:val="left"/>
              <w:rPr>
                <w:rFonts w:hint="eastAsia" w:ascii="宋体" w:hAnsi="宋体" w:eastAsia="宋体" w:cs="宋体"/>
                <w:color w:val="auto"/>
                <w:spacing w:val="6"/>
                <w:sz w:val="24"/>
                <w:szCs w:val="24"/>
                <w:highlight w:val="none"/>
                <w:lang w:val="zh-CN"/>
              </w:rPr>
            </w:pPr>
          </w:p>
        </w:tc>
        <w:tc>
          <w:tcPr>
            <w:tcW w:w="2951" w:type="dxa"/>
            <w:tcBorders>
              <w:top w:val="single" w:color="auto" w:sz="4" w:space="0"/>
              <w:left w:val="single" w:color="auto" w:sz="4" w:space="0"/>
              <w:bottom w:val="single" w:color="auto" w:sz="4" w:space="0"/>
              <w:right w:val="single" w:color="auto" w:sz="4" w:space="0"/>
            </w:tcBorders>
            <w:noWrap w:val="0"/>
            <w:vAlign w:val="center"/>
          </w:tcPr>
          <w:p w14:paraId="07A6CB33">
            <w:pPr>
              <w:ind w:firstLine="504" w:firstLineChars="200"/>
              <w:jc w:val="left"/>
              <w:rPr>
                <w:rFonts w:hint="eastAsia" w:ascii="宋体" w:hAnsi="宋体" w:eastAsia="宋体" w:cs="宋体"/>
                <w:color w:val="auto"/>
                <w:spacing w:val="6"/>
                <w:sz w:val="24"/>
                <w:szCs w:val="24"/>
                <w:highlight w:val="none"/>
                <w:lang w:val="zh-CN"/>
              </w:rPr>
            </w:pPr>
          </w:p>
        </w:tc>
        <w:tc>
          <w:tcPr>
            <w:tcW w:w="1930" w:type="dxa"/>
            <w:tcBorders>
              <w:top w:val="single" w:color="auto" w:sz="4" w:space="0"/>
              <w:left w:val="single" w:color="auto" w:sz="4" w:space="0"/>
              <w:bottom w:val="single" w:color="auto" w:sz="4" w:space="0"/>
              <w:right w:val="single" w:color="auto" w:sz="4" w:space="0"/>
            </w:tcBorders>
            <w:noWrap w:val="0"/>
            <w:vAlign w:val="center"/>
          </w:tcPr>
          <w:p w14:paraId="121D86D0">
            <w:pPr>
              <w:ind w:firstLine="504" w:firstLineChars="200"/>
              <w:jc w:val="left"/>
              <w:rPr>
                <w:rFonts w:hint="eastAsia" w:ascii="宋体" w:hAnsi="宋体" w:eastAsia="宋体" w:cs="宋体"/>
                <w:color w:val="auto"/>
                <w:spacing w:val="6"/>
                <w:sz w:val="24"/>
                <w:szCs w:val="24"/>
                <w:highlight w:val="none"/>
                <w:lang w:val="zh-CN"/>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40D4444D">
            <w:pPr>
              <w:ind w:firstLine="504" w:firstLineChars="200"/>
              <w:jc w:val="left"/>
              <w:rPr>
                <w:rFonts w:hint="eastAsia" w:ascii="宋体" w:hAnsi="宋体" w:eastAsia="宋体" w:cs="宋体"/>
                <w:color w:val="auto"/>
                <w:spacing w:val="6"/>
                <w:sz w:val="24"/>
                <w:szCs w:val="24"/>
                <w:highlight w:val="none"/>
                <w:lang w:val="zh-CN"/>
              </w:rPr>
            </w:pPr>
          </w:p>
        </w:tc>
      </w:tr>
      <w:tr w14:paraId="6A098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3E0A21E0">
            <w:pPr>
              <w:ind w:firstLine="504" w:firstLineChars="200"/>
              <w:jc w:val="left"/>
              <w:rPr>
                <w:rFonts w:hint="eastAsia" w:ascii="宋体" w:hAnsi="宋体" w:eastAsia="宋体" w:cs="宋体"/>
                <w:color w:val="auto"/>
                <w:spacing w:val="6"/>
                <w:sz w:val="24"/>
                <w:szCs w:val="24"/>
                <w:highlight w:val="none"/>
                <w:lang w:val="zh-CN"/>
              </w:rPr>
            </w:pPr>
          </w:p>
        </w:tc>
        <w:tc>
          <w:tcPr>
            <w:tcW w:w="2318" w:type="dxa"/>
            <w:tcBorders>
              <w:top w:val="single" w:color="auto" w:sz="4" w:space="0"/>
              <w:left w:val="single" w:color="auto" w:sz="4" w:space="0"/>
              <w:bottom w:val="single" w:color="auto" w:sz="4" w:space="0"/>
              <w:right w:val="single" w:color="auto" w:sz="4" w:space="0"/>
            </w:tcBorders>
            <w:noWrap w:val="0"/>
            <w:vAlign w:val="center"/>
          </w:tcPr>
          <w:p w14:paraId="2113AD2E">
            <w:pPr>
              <w:ind w:firstLine="504" w:firstLineChars="200"/>
              <w:jc w:val="left"/>
              <w:rPr>
                <w:rFonts w:hint="eastAsia" w:ascii="宋体" w:hAnsi="宋体" w:eastAsia="宋体" w:cs="宋体"/>
                <w:color w:val="auto"/>
                <w:spacing w:val="6"/>
                <w:sz w:val="24"/>
                <w:szCs w:val="24"/>
                <w:highlight w:val="none"/>
                <w:lang w:val="zh-CN"/>
              </w:rPr>
            </w:pPr>
          </w:p>
        </w:tc>
        <w:tc>
          <w:tcPr>
            <w:tcW w:w="2951" w:type="dxa"/>
            <w:tcBorders>
              <w:top w:val="single" w:color="auto" w:sz="4" w:space="0"/>
              <w:left w:val="single" w:color="auto" w:sz="4" w:space="0"/>
              <w:bottom w:val="single" w:color="auto" w:sz="4" w:space="0"/>
              <w:right w:val="single" w:color="auto" w:sz="4" w:space="0"/>
            </w:tcBorders>
            <w:noWrap w:val="0"/>
            <w:vAlign w:val="center"/>
          </w:tcPr>
          <w:p w14:paraId="39489695">
            <w:pPr>
              <w:ind w:firstLine="504" w:firstLineChars="200"/>
              <w:jc w:val="left"/>
              <w:rPr>
                <w:rFonts w:hint="eastAsia" w:ascii="宋体" w:hAnsi="宋体" w:eastAsia="宋体" w:cs="宋体"/>
                <w:color w:val="auto"/>
                <w:spacing w:val="6"/>
                <w:sz w:val="24"/>
                <w:szCs w:val="24"/>
                <w:highlight w:val="none"/>
                <w:lang w:val="zh-CN"/>
              </w:rPr>
            </w:pPr>
          </w:p>
        </w:tc>
        <w:tc>
          <w:tcPr>
            <w:tcW w:w="1930" w:type="dxa"/>
            <w:tcBorders>
              <w:top w:val="single" w:color="auto" w:sz="4" w:space="0"/>
              <w:left w:val="single" w:color="auto" w:sz="4" w:space="0"/>
              <w:bottom w:val="single" w:color="auto" w:sz="4" w:space="0"/>
              <w:right w:val="single" w:color="auto" w:sz="4" w:space="0"/>
            </w:tcBorders>
            <w:noWrap w:val="0"/>
            <w:vAlign w:val="center"/>
          </w:tcPr>
          <w:p w14:paraId="6F1935FD">
            <w:pPr>
              <w:ind w:firstLine="504" w:firstLineChars="200"/>
              <w:jc w:val="left"/>
              <w:rPr>
                <w:rFonts w:hint="eastAsia" w:ascii="宋体" w:hAnsi="宋体" w:eastAsia="宋体" w:cs="宋体"/>
                <w:color w:val="auto"/>
                <w:spacing w:val="6"/>
                <w:sz w:val="24"/>
                <w:szCs w:val="24"/>
                <w:highlight w:val="none"/>
                <w:lang w:val="zh-CN"/>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64CC58CC">
            <w:pPr>
              <w:ind w:firstLine="504" w:firstLineChars="200"/>
              <w:jc w:val="left"/>
              <w:rPr>
                <w:rFonts w:hint="eastAsia" w:ascii="宋体" w:hAnsi="宋体" w:eastAsia="宋体" w:cs="宋体"/>
                <w:color w:val="auto"/>
                <w:spacing w:val="6"/>
                <w:sz w:val="24"/>
                <w:szCs w:val="24"/>
                <w:highlight w:val="none"/>
                <w:lang w:val="zh-CN"/>
              </w:rPr>
            </w:pPr>
          </w:p>
        </w:tc>
      </w:tr>
      <w:tr w14:paraId="487C3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29AD3A4C">
            <w:pPr>
              <w:ind w:firstLine="504" w:firstLineChars="200"/>
              <w:jc w:val="left"/>
              <w:rPr>
                <w:rFonts w:hint="eastAsia" w:ascii="宋体" w:hAnsi="宋体" w:eastAsia="宋体" w:cs="宋体"/>
                <w:color w:val="auto"/>
                <w:spacing w:val="6"/>
                <w:sz w:val="24"/>
                <w:szCs w:val="24"/>
                <w:highlight w:val="none"/>
                <w:lang w:val="zh-CN"/>
              </w:rPr>
            </w:pPr>
          </w:p>
        </w:tc>
        <w:tc>
          <w:tcPr>
            <w:tcW w:w="2318" w:type="dxa"/>
            <w:tcBorders>
              <w:top w:val="single" w:color="auto" w:sz="4" w:space="0"/>
              <w:left w:val="single" w:color="auto" w:sz="4" w:space="0"/>
              <w:bottom w:val="single" w:color="auto" w:sz="4" w:space="0"/>
              <w:right w:val="single" w:color="auto" w:sz="4" w:space="0"/>
            </w:tcBorders>
            <w:noWrap w:val="0"/>
            <w:vAlign w:val="center"/>
          </w:tcPr>
          <w:p w14:paraId="37190F00">
            <w:pPr>
              <w:ind w:firstLine="504" w:firstLineChars="200"/>
              <w:jc w:val="left"/>
              <w:rPr>
                <w:rFonts w:hint="eastAsia" w:ascii="宋体" w:hAnsi="宋体" w:eastAsia="宋体" w:cs="宋体"/>
                <w:color w:val="auto"/>
                <w:spacing w:val="6"/>
                <w:sz w:val="24"/>
                <w:szCs w:val="24"/>
                <w:highlight w:val="none"/>
                <w:lang w:val="zh-CN"/>
              </w:rPr>
            </w:pPr>
          </w:p>
        </w:tc>
        <w:tc>
          <w:tcPr>
            <w:tcW w:w="2951" w:type="dxa"/>
            <w:tcBorders>
              <w:top w:val="single" w:color="auto" w:sz="4" w:space="0"/>
              <w:left w:val="single" w:color="auto" w:sz="4" w:space="0"/>
              <w:bottom w:val="single" w:color="auto" w:sz="4" w:space="0"/>
              <w:right w:val="single" w:color="auto" w:sz="4" w:space="0"/>
            </w:tcBorders>
            <w:noWrap w:val="0"/>
            <w:vAlign w:val="center"/>
          </w:tcPr>
          <w:p w14:paraId="7448C84F">
            <w:pPr>
              <w:ind w:firstLine="504" w:firstLineChars="200"/>
              <w:jc w:val="left"/>
              <w:rPr>
                <w:rFonts w:hint="eastAsia" w:ascii="宋体" w:hAnsi="宋体" w:eastAsia="宋体" w:cs="宋体"/>
                <w:color w:val="auto"/>
                <w:spacing w:val="6"/>
                <w:sz w:val="24"/>
                <w:szCs w:val="24"/>
                <w:highlight w:val="none"/>
                <w:lang w:val="zh-CN"/>
              </w:rPr>
            </w:pPr>
          </w:p>
        </w:tc>
        <w:tc>
          <w:tcPr>
            <w:tcW w:w="1930" w:type="dxa"/>
            <w:tcBorders>
              <w:top w:val="single" w:color="auto" w:sz="4" w:space="0"/>
              <w:left w:val="single" w:color="auto" w:sz="4" w:space="0"/>
              <w:bottom w:val="single" w:color="auto" w:sz="4" w:space="0"/>
              <w:right w:val="single" w:color="auto" w:sz="4" w:space="0"/>
            </w:tcBorders>
            <w:noWrap w:val="0"/>
            <w:vAlign w:val="center"/>
          </w:tcPr>
          <w:p w14:paraId="04CAE69F">
            <w:pPr>
              <w:ind w:firstLine="504" w:firstLineChars="200"/>
              <w:jc w:val="left"/>
              <w:rPr>
                <w:rFonts w:hint="eastAsia" w:ascii="宋体" w:hAnsi="宋体" w:eastAsia="宋体" w:cs="宋体"/>
                <w:color w:val="auto"/>
                <w:spacing w:val="6"/>
                <w:sz w:val="24"/>
                <w:szCs w:val="24"/>
                <w:highlight w:val="none"/>
                <w:lang w:val="zh-CN"/>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0E568E64">
            <w:pPr>
              <w:ind w:firstLine="504" w:firstLineChars="200"/>
              <w:jc w:val="left"/>
              <w:rPr>
                <w:rFonts w:hint="eastAsia" w:ascii="宋体" w:hAnsi="宋体" w:eastAsia="宋体" w:cs="宋体"/>
                <w:color w:val="auto"/>
                <w:spacing w:val="6"/>
                <w:sz w:val="24"/>
                <w:szCs w:val="24"/>
                <w:highlight w:val="none"/>
                <w:lang w:val="zh-CN"/>
              </w:rPr>
            </w:pPr>
          </w:p>
        </w:tc>
      </w:tr>
      <w:tr w14:paraId="15B85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3346661C">
            <w:pPr>
              <w:ind w:firstLine="504" w:firstLineChars="200"/>
              <w:jc w:val="left"/>
              <w:rPr>
                <w:rFonts w:hint="eastAsia" w:ascii="宋体" w:hAnsi="宋体" w:eastAsia="宋体" w:cs="宋体"/>
                <w:color w:val="auto"/>
                <w:spacing w:val="6"/>
                <w:sz w:val="24"/>
                <w:szCs w:val="24"/>
                <w:highlight w:val="none"/>
                <w:lang w:val="zh-CN"/>
              </w:rPr>
            </w:pPr>
          </w:p>
        </w:tc>
        <w:tc>
          <w:tcPr>
            <w:tcW w:w="2318" w:type="dxa"/>
            <w:tcBorders>
              <w:top w:val="single" w:color="auto" w:sz="4" w:space="0"/>
              <w:left w:val="single" w:color="auto" w:sz="4" w:space="0"/>
              <w:bottom w:val="single" w:color="auto" w:sz="4" w:space="0"/>
              <w:right w:val="single" w:color="auto" w:sz="4" w:space="0"/>
            </w:tcBorders>
            <w:noWrap w:val="0"/>
            <w:vAlign w:val="center"/>
          </w:tcPr>
          <w:p w14:paraId="05F420FB">
            <w:pPr>
              <w:ind w:firstLine="504" w:firstLineChars="200"/>
              <w:jc w:val="left"/>
              <w:rPr>
                <w:rFonts w:hint="eastAsia" w:ascii="宋体" w:hAnsi="宋体" w:eastAsia="宋体" w:cs="宋体"/>
                <w:color w:val="auto"/>
                <w:spacing w:val="6"/>
                <w:sz w:val="24"/>
                <w:szCs w:val="24"/>
                <w:highlight w:val="none"/>
                <w:lang w:val="zh-CN"/>
              </w:rPr>
            </w:pPr>
          </w:p>
        </w:tc>
        <w:tc>
          <w:tcPr>
            <w:tcW w:w="2951" w:type="dxa"/>
            <w:tcBorders>
              <w:top w:val="single" w:color="auto" w:sz="4" w:space="0"/>
              <w:left w:val="single" w:color="auto" w:sz="4" w:space="0"/>
              <w:bottom w:val="single" w:color="auto" w:sz="4" w:space="0"/>
              <w:right w:val="single" w:color="auto" w:sz="4" w:space="0"/>
            </w:tcBorders>
            <w:noWrap w:val="0"/>
            <w:vAlign w:val="center"/>
          </w:tcPr>
          <w:p w14:paraId="3A107E53">
            <w:pPr>
              <w:ind w:firstLine="504" w:firstLineChars="200"/>
              <w:jc w:val="left"/>
              <w:rPr>
                <w:rFonts w:hint="eastAsia" w:ascii="宋体" w:hAnsi="宋体" w:eastAsia="宋体" w:cs="宋体"/>
                <w:color w:val="auto"/>
                <w:spacing w:val="6"/>
                <w:sz w:val="24"/>
                <w:szCs w:val="24"/>
                <w:highlight w:val="none"/>
                <w:lang w:val="zh-CN"/>
              </w:rPr>
            </w:pPr>
          </w:p>
        </w:tc>
        <w:tc>
          <w:tcPr>
            <w:tcW w:w="1930" w:type="dxa"/>
            <w:tcBorders>
              <w:top w:val="single" w:color="auto" w:sz="4" w:space="0"/>
              <w:left w:val="single" w:color="auto" w:sz="4" w:space="0"/>
              <w:bottom w:val="single" w:color="auto" w:sz="4" w:space="0"/>
              <w:right w:val="single" w:color="auto" w:sz="4" w:space="0"/>
            </w:tcBorders>
            <w:noWrap w:val="0"/>
            <w:vAlign w:val="center"/>
          </w:tcPr>
          <w:p w14:paraId="062B4B20">
            <w:pPr>
              <w:ind w:firstLine="504" w:firstLineChars="200"/>
              <w:jc w:val="left"/>
              <w:rPr>
                <w:rFonts w:hint="eastAsia" w:ascii="宋体" w:hAnsi="宋体" w:eastAsia="宋体" w:cs="宋体"/>
                <w:color w:val="auto"/>
                <w:spacing w:val="6"/>
                <w:sz w:val="24"/>
                <w:szCs w:val="24"/>
                <w:highlight w:val="none"/>
                <w:lang w:val="zh-CN"/>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36B55166">
            <w:pPr>
              <w:ind w:firstLine="504" w:firstLineChars="200"/>
              <w:jc w:val="left"/>
              <w:rPr>
                <w:rFonts w:hint="eastAsia" w:ascii="宋体" w:hAnsi="宋体" w:eastAsia="宋体" w:cs="宋体"/>
                <w:color w:val="auto"/>
                <w:spacing w:val="6"/>
                <w:sz w:val="24"/>
                <w:szCs w:val="24"/>
                <w:highlight w:val="none"/>
                <w:lang w:val="zh-CN"/>
              </w:rPr>
            </w:pPr>
          </w:p>
        </w:tc>
      </w:tr>
      <w:tr w14:paraId="033C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0"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77ED268C">
            <w:pPr>
              <w:ind w:firstLine="504" w:firstLineChars="200"/>
              <w:jc w:val="left"/>
              <w:rPr>
                <w:rFonts w:hint="eastAsia" w:ascii="宋体" w:hAnsi="宋体" w:eastAsia="宋体" w:cs="宋体"/>
                <w:color w:val="auto"/>
                <w:spacing w:val="6"/>
                <w:sz w:val="24"/>
                <w:szCs w:val="24"/>
                <w:highlight w:val="none"/>
                <w:lang w:val="zh-CN"/>
              </w:rPr>
            </w:pPr>
          </w:p>
        </w:tc>
        <w:tc>
          <w:tcPr>
            <w:tcW w:w="2318" w:type="dxa"/>
            <w:tcBorders>
              <w:top w:val="single" w:color="auto" w:sz="4" w:space="0"/>
              <w:left w:val="single" w:color="auto" w:sz="4" w:space="0"/>
              <w:bottom w:val="single" w:color="auto" w:sz="4" w:space="0"/>
              <w:right w:val="single" w:color="auto" w:sz="4" w:space="0"/>
            </w:tcBorders>
            <w:noWrap w:val="0"/>
            <w:vAlign w:val="center"/>
          </w:tcPr>
          <w:p w14:paraId="3C1825A5">
            <w:pPr>
              <w:ind w:firstLine="504" w:firstLineChars="200"/>
              <w:jc w:val="left"/>
              <w:rPr>
                <w:rFonts w:hint="eastAsia" w:ascii="宋体" w:hAnsi="宋体" w:eastAsia="宋体" w:cs="宋体"/>
                <w:color w:val="auto"/>
                <w:spacing w:val="6"/>
                <w:sz w:val="24"/>
                <w:szCs w:val="24"/>
                <w:highlight w:val="none"/>
                <w:lang w:val="zh-CN"/>
              </w:rPr>
            </w:pPr>
          </w:p>
        </w:tc>
        <w:tc>
          <w:tcPr>
            <w:tcW w:w="2951" w:type="dxa"/>
            <w:tcBorders>
              <w:top w:val="single" w:color="auto" w:sz="4" w:space="0"/>
              <w:left w:val="single" w:color="auto" w:sz="4" w:space="0"/>
              <w:bottom w:val="single" w:color="auto" w:sz="4" w:space="0"/>
              <w:right w:val="single" w:color="auto" w:sz="4" w:space="0"/>
            </w:tcBorders>
            <w:noWrap w:val="0"/>
            <w:vAlign w:val="center"/>
          </w:tcPr>
          <w:p w14:paraId="6ACAE268">
            <w:pPr>
              <w:ind w:firstLine="504" w:firstLineChars="200"/>
              <w:jc w:val="left"/>
              <w:rPr>
                <w:rFonts w:hint="eastAsia" w:ascii="宋体" w:hAnsi="宋体" w:eastAsia="宋体" w:cs="宋体"/>
                <w:color w:val="auto"/>
                <w:spacing w:val="6"/>
                <w:sz w:val="24"/>
                <w:szCs w:val="24"/>
                <w:highlight w:val="none"/>
                <w:lang w:val="zh-CN"/>
              </w:rPr>
            </w:pPr>
          </w:p>
        </w:tc>
        <w:tc>
          <w:tcPr>
            <w:tcW w:w="1930" w:type="dxa"/>
            <w:tcBorders>
              <w:top w:val="single" w:color="auto" w:sz="4" w:space="0"/>
              <w:left w:val="single" w:color="auto" w:sz="4" w:space="0"/>
              <w:bottom w:val="single" w:color="auto" w:sz="4" w:space="0"/>
              <w:right w:val="single" w:color="auto" w:sz="4" w:space="0"/>
            </w:tcBorders>
            <w:noWrap w:val="0"/>
            <w:vAlign w:val="center"/>
          </w:tcPr>
          <w:p w14:paraId="379B387F">
            <w:pPr>
              <w:ind w:firstLine="504" w:firstLineChars="200"/>
              <w:jc w:val="left"/>
              <w:rPr>
                <w:rFonts w:hint="eastAsia" w:ascii="宋体" w:hAnsi="宋体" w:eastAsia="宋体" w:cs="宋体"/>
                <w:color w:val="auto"/>
                <w:spacing w:val="6"/>
                <w:sz w:val="24"/>
                <w:szCs w:val="24"/>
                <w:highlight w:val="none"/>
                <w:lang w:val="zh-CN"/>
              </w:rPr>
            </w:pPr>
          </w:p>
        </w:tc>
        <w:tc>
          <w:tcPr>
            <w:tcW w:w="1404" w:type="dxa"/>
            <w:tcBorders>
              <w:top w:val="single" w:color="auto" w:sz="4" w:space="0"/>
              <w:left w:val="single" w:color="auto" w:sz="4" w:space="0"/>
              <w:bottom w:val="single" w:color="auto" w:sz="4" w:space="0"/>
              <w:right w:val="single" w:color="auto" w:sz="4" w:space="0"/>
            </w:tcBorders>
            <w:noWrap w:val="0"/>
            <w:vAlign w:val="center"/>
          </w:tcPr>
          <w:p w14:paraId="3D95BEF5">
            <w:pPr>
              <w:ind w:firstLine="504" w:firstLineChars="200"/>
              <w:jc w:val="left"/>
              <w:rPr>
                <w:rFonts w:hint="eastAsia" w:ascii="宋体" w:hAnsi="宋体" w:eastAsia="宋体" w:cs="宋体"/>
                <w:color w:val="auto"/>
                <w:spacing w:val="6"/>
                <w:sz w:val="24"/>
                <w:szCs w:val="24"/>
                <w:highlight w:val="none"/>
                <w:lang w:val="zh-CN"/>
              </w:rPr>
            </w:pPr>
          </w:p>
        </w:tc>
      </w:tr>
    </w:tbl>
    <w:p w14:paraId="4281EAF3">
      <w:pPr>
        <w:spacing w:line="360" w:lineRule="auto"/>
        <w:jc w:val="left"/>
        <w:rPr>
          <w:rFonts w:hint="eastAsia" w:ascii="宋体" w:hAnsi="宋体" w:eastAsia="宋体" w:cs="宋体"/>
          <w:color w:val="auto"/>
          <w:spacing w:val="6"/>
          <w:sz w:val="24"/>
          <w:szCs w:val="24"/>
          <w:highlight w:val="none"/>
          <w:lang w:val="en-US" w:eastAsia="zh-CN"/>
        </w:rPr>
      </w:pPr>
    </w:p>
    <w:p w14:paraId="3166365C">
      <w:pPr>
        <w:spacing w:line="360" w:lineRule="auto"/>
        <w:jc w:val="left"/>
        <w:rPr>
          <w:rFonts w:hint="eastAsia" w:ascii="宋体" w:hAnsi="宋体" w:eastAsia="宋体" w:cs="宋体"/>
          <w:color w:val="auto"/>
          <w:spacing w:val="6"/>
          <w:sz w:val="24"/>
          <w:szCs w:val="24"/>
          <w:highlight w:val="none"/>
          <w:lang w:val="en-US" w:eastAsia="zh-CN"/>
        </w:rPr>
      </w:pPr>
    </w:p>
    <w:p w14:paraId="0CD7A601">
      <w:pPr>
        <w:spacing w:line="360" w:lineRule="auto"/>
        <w:ind w:firstLine="504" w:firstLineChars="200"/>
        <w:jc w:val="left"/>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我方承诺，除上表所列内容外，我方完全响应本次采购文件技术条款要求。</w:t>
      </w:r>
    </w:p>
    <w:p w14:paraId="6ACFF6E5">
      <w:pPr>
        <w:spacing w:line="360" w:lineRule="auto"/>
        <w:ind w:firstLine="504" w:firstLineChars="200"/>
        <w:jc w:val="left"/>
        <w:rPr>
          <w:rFonts w:hint="eastAsia" w:ascii="宋体" w:hAnsi="宋体" w:eastAsia="宋体" w:cs="宋体"/>
          <w:color w:val="auto"/>
          <w:spacing w:val="6"/>
          <w:sz w:val="24"/>
          <w:szCs w:val="24"/>
          <w:highlight w:val="none"/>
          <w:lang w:val="zh-CN"/>
        </w:rPr>
      </w:pPr>
    </w:p>
    <w:p w14:paraId="766E9A01">
      <w:pPr>
        <w:spacing w:line="360" w:lineRule="auto"/>
        <w:ind w:firstLine="504" w:firstLineChars="200"/>
        <w:jc w:val="right"/>
        <w:rPr>
          <w:rFonts w:hint="eastAsia" w:ascii="宋体" w:hAnsi="宋体" w:eastAsia="宋体" w:cs="宋体"/>
          <w:color w:val="auto"/>
          <w:spacing w:val="6"/>
          <w:sz w:val="24"/>
          <w:szCs w:val="24"/>
          <w:highlight w:val="none"/>
          <w:lang w:val="zh-CN"/>
        </w:rPr>
      </w:pPr>
      <w:r>
        <w:rPr>
          <w:rFonts w:hint="eastAsia" w:ascii="宋体" w:hAnsi="宋体" w:cs="宋体"/>
          <w:color w:val="auto"/>
          <w:spacing w:val="6"/>
          <w:sz w:val="24"/>
          <w:szCs w:val="24"/>
          <w:highlight w:val="none"/>
          <w:lang w:val="zh-CN"/>
        </w:rPr>
        <w:t>投标人</w:t>
      </w:r>
      <w:r>
        <w:rPr>
          <w:rFonts w:hint="eastAsia" w:ascii="宋体" w:hAnsi="宋体" w:cs="宋体"/>
          <w:color w:val="auto"/>
          <w:spacing w:val="6"/>
          <w:sz w:val="24"/>
          <w:szCs w:val="24"/>
          <w:highlight w:val="none"/>
          <w:lang w:val="en-US" w:eastAsia="zh-CN"/>
        </w:rPr>
        <w:t>名称</w:t>
      </w:r>
      <w:r>
        <w:rPr>
          <w:rFonts w:hint="eastAsia" w:ascii="宋体" w:hAnsi="宋体" w:eastAsia="宋体" w:cs="宋体"/>
          <w:color w:val="auto"/>
          <w:spacing w:val="6"/>
          <w:sz w:val="24"/>
          <w:szCs w:val="24"/>
          <w:highlight w:val="none"/>
          <w:lang w:val="zh-CN"/>
        </w:rPr>
        <w:t>：（盖章）</w:t>
      </w:r>
    </w:p>
    <w:p w14:paraId="76D56FF2">
      <w:pPr>
        <w:spacing w:line="360" w:lineRule="auto"/>
        <w:ind w:firstLine="504" w:firstLineChars="200"/>
        <w:jc w:val="center"/>
        <w:rPr>
          <w:rFonts w:hint="eastAsia" w:ascii="宋体" w:hAnsi="宋体" w:eastAsia="宋体" w:cs="宋体"/>
          <w:color w:val="auto"/>
          <w:spacing w:val="6"/>
          <w:sz w:val="24"/>
          <w:szCs w:val="24"/>
          <w:highlight w:val="none"/>
          <w:lang w:val="zh-CN"/>
        </w:rPr>
      </w:pP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lang w:val="zh-CN"/>
        </w:rPr>
        <w:t>日期：</w:t>
      </w:r>
    </w:p>
    <w:p w14:paraId="37411D4B">
      <w:pPr>
        <w:spacing w:line="360" w:lineRule="exact"/>
        <w:ind w:firstLine="756" w:firstLineChars="3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pacing w:val="6"/>
          <w:sz w:val="24"/>
          <w:szCs w:val="24"/>
          <w:highlight w:val="none"/>
          <w:lang w:val="zh-CN"/>
        </w:rPr>
        <w:t>说明：如果行数不够，请自行增加。</w:t>
      </w:r>
    </w:p>
    <w:p w14:paraId="206F137E">
      <w:pPr>
        <w:autoSpaceDE w:val="0"/>
        <w:autoSpaceDN w:val="0"/>
        <w:adjustRightInd w:val="0"/>
        <w:spacing w:line="360" w:lineRule="auto"/>
        <w:jc w:val="left"/>
        <w:outlineLvl w:val="1"/>
        <w:rPr>
          <w:rFonts w:hint="eastAsia" w:ascii="宋体" w:hAnsi="宋体" w:eastAsia="宋体" w:cs="宋体"/>
          <w:b/>
          <w:bCs/>
          <w:color w:val="auto"/>
          <w:sz w:val="24"/>
          <w:szCs w:val="24"/>
          <w:highlight w:val="none"/>
        </w:rPr>
      </w:pPr>
    </w:p>
    <w:p w14:paraId="71F22ECF">
      <w:pPr>
        <w:autoSpaceDE w:val="0"/>
        <w:autoSpaceDN w:val="0"/>
        <w:adjustRightInd w:val="0"/>
        <w:spacing w:line="360" w:lineRule="auto"/>
        <w:jc w:val="left"/>
        <w:outlineLvl w:val="1"/>
        <w:rPr>
          <w:rFonts w:hint="eastAsia" w:ascii="宋体" w:hAnsi="宋体" w:eastAsia="宋体" w:cs="宋体"/>
          <w:b/>
          <w:bCs/>
          <w:color w:val="auto"/>
          <w:sz w:val="24"/>
          <w:szCs w:val="24"/>
          <w:highlight w:val="none"/>
        </w:rPr>
      </w:pPr>
    </w:p>
    <w:p w14:paraId="4D7D047F">
      <w:pPr>
        <w:autoSpaceDE w:val="0"/>
        <w:autoSpaceDN w:val="0"/>
        <w:adjustRightInd w:val="0"/>
        <w:spacing w:line="360" w:lineRule="auto"/>
        <w:jc w:val="left"/>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十六、南京市政府采购</w:t>
      </w:r>
      <w:r>
        <w:rPr>
          <w:rFonts w:hint="eastAsia" w:ascii="宋体" w:hAnsi="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信用记录表暨信用承诺书（附件）</w:t>
      </w:r>
    </w:p>
    <w:tbl>
      <w:tblPr>
        <w:tblStyle w:val="33"/>
        <w:tblW w:w="9524" w:type="dxa"/>
        <w:tblInd w:w="257" w:type="dxa"/>
        <w:tblLayout w:type="fixed"/>
        <w:tblCellMar>
          <w:top w:w="0" w:type="dxa"/>
          <w:left w:w="108" w:type="dxa"/>
          <w:bottom w:w="0" w:type="dxa"/>
          <w:right w:w="108" w:type="dxa"/>
        </w:tblCellMar>
      </w:tblPr>
      <w:tblGrid>
        <w:gridCol w:w="1718"/>
        <w:gridCol w:w="2546"/>
        <w:gridCol w:w="2837"/>
        <w:gridCol w:w="2423"/>
      </w:tblGrid>
      <w:tr w14:paraId="7D9AF394">
        <w:tblPrEx>
          <w:tblCellMar>
            <w:top w:w="0" w:type="dxa"/>
            <w:left w:w="108" w:type="dxa"/>
            <w:bottom w:w="0" w:type="dxa"/>
            <w:right w:w="108" w:type="dxa"/>
          </w:tblCellMar>
        </w:tblPrEx>
        <w:trPr>
          <w:trHeight w:val="522" w:hRule="atLeast"/>
        </w:trPr>
        <w:tc>
          <w:tcPr>
            <w:tcW w:w="9524" w:type="dxa"/>
            <w:gridSpan w:val="4"/>
            <w:noWrap w:val="0"/>
            <w:tcMar>
              <w:top w:w="15" w:type="dxa"/>
              <w:left w:w="15" w:type="dxa"/>
              <w:bottom w:w="15" w:type="dxa"/>
              <w:right w:w="15" w:type="dxa"/>
            </w:tcMar>
            <w:vAlign w:val="center"/>
          </w:tcPr>
          <w:p w14:paraId="11A6FE2D">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南京市政府采购</w:t>
            </w:r>
            <w:r>
              <w:rPr>
                <w:rFonts w:hint="eastAsia" w:ascii="宋体" w:hAnsi="宋体" w:cs="宋体"/>
                <w:color w:val="auto"/>
                <w:kern w:val="0"/>
                <w:sz w:val="24"/>
                <w:szCs w:val="24"/>
                <w:highlight w:val="none"/>
                <w:lang w:eastAsia="zh-CN" w:bidi="ar"/>
              </w:rPr>
              <w:t>投标人</w:t>
            </w:r>
            <w:r>
              <w:rPr>
                <w:rFonts w:hint="eastAsia" w:ascii="宋体" w:hAnsi="宋体" w:eastAsia="宋体" w:cs="宋体"/>
                <w:color w:val="auto"/>
                <w:kern w:val="0"/>
                <w:sz w:val="24"/>
                <w:szCs w:val="24"/>
                <w:highlight w:val="none"/>
                <w:lang w:bidi="ar"/>
              </w:rPr>
              <w:t>信用记录表暨信用承诺书（附件）</w:t>
            </w:r>
          </w:p>
        </w:tc>
      </w:tr>
      <w:tr w14:paraId="7E7BFA6F">
        <w:tblPrEx>
          <w:tblCellMar>
            <w:top w:w="0" w:type="dxa"/>
            <w:left w:w="108" w:type="dxa"/>
            <w:bottom w:w="0" w:type="dxa"/>
            <w:right w:w="108" w:type="dxa"/>
          </w:tblCellMar>
        </w:tblPrEx>
        <w:trPr>
          <w:trHeight w:val="818" w:hRule="atLeast"/>
        </w:trPr>
        <w:tc>
          <w:tcPr>
            <w:tcW w:w="9524" w:type="dxa"/>
            <w:gridSpan w:val="4"/>
            <w:noWrap w:val="0"/>
            <w:tcMar>
              <w:top w:w="15" w:type="dxa"/>
              <w:left w:w="15" w:type="dxa"/>
              <w:bottom w:w="15" w:type="dxa"/>
              <w:right w:w="15" w:type="dxa"/>
            </w:tcMar>
            <w:vAlign w:val="center"/>
          </w:tcPr>
          <w:p w14:paraId="378D77CF">
            <w:pPr>
              <w:jc w:val="left"/>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（仅为示范格式，直接填写无效，需至“南京政府采购</w:t>
            </w:r>
            <w:r>
              <w:rPr>
                <w:rFonts w:hint="eastAsia" w:ascii="宋体" w:hAnsi="宋体" w:cs="宋体"/>
                <w:b/>
                <w:bCs/>
                <w:color w:val="auto"/>
                <w:kern w:val="0"/>
                <w:sz w:val="24"/>
                <w:szCs w:val="24"/>
                <w:highlight w:val="none"/>
                <w:lang w:eastAsia="zh-CN" w:bidi="ar"/>
              </w:rPr>
              <w:t>投标人</w:t>
            </w:r>
            <w:r>
              <w:rPr>
                <w:rFonts w:hint="eastAsia" w:ascii="宋体" w:hAnsi="宋体" w:eastAsia="宋体" w:cs="宋体"/>
                <w:b/>
                <w:bCs/>
                <w:color w:val="auto"/>
                <w:kern w:val="0"/>
                <w:sz w:val="24"/>
                <w:szCs w:val="24"/>
                <w:highlight w:val="none"/>
                <w:lang w:bidi="ar"/>
              </w:rPr>
              <w:t>诚信档案管理系统”在线打印）</w:t>
            </w:r>
          </w:p>
        </w:tc>
      </w:tr>
      <w:tr w14:paraId="5314A019">
        <w:tblPrEx>
          <w:tblCellMar>
            <w:top w:w="0" w:type="dxa"/>
            <w:left w:w="108" w:type="dxa"/>
            <w:bottom w:w="0" w:type="dxa"/>
            <w:right w:w="108" w:type="dxa"/>
          </w:tblCellMar>
        </w:tblPrEx>
        <w:trPr>
          <w:trHeight w:val="521" w:hRule="atLeast"/>
        </w:trPr>
        <w:tc>
          <w:tcPr>
            <w:tcW w:w="1718" w:type="dxa"/>
            <w:tcBorders>
              <w:top w:val="single" w:color="000000" w:sz="18" w:space="0"/>
              <w:left w:val="single" w:color="000000" w:sz="18" w:space="0"/>
              <w:bottom w:val="single" w:color="000000" w:sz="4" w:space="0"/>
              <w:right w:val="single" w:color="000000" w:sz="4" w:space="0"/>
            </w:tcBorders>
            <w:noWrap w:val="0"/>
            <w:tcMar>
              <w:top w:w="15" w:type="dxa"/>
              <w:left w:w="15" w:type="dxa"/>
              <w:bottom w:w="15" w:type="dxa"/>
              <w:right w:w="15" w:type="dxa"/>
            </w:tcMar>
            <w:vAlign w:val="center"/>
          </w:tcPr>
          <w:p w14:paraId="51D26DE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单位名称</w:t>
            </w:r>
          </w:p>
        </w:tc>
        <w:tc>
          <w:tcPr>
            <w:tcW w:w="2546" w:type="dxa"/>
            <w:tcBorders>
              <w:top w:val="single" w:color="000000" w:sz="18"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0A831D87">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color w:val="auto"/>
                <w:sz w:val="24"/>
                <w:szCs w:val="24"/>
                <w:highlight w:val="none"/>
              </w:rPr>
            </w:pPr>
          </w:p>
        </w:tc>
        <w:tc>
          <w:tcPr>
            <w:tcW w:w="2837" w:type="dxa"/>
            <w:tcBorders>
              <w:top w:val="single" w:color="000000" w:sz="18"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3AF9757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统一社会信用代码</w:t>
            </w:r>
          </w:p>
        </w:tc>
        <w:tc>
          <w:tcPr>
            <w:tcW w:w="2423" w:type="dxa"/>
            <w:tcBorders>
              <w:top w:val="single" w:color="000000" w:sz="18" w:space="0"/>
              <w:left w:val="single" w:color="000000" w:sz="4" w:space="0"/>
              <w:bottom w:val="single" w:color="000000" w:sz="4" w:space="0"/>
              <w:right w:val="single" w:color="000000" w:sz="18" w:space="0"/>
            </w:tcBorders>
            <w:noWrap w:val="0"/>
            <w:tcMar>
              <w:top w:w="15" w:type="dxa"/>
              <w:left w:w="15" w:type="dxa"/>
              <w:bottom w:w="15" w:type="dxa"/>
              <w:right w:w="15" w:type="dxa"/>
            </w:tcMar>
            <w:vAlign w:val="center"/>
          </w:tcPr>
          <w:p w14:paraId="55211213">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color w:val="auto"/>
                <w:sz w:val="24"/>
                <w:szCs w:val="24"/>
                <w:highlight w:val="none"/>
              </w:rPr>
            </w:pPr>
          </w:p>
        </w:tc>
      </w:tr>
      <w:tr w14:paraId="6207A609">
        <w:tblPrEx>
          <w:tblCellMar>
            <w:top w:w="0" w:type="dxa"/>
            <w:left w:w="108" w:type="dxa"/>
            <w:bottom w:w="0" w:type="dxa"/>
            <w:right w:w="108" w:type="dxa"/>
          </w:tblCellMar>
        </w:tblPrEx>
        <w:trPr>
          <w:trHeight w:val="490" w:hRule="atLeast"/>
        </w:trPr>
        <w:tc>
          <w:tcPr>
            <w:tcW w:w="1718" w:type="dxa"/>
            <w:tcBorders>
              <w:top w:val="single" w:color="000000" w:sz="4" w:space="0"/>
              <w:left w:val="single" w:color="000000" w:sz="18" w:space="0"/>
              <w:bottom w:val="single" w:color="000000" w:sz="4" w:space="0"/>
              <w:right w:val="single" w:color="000000" w:sz="4" w:space="0"/>
            </w:tcBorders>
            <w:noWrap w:val="0"/>
            <w:tcMar>
              <w:top w:w="15" w:type="dxa"/>
              <w:left w:w="15" w:type="dxa"/>
              <w:bottom w:w="15" w:type="dxa"/>
              <w:right w:w="15" w:type="dxa"/>
            </w:tcMar>
            <w:vAlign w:val="center"/>
          </w:tcPr>
          <w:p w14:paraId="265FE501">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法定代表人</w:t>
            </w:r>
          </w:p>
        </w:tc>
        <w:tc>
          <w:tcPr>
            <w:tcW w:w="254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67C8675">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color w:val="auto"/>
                <w:sz w:val="24"/>
                <w:szCs w:val="24"/>
                <w:highlight w:val="none"/>
              </w:rPr>
            </w:pPr>
          </w:p>
        </w:tc>
        <w:tc>
          <w:tcPr>
            <w:tcW w:w="283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48E5BA5C">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联系人</w:t>
            </w:r>
          </w:p>
        </w:tc>
        <w:tc>
          <w:tcPr>
            <w:tcW w:w="2423" w:type="dxa"/>
            <w:tcBorders>
              <w:top w:val="single" w:color="000000" w:sz="4" w:space="0"/>
              <w:left w:val="single" w:color="000000" w:sz="4" w:space="0"/>
              <w:bottom w:val="single" w:color="000000" w:sz="4" w:space="0"/>
              <w:right w:val="single" w:color="000000" w:sz="18" w:space="0"/>
            </w:tcBorders>
            <w:noWrap w:val="0"/>
            <w:tcMar>
              <w:top w:w="15" w:type="dxa"/>
              <w:left w:w="15" w:type="dxa"/>
              <w:bottom w:w="15" w:type="dxa"/>
              <w:right w:w="15" w:type="dxa"/>
            </w:tcMar>
            <w:vAlign w:val="center"/>
          </w:tcPr>
          <w:p w14:paraId="21D4253C">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color w:val="auto"/>
                <w:sz w:val="24"/>
                <w:szCs w:val="24"/>
                <w:highlight w:val="none"/>
              </w:rPr>
            </w:pPr>
          </w:p>
        </w:tc>
      </w:tr>
      <w:tr w14:paraId="554D66CF">
        <w:tblPrEx>
          <w:tblCellMar>
            <w:top w:w="0" w:type="dxa"/>
            <w:left w:w="108" w:type="dxa"/>
            <w:bottom w:w="0" w:type="dxa"/>
            <w:right w:w="108" w:type="dxa"/>
          </w:tblCellMar>
        </w:tblPrEx>
        <w:trPr>
          <w:trHeight w:val="490" w:hRule="atLeast"/>
        </w:trPr>
        <w:tc>
          <w:tcPr>
            <w:tcW w:w="1718" w:type="dxa"/>
            <w:tcBorders>
              <w:top w:val="single" w:color="000000" w:sz="4" w:space="0"/>
              <w:left w:val="single" w:color="000000" w:sz="18" w:space="0"/>
              <w:bottom w:val="single" w:color="000000" w:sz="4" w:space="0"/>
              <w:right w:val="single" w:color="000000" w:sz="4" w:space="0"/>
            </w:tcBorders>
            <w:noWrap w:val="0"/>
            <w:tcMar>
              <w:top w:w="15" w:type="dxa"/>
              <w:left w:w="15" w:type="dxa"/>
              <w:bottom w:w="15" w:type="dxa"/>
              <w:right w:w="15" w:type="dxa"/>
            </w:tcMar>
            <w:vAlign w:val="center"/>
          </w:tcPr>
          <w:p w14:paraId="7DE43DD0">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联系地址</w:t>
            </w:r>
          </w:p>
        </w:tc>
        <w:tc>
          <w:tcPr>
            <w:tcW w:w="2546"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793BC105">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color w:val="auto"/>
                <w:sz w:val="24"/>
                <w:szCs w:val="24"/>
                <w:highlight w:val="none"/>
              </w:rPr>
            </w:pPr>
          </w:p>
        </w:tc>
        <w:tc>
          <w:tcPr>
            <w:tcW w:w="2837"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14:paraId="6BC7EF92">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联系电话</w:t>
            </w:r>
          </w:p>
        </w:tc>
        <w:tc>
          <w:tcPr>
            <w:tcW w:w="2423" w:type="dxa"/>
            <w:tcBorders>
              <w:top w:val="single" w:color="000000" w:sz="4" w:space="0"/>
              <w:left w:val="single" w:color="000000" w:sz="4" w:space="0"/>
              <w:bottom w:val="single" w:color="000000" w:sz="4" w:space="0"/>
              <w:right w:val="single" w:color="000000" w:sz="18" w:space="0"/>
            </w:tcBorders>
            <w:noWrap w:val="0"/>
            <w:tcMar>
              <w:top w:w="15" w:type="dxa"/>
              <w:left w:w="15" w:type="dxa"/>
              <w:bottom w:w="15" w:type="dxa"/>
              <w:right w:w="15" w:type="dxa"/>
            </w:tcMar>
            <w:vAlign w:val="center"/>
          </w:tcPr>
          <w:p w14:paraId="6C3F96C8">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color w:val="auto"/>
                <w:sz w:val="24"/>
                <w:szCs w:val="24"/>
                <w:highlight w:val="none"/>
              </w:rPr>
            </w:pPr>
          </w:p>
        </w:tc>
      </w:tr>
      <w:tr w14:paraId="1360C72D">
        <w:tblPrEx>
          <w:tblCellMar>
            <w:top w:w="0" w:type="dxa"/>
            <w:left w:w="108" w:type="dxa"/>
            <w:bottom w:w="0" w:type="dxa"/>
            <w:right w:w="108" w:type="dxa"/>
          </w:tblCellMar>
        </w:tblPrEx>
        <w:trPr>
          <w:trHeight w:val="835" w:hRule="atLeast"/>
        </w:trPr>
        <w:tc>
          <w:tcPr>
            <w:tcW w:w="1718" w:type="dxa"/>
            <w:tcBorders>
              <w:top w:val="single" w:color="000000" w:sz="4" w:space="0"/>
              <w:left w:val="single" w:color="000000" w:sz="18" w:space="0"/>
              <w:bottom w:val="single" w:color="000000" w:sz="4" w:space="0"/>
              <w:right w:val="single" w:color="000000" w:sz="4" w:space="0"/>
            </w:tcBorders>
            <w:noWrap w:val="0"/>
            <w:tcMar>
              <w:top w:w="15" w:type="dxa"/>
              <w:left w:w="15" w:type="dxa"/>
              <w:bottom w:w="15" w:type="dxa"/>
              <w:right w:w="15" w:type="dxa"/>
            </w:tcMar>
            <w:vAlign w:val="center"/>
          </w:tcPr>
          <w:p w14:paraId="5B42D085">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诚信档案记录情况</w:t>
            </w:r>
          </w:p>
        </w:tc>
        <w:tc>
          <w:tcPr>
            <w:tcW w:w="7806" w:type="dxa"/>
            <w:gridSpan w:val="3"/>
            <w:tcBorders>
              <w:top w:val="single" w:color="000000" w:sz="4" w:space="0"/>
              <w:left w:val="single" w:color="000000" w:sz="4" w:space="0"/>
              <w:bottom w:val="single" w:color="000000" w:sz="4" w:space="0"/>
              <w:right w:val="single" w:color="000000" w:sz="18" w:space="0"/>
            </w:tcBorders>
            <w:noWrap w:val="0"/>
            <w:tcMar>
              <w:top w:w="15" w:type="dxa"/>
              <w:left w:w="15" w:type="dxa"/>
              <w:bottom w:w="15" w:type="dxa"/>
              <w:right w:w="15" w:type="dxa"/>
            </w:tcMar>
            <w:vAlign w:val="center"/>
          </w:tcPr>
          <w:p w14:paraId="519F3A88">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color w:val="auto"/>
                <w:sz w:val="24"/>
                <w:szCs w:val="24"/>
                <w:highlight w:val="none"/>
              </w:rPr>
            </w:pPr>
          </w:p>
        </w:tc>
      </w:tr>
      <w:tr w14:paraId="44061E07">
        <w:tblPrEx>
          <w:tblCellMar>
            <w:top w:w="0" w:type="dxa"/>
            <w:left w:w="108" w:type="dxa"/>
            <w:bottom w:w="0" w:type="dxa"/>
            <w:right w:w="108" w:type="dxa"/>
          </w:tblCellMar>
        </w:tblPrEx>
        <w:trPr>
          <w:trHeight w:val="5939" w:hRule="atLeast"/>
        </w:trPr>
        <w:tc>
          <w:tcPr>
            <w:tcW w:w="1718" w:type="dxa"/>
            <w:tcBorders>
              <w:top w:val="single" w:color="000000" w:sz="4" w:space="0"/>
              <w:left w:val="single" w:color="000000" w:sz="18" w:space="0"/>
              <w:bottom w:val="single" w:color="000000" w:sz="18" w:space="0"/>
              <w:right w:val="single" w:color="000000" w:sz="4" w:space="0"/>
            </w:tcBorders>
            <w:noWrap w:val="0"/>
            <w:tcMar>
              <w:top w:w="15" w:type="dxa"/>
              <w:left w:w="15" w:type="dxa"/>
              <w:bottom w:w="15" w:type="dxa"/>
              <w:right w:w="15" w:type="dxa"/>
            </w:tcMar>
            <w:vAlign w:val="center"/>
          </w:tcPr>
          <w:p w14:paraId="158C2A6B">
            <w:pPr>
              <w:keepNext w:val="0"/>
              <w:keepLines w:val="0"/>
              <w:pageBreakBefore w:val="0"/>
              <w:widowControl/>
              <w:kinsoku/>
              <w:wordWrap/>
              <w:overflowPunct/>
              <w:topLinePunct w:val="0"/>
              <w:autoSpaceDE/>
              <w:autoSpaceDN/>
              <w:bidi w:val="0"/>
              <w:adjustRightInd/>
              <w:snapToGrid/>
              <w:spacing w:line="240" w:lineRule="auto"/>
              <w:jc w:val="left"/>
              <w:textAlignment w:val="center"/>
              <w:rPr>
                <w:rFonts w:hint="eastAsia" w:ascii="宋体" w:hAnsi="宋体" w:eastAsia="宋体" w:cs="宋体"/>
                <w:b/>
                <w:color w:val="auto"/>
                <w:sz w:val="24"/>
                <w:szCs w:val="24"/>
                <w:highlight w:val="none"/>
              </w:rPr>
            </w:pPr>
            <w:r>
              <w:rPr>
                <w:rFonts w:hint="eastAsia" w:ascii="宋体" w:hAnsi="宋体" w:eastAsia="宋体" w:cs="宋体"/>
                <w:b/>
                <w:color w:val="auto"/>
                <w:kern w:val="0"/>
                <w:sz w:val="24"/>
                <w:szCs w:val="24"/>
                <w:highlight w:val="none"/>
                <w:lang w:bidi="ar"/>
              </w:rPr>
              <w:t>信用承诺</w:t>
            </w:r>
          </w:p>
        </w:tc>
        <w:tc>
          <w:tcPr>
            <w:tcW w:w="7806" w:type="dxa"/>
            <w:gridSpan w:val="3"/>
            <w:tcBorders>
              <w:top w:val="single" w:color="000000" w:sz="4" w:space="0"/>
              <w:left w:val="single" w:color="000000" w:sz="4" w:space="0"/>
              <w:bottom w:val="single" w:color="000000" w:sz="18" w:space="0"/>
              <w:right w:val="single" w:color="000000" w:sz="18" w:space="0"/>
            </w:tcBorders>
            <w:noWrap w:val="0"/>
            <w:tcMar>
              <w:top w:w="15" w:type="dxa"/>
              <w:left w:w="15" w:type="dxa"/>
              <w:bottom w:w="15" w:type="dxa"/>
              <w:right w:w="15" w:type="dxa"/>
            </w:tcMar>
            <w:vAlign w:val="center"/>
          </w:tcPr>
          <w:p w14:paraId="68638265">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b/>
                <w:color w:val="auto"/>
                <w:kern w:val="0"/>
                <w:sz w:val="24"/>
                <w:szCs w:val="24"/>
                <w:highlight w:val="none"/>
                <w:lang w:bidi="ar"/>
              </w:rPr>
            </w:pPr>
            <w:r>
              <w:rPr>
                <w:rFonts w:hint="eastAsia" w:ascii="宋体" w:hAnsi="宋体" w:eastAsia="宋体" w:cs="宋体"/>
                <w:b/>
                <w:color w:val="auto"/>
                <w:kern w:val="0"/>
                <w:sz w:val="24"/>
                <w:szCs w:val="24"/>
                <w:highlight w:val="none"/>
                <w:lang w:bidi="ar"/>
              </w:rPr>
              <w:t>信用承诺：</w:t>
            </w:r>
          </w:p>
          <w:p w14:paraId="2D5B218C">
            <w:pPr>
              <w:keepNext w:val="0"/>
              <w:keepLines w:val="0"/>
              <w:pageBreakBefore w:val="0"/>
              <w:widowControl/>
              <w:kinsoku/>
              <w:wordWrap/>
              <w:overflowPunct/>
              <w:topLinePunct w:val="0"/>
              <w:autoSpaceDE/>
              <w:autoSpaceDN/>
              <w:bidi w:val="0"/>
              <w:adjustRightInd/>
              <w:snapToGrid/>
              <w:spacing w:line="240" w:lineRule="auto"/>
              <w:ind w:firstLine="240" w:firstLineChars="1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bidi="ar"/>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color w:val="auto"/>
                <w:kern w:val="0"/>
                <w:sz w:val="24"/>
                <w:szCs w:val="24"/>
                <w:highlight w:val="none"/>
              </w:rPr>
              <w:t>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p>
          <w:p w14:paraId="32FB3D86">
            <w:pPr>
              <w:keepNext w:val="0"/>
              <w:keepLines w:val="0"/>
              <w:pageBreakBefore w:val="0"/>
              <w:widowControl/>
              <w:kinsoku/>
              <w:wordWrap/>
              <w:overflowPunct/>
              <w:topLinePunct w:val="0"/>
              <w:autoSpaceDE/>
              <w:autoSpaceDN/>
              <w:bidi w:val="0"/>
              <w:adjustRightInd/>
              <w:snapToGrid/>
              <w:spacing w:line="240" w:lineRule="auto"/>
              <w:ind w:firstLine="240" w:firstLineChars="100"/>
              <w:jc w:val="lef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 xml:space="preserve">                      </w:t>
            </w:r>
            <w:r>
              <w:rPr>
                <w:rFonts w:hint="eastAsia" w:ascii="宋体" w:hAnsi="宋体" w:cs="宋体"/>
                <w:color w:val="auto"/>
                <w:kern w:val="0"/>
                <w:sz w:val="24"/>
                <w:szCs w:val="24"/>
                <w:highlight w:val="none"/>
                <w:lang w:eastAsia="zh-CN" w:bidi="ar"/>
              </w:rPr>
              <w:t>投标人</w:t>
            </w:r>
            <w:r>
              <w:rPr>
                <w:rFonts w:hint="eastAsia" w:ascii="宋体" w:hAnsi="宋体" w:eastAsia="宋体" w:cs="宋体"/>
                <w:color w:val="auto"/>
                <w:kern w:val="0"/>
                <w:sz w:val="24"/>
                <w:szCs w:val="24"/>
                <w:highlight w:val="none"/>
                <w:lang w:bidi="ar"/>
              </w:rPr>
              <w:t>名称（盖章）：</w:t>
            </w:r>
          </w:p>
          <w:p w14:paraId="7D6C8D77">
            <w:pPr>
              <w:keepNext w:val="0"/>
              <w:keepLines w:val="0"/>
              <w:pageBreakBefore w:val="0"/>
              <w:widowControl/>
              <w:kinsoku/>
              <w:wordWrap/>
              <w:overflowPunct/>
              <w:topLinePunct w:val="0"/>
              <w:autoSpaceDE/>
              <w:autoSpaceDN/>
              <w:bidi w:val="0"/>
              <w:adjustRightInd/>
              <w:snapToGrid/>
              <w:spacing w:line="240" w:lineRule="auto"/>
              <w:ind w:firstLine="240" w:firstLineChars="100"/>
              <w:jc w:val="left"/>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bidi="ar"/>
              </w:rPr>
              <w:t xml:space="preserve">                      法定代表人（签字）：</w:t>
            </w:r>
          </w:p>
          <w:p w14:paraId="7A67EA57">
            <w:pPr>
              <w:keepNext w:val="0"/>
              <w:keepLines w:val="0"/>
              <w:pageBreakBefore w:val="0"/>
              <w:widowControl/>
              <w:kinsoku/>
              <w:wordWrap/>
              <w:overflowPunct/>
              <w:topLinePunct w:val="0"/>
              <w:autoSpaceDE/>
              <w:autoSpaceDN/>
              <w:bidi w:val="0"/>
              <w:adjustRightInd/>
              <w:snapToGrid/>
              <w:spacing w:line="240" w:lineRule="auto"/>
              <w:ind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 xml:space="preserve">                      二〇    年  月    日</w:t>
            </w:r>
          </w:p>
        </w:tc>
      </w:tr>
    </w:tbl>
    <w:p w14:paraId="7B1F62FB">
      <w:pPr>
        <w:autoSpaceDE w:val="0"/>
        <w:autoSpaceDN w:val="0"/>
        <w:adjustRightInd w:val="0"/>
        <w:ind w:firstLine="241" w:firstLineChars="100"/>
        <w:jc w:val="left"/>
        <w:rPr>
          <w:rStyle w:val="349"/>
          <w:rFonts w:hint="eastAsia" w:ascii="宋体" w:hAnsi="宋体" w:cs="宋体"/>
          <w:bCs/>
          <w:color w:val="auto"/>
          <w:kern w:val="0"/>
          <w:szCs w:val="21"/>
          <w:highlight w:val="none"/>
        </w:rPr>
      </w:pPr>
      <w:r>
        <w:rPr>
          <w:rFonts w:hint="eastAsia" w:ascii="宋体" w:hAnsi="宋体" w:eastAsia="宋体" w:cs="宋体"/>
          <w:b/>
          <w:color w:val="auto"/>
          <w:sz w:val="24"/>
          <w:szCs w:val="24"/>
          <w:highlight w:val="none"/>
          <w:lang w:val="zh-CN"/>
        </w:rPr>
        <w:t>注：1、</w:t>
      </w:r>
      <w:r>
        <w:rPr>
          <w:rFonts w:hint="eastAsia" w:ascii="宋体" w:hAnsi="宋体" w:cs="宋体"/>
          <w:b/>
          <w:color w:val="auto"/>
          <w:sz w:val="24"/>
          <w:szCs w:val="24"/>
          <w:highlight w:val="none"/>
          <w:lang w:val="zh-CN"/>
        </w:rPr>
        <w:t>投标人</w:t>
      </w:r>
      <w:r>
        <w:rPr>
          <w:rFonts w:hint="eastAsia" w:ascii="宋体" w:hAnsi="宋体" w:eastAsia="宋体" w:cs="宋体"/>
          <w:b/>
          <w:color w:val="auto"/>
          <w:sz w:val="24"/>
          <w:szCs w:val="24"/>
          <w:highlight w:val="none"/>
          <w:lang w:val="zh-CN"/>
        </w:rPr>
        <w:t>在中标（成交）后，应按采购文件要求，将上述由信用承诺书替代的证明材料提交采购人或采购代理机构核验。经核验无误后，由采购人或采购代理机构发出中标（成交）通知书。2、</w:t>
      </w:r>
      <w:r>
        <w:rPr>
          <w:rFonts w:hint="eastAsia" w:ascii="宋体" w:hAnsi="宋体" w:cs="宋体"/>
          <w:b/>
          <w:color w:val="auto"/>
          <w:sz w:val="24"/>
          <w:szCs w:val="24"/>
          <w:highlight w:val="none"/>
          <w:lang w:val="zh-CN"/>
        </w:rPr>
        <w:t>投标人</w:t>
      </w:r>
      <w:r>
        <w:rPr>
          <w:rFonts w:hint="eastAsia" w:ascii="宋体" w:hAnsi="宋体" w:eastAsia="宋体" w:cs="宋体"/>
          <w:b/>
          <w:color w:val="auto"/>
          <w:sz w:val="24"/>
          <w:szCs w:val="24"/>
          <w:highlight w:val="none"/>
          <w:lang w:val="zh-CN"/>
        </w:rPr>
        <w:t>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sectPr>
      <w:headerReference r:id="rId5" w:type="first"/>
      <w:footerReference r:id="rId6" w:type="default"/>
      <w:pgSz w:w="11906" w:h="16838"/>
      <w:pgMar w:top="1440" w:right="1080" w:bottom="1440" w:left="1080" w:header="851" w:footer="992"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FZSSK--GBK1-0">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方正黑体_GBK">
    <w:panose1 w:val="02010600010101010101"/>
    <w:charset w:val="86"/>
    <w:family w:val="auto"/>
    <w:pitch w:val="default"/>
    <w:sig w:usb0="00000001" w:usb1="080E0000" w:usb2="00000000" w:usb3="00000000" w:csb0="00040000" w:csb1="00000000"/>
  </w:font>
  <w:font w:name="Arial Unicode MS">
    <w:altName w:val="Arial"/>
    <w:panose1 w:val="020B0604020202020204"/>
    <w:charset w:val="00"/>
    <w:family w:val="auto"/>
    <w:pitch w:val="default"/>
    <w:sig w:usb0="00000000" w:usb1="00000000" w:usb2="00000000" w:usb3="00000000" w:csb0="00000000" w:csb1="00000000"/>
  </w:font>
  <w:font w:name="方正小标宋_GBK">
    <w:panose1 w:val="02000000000000000000"/>
    <w:charset w:val="86"/>
    <w:family w:val="auto"/>
    <w:pitch w:val="default"/>
    <w:sig w:usb0="A00002BF" w:usb1="38CF7CFA" w:usb2="00082016" w:usb3="00000000" w:csb0="00040001"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DD581">
    <w:pPr>
      <w:pStyle w:val="232"/>
      <w:jc w:val="center"/>
    </w:pPr>
    <w:r>
      <w:fldChar w:fldCharType="begin"/>
    </w:r>
    <w:r>
      <w:instrText xml:space="preserve">PAGE   \* MERGEFORMAT</w:instrText>
    </w:r>
    <w:r>
      <w:fldChar w:fldCharType="separate"/>
    </w:r>
    <w:r>
      <w:t>4</w:t>
    </w:r>
    <w:r>
      <w:fldChar w:fldCharType="end"/>
    </w:r>
  </w:p>
  <w:p w14:paraId="55FD2EFB">
    <w:pPr>
      <w:pStyle w:val="232"/>
      <w:rPr>
        <w:rFonts w:hint="eastAsia" w:eastAsia="宋体"/>
        <w:lang w:eastAsia="zh-CN"/>
      </w:rPr>
    </w:pPr>
    <w:r>
      <w:rPr>
        <w:rFonts w:hint="eastAsia"/>
        <w:lang w:eastAsia="zh-CN"/>
      </w:rPr>
      <w:t>南京荣大工程项目管理有限公司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40BA7">
    <w:pPr>
      <w:pStyle w:val="234"/>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8B590B"/>
    <w:multiLevelType w:val="multilevel"/>
    <w:tmpl w:val="CD8B590B"/>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D092ECDA"/>
    <w:multiLevelType w:val="singleLevel"/>
    <w:tmpl w:val="D092ECDA"/>
    <w:lvl w:ilvl="0" w:tentative="0">
      <w:start w:val="4"/>
      <w:numFmt w:val="chineseCounting"/>
      <w:suff w:val="nothing"/>
      <w:lvlText w:val="%1、"/>
      <w:lvlJc w:val="left"/>
      <w:rPr>
        <w:rFonts w:hint="eastAsia"/>
      </w:rPr>
    </w:lvl>
  </w:abstractNum>
  <w:abstractNum w:abstractNumId="2">
    <w:nsid w:val="E83DA8F5"/>
    <w:multiLevelType w:val="singleLevel"/>
    <w:tmpl w:val="E83DA8F5"/>
    <w:lvl w:ilvl="0" w:tentative="0">
      <w:start w:val="2"/>
      <w:numFmt w:val="chineseCounting"/>
      <w:suff w:val="nothing"/>
      <w:lvlText w:val="%1、"/>
      <w:lvlJc w:val="left"/>
      <w:rPr>
        <w:rFonts w:hint="eastAsia"/>
      </w:rPr>
    </w:lvl>
  </w:abstractNum>
  <w:abstractNum w:abstractNumId="3">
    <w:nsid w:val="FC271045"/>
    <w:multiLevelType w:val="singleLevel"/>
    <w:tmpl w:val="FC271045"/>
    <w:lvl w:ilvl="0" w:tentative="0">
      <w:start w:val="2"/>
      <w:numFmt w:val="decimal"/>
      <w:suff w:val="space"/>
      <w:lvlText w:val="%1."/>
      <w:lvlJc w:val="left"/>
    </w:lvl>
  </w:abstractNum>
  <w:abstractNum w:abstractNumId="4">
    <w:nsid w:val="1B99BFBE"/>
    <w:multiLevelType w:val="singleLevel"/>
    <w:tmpl w:val="1B99BFBE"/>
    <w:lvl w:ilvl="0" w:tentative="0">
      <w:start w:val="4"/>
      <w:numFmt w:val="chineseCounting"/>
      <w:suff w:val="nothing"/>
      <w:lvlText w:val="%1、"/>
      <w:lvlJc w:val="left"/>
      <w:rPr>
        <w:rFonts w:hint="eastAsia"/>
      </w:rPr>
    </w:lvl>
  </w:abstractNum>
  <w:abstractNum w:abstractNumId="5">
    <w:nsid w:val="1F0989CA"/>
    <w:multiLevelType w:val="singleLevel"/>
    <w:tmpl w:val="1F0989CA"/>
    <w:lvl w:ilvl="0" w:tentative="0">
      <w:start w:val="7"/>
      <w:numFmt w:val="decimal"/>
      <w:suff w:val="nothing"/>
      <w:lvlText w:val="%1、"/>
      <w:lvlJc w:val="left"/>
    </w:lvl>
  </w:abstractNum>
  <w:abstractNum w:abstractNumId="6">
    <w:nsid w:val="3CA6D8B7"/>
    <w:multiLevelType w:val="singleLevel"/>
    <w:tmpl w:val="3CA6D8B7"/>
    <w:lvl w:ilvl="0" w:tentative="0">
      <w:start w:val="5"/>
      <w:numFmt w:val="decimal"/>
      <w:lvlText w:val="%1."/>
      <w:lvlJc w:val="left"/>
      <w:pPr>
        <w:tabs>
          <w:tab w:val="left" w:pos="312"/>
        </w:tabs>
      </w:pPr>
    </w:lvl>
  </w:abstractNum>
  <w:abstractNum w:abstractNumId="7">
    <w:nsid w:val="585C312C"/>
    <w:multiLevelType w:val="singleLevel"/>
    <w:tmpl w:val="585C312C"/>
    <w:lvl w:ilvl="0" w:tentative="0">
      <w:start w:val="1"/>
      <w:numFmt w:val="chineseCounting"/>
      <w:suff w:val="nothing"/>
      <w:lvlText w:val="%1、"/>
      <w:lvlJc w:val="left"/>
      <w:rPr>
        <w:rFonts w:hint="eastAsia"/>
      </w:rPr>
    </w:lvl>
  </w:abstractNum>
  <w:num w:numId="1">
    <w:abstractNumId w:val="7"/>
  </w:num>
  <w:num w:numId="2">
    <w:abstractNumId w:val="4"/>
  </w:num>
  <w:num w:numId="3">
    <w:abstractNumId w:val="2"/>
  </w:num>
  <w:num w:numId="4">
    <w:abstractNumId w:val="5"/>
  </w:num>
  <w:num w:numId="5">
    <w:abstractNumId w:val="0"/>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1B280B"/>
    <w:rsid w:val="04E3147A"/>
    <w:rsid w:val="06E25862"/>
    <w:rsid w:val="071F0864"/>
    <w:rsid w:val="074E58CD"/>
    <w:rsid w:val="07DE24CD"/>
    <w:rsid w:val="08101775"/>
    <w:rsid w:val="0833207B"/>
    <w:rsid w:val="08F31FA8"/>
    <w:rsid w:val="098C7D9D"/>
    <w:rsid w:val="09FF0B48"/>
    <w:rsid w:val="0B3D750A"/>
    <w:rsid w:val="0CAE2345"/>
    <w:rsid w:val="0D3A63F7"/>
    <w:rsid w:val="0FDD64B8"/>
    <w:rsid w:val="103E7B30"/>
    <w:rsid w:val="14975385"/>
    <w:rsid w:val="14DA73A4"/>
    <w:rsid w:val="160E6673"/>
    <w:rsid w:val="16B37376"/>
    <w:rsid w:val="16BE0F57"/>
    <w:rsid w:val="17134084"/>
    <w:rsid w:val="18B76D2B"/>
    <w:rsid w:val="1B762CF0"/>
    <w:rsid w:val="1CCB706C"/>
    <w:rsid w:val="1E174B3B"/>
    <w:rsid w:val="24417C14"/>
    <w:rsid w:val="251932F1"/>
    <w:rsid w:val="2592509A"/>
    <w:rsid w:val="25B84D7F"/>
    <w:rsid w:val="268A58A2"/>
    <w:rsid w:val="27FA0805"/>
    <w:rsid w:val="2B73247C"/>
    <w:rsid w:val="2E6C3ADF"/>
    <w:rsid w:val="30BF3283"/>
    <w:rsid w:val="31490108"/>
    <w:rsid w:val="32335040"/>
    <w:rsid w:val="323C07E9"/>
    <w:rsid w:val="32FC18D5"/>
    <w:rsid w:val="332B21BB"/>
    <w:rsid w:val="34A80FE5"/>
    <w:rsid w:val="34FA68E2"/>
    <w:rsid w:val="3587687C"/>
    <w:rsid w:val="36A01831"/>
    <w:rsid w:val="376B702A"/>
    <w:rsid w:val="38AC5B4C"/>
    <w:rsid w:val="399D7513"/>
    <w:rsid w:val="3AF6582B"/>
    <w:rsid w:val="3C683B38"/>
    <w:rsid w:val="3D374E60"/>
    <w:rsid w:val="3DDE05CA"/>
    <w:rsid w:val="3E0E4BB3"/>
    <w:rsid w:val="40C024EF"/>
    <w:rsid w:val="448654A3"/>
    <w:rsid w:val="4574179F"/>
    <w:rsid w:val="45D16BF2"/>
    <w:rsid w:val="46B33BDC"/>
    <w:rsid w:val="473E4B6F"/>
    <w:rsid w:val="47835CCA"/>
    <w:rsid w:val="47E0603D"/>
    <w:rsid w:val="494B0A69"/>
    <w:rsid w:val="4A4668E0"/>
    <w:rsid w:val="4B842010"/>
    <w:rsid w:val="4BED4059"/>
    <w:rsid w:val="4F2041A3"/>
    <w:rsid w:val="4FA37871"/>
    <w:rsid w:val="51E97071"/>
    <w:rsid w:val="52377DDC"/>
    <w:rsid w:val="55AA648C"/>
    <w:rsid w:val="55E76B2F"/>
    <w:rsid w:val="56382375"/>
    <w:rsid w:val="567F7FA4"/>
    <w:rsid w:val="577A36AD"/>
    <w:rsid w:val="5B406A05"/>
    <w:rsid w:val="5C3F26AF"/>
    <w:rsid w:val="5D7F6ADB"/>
    <w:rsid w:val="626A3188"/>
    <w:rsid w:val="62C548FE"/>
    <w:rsid w:val="65707A3C"/>
    <w:rsid w:val="668D2269"/>
    <w:rsid w:val="6B0264E5"/>
    <w:rsid w:val="6B1A4ED1"/>
    <w:rsid w:val="6B741C4A"/>
    <w:rsid w:val="6B975E2B"/>
    <w:rsid w:val="6CA420BB"/>
    <w:rsid w:val="6DDF784E"/>
    <w:rsid w:val="72DD1E82"/>
    <w:rsid w:val="733C6EC5"/>
    <w:rsid w:val="75FC452C"/>
    <w:rsid w:val="761B3938"/>
    <w:rsid w:val="764F4DB2"/>
    <w:rsid w:val="7A084A26"/>
    <w:rsid w:val="7A9E17C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2"/>
    <w:qFormat/>
    <w:uiPriority w:val="0"/>
    <w:pPr>
      <w:spacing w:after="200" w:line="276" w:lineRule="auto"/>
    </w:pPr>
    <w:rPr>
      <w:rFonts w:hint="default" w:ascii="Calibri" w:hAnsi="Calibri" w:eastAsia="宋体" w:cs="Times New Roman"/>
      <w:sz w:val="22"/>
      <w:szCs w:val="22"/>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1"/>
    <w:rPr>
      <w:sz w:val="21"/>
      <w:szCs w:val="21"/>
    </w:rPr>
  </w:style>
  <w:style w:type="paragraph" w:styleId="14">
    <w:name w:val="Body Text Indent"/>
    <w:basedOn w:val="1"/>
    <w:next w:val="15"/>
    <w:qFormat/>
    <w:uiPriority w:val="99"/>
    <w:pPr>
      <w:snapToGrid w:val="0"/>
      <w:spacing w:line="440" w:lineRule="exact"/>
      <w:ind w:firstLine="403" w:firstLineChars="192"/>
    </w:pPr>
    <w:rPr>
      <w:rFonts w:ascii="宋体" w:hAnsi="宋体" w:cs="宋体"/>
      <w:kern w:val="0"/>
      <w:sz w:val="20"/>
      <w:szCs w:val="20"/>
    </w:rPr>
  </w:style>
  <w:style w:type="paragraph" w:styleId="15">
    <w:name w:val="envelope return"/>
    <w:basedOn w:val="1"/>
    <w:unhideWhenUsed/>
    <w:qFormat/>
    <w:uiPriority w:val="0"/>
    <w:pPr>
      <w:snapToGrid w:val="0"/>
    </w:pPr>
    <w:rPr>
      <w:rFonts w:ascii="Arial" w:hAnsi="Arial"/>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qFormat/>
    <w:uiPriority w:val="39"/>
    <w:pPr>
      <w:widowControl w:val="0"/>
      <w:spacing w:after="0" w:line="240" w:lineRule="auto"/>
      <w:ind w:left="420"/>
    </w:pPr>
    <w:rPr>
      <w:rFonts w:ascii="Times New Roman" w:hAnsi="Times New Roman" w:eastAsia="宋体" w:cs="Times New Roman"/>
      <w:i/>
      <w:iCs/>
      <w:sz w:val="21"/>
      <w:szCs w:val="24"/>
    </w:rPr>
  </w:style>
  <w:style w:type="paragraph" w:styleId="18">
    <w:name w:val="toc 8"/>
    <w:basedOn w:val="1"/>
    <w:next w:val="1"/>
    <w:unhideWhenUsed/>
    <w:qFormat/>
    <w:uiPriority w:val="39"/>
    <w:pPr>
      <w:spacing w:after="57"/>
      <w:ind w:left="1984" w:right="0" w:firstLine="0"/>
    </w:pPr>
  </w:style>
  <w:style w:type="paragraph" w:styleId="19">
    <w:name w:val="Body Text Indent 2"/>
    <w:basedOn w:val="1"/>
    <w:next w:val="1"/>
    <w:qFormat/>
    <w:uiPriority w:val="0"/>
    <w:pPr>
      <w:ind w:left="630" w:firstLine="645"/>
    </w:pPr>
    <w:rPr>
      <w:rFonts w:ascii="Arial" w:hAnsi="Arial" w:eastAsia="仿宋_GB2312"/>
      <w:sz w:val="32"/>
      <w:szCs w:val="20"/>
    </w:rPr>
  </w:style>
  <w:style w:type="paragraph" w:styleId="20">
    <w:name w:val="endnote text"/>
    <w:basedOn w:val="1"/>
    <w:link w:val="186"/>
    <w:semiHidden/>
    <w:unhideWhenUsed/>
    <w:qFormat/>
    <w:uiPriority w:val="99"/>
    <w:pPr>
      <w:spacing w:after="0" w:line="240" w:lineRule="auto"/>
    </w:pPr>
    <w:rPr>
      <w:sz w:val="20"/>
    </w:rPr>
  </w:style>
  <w:style w:type="paragraph" w:styleId="21">
    <w:name w:val="footer"/>
    <w:basedOn w:val="1"/>
    <w:link w:val="59"/>
    <w:unhideWhenUsed/>
    <w:qFormat/>
    <w:uiPriority w:val="99"/>
    <w:pPr>
      <w:tabs>
        <w:tab w:val="center" w:pos="7143"/>
        <w:tab w:val="right" w:pos="14287"/>
      </w:tabs>
      <w:spacing w:after="0" w:line="240" w:lineRule="auto"/>
    </w:pPr>
  </w:style>
  <w:style w:type="paragraph" w:styleId="22">
    <w:name w:val="header"/>
    <w:basedOn w:val="1"/>
    <w:link w:val="57"/>
    <w:unhideWhenUsed/>
    <w:qFormat/>
    <w:uiPriority w:val="99"/>
    <w:pPr>
      <w:tabs>
        <w:tab w:val="center" w:pos="7143"/>
        <w:tab w:val="right" w:pos="14287"/>
      </w:tabs>
      <w:spacing w:after="0" w:line="240" w:lineRule="auto"/>
    </w:pPr>
  </w:style>
  <w:style w:type="paragraph" w:styleId="23">
    <w:name w:val="toc 1"/>
    <w:basedOn w:val="1"/>
    <w:next w:val="1"/>
    <w:qFormat/>
    <w:uiPriority w:val="39"/>
    <w:pPr>
      <w:widowControl w:val="0"/>
      <w:tabs>
        <w:tab w:val="right" w:leader="dot" w:pos="8720"/>
      </w:tabs>
      <w:spacing w:before="120" w:after="120" w:line="360" w:lineRule="auto"/>
    </w:pPr>
    <w:rPr>
      <w:rFonts w:ascii="宋体" w:hAnsi="宋体" w:eastAsia="宋体" w:cs="Times New Roman"/>
      <w:caps/>
      <w:sz w:val="28"/>
      <w:szCs w:val="28"/>
    </w:r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2"/>
    <w:qFormat/>
    <w:uiPriority w:val="11"/>
    <w:pPr>
      <w:spacing w:before="200" w:after="200"/>
    </w:pPr>
    <w:rPr>
      <w:sz w:val="24"/>
      <w:szCs w:val="24"/>
    </w:rPr>
  </w:style>
  <w:style w:type="paragraph" w:styleId="26">
    <w:name w:val="footnote text"/>
    <w:basedOn w:val="1"/>
    <w:link w:val="18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qFormat/>
    <w:uiPriority w:val="39"/>
    <w:pPr>
      <w:widowControl w:val="0"/>
      <w:spacing w:after="0" w:line="240" w:lineRule="auto"/>
      <w:ind w:left="210"/>
    </w:pPr>
    <w:rPr>
      <w:rFonts w:ascii="Times New Roman" w:hAnsi="Times New Roman" w:eastAsia="宋体" w:cs="Times New Roman"/>
      <w:smallCaps/>
      <w:sz w:val="21"/>
      <w:szCs w:val="24"/>
    </w:r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1"/>
    <w:qFormat/>
    <w:uiPriority w:val="10"/>
    <w:pPr>
      <w:spacing w:before="300" w:after="200"/>
      <w:contextualSpacing/>
    </w:pPr>
    <w:rPr>
      <w:sz w:val="48"/>
      <w:szCs w:val="48"/>
    </w:rPr>
  </w:style>
  <w:style w:type="paragraph" w:styleId="32">
    <w:name w:val="Body Text First Indent 2"/>
    <w:basedOn w:val="14"/>
    <w:next w:val="1"/>
    <w:qFormat/>
    <w:uiPriority w:val="0"/>
    <w:pPr>
      <w:snapToGrid/>
      <w:spacing w:line="360" w:lineRule="auto"/>
      <w:ind w:firstLine="200" w:firstLineChars="200"/>
    </w:pPr>
    <w:rPr>
      <w:rFonts w:cs="Times New Roman"/>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首行缩进"/>
    <w:basedOn w:val="1"/>
    <w:qFormat/>
    <w:uiPriority w:val="0"/>
    <w:pPr>
      <w:ind w:firstLine="480"/>
    </w:pPr>
    <w:rPr>
      <w:szCs w:val="20"/>
      <w:lang w:val="zh-CN"/>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Calibri" w:hAnsi="Calibri" w:eastAsia="宋体" w:cs="Times New Roman"/>
    </w:rPr>
  </w:style>
  <w:style w:type="character" w:customStyle="1" w:styleId="51">
    <w:name w:val="Title Char"/>
    <w:link w:val="31"/>
    <w:qFormat/>
    <w:uiPriority w:val="10"/>
    <w:rPr>
      <w:sz w:val="48"/>
      <w:szCs w:val="48"/>
    </w:rPr>
  </w:style>
  <w:style w:type="character" w:customStyle="1" w:styleId="52">
    <w:name w:val="Subtitle Char"/>
    <w:link w:val="25"/>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22"/>
    <w:qFormat/>
    <w:uiPriority w:val="99"/>
  </w:style>
  <w:style w:type="character" w:customStyle="1" w:styleId="58">
    <w:name w:val="Footer Char"/>
    <w:link w:val="21"/>
    <w:qFormat/>
    <w:uiPriority w:val="99"/>
  </w:style>
  <w:style w:type="character" w:customStyle="1" w:styleId="59">
    <w:name w:val="Caption Char"/>
    <w:link w:val="21"/>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6"/>
    <w:qFormat/>
    <w:uiPriority w:val="99"/>
    <w:rPr>
      <w:sz w:val="18"/>
    </w:rPr>
  </w:style>
  <w:style w:type="character" w:customStyle="1" w:styleId="186">
    <w:name w:val="Endnote Text Char"/>
    <w:link w:val="20"/>
    <w:qFormat/>
    <w:uiPriority w:val="99"/>
    <w:rPr>
      <w:sz w:val="20"/>
    </w:rPr>
  </w:style>
  <w:style w:type="paragraph" w:customStyle="1" w:styleId="187">
    <w:name w:val="TOC Heading"/>
    <w:unhideWhenUsed/>
    <w:qFormat/>
    <w:uiPriority w:val="39"/>
    <w:rPr>
      <w:rFonts w:hint="default" w:ascii="Calibri" w:hAnsi="Calibri" w:eastAsia="宋体" w:cs="Times New Roman"/>
    </w:rPr>
  </w:style>
  <w:style w:type="paragraph" w:customStyle="1" w:styleId="188">
    <w:name w:val="标题 11"/>
    <w:basedOn w:val="1"/>
    <w:next w:val="1"/>
    <w:link w:val="199"/>
    <w:qFormat/>
    <w:uiPriority w:val="99"/>
    <w:pPr>
      <w:keepNext/>
      <w:keepLines/>
      <w:spacing w:before="480" w:after="0"/>
      <w:outlineLvl w:val="0"/>
    </w:pPr>
    <w:rPr>
      <w:rFonts w:ascii="Cambria" w:hAnsi="Cambria"/>
      <w:b/>
      <w:bCs/>
      <w:color w:val="366091"/>
      <w:sz w:val="28"/>
      <w:szCs w:val="28"/>
      <w:lang w:val="en-US" w:eastAsia="en-US"/>
    </w:rPr>
  </w:style>
  <w:style w:type="paragraph" w:customStyle="1" w:styleId="189">
    <w:name w:val="标题 21"/>
    <w:basedOn w:val="1"/>
    <w:next w:val="1"/>
    <w:link w:val="200"/>
    <w:qFormat/>
    <w:uiPriority w:val="99"/>
    <w:pPr>
      <w:keepNext/>
      <w:keepLines/>
      <w:spacing w:before="200" w:after="0"/>
      <w:outlineLvl w:val="1"/>
    </w:pPr>
    <w:rPr>
      <w:rFonts w:ascii="Cambria" w:hAnsi="Cambria"/>
      <w:b/>
      <w:bCs/>
      <w:color w:val="4F81BD"/>
      <w:sz w:val="26"/>
      <w:szCs w:val="26"/>
      <w:lang w:val="en-US" w:eastAsia="en-US"/>
    </w:rPr>
  </w:style>
  <w:style w:type="paragraph" w:customStyle="1" w:styleId="190">
    <w:name w:val="标题 31"/>
    <w:basedOn w:val="1"/>
    <w:next w:val="1"/>
    <w:link w:val="201"/>
    <w:qFormat/>
    <w:uiPriority w:val="0"/>
    <w:pPr>
      <w:keepNext/>
      <w:keepLines/>
      <w:spacing w:before="200" w:after="0"/>
      <w:outlineLvl w:val="2"/>
    </w:pPr>
    <w:rPr>
      <w:rFonts w:ascii="Cambria" w:hAnsi="Cambria"/>
      <w:b/>
      <w:bCs/>
      <w:color w:val="4F81BD"/>
      <w:sz w:val="20"/>
      <w:szCs w:val="20"/>
      <w:lang w:val="en-US" w:eastAsia="en-US"/>
    </w:rPr>
  </w:style>
  <w:style w:type="paragraph" w:customStyle="1" w:styleId="191">
    <w:name w:val="标题 41"/>
    <w:basedOn w:val="1"/>
    <w:next w:val="1"/>
    <w:link w:val="202"/>
    <w:qFormat/>
    <w:uiPriority w:val="0"/>
    <w:pPr>
      <w:keepNext/>
      <w:keepLines/>
      <w:spacing w:before="200" w:after="0"/>
      <w:outlineLvl w:val="3"/>
    </w:pPr>
    <w:rPr>
      <w:rFonts w:ascii="Cambria" w:hAnsi="Cambria"/>
      <w:b/>
      <w:bCs/>
      <w:i/>
      <w:iCs/>
      <w:color w:val="4F81BD"/>
      <w:sz w:val="20"/>
      <w:szCs w:val="20"/>
      <w:lang w:val="en-US" w:eastAsia="en-US"/>
    </w:rPr>
  </w:style>
  <w:style w:type="paragraph" w:customStyle="1" w:styleId="192">
    <w:name w:val="标题 51"/>
    <w:basedOn w:val="1"/>
    <w:next w:val="1"/>
    <w:link w:val="203"/>
    <w:qFormat/>
    <w:uiPriority w:val="0"/>
    <w:pPr>
      <w:keepNext/>
      <w:keepLines/>
      <w:spacing w:before="200" w:after="0"/>
      <w:outlineLvl w:val="4"/>
    </w:pPr>
    <w:rPr>
      <w:rFonts w:ascii="Cambria" w:hAnsi="Cambria"/>
      <w:color w:val="244061"/>
      <w:sz w:val="20"/>
      <w:szCs w:val="20"/>
      <w:lang w:val="en-US" w:eastAsia="en-US"/>
    </w:rPr>
  </w:style>
  <w:style w:type="paragraph" w:customStyle="1" w:styleId="193">
    <w:name w:val="标题 61"/>
    <w:basedOn w:val="1"/>
    <w:next w:val="1"/>
    <w:link w:val="204"/>
    <w:qFormat/>
    <w:uiPriority w:val="0"/>
    <w:pPr>
      <w:keepNext/>
      <w:keepLines/>
      <w:spacing w:before="200" w:after="0"/>
      <w:outlineLvl w:val="5"/>
    </w:pPr>
    <w:rPr>
      <w:rFonts w:ascii="Cambria" w:hAnsi="Cambria"/>
      <w:i/>
      <w:iCs/>
      <w:color w:val="244061"/>
      <w:sz w:val="20"/>
      <w:szCs w:val="20"/>
      <w:lang w:val="en-US" w:eastAsia="en-US"/>
    </w:rPr>
  </w:style>
  <w:style w:type="paragraph" w:customStyle="1" w:styleId="194">
    <w:name w:val="标题 71"/>
    <w:basedOn w:val="1"/>
    <w:next w:val="1"/>
    <w:link w:val="205"/>
    <w:qFormat/>
    <w:uiPriority w:val="0"/>
    <w:pPr>
      <w:keepNext/>
      <w:keepLines/>
      <w:spacing w:before="200" w:after="0"/>
      <w:outlineLvl w:val="6"/>
    </w:pPr>
    <w:rPr>
      <w:rFonts w:ascii="Cambria" w:hAnsi="Cambria"/>
      <w:i/>
      <w:iCs/>
      <w:color w:val="3F3F3F"/>
      <w:sz w:val="20"/>
      <w:szCs w:val="20"/>
      <w:lang w:val="en-US" w:eastAsia="en-US"/>
    </w:rPr>
  </w:style>
  <w:style w:type="paragraph" w:customStyle="1" w:styleId="195">
    <w:name w:val="标题 81"/>
    <w:basedOn w:val="1"/>
    <w:next w:val="1"/>
    <w:link w:val="206"/>
    <w:qFormat/>
    <w:uiPriority w:val="0"/>
    <w:pPr>
      <w:keepNext/>
      <w:keepLines/>
      <w:spacing w:before="200" w:after="0"/>
      <w:outlineLvl w:val="7"/>
    </w:pPr>
    <w:rPr>
      <w:rFonts w:ascii="Cambria" w:hAnsi="Cambria"/>
      <w:color w:val="4F81BD"/>
      <w:sz w:val="20"/>
      <w:szCs w:val="20"/>
      <w:lang w:val="en-US" w:eastAsia="en-US"/>
    </w:rPr>
  </w:style>
  <w:style w:type="paragraph" w:customStyle="1" w:styleId="196">
    <w:name w:val="标题 91"/>
    <w:basedOn w:val="1"/>
    <w:next w:val="1"/>
    <w:link w:val="207"/>
    <w:qFormat/>
    <w:uiPriority w:val="0"/>
    <w:pPr>
      <w:keepNext/>
      <w:keepLines/>
      <w:spacing w:before="200" w:after="0"/>
      <w:outlineLvl w:val="8"/>
    </w:pPr>
    <w:rPr>
      <w:rFonts w:ascii="Cambria" w:hAnsi="Cambria"/>
      <w:i/>
      <w:iCs/>
      <w:color w:val="3F3F3F"/>
      <w:sz w:val="20"/>
      <w:szCs w:val="20"/>
      <w:lang w:val="en-US" w:eastAsia="en-US"/>
    </w:rPr>
  </w:style>
  <w:style w:type="character" w:customStyle="1" w:styleId="197">
    <w:name w:val="默认段落字体1"/>
    <w:link w:val="1"/>
    <w:unhideWhenUsed/>
    <w:qFormat/>
    <w:uiPriority w:val="1"/>
  </w:style>
  <w:style w:type="table" w:customStyle="1" w:styleId="198">
    <w:name w:val="普通表格1"/>
    <w:unhideWhenUsed/>
    <w:qFormat/>
    <w:uiPriority w:val="99"/>
  </w:style>
  <w:style w:type="character" w:customStyle="1" w:styleId="199">
    <w:name w:val="标题 1 字符"/>
    <w:link w:val="188"/>
    <w:qFormat/>
    <w:uiPriority w:val="99"/>
    <w:rPr>
      <w:rFonts w:ascii="Cambria" w:hAnsi="Cambria" w:eastAsia="宋体" w:cs="Times New Roman"/>
      <w:b/>
      <w:bCs/>
      <w:color w:val="366091"/>
      <w:sz w:val="28"/>
      <w:szCs w:val="28"/>
    </w:rPr>
  </w:style>
  <w:style w:type="character" w:customStyle="1" w:styleId="200">
    <w:name w:val="标题 2 字符"/>
    <w:link w:val="189"/>
    <w:qFormat/>
    <w:uiPriority w:val="99"/>
    <w:rPr>
      <w:rFonts w:ascii="Cambria" w:hAnsi="Cambria" w:eastAsia="宋体" w:cs="Times New Roman"/>
      <w:b/>
      <w:bCs/>
      <w:color w:val="4F81BD"/>
      <w:sz w:val="26"/>
      <w:szCs w:val="26"/>
    </w:rPr>
  </w:style>
  <w:style w:type="character" w:customStyle="1" w:styleId="201">
    <w:name w:val="标题 3 字符"/>
    <w:link w:val="190"/>
    <w:qFormat/>
    <w:uiPriority w:val="0"/>
    <w:rPr>
      <w:rFonts w:ascii="Cambria" w:hAnsi="Cambria" w:eastAsia="宋体" w:cs="Times New Roman"/>
      <w:b/>
      <w:bCs/>
      <w:color w:val="4F81BD"/>
    </w:rPr>
  </w:style>
  <w:style w:type="character" w:customStyle="1" w:styleId="202">
    <w:name w:val="标题 4 字符"/>
    <w:link w:val="191"/>
    <w:qFormat/>
    <w:uiPriority w:val="0"/>
    <w:rPr>
      <w:rFonts w:ascii="Cambria" w:hAnsi="Cambria" w:eastAsia="宋体" w:cs="Times New Roman"/>
      <w:b/>
      <w:bCs/>
      <w:i/>
      <w:iCs/>
      <w:color w:val="4F81BD"/>
    </w:rPr>
  </w:style>
  <w:style w:type="character" w:customStyle="1" w:styleId="203">
    <w:name w:val="标题 5 字符"/>
    <w:link w:val="192"/>
    <w:qFormat/>
    <w:uiPriority w:val="0"/>
    <w:rPr>
      <w:rFonts w:ascii="Cambria" w:hAnsi="Cambria" w:eastAsia="宋体" w:cs="Times New Roman"/>
      <w:color w:val="244061"/>
    </w:rPr>
  </w:style>
  <w:style w:type="character" w:customStyle="1" w:styleId="204">
    <w:name w:val="标题 6 字符"/>
    <w:link w:val="193"/>
    <w:qFormat/>
    <w:uiPriority w:val="0"/>
    <w:rPr>
      <w:rFonts w:ascii="Cambria" w:hAnsi="Cambria" w:eastAsia="宋体" w:cs="Times New Roman"/>
      <w:i/>
      <w:iCs/>
      <w:color w:val="244061"/>
    </w:rPr>
  </w:style>
  <w:style w:type="character" w:customStyle="1" w:styleId="205">
    <w:name w:val="标题 7 字符"/>
    <w:link w:val="194"/>
    <w:qFormat/>
    <w:uiPriority w:val="0"/>
    <w:rPr>
      <w:rFonts w:ascii="Cambria" w:hAnsi="Cambria" w:eastAsia="宋体" w:cs="Times New Roman"/>
      <w:i/>
      <w:iCs/>
      <w:color w:val="3F3F3F"/>
    </w:rPr>
  </w:style>
  <w:style w:type="character" w:customStyle="1" w:styleId="206">
    <w:name w:val="标题 8 字符"/>
    <w:link w:val="195"/>
    <w:qFormat/>
    <w:uiPriority w:val="0"/>
    <w:rPr>
      <w:rFonts w:ascii="Cambria" w:hAnsi="Cambria" w:eastAsia="宋体" w:cs="Times New Roman"/>
      <w:color w:val="4F81BD"/>
      <w:sz w:val="20"/>
      <w:szCs w:val="20"/>
    </w:rPr>
  </w:style>
  <w:style w:type="character" w:customStyle="1" w:styleId="207">
    <w:name w:val="标题 9 字符"/>
    <w:link w:val="196"/>
    <w:qFormat/>
    <w:uiPriority w:val="0"/>
    <w:rPr>
      <w:rFonts w:ascii="Cambria" w:hAnsi="Cambria" w:eastAsia="宋体" w:cs="Times New Roman"/>
      <w:i/>
      <w:iCs/>
      <w:color w:val="3F3F3F"/>
      <w:sz w:val="20"/>
      <w:szCs w:val="20"/>
    </w:rPr>
  </w:style>
  <w:style w:type="paragraph" w:customStyle="1" w:styleId="208">
    <w:name w:val="列表 31"/>
    <w:basedOn w:val="1"/>
    <w:qFormat/>
    <w:uiPriority w:val="0"/>
    <w:pPr>
      <w:widowControl w:val="0"/>
      <w:spacing w:after="0" w:line="240" w:lineRule="auto"/>
      <w:ind w:left="100" w:hanging="200"/>
      <w:jc w:val="both"/>
    </w:pPr>
    <w:rPr>
      <w:rFonts w:ascii="Times New Roman" w:hAnsi="Times New Roman" w:eastAsia="宋体" w:cs="Times New Roman"/>
      <w:sz w:val="21"/>
      <w:szCs w:val="21"/>
    </w:rPr>
  </w:style>
  <w:style w:type="paragraph" w:customStyle="1" w:styleId="209">
    <w:name w:val="正文缩进11"/>
    <w:basedOn w:val="1"/>
    <w:link w:val="210"/>
    <w:unhideWhenUsed/>
    <w:qFormat/>
    <w:uiPriority w:val="0"/>
    <w:pPr>
      <w:widowControl w:val="0"/>
      <w:spacing w:after="0" w:line="240" w:lineRule="auto"/>
      <w:ind w:firstLine="420"/>
      <w:jc w:val="both"/>
    </w:pPr>
    <w:rPr>
      <w:sz w:val="21"/>
      <w:szCs w:val="20"/>
      <w:lang w:val="en-US" w:eastAsia="en-US"/>
    </w:rPr>
  </w:style>
  <w:style w:type="character" w:customStyle="1" w:styleId="210">
    <w:name w:val="正文缩进 字符1"/>
    <w:link w:val="209"/>
    <w:qFormat/>
    <w:uiPriority w:val="0"/>
    <w:rPr>
      <w:sz w:val="21"/>
    </w:rPr>
  </w:style>
  <w:style w:type="paragraph" w:customStyle="1" w:styleId="211">
    <w:name w:val="题注1"/>
    <w:basedOn w:val="1"/>
    <w:next w:val="1"/>
    <w:qFormat/>
    <w:uiPriority w:val="35"/>
    <w:pPr>
      <w:spacing w:line="240" w:lineRule="auto"/>
    </w:pPr>
    <w:rPr>
      <w:b/>
      <w:bCs/>
      <w:color w:val="4F81BD"/>
      <w:sz w:val="18"/>
      <w:szCs w:val="18"/>
    </w:rPr>
  </w:style>
  <w:style w:type="paragraph" w:customStyle="1" w:styleId="212">
    <w:name w:val="文档结构图1"/>
    <w:basedOn w:val="1"/>
    <w:link w:val="213"/>
    <w:qFormat/>
    <w:uiPriority w:val="0"/>
    <w:pPr>
      <w:widowControl w:val="0"/>
      <w:shd w:val="clear" w:color="auto" w:fill="000080"/>
      <w:spacing w:after="0" w:line="240" w:lineRule="auto"/>
      <w:jc w:val="both"/>
    </w:pPr>
    <w:rPr>
      <w:rFonts w:ascii="Times New Roman" w:hAnsi="Times New Roman"/>
      <w:sz w:val="21"/>
      <w:szCs w:val="21"/>
      <w:lang w:val="en-US" w:eastAsia="en-US"/>
    </w:rPr>
  </w:style>
  <w:style w:type="character" w:customStyle="1" w:styleId="213">
    <w:name w:val="文档结构图 字符"/>
    <w:link w:val="212"/>
    <w:qFormat/>
    <w:uiPriority w:val="0"/>
    <w:rPr>
      <w:rFonts w:ascii="Times New Roman" w:hAnsi="Times New Roman" w:eastAsia="宋体" w:cs="Times New Roman"/>
      <w:sz w:val="21"/>
      <w:szCs w:val="21"/>
      <w:shd w:val="clear" w:color="auto" w:fill="000080"/>
    </w:rPr>
  </w:style>
  <w:style w:type="paragraph" w:customStyle="1" w:styleId="214">
    <w:name w:val="批注文字1"/>
    <w:basedOn w:val="1"/>
    <w:link w:val="215"/>
    <w:qFormat/>
    <w:uiPriority w:val="0"/>
    <w:pPr>
      <w:widowControl w:val="0"/>
      <w:spacing w:after="0" w:line="240" w:lineRule="auto"/>
    </w:pPr>
    <w:rPr>
      <w:rFonts w:ascii="Times New Roman" w:hAnsi="Times New Roman"/>
      <w:sz w:val="21"/>
      <w:szCs w:val="21"/>
      <w:lang w:val="en-US" w:eastAsia="en-US"/>
    </w:rPr>
  </w:style>
  <w:style w:type="character" w:customStyle="1" w:styleId="215">
    <w:name w:val="批注文字 字符"/>
    <w:link w:val="214"/>
    <w:qFormat/>
    <w:uiPriority w:val="0"/>
    <w:rPr>
      <w:rFonts w:ascii="Times New Roman" w:hAnsi="Times New Roman" w:eastAsia="宋体" w:cs="Times New Roman"/>
      <w:sz w:val="21"/>
      <w:szCs w:val="21"/>
    </w:rPr>
  </w:style>
  <w:style w:type="paragraph" w:customStyle="1" w:styleId="216">
    <w:name w:val="正文文本 31"/>
    <w:basedOn w:val="1"/>
    <w:link w:val="217"/>
    <w:qFormat/>
    <w:uiPriority w:val="0"/>
    <w:pPr>
      <w:widowControl w:val="0"/>
      <w:spacing w:after="0" w:line="240" w:lineRule="auto"/>
      <w:jc w:val="both"/>
    </w:pPr>
    <w:rPr>
      <w:rFonts w:ascii="仿宋_GB2312" w:hAnsi="Arial" w:eastAsia="仿宋_GB2312"/>
      <w:sz w:val="32"/>
      <w:szCs w:val="32"/>
      <w:lang w:val="en-US" w:eastAsia="en-US"/>
    </w:rPr>
  </w:style>
  <w:style w:type="character" w:customStyle="1" w:styleId="217">
    <w:name w:val="正文文本 3 字符"/>
    <w:link w:val="216"/>
    <w:qFormat/>
    <w:uiPriority w:val="0"/>
    <w:rPr>
      <w:rFonts w:ascii="仿宋_GB2312" w:hAnsi="Arial" w:eastAsia="仿宋_GB2312" w:cs="Times New Roman"/>
      <w:sz w:val="32"/>
      <w:szCs w:val="32"/>
    </w:rPr>
  </w:style>
  <w:style w:type="paragraph" w:customStyle="1" w:styleId="218">
    <w:name w:val="正文文本1"/>
    <w:basedOn w:val="1"/>
    <w:link w:val="219"/>
    <w:qFormat/>
    <w:uiPriority w:val="0"/>
    <w:pPr>
      <w:widowControl w:val="0"/>
      <w:spacing w:after="0" w:line="240" w:lineRule="auto"/>
      <w:jc w:val="both"/>
    </w:pPr>
    <w:rPr>
      <w:rFonts w:ascii="楷体_GB2312" w:hAnsi="Arial" w:eastAsia="楷体_GB2312"/>
      <w:sz w:val="28"/>
      <w:szCs w:val="28"/>
      <w:lang w:val="en-US" w:eastAsia="en-US"/>
    </w:rPr>
  </w:style>
  <w:style w:type="character" w:customStyle="1" w:styleId="219">
    <w:name w:val="正文文本 字符"/>
    <w:link w:val="218"/>
    <w:qFormat/>
    <w:uiPriority w:val="0"/>
    <w:rPr>
      <w:rFonts w:ascii="楷体_GB2312" w:hAnsi="Arial" w:eastAsia="楷体_GB2312" w:cs="Times New Roman"/>
      <w:sz w:val="28"/>
      <w:szCs w:val="28"/>
    </w:rPr>
  </w:style>
  <w:style w:type="paragraph" w:customStyle="1" w:styleId="220">
    <w:name w:val="正文文本缩进1"/>
    <w:basedOn w:val="1"/>
    <w:link w:val="221"/>
    <w:qFormat/>
    <w:uiPriority w:val="0"/>
    <w:pPr>
      <w:widowControl w:val="0"/>
      <w:spacing w:after="0" w:line="240" w:lineRule="auto"/>
      <w:ind w:firstLine="645"/>
      <w:jc w:val="both"/>
    </w:pPr>
    <w:rPr>
      <w:rFonts w:ascii="楷体_GB2312" w:hAnsi="Times New Roman" w:eastAsia="楷体_GB2312"/>
      <w:sz w:val="32"/>
      <w:szCs w:val="32"/>
      <w:lang w:val="en-US" w:eastAsia="en-US"/>
    </w:rPr>
  </w:style>
  <w:style w:type="character" w:customStyle="1" w:styleId="221">
    <w:name w:val="正文文本缩进 字符"/>
    <w:link w:val="220"/>
    <w:qFormat/>
    <w:uiPriority w:val="0"/>
    <w:rPr>
      <w:rFonts w:ascii="楷体_GB2312" w:hAnsi="Times New Roman" w:eastAsia="楷体_GB2312" w:cs="Times New Roman"/>
      <w:sz w:val="32"/>
      <w:szCs w:val="32"/>
    </w:rPr>
  </w:style>
  <w:style w:type="paragraph" w:customStyle="1" w:styleId="222">
    <w:name w:val="列表 21"/>
    <w:basedOn w:val="1"/>
    <w:qFormat/>
    <w:uiPriority w:val="0"/>
    <w:pPr>
      <w:widowControl w:val="0"/>
      <w:spacing w:after="0" w:line="240" w:lineRule="auto"/>
      <w:ind w:left="100" w:hanging="200"/>
      <w:jc w:val="both"/>
    </w:pPr>
    <w:rPr>
      <w:rFonts w:ascii="Times New Roman" w:hAnsi="Times New Roman" w:eastAsia="宋体" w:cs="Times New Roman"/>
      <w:sz w:val="21"/>
      <w:szCs w:val="21"/>
    </w:rPr>
  </w:style>
  <w:style w:type="paragraph" w:customStyle="1" w:styleId="223">
    <w:name w:val="索引 41"/>
    <w:basedOn w:val="1"/>
    <w:next w:val="1"/>
    <w:unhideWhenUsed/>
    <w:qFormat/>
    <w:uiPriority w:val="99"/>
    <w:pPr>
      <w:ind w:left="600"/>
    </w:pPr>
  </w:style>
  <w:style w:type="paragraph" w:customStyle="1" w:styleId="224">
    <w:name w:val="纯文本11"/>
    <w:basedOn w:val="1"/>
    <w:link w:val="225"/>
    <w:qFormat/>
    <w:uiPriority w:val="0"/>
    <w:pPr>
      <w:widowControl w:val="0"/>
      <w:spacing w:after="0" w:line="240" w:lineRule="auto"/>
      <w:jc w:val="both"/>
    </w:pPr>
    <w:rPr>
      <w:rFonts w:ascii="宋体" w:hAnsi="Courier New"/>
      <w:sz w:val="21"/>
      <w:szCs w:val="21"/>
      <w:lang w:val="en-US" w:eastAsia="en-US"/>
    </w:rPr>
  </w:style>
  <w:style w:type="character" w:customStyle="1" w:styleId="225">
    <w:name w:val="纯文本 字符"/>
    <w:link w:val="224"/>
    <w:qFormat/>
    <w:uiPriority w:val="0"/>
    <w:rPr>
      <w:rFonts w:ascii="宋体" w:hAnsi="Courier New" w:eastAsia="宋体" w:cs="Times New Roman"/>
      <w:sz w:val="21"/>
      <w:szCs w:val="21"/>
    </w:rPr>
  </w:style>
  <w:style w:type="paragraph" w:customStyle="1" w:styleId="226">
    <w:name w:val="日期1"/>
    <w:basedOn w:val="1"/>
    <w:next w:val="1"/>
    <w:link w:val="227"/>
    <w:qFormat/>
    <w:uiPriority w:val="0"/>
    <w:pPr>
      <w:widowControl w:val="0"/>
      <w:spacing w:after="0" w:line="240" w:lineRule="auto"/>
      <w:jc w:val="both"/>
    </w:pPr>
    <w:rPr>
      <w:rFonts w:ascii="Times New Roman" w:hAnsi="Times New Roman"/>
      <w:sz w:val="24"/>
      <w:szCs w:val="24"/>
      <w:lang w:val="en-US" w:eastAsia="en-US"/>
    </w:rPr>
  </w:style>
  <w:style w:type="character" w:customStyle="1" w:styleId="227">
    <w:name w:val="日期 字符"/>
    <w:link w:val="226"/>
    <w:qFormat/>
    <w:uiPriority w:val="0"/>
    <w:rPr>
      <w:rFonts w:ascii="Times New Roman" w:hAnsi="Times New Roman" w:eastAsia="宋体" w:cs="Times New Roman"/>
      <w:sz w:val="24"/>
      <w:szCs w:val="24"/>
    </w:rPr>
  </w:style>
  <w:style w:type="paragraph" w:customStyle="1" w:styleId="228">
    <w:name w:val="正文文本缩进 21"/>
    <w:basedOn w:val="1"/>
    <w:link w:val="229"/>
    <w:qFormat/>
    <w:uiPriority w:val="0"/>
    <w:pPr>
      <w:widowControl w:val="0"/>
      <w:spacing w:after="0" w:line="240" w:lineRule="auto"/>
      <w:ind w:left="630" w:firstLine="645"/>
      <w:jc w:val="both"/>
    </w:pPr>
    <w:rPr>
      <w:rFonts w:ascii="Arial" w:hAnsi="Arial" w:eastAsia="仿宋_GB2312"/>
      <w:sz w:val="32"/>
      <w:szCs w:val="32"/>
      <w:lang w:val="en-US" w:eastAsia="en-US"/>
    </w:rPr>
  </w:style>
  <w:style w:type="character" w:customStyle="1" w:styleId="229">
    <w:name w:val="正文文本缩进 2 字符"/>
    <w:link w:val="228"/>
    <w:qFormat/>
    <w:uiPriority w:val="0"/>
    <w:rPr>
      <w:rFonts w:ascii="Arial" w:hAnsi="Arial" w:eastAsia="仿宋_GB2312" w:cs="Arial"/>
      <w:sz w:val="32"/>
      <w:szCs w:val="32"/>
    </w:rPr>
  </w:style>
  <w:style w:type="paragraph" w:customStyle="1" w:styleId="230">
    <w:name w:val="批注框文本1"/>
    <w:basedOn w:val="1"/>
    <w:link w:val="231"/>
    <w:unhideWhenUsed/>
    <w:qFormat/>
    <w:uiPriority w:val="0"/>
    <w:pPr>
      <w:widowControl w:val="0"/>
      <w:spacing w:after="0" w:line="240" w:lineRule="auto"/>
      <w:jc w:val="both"/>
    </w:pPr>
    <w:rPr>
      <w:sz w:val="18"/>
      <w:szCs w:val="18"/>
      <w:lang w:val="en-US" w:eastAsia="en-US"/>
    </w:rPr>
  </w:style>
  <w:style w:type="character" w:customStyle="1" w:styleId="231">
    <w:name w:val="批注框文本 字符"/>
    <w:link w:val="230"/>
    <w:qFormat/>
    <w:uiPriority w:val="0"/>
    <w:rPr>
      <w:sz w:val="18"/>
      <w:szCs w:val="18"/>
    </w:rPr>
  </w:style>
  <w:style w:type="paragraph" w:customStyle="1" w:styleId="232">
    <w:name w:val="页脚1"/>
    <w:basedOn w:val="1"/>
    <w:link w:val="233"/>
    <w:unhideWhenUsed/>
    <w:qFormat/>
    <w:uiPriority w:val="99"/>
    <w:pPr>
      <w:tabs>
        <w:tab w:val="center" w:pos="4153"/>
        <w:tab w:val="right" w:pos="8306"/>
      </w:tabs>
      <w:spacing w:line="240" w:lineRule="auto"/>
    </w:pPr>
    <w:rPr>
      <w:sz w:val="18"/>
      <w:szCs w:val="18"/>
      <w:lang w:val="en-US" w:eastAsia="en-US"/>
    </w:rPr>
  </w:style>
  <w:style w:type="character" w:customStyle="1" w:styleId="233">
    <w:name w:val="页脚 字符1"/>
    <w:link w:val="232"/>
    <w:qFormat/>
    <w:uiPriority w:val="99"/>
    <w:rPr>
      <w:sz w:val="18"/>
      <w:szCs w:val="18"/>
    </w:rPr>
  </w:style>
  <w:style w:type="paragraph" w:customStyle="1" w:styleId="234">
    <w:name w:val="页眉1"/>
    <w:basedOn w:val="1"/>
    <w:link w:val="235"/>
    <w:unhideWhenUsed/>
    <w:qFormat/>
    <w:uiPriority w:val="99"/>
    <w:pPr>
      <w:pBdr>
        <w:bottom w:val="single" w:color="000000" w:sz="6" w:space="1"/>
      </w:pBdr>
      <w:tabs>
        <w:tab w:val="center" w:pos="4153"/>
        <w:tab w:val="right" w:pos="8306"/>
      </w:tabs>
      <w:spacing w:line="240" w:lineRule="auto"/>
      <w:jc w:val="center"/>
    </w:pPr>
    <w:rPr>
      <w:sz w:val="18"/>
      <w:szCs w:val="18"/>
      <w:lang w:val="en-US" w:eastAsia="en-US"/>
    </w:rPr>
  </w:style>
  <w:style w:type="character" w:customStyle="1" w:styleId="235">
    <w:name w:val="页眉 字符1"/>
    <w:link w:val="234"/>
    <w:qFormat/>
    <w:uiPriority w:val="99"/>
    <w:rPr>
      <w:sz w:val="18"/>
      <w:szCs w:val="18"/>
    </w:rPr>
  </w:style>
  <w:style w:type="paragraph" w:customStyle="1" w:styleId="236">
    <w:name w:val="副标题1"/>
    <w:basedOn w:val="1"/>
    <w:next w:val="1"/>
    <w:link w:val="237"/>
    <w:qFormat/>
    <w:uiPriority w:val="11"/>
    <w:rPr>
      <w:rFonts w:ascii="Cambria" w:hAnsi="Cambria"/>
      <w:i/>
      <w:iCs/>
      <w:color w:val="4F81BD"/>
      <w:spacing w:val="15"/>
      <w:sz w:val="24"/>
      <w:szCs w:val="24"/>
      <w:lang w:val="en-US" w:eastAsia="en-US"/>
    </w:rPr>
  </w:style>
  <w:style w:type="character" w:customStyle="1" w:styleId="237">
    <w:name w:val="副标题 字符"/>
    <w:link w:val="236"/>
    <w:qFormat/>
    <w:uiPriority w:val="11"/>
    <w:rPr>
      <w:rFonts w:ascii="Cambria" w:hAnsi="Cambria" w:eastAsia="宋体" w:cs="Times New Roman"/>
      <w:i/>
      <w:iCs/>
      <w:color w:val="4F81BD"/>
      <w:spacing w:val="15"/>
      <w:sz w:val="24"/>
      <w:szCs w:val="24"/>
    </w:rPr>
  </w:style>
  <w:style w:type="paragraph" w:customStyle="1" w:styleId="238">
    <w:name w:val="列表1"/>
    <w:basedOn w:val="1"/>
    <w:qFormat/>
    <w:uiPriority w:val="0"/>
    <w:pPr>
      <w:widowControl w:val="0"/>
      <w:spacing w:after="0" w:line="240" w:lineRule="auto"/>
      <w:ind w:left="200" w:hanging="200"/>
      <w:jc w:val="both"/>
    </w:pPr>
    <w:rPr>
      <w:rFonts w:ascii="Times New Roman" w:hAnsi="Times New Roman" w:eastAsia="宋体" w:cs="Times New Roman"/>
      <w:sz w:val="21"/>
      <w:szCs w:val="21"/>
    </w:rPr>
  </w:style>
  <w:style w:type="paragraph" w:customStyle="1" w:styleId="239">
    <w:name w:val="正文文本缩进 31"/>
    <w:basedOn w:val="1"/>
    <w:link w:val="240"/>
    <w:qFormat/>
    <w:uiPriority w:val="0"/>
    <w:pPr>
      <w:widowControl w:val="0"/>
      <w:spacing w:after="0" w:line="240" w:lineRule="auto"/>
      <w:ind w:left="645" w:firstLine="645"/>
      <w:jc w:val="both"/>
    </w:pPr>
    <w:rPr>
      <w:rFonts w:ascii="Arial" w:hAnsi="Arial" w:eastAsia="仿宋_GB2312"/>
      <w:color w:val="FFFF00"/>
      <w:sz w:val="32"/>
      <w:szCs w:val="32"/>
      <w:lang w:val="en-US" w:eastAsia="en-US"/>
    </w:rPr>
  </w:style>
  <w:style w:type="character" w:customStyle="1" w:styleId="240">
    <w:name w:val="正文文本缩进 3 字符"/>
    <w:link w:val="239"/>
    <w:qFormat/>
    <w:uiPriority w:val="0"/>
    <w:rPr>
      <w:rFonts w:ascii="Arial" w:hAnsi="Arial" w:eastAsia="仿宋_GB2312" w:cs="Arial"/>
      <w:color w:val="FFFF00"/>
      <w:sz w:val="32"/>
      <w:szCs w:val="32"/>
    </w:rPr>
  </w:style>
  <w:style w:type="paragraph" w:customStyle="1" w:styleId="241">
    <w:name w:val="图表目录1"/>
    <w:basedOn w:val="1"/>
    <w:next w:val="1"/>
    <w:qFormat/>
    <w:uiPriority w:val="0"/>
    <w:pPr>
      <w:widowControl w:val="0"/>
      <w:spacing w:after="0" w:line="240" w:lineRule="auto"/>
      <w:ind w:left="840" w:hanging="420"/>
      <w:jc w:val="both"/>
    </w:pPr>
    <w:rPr>
      <w:rFonts w:ascii="Times New Roman" w:hAnsi="Times New Roman" w:eastAsia="宋体" w:cs="Times New Roman"/>
      <w:sz w:val="21"/>
      <w:szCs w:val="21"/>
    </w:rPr>
  </w:style>
  <w:style w:type="paragraph" w:customStyle="1" w:styleId="242">
    <w:name w:val="正文文本 21"/>
    <w:basedOn w:val="1"/>
    <w:link w:val="243"/>
    <w:qFormat/>
    <w:uiPriority w:val="0"/>
    <w:pPr>
      <w:spacing w:after="0" w:line="240" w:lineRule="auto"/>
      <w:jc w:val="center"/>
    </w:pPr>
    <w:rPr>
      <w:rFonts w:ascii="楷体_GB2312" w:hAnsi="Times New Roman" w:eastAsia="楷体_GB2312"/>
      <w:sz w:val="28"/>
      <w:szCs w:val="28"/>
      <w:lang w:val="en-US" w:eastAsia="en-US"/>
    </w:rPr>
  </w:style>
  <w:style w:type="character" w:customStyle="1" w:styleId="243">
    <w:name w:val="正文文本 2 字符"/>
    <w:link w:val="242"/>
    <w:qFormat/>
    <w:uiPriority w:val="0"/>
    <w:rPr>
      <w:rFonts w:ascii="楷体_GB2312" w:hAnsi="Times New Roman" w:eastAsia="楷体_GB2312" w:cs="Times New Roman"/>
      <w:sz w:val="28"/>
      <w:szCs w:val="28"/>
    </w:rPr>
  </w:style>
  <w:style w:type="paragraph" w:customStyle="1" w:styleId="244">
    <w:name w:val="普通(网站)1"/>
    <w:basedOn w:val="1"/>
    <w:qFormat/>
    <w:uiPriority w:val="0"/>
    <w:pPr>
      <w:spacing w:before="100" w:beforeAutospacing="1" w:after="100" w:afterAutospacing="1" w:line="240" w:lineRule="auto"/>
    </w:pPr>
    <w:rPr>
      <w:rFonts w:ascii="宋体" w:hAnsi="宋体" w:eastAsia="宋体" w:cs="宋体"/>
      <w:sz w:val="24"/>
      <w:szCs w:val="24"/>
    </w:rPr>
  </w:style>
  <w:style w:type="paragraph" w:customStyle="1" w:styleId="245">
    <w:name w:val="索引 11"/>
    <w:basedOn w:val="1"/>
    <w:next w:val="1"/>
    <w:qFormat/>
    <w:uiPriority w:val="0"/>
    <w:pPr>
      <w:widowControl w:val="0"/>
      <w:spacing w:after="0" w:line="240" w:lineRule="atLeast"/>
      <w:jc w:val="both"/>
    </w:pPr>
    <w:rPr>
      <w:rFonts w:ascii="Times New Roman" w:hAnsi="Times New Roman" w:eastAsia="宋体" w:cs="Times New Roman"/>
      <w:b/>
      <w:bCs/>
      <w:sz w:val="21"/>
      <w:szCs w:val="21"/>
    </w:rPr>
  </w:style>
  <w:style w:type="paragraph" w:customStyle="1" w:styleId="246">
    <w:name w:val="标题11"/>
    <w:basedOn w:val="1"/>
    <w:next w:val="1"/>
    <w:link w:val="247"/>
    <w:qFormat/>
    <w:uiPriority w:val="0"/>
    <w:pPr>
      <w:pBdr>
        <w:bottom w:val="single" w:color="4F81BD" w:sz="8" w:space="4"/>
      </w:pBdr>
      <w:spacing w:after="300" w:line="240" w:lineRule="auto"/>
      <w:contextualSpacing/>
    </w:pPr>
    <w:rPr>
      <w:rFonts w:ascii="Cambria" w:hAnsi="Cambria"/>
      <w:color w:val="17365D"/>
      <w:spacing w:val="5"/>
      <w:sz w:val="52"/>
      <w:szCs w:val="52"/>
      <w:lang w:val="en-US" w:eastAsia="en-US"/>
    </w:rPr>
  </w:style>
  <w:style w:type="character" w:customStyle="1" w:styleId="247">
    <w:name w:val="标题 字符"/>
    <w:link w:val="246"/>
    <w:qFormat/>
    <w:uiPriority w:val="0"/>
    <w:rPr>
      <w:rFonts w:ascii="Cambria" w:hAnsi="Cambria" w:eastAsia="宋体" w:cs="Times New Roman"/>
      <w:color w:val="17365D"/>
      <w:spacing w:val="5"/>
      <w:sz w:val="52"/>
      <w:szCs w:val="52"/>
    </w:rPr>
  </w:style>
  <w:style w:type="paragraph" w:customStyle="1" w:styleId="248">
    <w:name w:val="批注主题1"/>
    <w:basedOn w:val="214"/>
    <w:next w:val="214"/>
    <w:link w:val="249"/>
    <w:qFormat/>
    <w:uiPriority w:val="0"/>
    <w:rPr>
      <w:b/>
      <w:bCs/>
      <w:lang w:val="en-US" w:eastAsia="en-US"/>
    </w:rPr>
  </w:style>
  <w:style w:type="character" w:customStyle="1" w:styleId="249">
    <w:name w:val="批注主题 字符"/>
    <w:link w:val="248"/>
    <w:qFormat/>
    <w:uiPriority w:val="0"/>
    <w:rPr>
      <w:rFonts w:ascii="Times New Roman" w:hAnsi="Times New Roman" w:eastAsia="宋体" w:cs="Times New Roman"/>
      <w:b/>
      <w:bCs/>
      <w:sz w:val="21"/>
      <w:szCs w:val="21"/>
    </w:rPr>
  </w:style>
  <w:style w:type="paragraph" w:customStyle="1" w:styleId="250">
    <w:name w:val="正文文本首行缩进"/>
    <w:basedOn w:val="218"/>
    <w:link w:val="251"/>
    <w:qFormat/>
    <w:uiPriority w:val="0"/>
    <w:pPr>
      <w:widowControl w:val="0"/>
      <w:spacing w:after="0" w:line="360" w:lineRule="auto"/>
      <w:ind w:firstLine="200"/>
      <w:jc w:val="both"/>
    </w:pPr>
    <w:rPr>
      <w:rFonts w:ascii="仿宋_GB2312" w:hAnsi="Times New Roman" w:eastAsia="仿宋_GB2312"/>
      <w:sz w:val="30"/>
      <w:szCs w:val="30"/>
      <w:lang w:val="en-US" w:eastAsia="en-US"/>
    </w:rPr>
  </w:style>
  <w:style w:type="character" w:customStyle="1" w:styleId="251">
    <w:name w:val="正文文本首行缩进 字符"/>
    <w:link w:val="250"/>
    <w:qFormat/>
    <w:uiPriority w:val="0"/>
    <w:rPr>
      <w:rFonts w:ascii="仿宋_GB2312" w:hAnsi="Times New Roman" w:eastAsia="仿宋_GB2312" w:cs="Times New Roman"/>
      <w:sz w:val="30"/>
      <w:szCs w:val="30"/>
    </w:rPr>
  </w:style>
  <w:style w:type="paragraph" w:customStyle="1" w:styleId="252">
    <w:name w:val="正文文本首行缩进 2"/>
    <w:basedOn w:val="220"/>
    <w:link w:val="253"/>
    <w:qFormat/>
    <w:uiPriority w:val="0"/>
    <w:pPr>
      <w:spacing w:line="360" w:lineRule="auto"/>
      <w:ind w:firstLine="420"/>
    </w:pPr>
    <w:rPr>
      <w:rFonts w:ascii="宋体" w:hAnsi="宋体" w:eastAsia="宋体"/>
      <w:sz w:val="21"/>
      <w:szCs w:val="20"/>
      <w:lang w:val="en-US" w:eastAsia="en-US"/>
    </w:rPr>
  </w:style>
  <w:style w:type="character" w:customStyle="1" w:styleId="253">
    <w:name w:val="正文文本首行缩进 2 字符"/>
    <w:link w:val="252"/>
    <w:qFormat/>
    <w:uiPriority w:val="0"/>
    <w:rPr>
      <w:rFonts w:ascii="宋体" w:hAnsi="宋体" w:eastAsia="宋体" w:cs="Times New Roman"/>
      <w:sz w:val="21"/>
      <w:szCs w:val="20"/>
    </w:rPr>
  </w:style>
  <w:style w:type="table" w:customStyle="1" w:styleId="254">
    <w:name w:val="网格型111"/>
    <w:basedOn w:val="198"/>
    <w:qFormat/>
    <w:uiPriority w:val="39"/>
    <w:rPr>
      <w:sz w:val="21"/>
    </w:rPr>
  </w:style>
  <w:style w:type="character" w:customStyle="1" w:styleId="255">
    <w:name w:val="要点1"/>
    <w:link w:val="1"/>
    <w:qFormat/>
    <w:uiPriority w:val="0"/>
    <w:rPr>
      <w:b/>
      <w:bCs/>
    </w:rPr>
  </w:style>
  <w:style w:type="character" w:customStyle="1" w:styleId="256">
    <w:name w:val="页码1"/>
    <w:link w:val="1"/>
    <w:qFormat/>
    <w:uiPriority w:val="0"/>
  </w:style>
  <w:style w:type="character" w:customStyle="1" w:styleId="257">
    <w:name w:val="访问过的超链接"/>
    <w:link w:val="1"/>
    <w:qFormat/>
    <w:uiPriority w:val="99"/>
    <w:rPr>
      <w:color w:val="800080"/>
      <w:u w:val="single"/>
    </w:rPr>
  </w:style>
  <w:style w:type="character" w:customStyle="1" w:styleId="258">
    <w:name w:val="强调1"/>
    <w:link w:val="1"/>
    <w:qFormat/>
    <w:uiPriority w:val="20"/>
    <w:rPr>
      <w:i/>
      <w:iCs/>
    </w:rPr>
  </w:style>
  <w:style w:type="character" w:customStyle="1" w:styleId="259">
    <w:name w:val="超链接1"/>
    <w:link w:val="1"/>
    <w:qFormat/>
    <w:uiPriority w:val="99"/>
    <w:rPr>
      <w:color w:val="0000FF"/>
      <w:u w:val="single"/>
    </w:rPr>
  </w:style>
  <w:style w:type="character" w:customStyle="1" w:styleId="260">
    <w:name w:val="批注引用1"/>
    <w:link w:val="1"/>
    <w:qFormat/>
    <w:uiPriority w:val="99"/>
    <w:rPr>
      <w:sz w:val="21"/>
      <w:szCs w:val="21"/>
    </w:rPr>
  </w:style>
  <w:style w:type="character" w:customStyle="1" w:styleId="261">
    <w:name w:val="页眉 字符"/>
    <w:link w:val="1"/>
    <w:qFormat/>
    <w:uiPriority w:val="99"/>
    <w:rPr>
      <w:sz w:val="18"/>
      <w:szCs w:val="18"/>
    </w:rPr>
  </w:style>
  <w:style w:type="character" w:customStyle="1" w:styleId="262">
    <w:name w:val="书籍标题1"/>
    <w:link w:val="1"/>
    <w:qFormat/>
    <w:uiPriority w:val="33"/>
    <w:rPr>
      <w:b/>
      <w:bCs/>
      <w:smallCaps/>
      <w:spacing w:val="5"/>
    </w:rPr>
  </w:style>
  <w:style w:type="character" w:customStyle="1" w:styleId="263">
    <w:name w:val="正文缩进 字符"/>
    <w:link w:val="1"/>
    <w:qFormat/>
    <w:uiPriority w:val="0"/>
    <w:rPr>
      <w:sz w:val="21"/>
      <w:szCs w:val="21"/>
    </w:rPr>
  </w:style>
  <w:style w:type="character" w:customStyle="1" w:styleId="264">
    <w:name w:val="纯文本 Char"/>
    <w:link w:val="1"/>
    <w:semiHidden/>
    <w:qFormat/>
    <w:uiPriority w:val="99"/>
    <w:rPr>
      <w:rFonts w:ascii="宋体" w:hAnsi="Courier New" w:eastAsia="宋体" w:cs="Courier New"/>
      <w:sz w:val="21"/>
      <w:szCs w:val="21"/>
    </w:rPr>
  </w:style>
  <w:style w:type="character" w:customStyle="1" w:styleId="265">
    <w:name w:val="引用 Char"/>
    <w:link w:val="266"/>
    <w:qFormat/>
    <w:uiPriority w:val="29"/>
    <w:rPr>
      <w:i/>
      <w:iCs/>
      <w:color w:val="000000"/>
    </w:rPr>
  </w:style>
  <w:style w:type="paragraph" w:customStyle="1" w:styleId="266">
    <w:name w:val="引用1"/>
    <w:basedOn w:val="1"/>
    <w:next w:val="1"/>
    <w:link w:val="265"/>
    <w:qFormat/>
    <w:uiPriority w:val="29"/>
    <w:rPr>
      <w:i/>
      <w:iCs/>
      <w:color w:val="000000"/>
      <w:sz w:val="20"/>
      <w:szCs w:val="20"/>
      <w:lang w:val="en-US" w:eastAsia="en-US"/>
    </w:rPr>
  </w:style>
  <w:style w:type="character" w:customStyle="1" w:styleId="267">
    <w:name w:val="列表 2 - 强调文字颜色 6"/>
    <w:link w:val="1"/>
    <w:unhideWhenUsed/>
    <w:qFormat/>
    <w:uiPriority w:val="99"/>
    <w:rPr>
      <w:color w:val="605E5C"/>
      <w:shd w:val="clear" w:color="auto" w:fill="E1DFDD"/>
    </w:rPr>
  </w:style>
  <w:style w:type="character" w:customStyle="1" w:styleId="268">
    <w:name w:val="不明显强调1"/>
    <w:link w:val="1"/>
    <w:qFormat/>
    <w:uiPriority w:val="19"/>
    <w:rPr>
      <w:i/>
      <w:iCs/>
      <w:color w:val="7E7E7E"/>
    </w:rPr>
  </w:style>
  <w:style w:type="character" w:customStyle="1" w:styleId="269">
    <w:name w:val="无间隔 Char"/>
    <w:link w:val="270"/>
    <w:qFormat/>
    <w:uiPriority w:val="1"/>
    <w:rPr>
      <w:sz w:val="22"/>
      <w:szCs w:val="22"/>
      <w:lang w:val="en-US" w:eastAsia="zh-CN" w:bidi="ar-SA"/>
    </w:rPr>
  </w:style>
  <w:style w:type="paragraph" w:customStyle="1" w:styleId="270">
    <w:name w:val="无间隔1"/>
    <w:link w:val="269"/>
    <w:qFormat/>
    <w:uiPriority w:val="1"/>
    <w:rPr>
      <w:rFonts w:hint="default" w:ascii="Calibri" w:hAnsi="Calibri" w:eastAsia="宋体" w:cs="Times New Roman"/>
      <w:sz w:val="22"/>
      <w:szCs w:val="22"/>
      <w:lang w:val="en-US" w:eastAsia="zh-CN" w:bidi="ar-SA"/>
    </w:rPr>
  </w:style>
  <w:style w:type="character" w:customStyle="1" w:styleId="271">
    <w:name w:val="Table Sub Section Char"/>
    <w:link w:val="272"/>
    <w:qFormat/>
    <w:uiPriority w:val="0"/>
    <w:rPr>
      <w:rFonts w:ascii="Arial" w:hAnsi="Arial" w:eastAsia="宋体" w:cs="Times New Roman"/>
      <w:b/>
      <w:color w:val="0F0F0F"/>
      <w:sz w:val="20"/>
      <w:szCs w:val="20"/>
      <w:lang w:eastAsia="en-US"/>
    </w:rPr>
  </w:style>
  <w:style w:type="paragraph" w:customStyle="1" w:styleId="272">
    <w:name w:val="Table Sub Section"/>
    <w:basedOn w:val="1"/>
    <w:link w:val="271"/>
    <w:qFormat/>
    <w:uiPriority w:val="0"/>
    <w:pPr>
      <w:keepNext/>
      <w:spacing w:before="160" w:after="160"/>
    </w:pPr>
    <w:rPr>
      <w:rFonts w:ascii="Arial" w:hAnsi="Arial"/>
      <w:b/>
      <w:color w:val="0F0F0F"/>
      <w:sz w:val="20"/>
      <w:szCs w:val="20"/>
      <w:lang w:val="en-US" w:eastAsia="en-US"/>
    </w:rPr>
  </w:style>
  <w:style w:type="character" w:customStyle="1" w:styleId="273">
    <w:name w:val="不明显参考1"/>
    <w:link w:val="1"/>
    <w:qFormat/>
    <w:uiPriority w:val="31"/>
    <w:rPr>
      <w:smallCaps/>
      <w:color w:val="C0504D"/>
      <w:u w:val="single"/>
    </w:rPr>
  </w:style>
  <w:style w:type="character" w:customStyle="1" w:styleId="274">
    <w:name w:val="font5 Char"/>
    <w:link w:val="1"/>
    <w:qFormat/>
    <w:uiPriority w:val="0"/>
    <w:rPr>
      <w:rFonts w:ascii="宋体" w:hAnsi="宋体" w:eastAsia="宋体"/>
      <w:sz w:val="28"/>
      <w:szCs w:val="28"/>
      <w:lang w:val="en-US" w:eastAsia="zh-CN" w:bidi="ar-SA"/>
    </w:rPr>
  </w:style>
  <w:style w:type="character" w:customStyle="1" w:styleId="275">
    <w:name w:val="二级目录 Char"/>
    <w:link w:val="276"/>
    <w:qFormat/>
    <w:uiPriority w:val="0"/>
    <w:rPr>
      <w:b/>
      <w:sz w:val="30"/>
      <w:szCs w:val="28"/>
      <w:lang w:val="en-US" w:eastAsia="zh-CN" w:bidi="ar-SA"/>
    </w:rPr>
  </w:style>
  <w:style w:type="paragraph" w:customStyle="1" w:styleId="276">
    <w:name w:val="二级目录"/>
    <w:next w:val="1"/>
    <w:link w:val="275"/>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277">
    <w:name w:val="明显参考1"/>
    <w:link w:val="1"/>
    <w:qFormat/>
    <w:uiPriority w:val="32"/>
    <w:rPr>
      <w:b/>
      <w:bCs/>
      <w:smallCaps/>
      <w:color w:val="C0504D"/>
      <w:spacing w:val="5"/>
      <w:u w:val="single"/>
    </w:rPr>
  </w:style>
  <w:style w:type="character" w:customStyle="1" w:styleId="278">
    <w:name w:val="页脚 字符"/>
    <w:link w:val="1"/>
    <w:qFormat/>
    <w:uiPriority w:val="99"/>
    <w:rPr>
      <w:sz w:val="18"/>
      <w:szCs w:val="18"/>
    </w:rPr>
  </w:style>
  <w:style w:type="character" w:customStyle="1" w:styleId="279">
    <w:name w:val="明显强调1"/>
    <w:link w:val="1"/>
    <w:qFormat/>
    <w:uiPriority w:val="21"/>
    <w:rPr>
      <w:b/>
      <w:bCs/>
      <w:i/>
      <w:iCs/>
      <w:color w:val="4F81BD"/>
    </w:rPr>
  </w:style>
  <w:style w:type="character" w:customStyle="1" w:styleId="280">
    <w:name w:val="列出段落 Char"/>
    <w:link w:val="281"/>
    <w:qFormat/>
    <w:uiPriority w:val="0"/>
    <w:rPr>
      <w:rFonts w:ascii="Calibri" w:hAnsi="Calibri"/>
      <w:sz w:val="24"/>
      <w:szCs w:val="24"/>
      <w:lang w:eastAsia="en-US" w:bidi="en-US"/>
    </w:rPr>
  </w:style>
  <w:style w:type="paragraph" w:customStyle="1" w:styleId="281">
    <w:name w:val="列出段落1"/>
    <w:basedOn w:val="1"/>
    <w:link w:val="280"/>
    <w:qFormat/>
    <w:uiPriority w:val="0"/>
    <w:pPr>
      <w:ind w:left="720"/>
      <w:contextualSpacing/>
    </w:pPr>
    <w:rPr>
      <w:sz w:val="24"/>
      <w:szCs w:val="24"/>
      <w:lang w:val="en-US" w:eastAsia="en-US" w:bidi="en-US"/>
    </w:rPr>
  </w:style>
  <w:style w:type="character" w:customStyle="1" w:styleId="282">
    <w:name w:val="fontstyle01"/>
    <w:link w:val="1"/>
    <w:qFormat/>
    <w:uiPriority w:val="0"/>
    <w:rPr>
      <w:rFonts w:ascii="FZSSK--GBK1-0" w:hAnsi="FZSSK--GBK1-0"/>
      <w:color w:val="242021"/>
      <w:sz w:val="24"/>
      <w:szCs w:val="24"/>
    </w:rPr>
  </w:style>
  <w:style w:type="character" w:customStyle="1" w:styleId="283">
    <w:name w:val="明显引用 Char"/>
    <w:link w:val="284"/>
    <w:qFormat/>
    <w:uiPriority w:val="30"/>
    <w:rPr>
      <w:b/>
      <w:bCs/>
      <w:i/>
      <w:iCs/>
      <w:color w:val="4F81BD"/>
    </w:rPr>
  </w:style>
  <w:style w:type="paragraph" w:customStyle="1" w:styleId="284">
    <w:name w:val="明显引用1"/>
    <w:basedOn w:val="1"/>
    <w:next w:val="1"/>
    <w:link w:val="283"/>
    <w:qFormat/>
    <w:uiPriority w:val="30"/>
    <w:pPr>
      <w:pBdr>
        <w:bottom w:val="single" w:color="4F81BD" w:sz="4" w:space="4"/>
      </w:pBdr>
      <w:spacing w:before="200" w:after="280"/>
      <w:ind w:left="936" w:right="936"/>
    </w:pPr>
    <w:rPr>
      <w:b/>
      <w:bCs/>
      <w:i/>
      <w:iCs/>
      <w:color w:val="4F81BD"/>
      <w:sz w:val="20"/>
      <w:szCs w:val="20"/>
      <w:lang w:val="en-US" w:eastAsia="en-US"/>
    </w:rPr>
  </w:style>
  <w:style w:type="paragraph" w:customStyle="1" w:styleId="285">
    <w:name w:val="Char"/>
    <w:basedOn w:val="212"/>
    <w:qFormat/>
    <w:uiPriority w:val="0"/>
    <w:rPr>
      <w:rFonts w:ascii="Tahoma" w:hAnsi="Tahoma"/>
      <w:sz w:val="24"/>
      <w:szCs w:val="24"/>
    </w:rPr>
  </w:style>
  <w:style w:type="paragraph" w:customStyle="1" w:styleId="286">
    <w:name w:val="TOC 标题1"/>
    <w:basedOn w:val="188"/>
    <w:next w:val="1"/>
    <w:unhideWhenUsed/>
    <w:qFormat/>
    <w:uiPriority w:val="0"/>
    <w:pPr>
      <w:outlineLvl w:val="9"/>
    </w:pPr>
  </w:style>
  <w:style w:type="paragraph" w:customStyle="1" w:styleId="287">
    <w:name w:val="样式2"/>
    <w:basedOn w:val="1"/>
    <w:qFormat/>
    <w:uiPriority w:val="0"/>
    <w:pPr>
      <w:widowControl w:val="0"/>
      <w:spacing w:after="0" w:line="240" w:lineRule="auto"/>
      <w:jc w:val="center"/>
    </w:pPr>
    <w:rPr>
      <w:rFonts w:ascii="Calibri" w:hAnsi="Calibri" w:eastAsia="宋体" w:cs="Times New Roman"/>
      <w:b/>
      <w:sz w:val="44"/>
      <w:szCs w:val="44"/>
    </w:rPr>
  </w:style>
  <w:style w:type="paragraph" w:customStyle="1" w:styleId="288">
    <w:name w:val="xl29"/>
    <w:basedOn w:val="1"/>
    <w:qFormat/>
    <w:uiPriority w:val="0"/>
    <w:pPr>
      <w:pBdr>
        <w:left w:val="single" w:color="000000" w:sz="4" w:space="0"/>
        <w:bottom w:val="single" w:color="000000" w:sz="4" w:space="0"/>
      </w:pBdr>
      <w:spacing w:before="100" w:beforeAutospacing="1" w:after="100" w:afterAutospacing="1" w:line="240" w:lineRule="auto"/>
    </w:pPr>
    <w:rPr>
      <w:rFonts w:ascii="宋体" w:hAnsi="宋体" w:eastAsia="宋体" w:cs="Times New Roman"/>
      <w:sz w:val="24"/>
      <w:szCs w:val="24"/>
    </w:rPr>
  </w:style>
  <w:style w:type="paragraph" w:customStyle="1" w:styleId="289">
    <w:name w:val="普通正文"/>
    <w:basedOn w:val="1"/>
    <w:qFormat/>
    <w:uiPriority w:val="0"/>
    <w:pPr>
      <w:widowControl w:val="0"/>
      <w:spacing w:before="120" w:after="120" w:line="360" w:lineRule="auto"/>
      <w:ind w:firstLine="480"/>
    </w:pPr>
    <w:rPr>
      <w:rFonts w:ascii="Arial" w:hAnsi="Arial" w:eastAsia="宋体" w:cs="Times New Roman"/>
      <w:sz w:val="24"/>
      <w:szCs w:val="24"/>
    </w:rPr>
  </w:style>
  <w:style w:type="paragraph" w:customStyle="1" w:styleId="290">
    <w:name w:val="xl24"/>
    <w:basedOn w:val="1"/>
    <w:qFormat/>
    <w:uiPriority w:val="0"/>
    <w:pPr>
      <w:pBdr>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eastAsia="宋体" w:cs="Times New Roman"/>
      <w:sz w:val="24"/>
      <w:szCs w:val="24"/>
    </w:rPr>
  </w:style>
  <w:style w:type="paragraph" w:customStyle="1" w:styleId="291">
    <w:name w:val="图标"/>
    <w:basedOn w:val="1"/>
    <w:next w:val="1"/>
    <w:qFormat/>
    <w:uiPriority w:val="0"/>
    <w:pPr>
      <w:widowControl w:val="0"/>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92">
    <w:name w:val="标题3"/>
    <w:basedOn w:val="1"/>
    <w:next w:val="1"/>
    <w:qFormat/>
    <w:uiPriority w:val="0"/>
    <w:pPr>
      <w:widowControl w:val="0"/>
      <w:spacing w:after="0" w:line="590" w:lineRule="atLeast"/>
      <w:ind w:firstLine="624"/>
      <w:jc w:val="both"/>
    </w:pPr>
    <w:rPr>
      <w:rFonts w:ascii="方正黑体_GBK" w:hAnsi="Times New Roman" w:eastAsia="方正黑体_GBK" w:cs="Times New Roman"/>
      <w:sz w:val="32"/>
      <w:szCs w:val="32"/>
    </w:rPr>
  </w:style>
  <w:style w:type="paragraph" w:customStyle="1" w:styleId="293">
    <w:name w:val="纯文本1"/>
    <w:basedOn w:val="1"/>
    <w:qFormat/>
    <w:uiPriority w:val="0"/>
    <w:pPr>
      <w:widowControl w:val="0"/>
      <w:spacing w:after="0" w:line="240" w:lineRule="auto"/>
      <w:jc w:val="both"/>
    </w:pPr>
    <w:rPr>
      <w:rFonts w:ascii="宋体" w:hAnsi="Courier New" w:eastAsia="楷体_GB2312" w:cs="Times New Roman"/>
      <w:sz w:val="28"/>
      <w:szCs w:val="20"/>
    </w:rPr>
  </w:style>
  <w:style w:type="paragraph" w:customStyle="1" w:styleId="294">
    <w:name w:val="彩色列表1"/>
    <w:basedOn w:val="1"/>
    <w:qFormat/>
    <w:uiPriority w:val="99"/>
    <w:pPr>
      <w:ind w:firstLine="420"/>
    </w:pPr>
  </w:style>
  <w:style w:type="paragraph" w:customStyle="1" w:styleId="295">
    <w:name w:val="列出段落21"/>
    <w:basedOn w:val="1"/>
    <w:qFormat/>
    <w:uiPriority w:val="0"/>
    <w:pPr>
      <w:widowControl w:val="0"/>
      <w:spacing w:after="0" w:line="240" w:lineRule="auto"/>
      <w:ind w:firstLine="420"/>
      <w:jc w:val="both"/>
    </w:pPr>
    <w:rPr>
      <w:rFonts w:ascii="Calibri" w:hAnsi="Calibri" w:eastAsia="宋体" w:cs="Times New Roman"/>
      <w:sz w:val="21"/>
    </w:rPr>
  </w:style>
  <w:style w:type="paragraph" w:customStyle="1" w:styleId="296">
    <w:name w:val="xl25"/>
    <w:basedOn w:val="1"/>
    <w:qFormat/>
    <w:uiPriority w:val="0"/>
    <w:pPr>
      <w:spacing w:before="100" w:beforeAutospacing="1" w:after="100" w:afterAutospacing="1" w:line="240" w:lineRule="auto"/>
      <w:jc w:val="center"/>
    </w:pPr>
    <w:rPr>
      <w:rFonts w:ascii="Arial Unicode MS" w:hAnsi="Arial Unicode MS" w:eastAsia="Arial Unicode MS" w:cs="Arial Unicode MS"/>
      <w:sz w:val="24"/>
      <w:szCs w:val="24"/>
    </w:rPr>
  </w:style>
  <w:style w:type="paragraph" w:customStyle="1" w:styleId="297">
    <w:name w:val="Body Text(ch)"/>
    <w:basedOn w:val="1"/>
    <w:next w:val="218"/>
    <w:qFormat/>
    <w:uiPriority w:val="0"/>
    <w:pPr>
      <w:widowControl w:val="0"/>
      <w:spacing w:after="120" w:line="240" w:lineRule="auto"/>
      <w:jc w:val="both"/>
    </w:pPr>
    <w:rPr>
      <w:rFonts w:ascii="宋体" w:hAnsi="Arial" w:eastAsia="宋体" w:cs="Times New Roman"/>
      <w:bCs/>
      <w:iCs/>
      <w:sz w:val="21"/>
      <w:szCs w:val="24"/>
    </w:rPr>
  </w:style>
  <w:style w:type="paragraph" w:customStyle="1" w:styleId="298">
    <w:name w:val="List Paragraph1"/>
    <w:basedOn w:val="1"/>
    <w:qFormat/>
    <w:uiPriority w:val="0"/>
    <w:pPr>
      <w:widowControl w:val="0"/>
      <w:spacing w:after="0" w:line="240" w:lineRule="auto"/>
      <w:ind w:firstLine="420"/>
      <w:jc w:val="both"/>
    </w:pPr>
    <w:rPr>
      <w:rFonts w:cs="Calibri"/>
      <w:sz w:val="21"/>
      <w:szCs w:val="21"/>
    </w:rPr>
  </w:style>
  <w:style w:type="paragraph" w:customStyle="1" w:styleId="299">
    <w:name w:val="Char Char Char Char Char Char Char Char Char Char"/>
    <w:basedOn w:val="1"/>
    <w:qFormat/>
    <w:uiPriority w:val="0"/>
    <w:pPr>
      <w:widowControl w:val="0"/>
      <w:spacing w:after="0" w:line="360" w:lineRule="auto"/>
      <w:jc w:val="both"/>
    </w:pPr>
    <w:rPr>
      <w:rFonts w:ascii="Times New Roman" w:hAnsi="Times New Roman" w:eastAsia="宋体" w:cs="Times New Roman"/>
      <w:sz w:val="24"/>
      <w:szCs w:val="20"/>
    </w:rPr>
  </w:style>
  <w:style w:type="paragraph" w:customStyle="1" w:styleId="300">
    <w:name w:val="font5"/>
    <w:basedOn w:val="1"/>
    <w:qFormat/>
    <w:uiPriority w:val="0"/>
    <w:pPr>
      <w:spacing w:before="100" w:beforeAutospacing="1" w:after="100" w:afterAutospacing="1" w:line="240" w:lineRule="auto"/>
    </w:pPr>
    <w:rPr>
      <w:rFonts w:hint="eastAsia" w:ascii="宋体" w:hAnsi="宋体" w:eastAsia="宋体" w:cs="Times New Roman"/>
      <w:sz w:val="28"/>
      <w:szCs w:val="28"/>
    </w:rPr>
  </w:style>
  <w:style w:type="paragraph" w:customStyle="1" w:styleId="301">
    <w:name w:val="xl2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pPr>
    <w:rPr>
      <w:rFonts w:ascii="宋体" w:hAnsi="宋体" w:eastAsia="宋体" w:cs="Times New Roman"/>
      <w:sz w:val="24"/>
      <w:szCs w:val="24"/>
    </w:rPr>
  </w:style>
  <w:style w:type="paragraph" w:customStyle="1" w:styleId="302">
    <w:name w:val="table_1stline"/>
    <w:basedOn w:val="1"/>
    <w:qFormat/>
    <w:uiPriority w:val="0"/>
    <w:pPr>
      <w:spacing w:before="120" w:after="0" w:line="240" w:lineRule="auto"/>
    </w:pPr>
    <w:rPr>
      <w:rFonts w:ascii="Times New Roman" w:hAnsi="Times New Roman" w:eastAsia="宋体" w:cs="Times New Roman"/>
      <w:bCs/>
      <w:sz w:val="20"/>
      <w:szCs w:val="20"/>
      <w:lang w:val="de-DE" w:eastAsia="de-DE"/>
    </w:rPr>
  </w:style>
  <w:style w:type="paragraph" w:customStyle="1" w:styleId="303">
    <w:name w:val="Char Char Char Char"/>
    <w:basedOn w:val="212"/>
    <w:qFormat/>
    <w:uiPriority w:val="0"/>
    <w:pPr>
      <w:spacing w:line="360" w:lineRule="auto"/>
    </w:pPr>
    <w:rPr>
      <w:rFonts w:ascii="Tahoma" w:hAnsi="Tahoma"/>
      <w:sz w:val="24"/>
      <w:szCs w:val="24"/>
    </w:rPr>
  </w:style>
  <w:style w:type="paragraph" w:customStyle="1" w:styleId="304">
    <w:name w:val="彩色底纹1"/>
    <w:unhideWhenUsed/>
    <w:qFormat/>
    <w:uiPriority w:val="99"/>
    <w:rPr>
      <w:rFonts w:hint="default" w:ascii="Calibri" w:hAnsi="Calibri" w:eastAsia="宋体" w:cs="Times New Roman"/>
      <w:sz w:val="22"/>
      <w:szCs w:val="22"/>
      <w:lang w:val="en-US" w:eastAsia="zh-CN" w:bidi="ar-SA"/>
    </w:rPr>
  </w:style>
  <w:style w:type="paragraph" w:customStyle="1" w:styleId="305">
    <w:name w:val="4"/>
    <w:basedOn w:val="1"/>
    <w:next w:val="239"/>
    <w:qFormat/>
    <w:uiPriority w:val="0"/>
    <w:pPr>
      <w:widowControl w:val="0"/>
      <w:spacing w:after="0" w:line="360" w:lineRule="auto"/>
      <w:ind w:firstLine="420"/>
      <w:jc w:val="both"/>
    </w:pPr>
    <w:rPr>
      <w:rFonts w:ascii="Times New Roman" w:hAnsi="Times New Roman" w:eastAsia="宋体" w:cs="Times New Roman"/>
      <w:color w:val="FF0000"/>
      <w:sz w:val="24"/>
      <w:szCs w:val="24"/>
    </w:rPr>
  </w:style>
  <w:style w:type="paragraph" w:customStyle="1" w:styleId="306">
    <w:name w:val="xl27"/>
    <w:basedOn w:val="1"/>
    <w:qFormat/>
    <w:uiPriority w:val="0"/>
    <w:pPr>
      <w:pBdr>
        <w:left w:val="single" w:color="000000" w:sz="4" w:space="0"/>
        <w:bottom w:val="single" w:color="000000" w:sz="4" w:space="0"/>
        <w:right w:val="single" w:color="000000" w:sz="4" w:space="0"/>
      </w:pBdr>
      <w:spacing w:before="100" w:beforeAutospacing="1" w:after="100" w:afterAutospacing="1" w:line="240" w:lineRule="auto"/>
      <w:jc w:val="center"/>
    </w:pPr>
    <w:rPr>
      <w:rFonts w:ascii="宋体" w:hAnsi="宋体" w:eastAsia="宋体" w:cs="Times New Roman"/>
      <w:sz w:val="24"/>
      <w:szCs w:val="24"/>
    </w:rPr>
  </w:style>
  <w:style w:type="paragraph" w:customStyle="1" w:styleId="307">
    <w:name w:val="样式1"/>
    <w:basedOn w:val="1"/>
    <w:qFormat/>
    <w:uiPriority w:val="0"/>
    <w:pPr>
      <w:widowControl w:val="0"/>
      <w:tabs>
        <w:tab w:val="left" w:pos="709"/>
      </w:tabs>
      <w:spacing w:after="0" w:line="240" w:lineRule="auto"/>
      <w:ind w:left="709" w:hanging="709"/>
      <w:jc w:val="both"/>
    </w:pPr>
    <w:rPr>
      <w:rFonts w:ascii="宋体" w:hAnsi="宋体" w:eastAsia="宋体" w:cs="Times New Roman"/>
      <w:sz w:val="21"/>
      <w:szCs w:val="21"/>
    </w:rPr>
  </w:style>
  <w:style w:type="paragraph" w:customStyle="1" w:styleId="308">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309">
    <w:name w:val="正文缩进1"/>
    <w:basedOn w:val="1"/>
    <w:qFormat/>
    <w:uiPriority w:val="0"/>
    <w:pPr>
      <w:widowControl w:val="0"/>
      <w:spacing w:after="0" w:line="240" w:lineRule="auto"/>
      <w:ind w:firstLine="420"/>
      <w:jc w:val="both"/>
    </w:pPr>
    <w:rPr>
      <w:rFonts w:cs="Calibri"/>
      <w:b/>
      <w:bCs/>
      <w:sz w:val="24"/>
      <w:szCs w:val="24"/>
    </w:rPr>
  </w:style>
  <w:style w:type="paragraph" w:customStyle="1" w:styleId="310">
    <w:name w:val="列出段落2"/>
    <w:basedOn w:val="1"/>
    <w:qFormat/>
    <w:uiPriority w:val="34"/>
    <w:pPr>
      <w:ind w:left="720"/>
      <w:contextualSpacing/>
    </w:pPr>
  </w:style>
  <w:style w:type="paragraph" w:customStyle="1" w:styleId="311">
    <w:name w:val="彩色列表 - 强调文字颜色 11"/>
    <w:basedOn w:val="1"/>
    <w:qFormat/>
    <w:uiPriority w:val="0"/>
    <w:pPr>
      <w:spacing w:before="100" w:after="100"/>
      <w:ind w:left="720"/>
      <w:contextualSpacing/>
    </w:pPr>
    <w:rPr>
      <w:rFonts w:ascii="Arial" w:hAnsi="Arial" w:eastAsia="宋体" w:cs="Arial"/>
      <w:color w:val="0F0F0F"/>
      <w:sz w:val="20"/>
      <w:szCs w:val="20"/>
      <w:lang w:eastAsia="en-US"/>
    </w:rPr>
  </w:style>
  <w:style w:type="paragraph" w:customStyle="1" w:styleId="312">
    <w:name w:val="font6"/>
    <w:basedOn w:val="1"/>
    <w:qFormat/>
    <w:uiPriority w:val="0"/>
    <w:pPr>
      <w:spacing w:before="100" w:beforeAutospacing="1" w:after="100" w:afterAutospacing="1" w:line="240" w:lineRule="auto"/>
    </w:pPr>
    <w:rPr>
      <w:rFonts w:hint="eastAsia" w:ascii="宋体" w:hAnsi="宋体" w:eastAsia="宋体" w:cs="Times New Roman"/>
      <w:sz w:val="28"/>
      <w:szCs w:val="28"/>
      <w:u w:val="single"/>
    </w:rPr>
  </w:style>
  <w:style w:type="paragraph" w:customStyle="1" w:styleId="313">
    <w:name w:val="xl30"/>
    <w:basedOn w:val="1"/>
    <w:qFormat/>
    <w:uiPriority w:val="0"/>
    <w:pPr>
      <w:spacing w:before="100" w:beforeAutospacing="1" w:after="100" w:afterAutospacing="1" w:line="240" w:lineRule="auto"/>
      <w:jc w:val="center"/>
    </w:pPr>
    <w:rPr>
      <w:rFonts w:ascii="宋体" w:hAnsi="宋体" w:eastAsia="宋体" w:cs="Times New Roman"/>
      <w:b/>
      <w:bCs/>
      <w:sz w:val="36"/>
      <w:szCs w:val="36"/>
    </w:rPr>
  </w:style>
  <w:style w:type="paragraph" w:customStyle="1" w:styleId="314">
    <w:name w:val="font7"/>
    <w:basedOn w:val="1"/>
    <w:qFormat/>
    <w:uiPriority w:val="0"/>
    <w:pPr>
      <w:spacing w:before="100" w:beforeAutospacing="1" w:after="100" w:afterAutospacing="1" w:line="240" w:lineRule="auto"/>
    </w:pPr>
    <w:rPr>
      <w:rFonts w:hint="eastAsia" w:ascii="宋体" w:hAnsi="宋体" w:eastAsia="宋体" w:cs="Times New Roman"/>
      <w:sz w:val="18"/>
      <w:szCs w:val="18"/>
    </w:rPr>
  </w:style>
  <w:style w:type="paragraph" w:customStyle="1" w:styleId="315">
    <w:name w:val="标题1"/>
    <w:basedOn w:val="1"/>
    <w:next w:val="1"/>
    <w:qFormat/>
    <w:uiPriority w:val="0"/>
    <w:pPr>
      <w:widowControl w:val="0"/>
      <w:tabs>
        <w:tab w:val="left" w:pos="9193"/>
        <w:tab w:val="left" w:pos="9827"/>
      </w:tabs>
      <w:spacing w:after="0" w:line="700" w:lineRule="atLeast"/>
      <w:jc w:val="center"/>
    </w:pPr>
    <w:rPr>
      <w:rFonts w:ascii="方正小标宋_GBK" w:hAnsi="Times New Roman" w:eastAsia="方正小标宋_GBK" w:cs="Times New Roman"/>
      <w:sz w:val="44"/>
      <w:szCs w:val="20"/>
    </w:rPr>
  </w:style>
  <w:style w:type="paragraph" w:customStyle="1" w:styleId="316">
    <w:name w:val="table_lines"/>
    <w:basedOn w:val="1"/>
    <w:qFormat/>
    <w:uiPriority w:val="0"/>
    <w:pPr>
      <w:spacing w:after="0" w:line="240" w:lineRule="auto"/>
    </w:pPr>
    <w:rPr>
      <w:rFonts w:ascii="Times New Roman" w:hAnsi="Times New Roman" w:eastAsia="宋体" w:cs="Times New Roman"/>
      <w:sz w:val="20"/>
      <w:szCs w:val="20"/>
      <w:lang w:val="de-DE" w:eastAsia="de-DE"/>
    </w:rPr>
  </w:style>
  <w:style w:type="paragraph" w:customStyle="1" w:styleId="317">
    <w:name w:val="Char Char Char Char Char Char Char Char"/>
    <w:basedOn w:val="1"/>
    <w:qFormat/>
    <w:uiPriority w:val="0"/>
    <w:pPr>
      <w:spacing w:after="160" w:line="240" w:lineRule="exact"/>
    </w:pPr>
    <w:rPr>
      <w:rFonts w:ascii="Verdana" w:hAnsi="Verdana" w:eastAsia="宋体" w:cs="Times New Roman"/>
      <w:sz w:val="20"/>
      <w:szCs w:val="20"/>
      <w:lang w:eastAsia="en-US"/>
    </w:rPr>
  </w:style>
  <w:style w:type="paragraph" w:customStyle="1" w:styleId="318">
    <w:name w:val="修订1"/>
    <w:semiHidden/>
    <w:qFormat/>
    <w:uiPriority w:val="99"/>
    <w:rPr>
      <w:rFonts w:hint="default" w:ascii="Calibri" w:hAnsi="Calibri" w:eastAsia="宋体" w:cs="Times New Roman"/>
      <w:sz w:val="22"/>
      <w:szCs w:val="22"/>
      <w:lang w:val="en-US" w:eastAsia="zh-CN" w:bidi="ar-SA"/>
    </w:rPr>
  </w:style>
  <w:style w:type="paragraph" w:customStyle="1" w:styleId="319">
    <w:name w:val="普通 (Web)"/>
    <w:basedOn w:val="1"/>
    <w:qFormat/>
    <w:uiPriority w:val="0"/>
    <w:pPr>
      <w:spacing w:before="100" w:beforeAutospacing="1" w:after="100" w:afterAutospacing="1" w:line="240" w:lineRule="auto"/>
    </w:pPr>
    <w:rPr>
      <w:rFonts w:ascii="宋体" w:hAnsi="宋体" w:eastAsia="宋体" w:cs="Times New Roman"/>
      <w:sz w:val="24"/>
      <w:szCs w:val="24"/>
    </w:rPr>
  </w:style>
  <w:style w:type="paragraph" w:customStyle="1" w:styleId="320">
    <w:name w:val="xl28"/>
    <w:basedOn w:val="1"/>
    <w:qFormat/>
    <w:uiPriority w:val="0"/>
    <w:pPr>
      <w:pBdr>
        <w:top w:val="single" w:color="000000" w:sz="4" w:space="0"/>
        <w:left w:val="single" w:color="000000" w:sz="4" w:space="0"/>
        <w:bottom w:val="single" w:color="000000" w:sz="4" w:space="0"/>
      </w:pBdr>
      <w:spacing w:before="100" w:beforeAutospacing="1" w:after="100" w:afterAutospacing="1" w:line="240" w:lineRule="auto"/>
    </w:pPr>
    <w:rPr>
      <w:rFonts w:ascii="宋体" w:hAnsi="宋体" w:eastAsia="宋体" w:cs="Times New Roman"/>
      <w:sz w:val="24"/>
      <w:szCs w:val="24"/>
    </w:rPr>
  </w:style>
  <w:style w:type="paragraph" w:customStyle="1" w:styleId="321">
    <w:name w:val="彩色底纹 - 强调文字颜色 11"/>
    <w:qFormat/>
    <w:uiPriority w:val="71"/>
    <w:rPr>
      <w:rFonts w:hint="default" w:ascii="Calibri" w:hAnsi="Calibri" w:eastAsia="宋体" w:cs="Times New Roman"/>
      <w:sz w:val="22"/>
      <w:szCs w:val="22"/>
      <w:lang w:val="en-US" w:eastAsia="zh-CN" w:bidi="ar-SA"/>
    </w:rPr>
  </w:style>
  <w:style w:type="table" w:customStyle="1" w:styleId="322">
    <w:name w:val="网格型1"/>
    <w:basedOn w:val="198"/>
    <w:qFormat/>
    <w:uiPriority w:val="59"/>
    <w:rPr>
      <w:sz w:val="21"/>
    </w:rPr>
  </w:style>
  <w:style w:type="table" w:customStyle="1" w:styleId="323">
    <w:name w:val="网格型12"/>
    <w:basedOn w:val="198"/>
    <w:qFormat/>
    <w:uiPriority w:val="39"/>
    <w:rPr>
      <w:rFonts w:ascii="Times New Roman" w:hAnsi="Times New Roman"/>
    </w:rPr>
  </w:style>
  <w:style w:type="table" w:customStyle="1" w:styleId="324">
    <w:name w:val="网格型17"/>
    <w:basedOn w:val="198"/>
    <w:qFormat/>
    <w:uiPriority w:val="39"/>
    <w:rPr>
      <w:rFonts w:ascii="Times New Roman" w:hAnsi="Times New Roman"/>
    </w:rPr>
  </w:style>
  <w:style w:type="table" w:customStyle="1" w:styleId="325">
    <w:name w:val="网格型9"/>
    <w:basedOn w:val="198"/>
    <w:qFormat/>
    <w:uiPriority w:val="39"/>
    <w:pPr>
      <w:widowControl w:val="0"/>
      <w:jc w:val="both"/>
    </w:pPr>
  </w:style>
  <w:style w:type="table" w:customStyle="1" w:styleId="326">
    <w:name w:val="网格型16"/>
    <w:basedOn w:val="198"/>
    <w:qFormat/>
    <w:uiPriority w:val="39"/>
    <w:rPr>
      <w:rFonts w:ascii="Times New Roman" w:hAnsi="Times New Roman"/>
    </w:rPr>
  </w:style>
  <w:style w:type="table" w:customStyle="1" w:styleId="327">
    <w:name w:val="网格型8"/>
    <w:basedOn w:val="198"/>
    <w:qFormat/>
    <w:uiPriority w:val="59"/>
    <w:pPr>
      <w:widowControl w:val="0"/>
      <w:jc w:val="both"/>
    </w:pPr>
  </w:style>
  <w:style w:type="table" w:customStyle="1" w:styleId="328">
    <w:name w:val="网格型2"/>
    <w:basedOn w:val="198"/>
    <w:qFormat/>
    <w:uiPriority w:val="39"/>
    <w:rPr>
      <w:rFonts w:ascii="等线" w:hAnsi="等线" w:eastAsia="等线"/>
      <w:sz w:val="21"/>
    </w:rPr>
  </w:style>
  <w:style w:type="table" w:customStyle="1" w:styleId="329">
    <w:name w:val="网格型21"/>
    <w:basedOn w:val="198"/>
    <w:qFormat/>
    <w:uiPriority w:val="59"/>
    <w:rPr>
      <w:sz w:val="21"/>
    </w:rPr>
  </w:style>
  <w:style w:type="table" w:customStyle="1" w:styleId="330">
    <w:name w:val="网格型11"/>
    <w:basedOn w:val="198"/>
    <w:qFormat/>
    <w:uiPriority w:val="59"/>
    <w:rPr>
      <w:rFonts w:ascii="等线" w:hAnsi="等线" w:eastAsia="等线"/>
      <w:sz w:val="21"/>
    </w:rPr>
  </w:style>
  <w:style w:type="table" w:customStyle="1" w:styleId="331">
    <w:name w:val="网格型14"/>
    <w:basedOn w:val="198"/>
    <w:qFormat/>
    <w:uiPriority w:val="39"/>
    <w:rPr>
      <w:rFonts w:ascii="Times New Roman" w:hAnsi="Times New Roman"/>
    </w:rPr>
  </w:style>
  <w:style w:type="table" w:customStyle="1" w:styleId="332">
    <w:name w:val="网格型51"/>
    <w:basedOn w:val="198"/>
    <w:qFormat/>
    <w:uiPriority w:val="59"/>
    <w:rPr>
      <w:rFonts w:ascii="Times New Roman" w:hAnsi="Times New Roman"/>
    </w:rPr>
  </w:style>
  <w:style w:type="table" w:customStyle="1" w:styleId="333">
    <w:name w:val="网格型91"/>
    <w:basedOn w:val="198"/>
    <w:qFormat/>
    <w:uiPriority w:val="59"/>
    <w:rPr>
      <w:rFonts w:ascii="Times New Roman" w:hAnsi="Times New Roman"/>
      <w:sz w:val="21"/>
    </w:rPr>
  </w:style>
  <w:style w:type="table" w:customStyle="1" w:styleId="334">
    <w:name w:val="网格型19"/>
    <w:basedOn w:val="198"/>
    <w:qFormat/>
    <w:uiPriority w:val="59"/>
    <w:rPr>
      <w:rFonts w:ascii="Times New Roman" w:hAnsi="Times New Roman"/>
    </w:rPr>
  </w:style>
  <w:style w:type="table" w:customStyle="1" w:styleId="335">
    <w:name w:val="网格型13"/>
    <w:basedOn w:val="198"/>
    <w:qFormat/>
    <w:uiPriority w:val="39"/>
    <w:rPr>
      <w:rFonts w:ascii="Times New Roman" w:hAnsi="Times New Roman"/>
    </w:rPr>
  </w:style>
  <w:style w:type="table" w:customStyle="1" w:styleId="336">
    <w:name w:val="网格型6"/>
    <w:basedOn w:val="198"/>
    <w:qFormat/>
    <w:uiPriority w:val="59"/>
    <w:rPr>
      <w:rFonts w:ascii="Times New Roman" w:hAnsi="Times New Roman"/>
    </w:rPr>
  </w:style>
  <w:style w:type="table" w:customStyle="1" w:styleId="337">
    <w:name w:val="网格型5"/>
    <w:basedOn w:val="198"/>
    <w:qFormat/>
    <w:uiPriority w:val="59"/>
    <w:rPr>
      <w:rFonts w:ascii="Times New Roman" w:hAnsi="Times New Roman"/>
    </w:rPr>
  </w:style>
  <w:style w:type="table" w:customStyle="1" w:styleId="338">
    <w:name w:val="网格型10"/>
    <w:basedOn w:val="198"/>
    <w:qFormat/>
    <w:uiPriority w:val="39"/>
    <w:rPr>
      <w:rFonts w:ascii="Times New Roman" w:hAnsi="Times New Roman"/>
    </w:rPr>
  </w:style>
  <w:style w:type="table" w:customStyle="1" w:styleId="339">
    <w:name w:val="网格型7"/>
    <w:basedOn w:val="198"/>
    <w:qFormat/>
    <w:uiPriority w:val="59"/>
    <w:rPr>
      <w:rFonts w:ascii="Times New Roman" w:hAnsi="Times New Roman"/>
    </w:rPr>
  </w:style>
  <w:style w:type="table" w:customStyle="1" w:styleId="340">
    <w:name w:val="网格型15"/>
    <w:basedOn w:val="198"/>
    <w:qFormat/>
    <w:uiPriority w:val="39"/>
    <w:rPr>
      <w:rFonts w:ascii="Times New Roman" w:hAnsi="Times New Roman"/>
    </w:rPr>
  </w:style>
  <w:style w:type="table" w:customStyle="1" w:styleId="341">
    <w:name w:val="网格型3"/>
    <w:basedOn w:val="198"/>
    <w:qFormat/>
    <w:uiPriority w:val="0"/>
    <w:pPr>
      <w:widowControl w:val="0"/>
      <w:jc w:val="both"/>
    </w:pPr>
    <w:rPr>
      <w:rFonts w:ascii="Times New Roman" w:hAnsi="Times New Roman"/>
    </w:rPr>
  </w:style>
  <w:style w:type="table" w:customStyle="1" w:styleId="342">
    <w:name w:val="网格型18"/>
    <w:basedOn w:val="198"/>
    <w:qFormat/>
    <w:uiPriority w:val="59"/>
    <w:rPr>
      <w:rFonts w:ascii="Times New Roman" w:hAnsi="Times New Roman"/>
      <w:sz w:val="21"/>
    </w:rPr>
  </w:style>
  <w:style w:type="table" w:customStyle="1" w:styleId="343">
    <w:name w:val="网格型4"/>
    <w:basedOn w:val="198"/>
    <w:qFormat/>
    <w:uiPriority w:val="59"/>
  </w:style>
  <w:style w:type="paragraph" w:customStyle="1" w:styleId="344">
    <w:name w:val="修订"/>
    <w:unhideWhenUsed/>
    <w:qFormat/>
    <w:uiPriority w:val="99"/>
    <w:rPr>
      <w:rFonts w:hint="default" w:ascii="Calibri" w:hAnsi="Calibri" w:eastAsia="宋体" w:cs="Times New Roman"/>
      <w:sz w:val="22"/>
      <w:szCs w:val="22"/>
      <w:lang w:val="en-US" w:eastAsia="zh-CN" w:bidi="ar-SA"/>
    </w:rPr>
  </w:style>
  <w:style w:type="table" w:customStyle="1" w:styleId="345">
    <w:name w:val="网格型20"/>
    <w:basedOn w:val="198"/>
    <w:qFormat/>
    <w:uiPriority w:val="0"/>
    <w:pPr>
      <w:widowControl w:val="0"/>
      <w:jc w:val="both"/>
    </w:pPr>
    <w:rPr>
      <w:rFonts w:ascii="Calibri" w:hAnsi="Calibri" w:eastAsia="宋体" w:cs="Times New Roman"/>
    </w:rPr>
  </w:style>
  <w:style w:type="paragraph" w:customStyle="1" w:styleId="346">
    <w:name w:val="列表段落1"/>
    <w:basedOn w:val="1"/>
    <w:next w:val="1"/>
    <w:qFormat/>
    <w:uiPriority w:val="99"/>
    <w:pPr>
      <w:ind w:left="878" w:firstLine="420"/>
    </w:pPr>
  </w:style>
  <w:style w:type="paragraph" w:customStyle="1" w:styleId="347">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348">
    <w:name w:val="UserStyle_0"/>
    <w:basedOn w:val="1"/>
    <w:qFormat/>
    <w:uiPriority w:val="0"/>
    <w:pPr>
      <w:spacing w:line="360" w:lineRule="auto"/>
      <w:ind w:firstLine="480" w:firstLineChars="200"/>
      <w:jc w:val="left"/>
      <w:textAlignment w:val="baseline"/>
    </w:pPr>
    <w:rPr>
      <w:rFonts w:ascii="宋体" w:hAnsi="宋体" w:eastAsia="Calibri"/>
      <w:sz w:val="24"/>
      <w:szCs w:val="24"/>
      <w:lang w:val="en-US" w:eastAsia="en-US" w:bidi="ar-SA"/>
    </w:rPr>
  </w:style>
  <w:style w:type="character" w:customStyle="1" w:styleId="349">
    <w:name w:val="NormalCharacter"/>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62</Pages>
  <Words>5329</Words>
  <Characters>5770</Characters>
  <TotalTime>0</TotalTime>
  <ScaleCrop>false</ScaleCrop>
  <LinksUpToDate>false</LinksUpToDate>
  <CharactersWithSpaces>5895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2024-06-28T00:12:00Z</dcterms:created>
  <dc:creator>大吉大利</dc:creator>
  <cp:lastModifiedBy>Zxy211156</cp:lastModifiedBy>
  <dcterms:modified xsi:type="dcterms:W3CDTF">2026-07-13T08:52:24Z</dcterms:modified>
  <dc:title>公 开 招 标 文 件</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eyJoZGlkIjoiNmMyZDY5YmZjYWQxOThkYWU3Njk1NGExZDE0YzUyNTUiLCJ1c2VySWQiOiIxMzE5NTc3NDE2In0=</vt:lpwstr>
  </property>
  <property fmtid="{D5CDD505-2E9C-101B-9397-08002B2CF9AE}" pid="3" name="KSOProductBuildVer">
    <vt:lpwstr>2052-12.1.0.26895</vt:lpwstr>
  </property>
  <property fmtid="{D5CDD505-2E9C-101B-9397-08002B2CF9AE}" pid="4" name="ICV">
    <vt:lpwstr>8D015E3487634016A3E77AB589A6E795_13</vt:lpwstr>
  </property>
</Properties>
</file>