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JSZC-320211-SRZJ-G2026-0008</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2026年山水城公共绿地与游园日常养护（第二次）</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无锡市滨湖区雪浪街道办事处</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八</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无锡市滨湖区雪浪街道办事处</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2026年山水城公共绿地与游园日常养护（第二次）</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2026年山水城公共绿地与游园日常养护（第二次）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17</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2026年山水城公共绿地与游园日常养护（第二次）</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JSZC-320211-SRZJ-G2026-0008</w:t>
      </w:r>
      <w:r>
        <w:rPr>
          <w:rFonts w:hint="eastAsia" w:eastAsia="宋体" w:cs="宋体" w:asciiTheme="minorEastAsia" w:hAnsiTheme="minorEastAsia"/>
          <w:color w:val="auto"/>
          <w:sz w:val="24"/>
          <w:szCs w:val="24"/>
          <w:highlight w:val="none"/>
          <w:lang w:eastAsia="zh-CN"/>
        </w:rPr>
        <w:tab/>
      </w:r>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300万元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258.3321万元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Verdana"/>
          <w:color w:val="auto"/>
          <w:kern w:val="0"/>
          <w:sz w:val="24"/>
          <w:szCs w:val="24"/>
          <w:highlight w:val="none"/>
          <w:lang w:val="en-US" w:eastAsia="zh-CN"/>
        </w:rPr>
        <w:t>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Times New Roman"/>
          <w:color w:val="auto"/>
          <w:kern w:val="2"/>
          <w:sz w:val="24"/>
          <w:szCs w:val="24"/>
          <w:highlight w:val="none"/>
          <w:lang w:val="en-US" w:eastAsia="zh-CN" w:bidi="ar-SA"/>
        </w:rPr>
        <w:t>。</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服务期限：17个月</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cs="宋体" w:asciiTheme="minorEastAsia" w:hAnsiTheme="minorEastAsia"/>
          <w:color w:val="auto"/>
          <w:sz w:val="24"/>
          <w:szCs w:val="24"/>
          <w:highlight w:val="none"/>
          <w:lang w:val="en-US" w:eastAsia="zh-CN"/>
        </w:rPr>
        <w:t>及采购人需求；</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4EB5C91C">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3.本项目的特定资格要求：</w:t>
      </w:r>
      <w:bookmarkStart w:id="1" w:name="_Hlk42940150"/>
      <w:r>
        <w:rPr>
          <w:rFonts w:hint="eastAsia" w:ascii="宋体" w:hAnsi="宋体" w:eastAsia="宋体" w:cs="黑体"/>
          <w:color w:val="auto"/>
          <w:sz w:val="24"/>
          <w:highlight w:val="none"/>
          <w:lang w:val="zh-CN"/>
        </w:rPr>
        <w:t>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bookmarkEnd w:id="1"/>
      <w:r>
        <w:rPr>
          <w:rFonts w:hint="eastAsia" w:ascii="宋体" w:hAnsi="宋体" w:eastAsia="宋体" w:cs="宋体"/>
          <w:color w:val="auto"/>
          <w:sz w:val="24"/>
          <w:szCs w:val="24"/>
          <w:highlight w:val="none"/>
          <w:lang w:eastAsia="zh-CN"/>
        </w:rPr>
        <w:t>。</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9</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17</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w:t>
      </w:r>
      <w:r>
        <w:rPr>
          <w:rFonts w:hint="eastAsia" w:eastAsia="宋体" w:cs="宋体" w:asciiTheme="minorEastAsia" w:hAnsiTheme="minorEastAsia"/>
          <w:color w:val="auto"/>
          <w:sz w:val="24"/>
          <w:szCs w:val="24"/>
          <w:highlight w:val="none"/>
          <w:lang w:val="en-US" w:eastAsia="zh-CN"/>
        </w:rPr>
        <w:t>朱雨宁</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无锡市滨湖区雪浪街道办事处</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eastAsia="宋体" w:cs="宋体" w:asciiTheme="minorEastAsia" w:hAnsiTheme="minorEastAsia"/>
          <w:color w:val="auto"/>
          <w:sz w:val="24"/>
          <w:szCs w:val="24"/>
          <w:highlight w:val="none"/>
          <w:lang w:eastAsia="zh-CN"/>
        </w:rPr>
        <w:t>黄霄飞</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cs="宋体" w:asciiTheme="minorEastAsia" w:hAnsiTheme="minorEastAsia"/>
          <w:color w:val="auto"/>
          <w:sz w:val="24"/>
          <w:szCs w:val="24"/>
          <w:highlight w:val="none"/>
          <w:lang w:val="en-US" w:eastAsia="zh-CN"/>
        </w:rPr>
        <w:t>0510-85950265</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ascii="宋体" w:hAnsi="宋体"/>
          <w:color w:val="auto"/>
          <w:sz w:val="24"/>
          <w:szCs w:val="24"/>
          <w:highlight w:val="none"/>
        </w:rPr>
        <w:t>——</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2"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2"/>
      <w:bookmarkStart w:id="3" w:name="_Toc16938518"/>
      <w:bookmarkStart w:id="4" w:name="_Toc120614213"/>
      <w:bookmarkStart w:id="5" w:name="_Toc513029202"/>
      <w:bookmarkStart w:id="6" w:name="_Toc20823274"/>
      <w:r>
        <w:rPr>
          <w:rFonts w:hint="eastAsia" w:ascii="黑体" w:hAnsi="黑体" w:eastAsia="黑体"/>
          <w:color w:val="auto"/>
          <w:sz w:val="36"/>
          <w:szCs w:val="36"/>
          <w:highlight w:val="none"/>
        </w:rPr>
        <w:t>投标人须知</w:t>
      </w:r>
      <w:bookmarkEnd w:id="3"/>
      <w:bookmarkEnd w:id="4"/>
      <w:bookmarkEnd w:id="5"/>
      <w:bookmarkEnd w:id="6"/>
    </w:p>
    <w:p w14:paraId="630C47CF">
      <w:pPr>
        <w:pStyle w:val="145"/>
        <w:keepNext w:val="0"/>
        <w:keepLines w:val="0"/>
        <w:spacing w:before="0" w:after="0" w:line="360" w:lineRule="auto"/>
        <w:ind w:firstLine="452"/>
        <w:rPr>
          <w:color w:val="auto"/>
          <w:sz w:val="30"/>
          <w:szCs w:val="30"/>
          <w:highlight w:val="none"/>
          <w:lang w:eastAsia="zh-CN"/>
        </w:rPr>
      </w:pPr>
      <w:bookmarkStart w:id="7" w:name="_Toc16938519"/>
      <w:bookmarkStart w:id="8" w:name="_Toc20823275"/>
      <w:bookmarkStart w:id="9" w:name="_Toc513029203"/>
      <w:bookmarkStart w:id="10" w:name="_Toc120614214"/>
      <w:r>
        <w:rPr>
          <w:rFonts w:hint="eastAsia"/>
          <w:color w:val="auto"/>
          <w:sz w:val="30"/>
          <w:szCs w:val="30"/>
          <w:highlight w:val="none"/>
          <w:lang w:eastAsia="zh-CN"/>
        </w:rPr>
        <w:t>一、总则</w:t>
      </w:r>
      <w:bookmarkEnd w:id="7"/>
      <w:bookmarkEnd w:id="8"/>
      <w:bookmarkEnd w:id="9"/>
      <w:bookmarkEnd w:id="10"/>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1" w:name="_Hlt16619475"/>
      <w:bookmarkEnd w:id="11"/>
      <w:bookmarkStart w:id="12" w:name="_Toc16938520"/>
      <w:bookmarkStart w:id="13" w:name="_Toc513029204"/>
      <w:bookmarkStart w:id="14" w:name="_Toc20823276"/>
      <w:r>
        <w:rPr>
          <w:rFonts w:hint="eastAsia" w:ascii="宋体" w:hAnsi="宋体" w:eastAsia="宋体"/>
          <w:bCs w:val="0"/>
          <w:color w:val="auto"/>
          <w:highlight w:val="none"/>
          <w:lang w:eastAsia="zh-CN"/>
        </w:rPr>
        <w:t>1.招标方式</w:t>
      </w:r>
      <w:bookmarkEnd w:id="12"/>
      <w:bookmarkEnd w:id="13"/>
      <w:bookmarkEnd w:id="14"/>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5" w:name="_Toc16938521"/>
      <w:bookmarkStart w:id="16" w:name="_Toc513029205"/>
      <w:bookmarkStart w:id="17" w:name="_Toc20823277"/>
      <w:r>
        <w:rPr>
          <w:rFonts w:hint="eastAsia" w:ascii="宋体" w:hAnsi="宋体" w:eastAsia="宋体"/>
          <w:bCs w:val="0"/>
          <w:color w:val="auto"/>
          <w:highlight w:val="none"/>
          <w:lang w:eastAsia="zh-CN"/>
        </w:rPr>
        <w:t>2.</w:t>
      </w:r>
      <w:bookmarkEnd w:id="15"/>
      <w:bookmarkEnd w:id="16"/>
      <w:bookmarkEnd w:id="17"/>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8" w:name="_Toc513029206"/>
      <w:bookmarkStart w:id="19" w:name="_Toc20823278"/>
      <w:bookmarkStart w:id="20" w:name="_Toc16938522"/>
      <w:r>
        <w:rPr>
          <w:rFonts w:hint="eastAsia" w:ascii="宋体" w:hAnsi="宋体" w:eastAsia="宋体"/>
          <w:bCs w:val="0"/>
          <w:color w:val="auto"/>
          <w:highlight w:val="none"/>
          <w:lang w:eastAsia="zh-CN"/>
        </w:rPr>
        <w:t>3.适用法律</w:t>
      </w:r>
      <w:bookmarkEnd w:id="18"/>
      <w:bookmarkEnd w:id="19"/>
      <w:bookmarkEnd w:id="20"/>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1" w:name="_Toc20823279"/>
      <w:bookmarkStart w:id="22" w:name="_Toc513029207"/>
      <w:bookmarkStart w:id="23" w:name="_Toc16938523"/>
      <w:bookmarkStart w:id="24" w:name="_Toc462564067"/>
      <w:r>
        <w:rPr>
          <w:rFonts w:hint="eastAsia" w:ascii="宋体" w:hAnsi="宋体" w:eastAsia="宋体"/>
          <w:bCs w:val="0"/>
          <w:color w:val="auto"/>
          <w:highlight w:val="none"/>
          <w:lang w:eastAsia="zh-CN"/>
        </w:rPr>
        <w:t>4.投标费用</w:t>
      </w:r>
      <w:bookmarkEnd w:id="21"/>
      <w:bookmarkEnd w:id="22"/>
      <w:bookmarkEnd w:id="23"/>
      <w:bookmarkEnd w:id="24"/>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w:t>
      </w:r>
      <w:r>
        <w:rPr>
          <w:rFonts w:hint="eastAsia" w:ascii="宋体" w:hAnsi="宋体" w:eastAsia="宋体"/>
          <w:bCs/>
          <w:color w:val="auto"/>
          <w:sz w:val="24"/>
          <w:highlight w:val="none"/>
          <w:lang w:val="en-US" w:eastAsia="zh-CN"/>
        </w:rPr>
        <w:t>由采购人支付</w:t>
      </w:r>
      <w:r>
        <w:rPr>
          <w:rFonts w:hint="eastAsia" w:ascii="宋体" w:hAnsi="宋体" w:eastAsia="宋体" w:cs="宋体"/>
          <w:color w:val="auto"/>
          <w:sz w:val="24"/>
          <w:szCs w:val="24"/>
          <w:highlight w:val="none"/>
          <w:lang w:eastAsia="zh-CN"/>
        </w:rPr>
        <w:t>。本项目代理服务费以中标金额为计费基础，按差额定率累进法计算，100万以下费率为1.5%，100万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500万费率为0.8%；</w:t>
      </w:r>
      <w:r>
        <w:rPr>
          <w:rFonts w:hint="eastAsia" w:ascii="宋体" w:hAnsi="宋体" w:eastAsia="宋体" w:cs="宋体"/>
          <w:color w:val="auto"/>
          <w:sz w:val="24"/>
          <w:szCs w:val="24"/>
          <w:highlight w:val="none"/>
          <w:lang w:val="en-US" w:eastAsia="zh-CN"/>
        </w:rPr>
        <w:t>按上述收费费率的八折计取。</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5" w:name="_Toc120614215"/>
      <w:bookmarkStart w:id="26" w:name="_Toc513029209"/>
      <w:bookmarkStart w:id="27" w:name="_Toc20823281"/>
      <w:bookmarkStart w:id="28" w:name="_Toc16938525"/>
      <w:r>
        <w:rPr>
          <w:rFonts w:hint="eastAsia"/>
          <w:color w:val="auto"/>
          <w:sz w:val="30"/>
          <w:szCs w:val="30"/>
          <w:highlight w:val="none"/>
          <w:lang w:eastAsia="zh-CN"/>
        </w:rPr>
        <w:t>二、招标文件</w:t>
      </w:r>
      <w:bookmarkEnd w:id="25"/>
      <w:bookmarkEnd w:id="26"/>
      <w:bookmarkEnd w:id="27"/>
      <w:bookmarkEnd w:id="28"/>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9" w:name="_Toc513029210"/>
      <w:bookmarkStart w:id="30" w:name="_Toc16938526"/>
      <w:bookmarkStart w:id="31" w:name="_Toc20823282"/>
      <w:r>
        <w:rPr>
          <w:rFonts w:hint="eastAsia" w:ascii="宋体" w:hAnsi="宋体" w:eastAsia="宋体"/>
          <w:bCs w:val="0"/>
          <w:color w:val="auto"/>
          <w:highlight w:val="none"/>
          <w:lang w:eastAsia="zh-CN"/>
        </w:rPr>
        <w:t>6.招标文件构成</w:t>
      </w:r>
      <w:bookmarkEnd w:id="29"/>
      <w:bookmarkEnd w:id="30"/>
      <w:bookmarkEnd w:id="31"/>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2" w:name="_Toc462564070"/>
      <w:bookmarkStart w:id="33" w:name="_Toc513029211"/>
      <w:bookmarkStart w:id="34" w:name="_Toc20823283"/>
      <w:bookmarkStart w:id="35" w:name="_Toc16938527"/>
      <w:r>
        <w:rPr>
          <w:rFonts w:hint="eastAsia" w:ascii="宋体" w:hAnsi="宋体" w:eastAsia="宋体"/>
          <w:bCs w:val="0"/>
          <w:color w:val="auto"/>
          <w:highlight w:val="none"/>
          <w:lang w:eastAsia="zh-CN"/>
        </w:rPr>
        <w:t>7.招标文件的澄清</w:t>
      </w:r>
      <w:bookmarkEnd w:id="32"/>
      <w:bookmarkEnd w:id="33"/>
      <w:bookmarkEnd w:id="34"/>
      <w:bookmarkEnd w:id="35"/>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6" w:name="_Toc20823284"/>
      <w:bookmarkStart w:id="37" w:name="_Toc462564071"/>
      <w:bookmarkStart w:id="38" w:name="_Toc513029212"/>
      <w:bookmarkStart w:id="39" w:name="_Toc16938528"/>
      <w:r>
        <w:rPr>
          <w:rFonts w:hint="eastAsia" w:ascii="宋体" w:hAnsi="宋体" w:eastAsia="宋体"/>
          <w:bCs w:val="0"/>
          <w:color w:val="auto"/>
          <w:highlight w:val="none"/>
          <w:lang w:eastAsia="zh-CN"/>
        </w:rPr>
        <w:t>8.招标文件的修改</w:t>
      </w:r>
      <w:bookmarkEnd w:id="36"/>
      <w:bookmarkEnd w:id="37"/>
      <w:bookmarkEnd w:id="38"/>
      <w:bookmarkEnd w:id="39"/>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40" w:name="_Toc16938529"/>
      <w:bookmarkStart w:id="41" w:name="_Toc20823285"/>
      <w:bookmarkStart w:id="42" w:name="_Toc120614216"/>
      <w:bookmarkStart w:id="43" w:name="_Toc513029213"/>
      <w:bookmarkStart w:id="44" w:name="_Toc462564072"/>
      <w:r>
        <w:rPr>
          <w:rFonts w:hint="eastAsia"/>
          <w:color w:val="auto"/>
          <w:sz w:val="30"/>
          <w:szCs w:val="30"/>
          <w:highlight w:val="none"/>
          <w:lang w:eastAsia="zh-CN"/>
        </w:rPr>
        <w:t>三、投标文件的编制</w:t>
      </w:r>
      <w:bookmarkEnd w:id="40"/>
      <w:bookmarkEnd w:id="41"/>
      <w:bookmarkEnd w:id="42"/>
      <w:bookmarkEnd w:id="43"/>
      <w:bookmarkEnd w:id="44"/>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5" w:name="_Toc462564073"/>
      <w:bookmarkStart w:id="46" w:name="_Toc16938530"/>
      <w:bookmarkStart w:id="47" w:name="_Toc20823286"/>
      <w:bookmarkStart w:id="48" w:name="_Toc513029214"/>
      <w:r>
        <w:rPr>
          <w:rFonts w:hint="eastAsia" w:ascii="宋体" w:hAnsi="宋体" w:eastAsia="宋体"/>
          <w:bCs w:val="0"/>
          <w:color w:val="auto"/>
          <w:highlight w:val="none"/>
          <w:lang w:eastAsia="zh-CN"/>
        </w:rPr>
        <w:t>9.投标文件的语言及度量衡单位</w:t>
      </w:r>
      <w:bookmarkEnd w:id="45"/>
      <w:bookmarkEnd w:id="46"/>
      <w:bookmarkEnd w:id="47"/>
      <w:bookmarkEnd w:id="48"/>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9" w:name="_Toc20823287"/>
      <w:bookmarkStart w:id="50" w:name="_Toc513029215"/>
      <w:bookmarkStart w:id="51" w:name="_Toc16938531"/>
      <w:bookmarkStart w:id="52" w:name="_Toc462564074"/>
      <w:r>
        <w:rPr>
          <w:rFonts w:hint="eastAsia" w:ascii="宋体" w:hAnsi="宋体" w:eastAsia="宋体"/>
          <w:bCs w:val="0"/>
          <w:color w:val="auto"/>
          <w:highlight w:val="none"/>
          <w:lang w:eastAsia="zh-CN"/>
        </w:rPr>
        <w:t>10.投标文件构成</w:t>
      </w:r>
      <w:bookmarkEnd w:id="49"/>
      <w:bookmarkEnd w:id="50"/>
      <w:bookmarkEnd w:id="51"/>
      <w:bookmarkEnd w:id="52"/>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3" w:name="_Hlt26670360"/>
      <w:bookmarkEnd w:id="53"/>
      <w:bookmarkStart w:id="54" w:name="_Hlt26668975"/>
      <w:bookmarkEnd w:id="54"/>
      <w:bookmarkStart w:id="55" w:name="_Hlt26954838"/>
      <w:bookmarkEnd w:id="55"/>
      <w:bookmarkStart w:id="56" w:name="_Toc14577357"/>
      <w:bookmarkStart w:id="57" w:name="_Toc49090507"/>
      <w:bookmarkStart w:id="58" w:name="_Toc513029219"/>
      <w:bookmarkStart w:id="59" w:name="_Toc14577354"/>
      <w:bookmarkStart w:id="60" w:name="_Toc49090509"/>
      <w:bookmarkStart w:id="61" w:name="_Toc513029216"/>
      <w:r>
        <w:rPr>
          <w:rFonts w:hint="eastAsia" w:ascii="宋体" w:hAnsi="宋体" w:eastAsia="宋体"/>
          <w:bCs w:val="0"/>
          <w:color w:val="auto"/>
          <w:highlight w:val="none"/>
          <w:lang w:eastAsia="zh-CN"/>
        </w:rPr>
        <w:t>11.证明投标人及投标标的符合招标文件规定的文件</w:t>
      </w:r>
      <w:bookmarkEnd w:id="56"/>
      <w:bookmarkEnd w:id="57"/>
      <w:bookmarkEnd w:id="58"/>
      <w:bookmarkEnd w:id="59"/>
      <w:bookmarkEnd w:id="60"/>
      <w:bookmarkEnd w:id="61"/>
    </w:p>
    <w:p w14:paraId="464273A0">
      <w:pPr>
        <w:spacing w:line="360" w:lineRule="auto"/>
        <w:ind w:firstLine="480"/>
        <w:rPr>
          <w:rFonts w:ascii="宋体" w:hAnsi="宋体"/>
          <w:bCs/>
          <w:color w:val="auto"/>
          <w:sz w:val="24"/>
          <w:highlight w:val="none"/>
        </w:rPr>
      </w:pPr>
      <w:bookmarkStart w:id="62" w:name="_Toc49090508"/>
      <w:bookmarkStart w:id="63" w:name="_Toc14577355"/>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4" w:name="_Toc49090510"/>
      <w:bookmarkStart w:id="65" w:name="_Toc14577359"/>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4"/>
      <w:bookmarkEnd w:id="65"/>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2"/>
      <w:bookmarkEnd w:id="63"/>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6" w:name="_Hlt26954840"/>
      <w:bookmarkEnd w:id="66"/>
      <w:r>
        <w:rPr>
          <w:rFonts w:hint="eastAsia" w:ascii="宋体" w:hAnsi="宋体"/>
          <w:color w:val="auto"/>
          <w:sz w:val="24"/>
          <w:highlight w:val="none"/>
        </w:rPr>
        <w:t>标人应按照招标文件规定格式填报</w:t>
      </w:r>
      <w:bookmarkStart w:id="67" w:name="_Hlt26670399"/>
      <w:bookmarkEnd w:id="67"/>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8" w:name="_Hlt26668983"/>
      <w:bookmarkEnd w:id="68"/>
      <w:bookmarkStart w:id="69" w:name="_Hlt26954842"/>
      <w:bookmarkEnd w:id="69"/>
      <w:bookmarkStart w:id="70" w:name="_Hlt26954848"/>
      <w:bookmarkEnd w:id="70"/>
      <w:bookmarkStart w:id="71" w:name="_Hlt26670482"/>
      <w:bookmarkEnd w:id="71"/>
      <w:bookmarkStart w:id="72" w:name="_Hlt26954846"/>
      <w:bookmarkEnd w:id="72"/>
      <w:bookmarkStart w:id="73" w:name="_Hlt26954844"/>
      <w:bookmarkEnd w:id="73"/>
      <w:bookmarkStart w:id="74" w:name="_Hlt26670486"/>
      <w:bookmarkEnd w:id="74"/>
      <w:bookmarkStart w:id="75" w:name="_Hlt26954731"/>
      <w:bookmarkEnd w:id="75"/>
      <w:bookmarkStart w:id="76" w:name="_Hlt26670403"/>
      <w:bookmarkEnd w:id="76"/>
      <w:bookmarkStart w:id="77" w:name="_Hlt26670425"/>
      <w:bookmarkEnd w:id="77"/>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8" w:name="_Hlt26954850"/>
      <w:bookmarkEnd w:id="78"/>
      <w:bookmarkStart w:id="79" w:name="_Hlt26954734"/>
      <w:bookmarkEnd w:id="79"/>
      <w:bookmarkStart w:id="80" w:name="_Hlt26670489"/>
      <w:bookmarkEnd w:id="80"/>
      <w:bookmarkStart w:id="81" w:name="_Toc49090511"/>
      <w:bookmarkStart w:id="82" w:name="_Toc14577360"/>
      <w:r>
        <w:rPr>
          <w:rFonts w:hint="eastAsia" w:ascii="宋体" w:hAnsi="宋体" w:eastAsia="宋体"/>
          <w:bCs w:val="0"/>
          <w:color w:val="auto"/>
          <w:highlight w:val="none"/>
          <w:lang w:eastAsia="zh-CN"/>
        </w:rPr>
        <w:t>15.投标有效期</w:t>
      </w:r>
      <w:bookmarkEnd w:id="81"/>
      <w:bookmarkEnd w:id="82"/>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3" w:name="_Hlt26954739"/>
      <w:bookmarkEnd w:id="83"/>
      <w:bookmarkStart w:id="84" w:name="_Hlt26954852"/>
      <w:bookmarkEnd w:id="84"/>
      <w:bookmarkStart w:id="85" w:name="_Toc513029224"/>
      <w:bookmarkStart w:id="86" w:name="_Toc120614217"/>
      <w:bookmarkStart w:id="87" w:name="_Toc16938540"/>
      <w:bookmarkStart w:id="88" w:name="_Toc20823296"/>
      <w:r>
        <w:rPr>
          <w:rFonts w:hint="eastAsia"/>
          <w:color w:val="auto"/>
          <w:sz w:val="30"/>
          <w:szCs w:val="30"/>
          <w:highlight w:val="none"/>
          <w:lang w:eastAsia="zh-CN"/>
        </w:rPr>
        <w:t>四、投标文件的递交</w:t>
      </w:r>
      <w:bookmarkEnd w:id="85"/>
      <w:bookmarkEnd w:id="86"/>
      <w:bookmarkEnd w:id="87"/>
      <w:bookmarkEnd w:id="88"/>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9" w:name="_Toc16938541"/>
      <w:bookmarkStart w:id="90" w:name="_Toc462564084"/>
      <w:bookmarkStart w:id="91" w:name="_Toc20823297"/>
      <w:bookmarkStart w:id="92" w:name="_Toc513029225"/>
      <w:r>
        <w:rPr>
          <w:rFonts w:hint="eastAsia" w:ascii="宋体" w:hAnsi="宋体" w:eastAsia="宋体"/>
          <w:bCs w:val="0"/>
          <w:color w:val="auto"/>
          <w:highlight w:val="none"/>
          <w:lang w:eastAsia="zh-CN"/>
        </w:rPr>
        <w:t>17.投标文件</w:t>
      </w:r>
      <w:bookmarkEnd w:id="89"/>
      <w:bookmarkEnd w:id="90"/>
      <w:bookmarkEnd w:id="91"/>
      <w:bookmarkEnd w:id="92"/>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3" w:name="_Toc16938542"/>
      <w:bookmarkStart w:id="94" w:name="_Toc20823298"/>
      <w:bookmarkStart w:id="95" w:name="_Toc513029226"/>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3"/>
      <w:bookmarkEnd w:id="94"/>
      <w:bookmarkEnd w:id="95"/>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6" w:name="_Toc16938543"/>
      <w:bookmarkStart w:id="97" w:name="_Toc513029227"/>
      <w:bookmarkStart w:id="98" w:name="_Toc20823299"/>
      <w:r>
        <w:rPr>
          <w:rFonts w:hint="eastAsia" w:ascii="宋体" w:hAnsi="宋体" w:eastAsia="宋体"/>
          <w:bCs w:val="0"/>
          <w:color w:val="auto"/>
          <w:highlight w:val="none"/>
          <w:lang w:eastAsia="zh-CN"/>
        </w:rPr>
        <w:t>19.投标文件</w:t>
      </w:r>
      <w:bookmarkEnd w:id="96"/>
      <w:bookmarkEnd w:id="97"/>
      <w:bookmarkEnd w:id="98"/>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9" w:name="_Toc16938544"/>
      <w:bookmarkStart w:id="100" w:name="_Toc20823300"/>
      <w:bookmarkStart w:id="101" w:name="_Toc513029228"/>
      <w:r>
        <w:rPr>
          <w:rFonts w:hint="eastAsia" w:ascii="宋体" w:hAnsi="宋体" w:eastAsia="宋体"/>
          <w:bCs w:val="0"/>
          <w:color w:val="auto"/>
          <w:highlight w:val="none"/>
          <w:lang w:eastAsia="zh-CN"/>
        </w:rPr>
        <w:t>20.投标文件的撤回和修改</w:t>
      </w:r>
      <w:bookmarkEnd w:id="99"/>
      <w:bookmarkEnd w:id="100"/>
      <w:bookmarkEnd w:id="101"/>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2" w:name="_Toc16938545"/>
      <w:bookmarkStart w:id="103" w:name="_Toc513029229"/>
      <w:bookmarkStart w:id="104" w:name="_Toc20823301"/>
      <w:bookmarkStart w:id="105" w:name="_Toc120614218"/>
      <w:r>
        <w:rPr>
          <w:rFonts w:hint="eastAsia"/>
          <w:color w:val="auto"/>
          <w:sz w:val="30"/>
          <w:szCs w:val="30"/>
          <w:highlight w:val="none"/>
          <w:lang w:eastAsia="zh-CN"/>
        </w:rPr>
        <w:t>五、开标与评标</w:t>
      </w:r>
      <w:bookmarkEnd w:id="102"/>
      <w:bookmarkEnd w:id="103"/>
      <w:bookmarkEnd w:id="104"/>
      <w:bookmarkEnd w:id="105"/>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6" w:name="_Toc20823302"/>
      <w:bookmarkStart w:id="107" w:name="_Toc16938546"/>
      <w:bookmarkStart w:id="108" w:name="_Toc513029230"/>
      <w:r>
        <w:rPr>
          <w:rFonts w:hint="eastAsia" w:ascii="宋体" w:hAnsi="宋体" w:eastAsia="宋体"/>
          <w:bCs w:val="0"/>
          <w:color w:val="auto"/>
          <w:highlight w:val="none"/>
          <w:lang w:eastAsia="zh-CN"/>
        </w:rPr>
        <w:t>21.开标</w:t>
      </w:r>
      <w:bookmarkEnd w:id="106"/>
      <w:bookmarkEnd w:id="107"/>
      <w:bookmarkEnd w:id="108"/>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9" w:name="_Toc16938547"/>
      <w:bookmarkStart w:id="110" w:name="_Toc20823303"/>
      <w:bookmarkStart w:id="111" w:name="_Toc513029231"/>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9"/>
      <w:bookmarkEnd w:id="110"/>
      <w:bookmarkEnd w:id="111"/>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2" w:name="_Toc513029232"/>
      <w:bookmarkStart w:id="113" w:name="_Toc16938548"/>
      <w:bookmarkStart w:id="114" w:name="_Toc20823304"/>
      <w:r>
        <w:rPr>
          <w:rFonts w:hint="eastAsia" w:ascii="宋体" w:hAnsi="宋体" w:eastAsia="宋体"/>
          <w:bCs w:val="0"/>
          <w:color w:val="auto"/>
          <w:highlight w:val="none"/>
          <w:lang w:eastAsia="zh-CN"/>
        </w:rPr>
        <w:t>24.投标文件的澄清</w:t>
      </w:r>
      <w:bookmarkEnd w:id="112"/>
      <w:bookmarkEnd w:id="113"/>
      <w:bookmarkEnd w:id="114"/>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5" w:name="_Toc16938549"/>
      <w:bookmarkStart w:id="116" w:name="_Toc20823305"/>
      <w:bookmarkStart w:id="117" w:name="_Toc513029233"/>
      <w:r>
        <w:rPr>
          <w:rFonts w:hint="eastAsia" w:ascii="宋体" w:hAnsi="宋体" w:eastAsia="宋体"/>
          <w:bCs w:val="0"/>
          <w:color w:val="auto"/>
          <w:highlight w:val="none"/>
          <w:lang w:eastAsia="zh-CN"/>
        </w:rPr>
        <w:t>25.对投标文件的初审</w:t>
      </w:r>
      <w:bookmarkEnd w:id="115"/>
      <w:bookmarkEnd w:id="116"/>
      <w:bookmarkEnd w:id="117"/>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全部通过符合性审查供应商投标（响应）报价平均值×</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通过符合性审查的次低报价供应商投标（响应）报价×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%的，即投标（响应）报价</w:t>
      </w:r>
      <w:r>
        <w:rPr>
          <w:rFonts w:hint="eastAsia" w:ascii="宋体" w:hAnsi="宋体" w:eastAsia="宋体"/>
          <w:b/>
          <w:color w:val="auto"/>
          <w:sz w:val="24"/>
          <w:highlight w:val="none"/>
        </w:rPr>
        <w:t>〈</w:t>
      </w:r>
      <w:r>
        <w:rPr>
          <w:rFonts w:hint="eastAsia" w:ascii="宋体" w:hAnsi="宋体"/>
          <w:b/>
          <w:color w:val="auto"/>
          <w:sz w:val="24"/>
          <w:highlight w:val="none"/>
        </w:rPr>
        <w:t>采购项目最高限价×</w:t>
      </w:r>
      <w:r>
        <w:rPr>
          <w:rFonts w:hint="eastAsia" w:ascii="宋体" w:hAnsi="宋体" w:eastAsia="宋体"/>
          <w:b/>
          <w:color w:val="auto"/>
          <w:sz w:val="24"/>
          <w:highlight w:val="none"/>
          <w:lang w:val="en-US" w:eastAsia="zh-CN"/>
        </w:rPr>
        <w:t>65</w:t>
      </w:r>
      <w:r>
        <w:rPr>
          <w:rFonts w:hint="eastAsia" w:ascii="宋体" w:hAnsi="宋体"/>
          <w:b/>
          <w:color w:val="auto"/>
          <w:sz w:val="24"/>
          <w:highlight w:val="none"/>
        </w:rPr>
        <w:t xml:space="preserve">%；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8" w:name="_Toc20823306"/>
      <w:bookmarkStart w:id="119" w:name="_Toc513029234"/>
      <w:bookmarkStart w:id="120" w:name="_Toc16938550"/>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8"/>
      <w:bookmarkEnd w:id="119"/>
      <w:bookmarkEnd w:id="120"/>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1" w:name="_Toc513029235"/>
      <w:bookmarkStart w:id="122" w:name="_Toc20823307"/>
      <w:bookmarkStart w:id="123" w:name="_Toc16938551"/>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4" w:name="_Toc120614219"/>
      <w:r>
        <w:rPr>
          <w:rFonts w:hint="eastAsia"/>
          <w:color w:val="auto"/>
          <w:sz w:val="30"/>
          <w:szCs w:val="30"/>
          <w:highlight w:val="none"/>
          <w:lang w:eastAsia="zh-CN"/>
        </w:rPr>
        <w:t>六、</w:t>
      </w:r>
      <w:bookmarkEnd w:id="121"/>
      <w:bookmarkEnd w:id="122"/>
      <w:bookmarkEnd w:id="123"/>
      <w:r>
        <w:rPr>
          <w:rFonts w:hint="eastAsia"/>
          <w:color w:val="auto"/>
          <w:sz w:val="30"/>
          <w:szCs w:val="30"/>
          <w:highlight w:val="none"/>
          <w:lang w:eastAsia="zh-CN"/>
        </w:rPr>
        <w:t>定标</w:t>
      </w:r>
      <w:bookmarkEnd w:id="124"/>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5" w:name="_Toc513029238"/>
      <w:bookmarkStart w:id="126" w:name="_Toc20823310"/>
      <w:bookmarkStart w:id="127" w:name="_Toc16938554"/>
      <w:r>
        <w:rPr>
          <w:rFonts w:hint="eastAsia" w:ascii="宋体" w:hAnsi="宋体" w:eastAsia="宋体"/>
          <w:bCs w:val="0"/>
          <w:color w:val="auto"/>
          <w:highlight w:val="none"/>
          <w:lang w:eastAsia="zh-CN"/>
        </w:rPr>
        <w:t>27</w:t>
      </w:r>
      <w:bookmarkEnd w:id="125"/>
      <w:r>
        <w:rPr>
          <w:rFonts w:hint="eastAsia" w:ascii="宋体" w:hAnsi="宋体" w:eastAsia="宋体"/>
          <w:bCs w:val="0"/>
          <w:color w:val="auto"/>
          <w:highlight w:val="none"/>
          <w:lang w:eastAsia="zh-CN"/>
        </w:rPr>
        <w:t>.确定</w:t>
      </w:r>
      <w:bookmarkEnd w:id="126"/>
      <w:bookmarkEnd w:id="127"/>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8"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8"/>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9" w:name="_Toc20823308"/>
      <w:bookmarkStart w:id="130" w:name="_Toc120614220"/>
      <w:bookmarkStart w:id="131" w:name="_Toc513029236"/>
      <w:bookmarkStart w:id="132" w:name="_Toc16938552"/>
      <w:r>
        <w:rPr>
          <w:rFonts w:hint="eastAsia"/>
          <w:color w:val="auto"/>
          <w:sz w:val="30"/>
          <w:szCs w:val="30"/>
          <w:highlight w:val="none"/>
          <w:lang w:eastAsia="zh-CN"/>
        </w:rPr>
        <w:t>七、授予合同</w:t>
      </w:r>
      <w:bookmarkEnd w:id="129"/>
      <w:bookmarkEnd w:id="130"/>
      <w:bookmarkEnd w:id="131"/>
      <w:bookmarkEnd w:id="132"/>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3" w:name="_Toc16938553"/>
      <w:bookmarkStart w:id="134" w:name="_Toc20823309"/>
      <w:bookmarkStart w:id="135" w:name="_Toc513029237"/>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s="宋体"/>
          <w:bCs/>
          <w:color w:val="auto"/>
          <w:sz w:val="24"/>
          <w:highlight w:val="none"/>
        </w:rPr>
        <w:t>31.1政府采购合同履行中，采购人需追加与合同标的相同的服务（包含与服务相关的货物），在不改变合同其他条款的前提下，可以与中标人协商签订补充合同，但所有补充合同的</w:t>
      </w:r>
      <w:r>
        <w:rPr>
          <w:rFonts w:hint="eastAsia" w:ascii="宋体" w:hAnsi="宋体"/>
          <w:color w:val="auto"/>
          <w:sz w:val="24"/>
          <w:szCs w:val="24"/>
          <w:highlight w:val="none"/>
        </w:rPr>
        <w:t>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p w14:paraId="05CE7103">
      <w:pPr>
        <w:pStyle w:val="318"/>
        <w:spacing w:line="360" w:lineRule="auto"/>
        <w:jc w:val="center"/>
        <w:rPr>
          <w:rFonts w:ascii="黑体" w:eastAsia="黑体"/>
          <w:color w:val="auto"/>
          <w:sz w:val="36"/>
          <w:szCs w:val="36"/>
          <w:highlight w:val="none"/>
          <w:lang w:eastAsia="zh-CN"/>
        </w:rPr>
      </w:pPr>
    </w:p>
    <w:bookmarkEnd w:id="133"/>
    <w:bookmarkEnd w:id="134"/>
    <w:bookmarkEnd w:id="135"/>
    <w:p w14:paraId="0F5BACDF">
      <w:pPr>
        <w:pStyle w:val="318"/>
        <w:spacing w:line="360" w:lineRule="auto"/>
        <w:jc w:val="center"/>
        <w:rPr>
          <w:rFonts w:ascii="黑体" w:eastAsia="黑体"/>
          <w:color w:val="auto"/>
          <w:sz w:val="36"/>
          <w:szCs w:val="36"/>
          <w:highlight w:val="none"/>
          <w:lang w:eastAsia="zh-CN"/>
        </w:rPr>
      </w:pPr>
    </w:p>
    <w:p w14:paraId="139F8DEE">
      <w:pPr>
        <w:pStyle w:val="318"/>
        <w:spacing w:line="360" w:lineRule="auto"/>
        <w:ind w:firstLine="0"/>
        <w:rPr>
          <w:rFonts w:ascii="黑体" w:eastAsia="黑体"/>
          <w:bCs/>
          <w:color w:val="auto"/>
          <w:sz w:val="36"/>
          <w:szCs w:val="36"/>
          <w:highlight w:val="none"/>
          <w:lang w:eastAsia="zh-CN"/>
        </w:rPr>
      </w:pPr>
      <w:bookmarkStart w:id="136" w:name="_Toc20823314"/>
      <w:bookmarkStart w:id="137" w:name="_Toc120614221"/>
      <w:bookmarkStart w:id="138" w:name="_Toc513029242"/>
      <w:bookmarkStart w:id="139" w:name="_Toc16938558"/>
      <w:bookmarkStart w:id="140" w:name="_Toc479757207"/>
    </w:p>
    <w:p w14:paraId="5143FF21">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6"/>
      <w:bookmarkEnd w:id="137"/>
      <w:bookmarkEnd w:id="138"/>
      <w:bookmarkEnd w:id="139"/>
      <w:bookmarkEnd w:id="140"/>
    </w:p>
    <w:p w14:paraId="7A052A1E">
      <w:pPr>
        <w:pStyle w:val="318"/>
        <w:spacing w:line="360" w:lineRule="auto"/>
        <w:ind w:firstLine="0"/>
        <w:jc w:val="center"/>
        <w:rPr>
          <w:rFonts w:hint="eastAsia" w:ascii="宋体" w:hAnsi="宋体"/>
          <w:bCs/>
          <w:color w:val="auto"/>
          <w:sz w:val="24"/>
          <w:highlight w:val="none"/>
        </w:rPr>
      </w:pPr>
      <w:bookmarkStart w:id="141" w:name="_Toc20823315"/>
      <w:bookmarkStart w:id="142" w:name="_Toc16938559"/>
      <w:bookmarkStart w:id="143" w:name="_Toc513029243"/>
      <w:r>
        <w:rPr>
          <w:rFonts w:hint="eastAsia" w:ascii="黑体" w:eastAsia="黑体"/>
          <w:bCs/>
          <w:color w:val="auto"/>
          <w:sz w:val="36"/>
          <w:szCs w:val="36"/>
          <w:highlight w:val="none"/>
          <w:lang w:eastAsia="zh-CN"/>
        </w:rPr>
        <w:t>第三章  合同文本</w:t>
      </w:r>
      <w:bookmarkEnd w:id="141"/>
      <w:bookmarkEnd w:id="142"/>
      <w:bookmarkEnd w:id="143"/>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44" w:name="_Hlt16619350"/>
      <w:bookmarkStart w:id="145" w:name="_Toc120614244"/>
      <w:bookmarkStart w:id="146" w:name="_Toc16938590"/>
      <w:bookmarkStart w:id="147" w:name="_Toc20823346"/>
      <w:r>
        <w:rPr>
          <w:rFonts w:hint="eastAsia" w:ascii="宋体" w:hAnsi="宋体" w:eastAsia="宋体" w:cs="宋体"/>
          <w:b/>
          <w:color w:val="auto"/>
          <w:sz w:val="32"/>
          <w:szCs w:val="32"/>
          <w:highlight w:val="none"/>
          <w:lang w:val="en-US" w:eastAsia="zh-CN"/>
        </w:rPr>
        <w:t>2026年山水城公共绿地与游园日常养护合同</w:t>
      </w:r>
    </w:p>
    <w:p w14:paraId="377EEA9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eastAsia="宋体"/>
          <w:bCs/>
          <w:color w:val="auto"/>
          <w:sz w:val="24"/>
          <w:highlight w:val="none"/>
          <w:lang w:eastAsia="zh-CN"/>
        </w:rPr>
        <w:t>签订</w:t>
      </w:r>
      <w:r>
        <w:rPr>
          <w:rFonts w:hint="eastAsia" w:ascii="宋体" w:hAnsi="宋体"/>
          <w:bCs/>
          <w:color w:val="auto"/>
          <w:sz w:val="24"/>
          <w:highlight w:val="none"/>
        </w:rPr>
        <w:t>本项目合同的通用条款，中标人不得提出实质性的修改。</w:t>
      </w:r>
    </w:p>
    <w:p w14:paraId="6B6695D3">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（一）合同协议书</w:t>
      </w:r>
    </w:p>
    <w:p w14:paraId="5609018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bookmarkStart w:id="148" w:name="五．合同条款"/>
      <w:bookmarkEnd w:id="148"/>
      <w:r>
        <w:rPr>
          <w:rFonts w:hint="eastAsia" w:ascii="宋体" w:hAnsi="宋体" w:eastAsia="宋体" w:cs="Times New Roman"/>
          <w:color w:val="auto"/>
          <w:kern w:val="2"/>
          <w:sz w:val="24"/>
          <w:szCs w:val="24"/>
          <w:highlight w:val="none"/>
          <w:lang w:val="en-US" w:eastAsia="zh-CN" w:bidi="ar-SA"/>
        </w:rPr>
        <w:t>发包人：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以下简称“甲方”）</w:t>
      </w:r>
    </w:p>
    <w:p w14:paraId="3AECA73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承包人：</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以下简称“乙方”）</w:t>
      </w:r>
    </w:p>
    <w:p w14:paraId="0484F06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根据《中华人民共和国民法典》及其他有关法律、行政法规，遵循平等、自愿、公平和诚实信用的原则，在双方承诺招标文件全部内容（含招标补充文件）和被认定的投标文件（及补充说明）全部内容的基础上，协商一致，订立本合同。</w:t>
      </w:r>
    </w:p>
    <w:p w14:paraId="4DF5FF4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一、项目概况</w:t>
      </w:r>
    </w:p>
    <w:p w14:paraId="1667F9BC">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项目名称：</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b w:val="0"/>
          <w:bCs w:val="0"/>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48FE5586">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养护内容：</w:t>
      </w:r>
      <w:r>
        <w:rPr>
          <w:rFonts w:hint="eastAsia" w:ascii="宋体" w:hAnsi="宋体" w:eastAsia="宋体" w:cs="Times New Roman"/>
          <w:b/>
          <w:color w:val="auto"/>
          <w:kern w:val="2"/>
          <w:sz w:val="24"/>
          <w:szCs w:val="24"/>
          <w:highlight w:val="none"/>
          <w:u w:val="single"/>
          <w:lang w:val="en-US" w:eastAsia="zh-CN" w:bidi="ar-SA"/>
        </w:rPr>
        <w:t xml:space="preserve">                                    </w:t>
      </w:r>
    </w:p>
    <w:p w14:paraId="5061C465">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二、承包范围：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p>
    <w:p w14:paraId="0475C5B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三、承包期</w:t>
      </w:r>
    </w:p>
    <w:p w14:paraId="238E1DC1">
      <w:pPr>
        <w:widowControl w:val="0"/>
        <w:snapToGrid w:val="0"/>
        <w:spacing w:before="156" w:beforeLines="50" w:after="156" w:afterLines="50"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17</w:t>
      </w:r>
      <w:r>
        <w:rPr>
          <w:rFonts w:hint="eastAsia" w:ascii="宋体" w:hAnsi="宋体" w:eastAsia="宋体" w:cs="Times New Roman"/>
          <w:color w:val="auto"/>
          <w:kern w:val="2"/>
          <w:sz w:val="24"/>
          <w:szCs w:val="24"/>
          <w:highlight w:val="none"/>
          <w:lang w:val="en-US" w:eastAsia="zh-CN" w:bidi="ar-SA"/>
        </w:rPr>
        <w:t>个月，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日起至</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年</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月</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日，养护总历时天数：</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天；</w:t>
      </w:r>
    </w:p>
    <w:p w14:paraId="4564486B">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四、承包方式</w:t>
      </w:r>
    </w:p>
    <w:p w14:paraId="55B77D02">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本项目由乙方以包工、包料、包质量、包安全、包文明作业的方式实施总承包，乙方应对全部养护工作负责，中标以后不得分包、转包。如—经发现上述行为，甲方单方有权立即终止综合养护工作承包合同，由此产生的一切法律责任和经济损失均由乙方承担。</w:t>
      </w:r>
    </w:p>
    <w:p w14:paraId="3EFA47D9">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五、养护质量标准</w:t>
      </w:r>
    </w:p>
    <w:p w14:paraId="453BE5DB">
      <w:pPr>
        <w:widowControl w:val="0"/>
        <w:snapToGrid w:val="0"/>
        <w:spacing w:before="156" w:beforeLines="50" w:after="156" w:afterLines="50" w:line="360" w:lineRule="auto"/>
        <w:ind w:firstLine="480" w:firstLineChars="200"/>
        <w:jc w:val="left"/>
        <w:rPr>
          <w:rFonts w:hint="eastAsia" w:ascii="宋体" w:hAnsi="宋体" w:eastAsia="宋体" w:cs="Times New Roman"/>
          <w:bCs/>
          <w:color w:val="auto"/>
          <w:kern w:val="2"/>
          <w:sz w:val="24"/>
          <w:szCs w:val="21"/>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本项目养护质量标准：</w:t>
      </w:r>
      <w:r>
        <w:rPr>
          <w:rFonts w:hint="eastAsia" w:ascii="宋体" w:hAnsi="宋体" w:eastAsia="宋体" w:cs="Times New Roman"/>
          <w:bCs/>
          <w:color w:val="auto"/>
          <w:kern w:val="2"/>
          <w:sz w:val="24"/>
          <w:szCs w:val="21"/>
          <w:highlight w:val="none"/>
          <w:u w:val="single"/>
          <w:lang w:val="en-US" w:eastAsia="zh-CN" w:bidi="ar-SA"/>
        </w:rPr>
        <w:t>《江苏省城市园林绿化养护管理规范及分级标准》二级养护标准，符合现行的主管部门绿地养护管理考核办法及以后可能修订的考核办法规定。</w:t>
      </w:r>
    </w:p>
    <w:p w14:paraId="57BD4811">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六、合同价款</w:t>
      </w:r>
    </w:p>
    <w:p w14:paraId="0B6D77A7">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金  额：（</w:t>
      </w:r>
      <w:r>
        <w:rPr>
          <w:rFonts w:hint="eastAsia" w:ascii="宋体" w:hAnsi="宋体" w:eastAsia="宋体" w:cs="Times New Roman"/>
          <w:color w:val="auto"/>
          <w:kern w:val="2"/>
          <w:sz w:val="24"/>
          <w:szCs w:val="24"/>
          <w:highlight w:val="none"/>
          <w:u w:val="single"/>
          <w:lang w:val="en-US" w:eastAsia="zh-CN" w:bidi="ar-SA"/>
        </w:rPr>
        <w:t xml:space="preserve">大写）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人民币）</w:t>
      </w:r>
    </w:p>
    <w:p w14:paraId="30300309">
      <w:pPr>
        <w:widowControl w:val="0"/>
        <w:snapToGrid w:val="0"/>
        <w:spacing w:before="156" w:beforeLines="50" w:after="156" w:afterLines="50"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元</w:t>
      </w:r>
    </w:p>
    <w:p w14:paraId="017D3724">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七、组成合同的文件</w:t>
      </w:r>
    </w:p>
    <w:p w14:paraId="6315436E">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（一）组成本合同的文件包括</w:t>
      </w:r>
    </w:p>
    <w:p w14:paraId="32C17DB5">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本合同协议书</w:t>
      </w:r>
    </w:p>
    <w:p w14:paraId="56C59F18">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中标通知书</w:t>
      </w:r>
    </w:p>
    <w:p w14:paraId="6CFC8881">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投标书及附件</w:t>
      </w:r>
    </w:p>
    <w:p w14:paraId="533EECF7">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本合同协议条款</w:t>
      </w:r>
    </w:p>
    <w:p w14:paraId="7FF6A510">
      <w:pPr>
        <w:widowControl w:val="0"/>
        <w:numPr>
          <w:ilvl w:val="0"/>
          <w:numId w:val="7"/>
        </w:numPr>
        <w:tabs>
          <w:tab w:val="left" w:pos="0"/>
          <w:tab w:val="clear" w:pos="1200"/>
        </w:tabs>
        <w:snapToGrid w:val="0"/>
        <w:spacing w:before="156" w:beforeLines="50" w:after="156" w:afterLines="50" w:line="360" w:lineRule="auto"/>
        <w:ind w:left="1200" w:hanging="72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标准、规范及有关技术文件</w:t>
      </w:r>
    </w:p>
    <w:p w14:paraId="76E14EA0">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（二）双方有关养护工作的洽商、变更等书面协议或文件视为本合同的组成部分。</w:t>
      </w:r>
    </w:p>
    <w:p w14:paraId="5D95A144">
      <w:pPr>
        <w:widowControl w:val="0"/>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八、承包人向发包人承诺按照合同约定开展养护。</w:t>
      </w:r>
    </w:p>
    <w:p w14:paraId="6B40D4CF">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九、发包人承诺按照合同约定的期限和方式支付合同价款及其他应当支付的款项。 </w:t>
      </w:r>
    </w:p>
    <w:p w14:paraId="67A2CD4B">
      <w:pPr>
        <w:widowControl w:val="0"/>
        <w:tabs>
          <w:tab w:val="left" w:pos="4305"/>
        </w:tabs>
        <w:snapToGrid w:val="0"/>
        <w:spacing w:before="156" w:beforeLines="50" w:after="156" w:afterLines="50" w:line="360" w:lineRule="auto"/>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十、本合同双方约定</w:t>
      </w:r>
      <w:r>
        <w:rPr>
          <w:rFonts w:hint="eastAsia" w:ascii="宋体" w:hAnsi="宋体" w:eastAsia="宋体" w:cs="Courier New"/>
          <w:b/>
          <w:bCs/>
          <w:color w:val="auto"/>
          <w:kern w:val="2"/>
          <w:sz w:val="24"/>
          <w:szCs w:val="24"/>
          <w:highlight w:val="none"/>
          <w:u w:val="none"/>
          <w:lang w:val="en-US" w:eastAsia="zh-CN" w:bidi="ar-SA"/>
        </w:rPr>
        <w:t>甲乙双方签字盖章</w:t>
      </w:r>
      <w:r>
        <w:rPr>
          <w:rFonts w:hint="eastAsia" w:ascii="宋体" w:hAnsi="宋体" w:eastAsia="宋体" w:cs="Times New Roman"/>
          <w:b/>
          <w:bCs/>
          <w:color w:val="auto"/>
          <w:kern w:val="2"/>
          <w:sz w:val="24"/>
          <w:szCs w:val="24"/>
          <w:highlight w:val="none"/>
          <w:lang w:val="en-US" w:eastAsia="zh-CN" w:bidi="ar-SA"/>
        </w:rPr>
        <w:t>后生效，至养护期满、验收合格、价款结清自行终止。</w:t>
      </w:r>
    </w:p>
    <w:p w14:paraId="6E7F41DF">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发包人（盖章）：                           承包人（盖章）：          </w:t>
      </w:r>
    </w:p>
    <w:p w14:paraId="5ECDCCAC">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法定（授权）代表人：                       法定（授权）代表人：                       </w:t>
      </w:r>
    </w:p>
    <w:p w14:paraId="3E49C4DA">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电   话：                                  电   话：                        </w:t>
      </w:r>
    </w:p>
    <w:p w14:paraId="77B55C77">
      <w:pPr>
        <w:widowControl w:val="0"/>
        <w:snapToGrid w:val="0"/>
        <w:spacing w:before="156" w:beforeLines="50" w:after="156" w:afterLines="50" w:line="360" w:lineRule="auto"/>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地   址：                                  地   址：                   </w:t>
      </w:r>
    </w:p>
    <w:p w14:paraId="30139743">
      <w:pPr>
        <w:spacing w:line="360" w:lineRule="auto"/>
        <w:jc w:val="left"/>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年   月   日                               年   月   日   </w:t>
      </w:r>
    </w:p>
    <w:p w14:paraId="5C6AD0EF">
      <w:pPr>
        <w:spacing w:line="360" w:lineRule="auto"/>
        <w:jc w:val="left"/>
        <w:rPr>
          <w:rFonts w:hint="eastAsia" w:ascii="宋体" w:hAnsi="宋体" w:eastAsia="宋体" w:cs="等线"/>
          <w:color w:val="auto"/>
          <w:kern w:val="2"/>
          <w:sz w:val="24"/>
          <w:szCs w:val="24"/>
          <w:highlight w:val="none"/>
          <w:lang w:val="en-US" w:eastAsia="zh-CN" w:bidi="ar-SA"/>
        </w:rPr>
      </w:pPr>
    </w:p>
    <w:p w14:paraId="3183F3D7">
      <w:pP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br w:type="page"/>
      </w:r>
    </w:p>
    <w:p w14:paraId="0DB19818">
      <w:pPr>
        <w:widowControl w:val="0"/>
        <w:snapToGrid w:val="0"/>
        <w:spacing w:before="156" w:beforeLines="50" w:after="156" w:afterLines="50" w:line="360" w:lineRule="auto"/>
        <w:jc w:val="center"/>
        <w:rPr>
          <w:rFonts w:hint="eastAsia" w:ascii="宋体" w:hAnsi="宋体" w:eastAsia="宋体" w:cs="Times New Roman"/>
          <w:color w:val="auto"/>
          <w:kern w:val="2"/>
          <w:sz w:val="32"/>
          <w:szCs w:val="32"/>
          <w:highlight w:val="none"/>
          <w:lang w:val="en-US" w:eastAsia="zh-CN" w:bidi="ar-SA"/>
        </w:rPr>
      </w:pPr>
      <w:r>
        <w:rPr>
          <w:rFonts w:hint="eastAsia" w:ascii="宋体" w:hAnsi="宋体" w:eastAsia="宋体" w:cs="Times New Roman"/>
          <w:color w:val="auto"/>
          <w:kern w:val="2"/>
          <w:sz w:val="32"/>
          <w:szCs w:val="32"/>
          <w:highlight w:val="none"/>
          <w:lang w:val="en-US" w:eastAsia="zh-CN" w:bidi="ar-SA"/>
        </w:rPr>
        <w:t>（二）合同专用条款</w:t>
      </w:r>
    </w:p>
    <w:p w14:paraId="6DEC2ACD">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一、词语解释</w:t>
      </w:r>
    </w:p>
    <w:p w14:paraId="0631E114">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 甲方代表</w:t>
      </w:r>
    </w:p>
    <w:p w14:paraId="46C96FD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甲方指派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为派驻现场代表，全面负责日常养护作业的管理工作。</w:t>
      </w:r>
    </w:p>
    <w:p w14:paraId="120916E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乙方代表</w:t>
      </w:r>
    </w:p>
    <w:p w14:paraId="666F96D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2.1 乙方指派</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u w:val="single"/>
          <w:lang w:val="en-US" w:eastAsia="zh-CN" w:bidi="ar-SA"/>
        </w:rPr>
        <w:t xml:space="preserve"> </w:t>
      </w:r>
      <w:r>
        <w:rPr>
          <w:rFonts w:hint="eastAsia" w:ascii="宋体" w:hAnsi="宋体" w:eastAsia="宋体" w:cs="Times New Roman"/>
          <w:b/>
          <w:bCs/>
          <w:color w:val="auto"/>
          <w:kern w:val="2"/>
          <w:sz w:val="24"/>
          <w:szCs w:val="24"/>
          <w:highlight w:val="none"/>
          <w:u w:val="single"/>
          <w:lang w:val="en-US" w:eastAsia="zh-CN" w:bidi="ar-SA"/>
        </w:rPr>
        <w:t xml:space="preserve"> </w:t>
      </w:r>
      <w:r>
        <w:rPr>
          <w:rFonts w:hint="eastAsia" w:ascii="宋体" w:hAnsi="宋体" w:eastAsia="宋体" w:cs="Times New Roman"/>
          <w:color w:val="auto"/>
          <w:kern w:val="2"/>
          <w:sz w:val="24"/>
          <w:szCs w:val="24"/>
          <w:highlight w:val="none"/>
          <w:lang w:val="en-US" w:eastAsia="zh-CN" w:bidi="ar-SA"/>
        </w:rPr>
        <w:t>为绿地养护项目负责人，具体负责本项目养护工作，同时成立绿化养护项目部，并用书面材料报甲方备案。</w:t>
      </w:r>
    </w:p>
    <w:p w14:paraId="4E17C3A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2.2 项目负责人等有关人员必须按时参加由甲方召开的养护例会和各种必须参加的会议。</w:t>
      </w:r>
    </w:p>
    <w:p w14:paraId="0CFF416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2.3 乙方如需更换项目负责人，应至少提前5天以书面形式通知甲方，并征得甲方同意。后任继续行使合同文件约定的前任的职权，履行前任的义务。</w:t>
      </w:r>
    </w:p>
    <w:p w14:paraId="55BF91B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2.4 甲方可以与乙方协商，建议更换其认为不称职的项目负责人。</w:t>
      </w:r>
    </w:p>
    <w:p w14:paraId="24B4AD3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甲方工作</w:t>
      </w:r>
    </w:p>
    <w:p w14:paraId="3DBEEF3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3.1 负责向乙方提供中标绿地的有关资料。</w:t>
      </w:r>
    </w:p>
    <w:p w14:paraId="47B25696">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3.2 组织召开养护作业技术交底会。</w:t>
      </w:r>
    </w:p>
    <w:p w14:paraId="3072F03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3.3</w:t>
      </w:r>
      <w:r>
        <w:rPr>
          <w:rFonts w:hint="eastAsia" w:ascii="宋体" w:hAnsi="宋体" w:eastAsia="宋体" w:cs="Times New Roman"/>
          <w:b/>
          <w:bCs/>
          <w:color w:val="auto"/>
          <w:kern w:val="2"/>
          <w:sz w:val="24"/>
          <w:szCs w:val="24"/>
          <w:highlight w:val="none"/>
          <w:lang w:val="en-US" w:eastAsia="zh-CN" w:bidi="ar-SA"/>
        </w:rPr>
        <w:t>负责开展事前绩效评估，负责乙方的日常养护作业的管理和检查，并定期对乙方的养护服务实施情况开展绩效评价。</w:t>
      </w:r>
      <w:r>
        <w:rPr>
          <w:rFonts w:hint="eastAsia" w:ascii="宋体" w:hAnsi="宋体" w:eastAsia="宋体" w:cs="Times New Roman"/>
          <w:color w:val="auto"/>
          <w:kern w:val="2"/>
          <w:sz w:val="24"/>
          <w:szCs w:val="24"/>
          <w:highlight w:val="none"/>
          <w:lang w:val="en-US" w:eastAsia="zh-CN" w:bidi="ar-SA"/>
        </w:rPr>
        <w:t>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p>
    <w:p w14:paraId="4A11047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3.4 甲方每月对乙方的养护质量进行检查考核。按本合同有关条款，支付相应养护经费。</w:t>
      </w:r>
    </w:p>
    <w:p w14:paraId="01B24CDB">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3.5 如遇突发事件，协调乙方在作业过程中与其他管理部门的关系。</w:t>
      </w:r>
    </w:p>
    <w:p w14:paraId="2720F7CE">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3.6 若乙方违反《招标绿地养护管理检查考核实施意见》《关于实施市级招标绿地养护管理末位淘汰制的意见》及招标文件等有关规定而被解除承包合同的，滨湖区城市管理局根据招标文件执行。</w:t>
      </w:r>
    </w:p>
    <w:p w14:paraId="1558DB31">
      <w:pPr>
        <w:widowControl w:val="0"/>
        <w:adjustRightInd w:val="0"/>
        <w:snapToGrid w:val="0"/>
        <w:spacing w:line="360" w:lineRule="auto"/>
        <w:ind w:firstLine="600" w:firstLineChars="25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3.7 在合同期内，因政府需要征用、改造、临时占用绿地等需要调整乙方管护绿化地段（范围）和管护等级时，乙方必须无条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p>
    <w:p w14:paraId="699A688B">
      <w:pPr>
        <w:widowControl w:val="0"/>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p>
    <w:p w14:paraId="275E5C0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3.9</w:t>
      </w:r>
      <w:r>
        <w:rPr>
          <w:rFonts w:hint="eastAsia" w:ascii="宋体" w:hAnsi="宋体" w:eastAsia="宋体" w:cs="Times New Roman"/>
          <w:color w:val="auto"/>
          <w:kern w:val="2"/>
          <w:sz w:val="24"/>
          <w:szCs w:val="24"/>
          <w:highlight w:val="none"/>
          <w:lang w:val="en-US" w:eastAsia="zh-CN" w:bidi="ar-SA"/>
        </w:rPr>
        <w:t>甲方应做的其他工作，双方在补充条款内约定。</w:t>
      </w:r>
    </w:p>
    <w:p w14:paraId="2EC9B3B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乙方工作</w:t>
      </w:r>
    </w:p>
    <w:p w14:paraId="4E3212D7">
      <w:pPr>
        <w:widowControl w:val="0"/>
        <w:adjustRightInd w:val="0"/>
        <w:snapToGrid w:val="0"/>
        <w:spacing w:line="360" w:lineRule="auto"/>
        <w:ind w:firstLine="480" w:firstLineChars="200"/>
        <w:jc w:val="left"/>
        <w:rPr>
          <w:rFonts w:hint="eastAsia" w:ascii="宋体" w:hAnsi="宋体" w:eastAsia="宋体" w:cs="Times New Roman"/>
          <w:b/>
          <w:bCs/>
          <w:color w:val="auto"/>
          <w:kern w:val="2"/>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SA"/>
        </w:rPr>
        <w:t>4.1 根据甲方养护工作计划，乙方承担日常养护内容有：</w:t>
      </w:r>
      <w:r>
        <w:rPr>
          <w:rFonts w:hint="eastAsia" w:ascii="宋体" w:hAnsi="宋体" w:eastAsia="宋体" w:cs="Times New Roman"/>
          <w:b/>
          <w:bCs/>
          <w:color w:val="auto"/>
          <w:kern w:val="2"/>
          <w:sz w:val="24"/>
          <w:szCs w:val="24"/>
          <w:highlight w:val="none"/>
          <w:u w:val="single"/>
          <w:lang w:val="en-US" w:eastAsia="zh-CN" w:bidi="ar-SA"/>
        </w:rPr>
        <w:t xml:space="preserve">             </w:t>
      </w:r>
    </w:p>
    <w:p w14:paraId="5474A3B3">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 xml:space="preserve">4.2 </w:t>
      </w:r>
      <w:r>
        <w:rPr>
          <w:rFonts w:hint="eastAsia" w:ascii="宋体" w:hAnsi="宋体" w:eastAsia="宋体" w:cs="Times New Roman"/>
          <w:b/>
          <w:bCs/>
          <w:color w:val="auto"/>
          <w:kern w:val="2"/>
          <w:sz w:val="24"/>
          <w:szCs w:val="24"/>
          <w:highlight w:val="none"/>
          <w:lang w:val="en-US" w:eastAsia="zh-CN" w:bidi="ar-SA"/>
        </w:rPr>
        <w:t>做好详细的养护台账，建立养护档案，并按时做好月、季、年度上报养护工作完成情况表，按甲方要求及时上报。</w:t>
      </w:r>
    </w:p>
    <w:p w14:paraId="635C9D6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4.3 应按甲方提出的对各种管理的要求落实各项措施，根据工作量确定长期稳定的日常管理养护人员，如有变更，应及时上报变更情况。甲方应将检查管护人员日常落实情况纳入考核评分范畴。</w:t>
      </w:r>
    </w:p>
    <w:p w14:paraId="1D1B8CB2">
      <w:pPr>
        <w:widowControl w:val="0"/>
        <w:tabs>
          <w:tab w:val="left" w:pos="1400"/>
        </w:tabs>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14:paraId="15A2368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 巡视中如发现绿化设施损坏，应在24小时内处理完毕，如发现人为造成的绿化设施损坏，必须在24小时内书面报告甲方和所在地监察部门。</w:t>
      </w:r>
    </w:p>
    <w:p w14:paraId="5D9FC47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 巡视中发现绿地内有违章搭建及其它破坏绿化等现象，必须当场予以制止，立即报告所在地的监察部门，协助做好有关工作，并将处理结果报告甲方。</w:t>
      </w:r>
    </w:p>
    <w:p w14:paraId="04AAF47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 xml:space="preserve">（3） 汛期和台风季节要加强人员值班，随时处理各种情况，确保树木不遮挡交通指示牌，重要岛头不影响交通行车视线。   </w:t>
      </w:r>
    </w:p>
    <w:p w14:paraId="1FCDE96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4.5 超出常规养护范围的工作，需提前报甲方审批。中标地段原设施量清单中未纳入的周围相邻绿化（单位绿化或责任管护单位不明的绿化），在该标段交接完毕后5日内书面提交具体位置及设施量清单，经甲方核验纳入经费核算范围，未及时提出的，视作无偿义务养护。</w:t>
      </w:r>
    </w:p>
    <w:p w14:paraId="4ABBF69D">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4.6 及时解决来信、来访，并根据甲方要求及时处理。</w:t>
      </w:r>
    </w:p>
    <w:p w14:paraId="73EB960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4.7乙方所聘用的负责养护工作的人员的工资必须达到无锡市最低工资标准。</w:t>
      </w:r>
    </w:p>
    <w:p w14:paraId="27F3273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4.8 按时按量完成甲方交办的110等其他突击性任务和指令性任务。</w:t>
      </w:r>
    </w:p>
    <w:p w14:paraId="7CBB9D2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4.9加强法定节假日的正常养护维修工作。</w:t>
      </w:r>
    </w:p>
    <w:p w14:paraId="219C238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4.10乙方应服从所在地的绿化行政主管部门的行业管理。</w:t>
      </w:r>
    </w:p>
    <w:p w14:paraId="0AE36E80">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4.11 如有移伐树木、占用绿地等事项，乙方应及时无偿负责移伐树木、占用绿地后的绿地修复工作，绿地修复情况应纳入日常考核范围。</w:t>
      </w:r>
    </w:p>
    <w:p w14:paraId="5AF75ACE">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4.12利用窨井水浇灌的，应在甲方备案并及时恢复井盖。</w:t>
      </w:r>
    </w:p>
    <w:p w14:paraId="2A2D4EF9">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4.13乙方在养护中发现苗木不适宜作为道路绿化的，应报甲方审批同意后方可适当更换苗木。</w:t>
      </w:r>
    </w:p>
    <w:p w14:paraId="2EFC4FEC">
      <w:pPr>
        <w:widowControl w:val="0"/>
        <w:adjustRightInd w:val="0"/>
        <w:snapToGrid w:val="0"/>
        <w:spacing w:line="360" w:lineRule="auto"/>
        <w:ind w:firstLine="482" w:firstLineChars="200"/>
        <w:jc w:val="left"/>
        <w:rPr>
          <w:rFonts w:hint="eastAsia" w:ascii="宋体" w:hAnsi="宋体" w:eastAsia="宋体" w:cs="Verdana"/>
          <w:b/>
          <w:color w:val="auto"/>
          <w:kern w:val="2"/>
          <w:sz w:val="24"/>
          <w:szCs w:val="24"/>
          <w:highlight w:val="none"/>
          <w:lang w:val="en-US" w:eastAsia="zh-CN" w:bidi="ar-SA"/>
        </w:rPr>
      </w:pPr>
      <w:r>
        <w:rPr>
          <w:rFonts w:hint="eastAsia" w:ascii="宋体" w:hAnsi="宋体" w:eastAsia="宋体" w:cs="Verdana"/>
          <w:b/>
          <w:bCs/>
          <w:color w:val="auto"/>
          <w:kern w:val="2"/>
          <w:sz w:val="24"/>
          <w:szCs w:val="24"/>
          <w:highlight w:val="none"/>
          <w:lang w:val="en-US" w:eastAsia="zh-CN" w:bidi="ar-SA"/>
        </w:rPr>
        <w:t>4.14乙方在重大节庆活动前，应及时更换草花品种。</w:t>
      </w:r>
    </w:p>
    <w:p w14:paraId="7CA4C3CF">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4.15 在承包期内承包人应服从发包人的安排和调配，做好以下的服务工作：</w:t>
      </w:r>
    </w:p>
    <w:p w14:paraId="4FD73B6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（1）因不可抗力造成的抢修保养工作；</w:t>
      </w:r>
    </w:p>
    <w:p w14:paraId="0E54E7C1">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（2）防汛抗灾期间的汛前、汛期、汛后的各项工作，服从甲方对区管绿地应急抢险的统一调配、指挥；</w:t>
      </w:r>
    </w:p>
    <w:p w14:paraId="1E8F473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（3）养护相关的社会职能（如城市创建等）工作；</w:t>
      </w:r>
    </w:p>
    <w:p w14:paraId="622B90A9">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（4）上级布置的突击性活动而发生的各项工作；</w:t>
      </w:r>
    </w:p>
    <w:p w14:paraId="015E82F4">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（5）确保法定节假日的养护维修工作。</w:t>
      </w:r>
    </w:p>
    <w:p w14:paraId="3A6CEF4A">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4.16 乙方无偿承担防范、杀灭四害等有关规定的义务。</w:t>
      </w:r>
    </w:p>
    <w:p w14:paraId="4871C646">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4.17乙方应做的其他工作，双方在补充条款内约定。</w:t>
      </w:r>
    </w:p>
    <w:p w14:paraId="63F5CF5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4.18树穴的养水塘在新种苗木两年后需平整修复，用草坪或地被覆盖。</w:t>
      </w:r>
    </w:p>
    <w:p w14:paraId="7550EF0B">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w:t>
      </w:r>
      <w:r>
        <w:rPr>
          <w:rFonts w:ascii="宋体" w:hAnsi="宋体" w:eastAsia="宋体" w:cs="Times New Roman"/>
          <w:b/>
          <w:bCs/>
          <w:color w:val="auto"/>
          <w:kern w:val="2"/>
          <w:sz w:val="24"/>
          <w:szCs w:val="24"/>
          <w:highlight w:val="none"/>
          <w:lang w:val="en-US" w:eastAsia="zh-CN" w:bidi="ar-SA"/>
        </w:rPr>
        <w:t>.</w:t>
      </w:r>
      <w:r>
        <w:rPr>
          <w:rFonts w:hint="eastAsia" w:ascii="宋体" w:hAnsi="宋体" w:eastAsia="宋体" w:cs="Times New Roman"/>
          <w:b/>
          <w:bCs/>
          <w:color w:val="auto"/>
          <w:kern w:val="2"/>
          <w:sz w:val="24"/>
          <w:szCs w:val="24"/>
          <w:highlight w:val="none"/>
          <w:lang w:val="en-US" w:eastAsia="zh-CN" w:bidi="ar-SA"/>
        </w:rPr>
        <w:t>19应当配合相关部门对资金使用情况进行监督检查与绩效评价。</w:t>
      </w:r>
    </w:p>
    <w:p w14:paraId="542A4888">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4.20乙方可以依法依规使用本合同向金融机构融资，但甲方不为乙方的融资行为提供担保。</w:t>
      </w:r>
    </w:p>
    <w:p w14:paraId="58C3D3C7">
      <w:pPr>
        <w:adjustRightInd w:val="0"/>
        <w:snapToGrid w:val="0"/>
        <w:spacing w:line="360" w:lineRule="auto"/>
        <w:ind w:firstLine="482" w:firstLineChars="200"/>
        <w:jc w:val="left"/>
        <w:rPr>
          <w:rFonts w:hint="eastAsia" w:ascii="宋体" w:hAnsi="宋体" w:eastAsia="宋体" w:cs="等线"/>
          <w:b/>
          <w:color w:val="auto"/>
          <w:kern w:val="2"/>
          <w:sz w:val="24"/>
          <w:szCs w:val="24"/>
          <w:highlight w:val="none"/>
          <w:lang w:val="en-US" w:eastAsia="zh-CN" w:bidi="ar-SA"/>
        </w:rPr>
      </w:pPr>
      <w:r>
        <w:rPr>
          <w:rFonts w:hint="eastAsia" w:ascii="宋体" w:hAnsi="宋体" w:eastAsia="宋体" w:cs="等线"/>
          <w:b/>
          <w:color w:val="auto"/>
          <w:kern w:val="2"/>
          <w:sz w:val="24"/>
          <w:szCs w:val="24"/>
          <w:highlight w:val="none"/>
          <w:lang w:val="en-US" w:eastAsia="zh-CN" w:bidi="ar-SA"/>
        </w:rPr>
        <w:t>二、养护组织设计</w:t>
      </w:r>
    </w:p>
    <w:p w14:paraId="3A95088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 进度计划</w:t>
      </w:r>
    </w:p>
    <w:p w14:paraId="497F111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5.1 乙方在本合同生效后15天内上报全年养护作业维修计划和该标段养护管理人员网络组成表，并结合季节特点和绿化状况，制定季度、月度养护计划、材料计划送交甲方。甲方在7天内予以确认。</w:t>
      </w:r>
    </w:p>
    <w:p w14:paraId="04F36B7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495CD776">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三、质量与考核</w:t>
      </w:r>
    </w:p>
    <w:p w14:paraId="71157E93">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 质量标准</w:t>
      </w:r>
    </w:p>
    <w:p w14:paraId="15F66EF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养护维修质量标准参照补充条款约定的质量标准。因乙方原因养护质量达不到约定的质量标准，乙方承担违约责任。</w:t>
      </w:r>
    </w:p>
    <w:p w14:paraId="59A48C8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 检查和考核</w:t>
      </w:r>
    </w:p>
    <w:p w14:paraId="31ED500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7.1 乙方应认真按照补充条款中约定的质量标准进行养护，随时接受甲方的检查和考核，为检查和考核提供便利条件。</w:t>
      </w:r>
    </w:p>
    <w:p w14:paraId="3F11AF6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7.2 对于养护质量不符合要求的，甲方先通知整改，乙方在两天内不整改的或整改效果不符合要求的，由甲方派其他队伍整改，费用在乙方养护费中扣除。</w:t>
      </w:r>
    </w:p>
    <w:p w14:paraId="3C80C71E">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7.3 乙方养护期间的乔灌花草保存率低于要求的，必须在适合的季节及时补植同品种、同规格的苗木，并确保成活。若乙方未按规定补植，甲方有权安排第三方进行种植，所发生的苗木费及补植费从乙方养护费中扣除。</w:t>
      </w:r>
    </w:p>
    <w:p w14:paraId="575B4D45">
      <w:pPr>
        <w:widowControl w:val="0"/>
        <w:adjustRightInd w:val="0"/>
        <w:snapToGrid w:val="0"/>
        <w:spacing w:line="360" w:lineRule="auto"/>
        <w:ind w:firstLine="602" w:firstLineChars="25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7.4 甲方按照相关考核办法和规定中约定的考核奖惩办法进行考核。具体详见附件。</w:t>
      </w:r>
    </w:p>
    <w:p w14:paraId="2C132C2F">
      <w:pPr>
        <w:widowControl w:val="0"/>
        <w:adjustRightInd w:val="0"/>
        <w:snapToGrid w:val="0"/>
        <w:spacing w:line="360" w:lineRule="auto"/>
        <w:ind w:firstLine="600" w:firstLineChars="25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7.5</w:t>
      </w:r>
      <w:r>
        <w:rPr>
          <w:rFonts w:hint="eastAsia" w:ascii="宋体" w:hAnsi="宋体" w:eastAsia="宋体" w:cs="Times New Roman"/>
          <w:color w:val="auto"/>
          <w:kern w:val="2"/>
          <w:sz w:val="24"/>
          <w:szCs w:val="24"/>
          <w:highlight w:val="none"/>
          <w:lang w:val="en-US" w:eastAsia="zh-CN" w:bidi="ar-SA"/>
        </w:rPr>
        <w:t>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p>
    <w:p w14:paraId="6047ECF9">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四、安全文明施工</w:t>
      </w:r>
    </w:p>
    <w:p w14:paraId="30E162AD">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8 在养护作业过程中，安全责任由乙方承担。</w:t>
      </w:r>
    </w:p>
    <w:p w14:paraId="47218996">
      <w:pPr>
        <w:widowControl w:val="0"/>
        <w:adjustRightInd w:val="0"/>
        <w:snapToGrid w:val="0"/>
        <w:spacing w:line="360" w:lineRule="auto"/>
        <w:ind w:firstLine="720" w:firstLineChars="3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9 安全文明施工与检查</w:t>
      </w:r>
    </w:p>
    <w:p w14:paraId="781AACB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9.1 乙方应做好养护作业管理区内的安全管理工作，采取必要的安全防护措施，消除事故隐患，并随时接受甲方或行业安全检查人员依法实施的监督检查。</w:t>
      </w:r>
    </w:p>
    <w:p w14:paraId="13B5881C">
      <w:pPr>
        <w:spacing w:line="360" w:lineRule="auto"/>
        <w:ind w:firstLine="480" w:firstLineChars="200"/>
        <w:rPr>
          <w:rFonts w:hint="eastAsia" w:ascii="宋体" w:hAnsi="宋体" w:eastAsia="宋体" w:cs="等线"/>
          <w:color w:val="auto"/>
          <w:kern w:val="2"/>
          <w:sz w:val="24"/>
          <w:szCs w:val="24"/>
          <w:highlight w:val="none"/>
          <w:lang w:val="en-US" w:eastAsia="zh-CN" w:bidi="ar-SA"/>
        </w:rPr>
      </w:pPr>
      <w:r>
        <w:rPr>
          <w:rFonts w:hint="eastAsia" w:ascii="宋体" w:hAnsi="宋体" w:eastAsia="宋体" w:cs="等线"/>
          <w:color w:val="auto"/>
          <w:kern w:val="2"/>
          <w:sz w:val="24"/>
          <w:szCs w:val="24"/>
          <w:highlight w:val="none"/>
          <w:lang w:val="en-US" w:eastAsia="zh-CN" w:bidi="ar-SA"/>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p>
    <w:p w14:paraId="3112BC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10 安全防护</w:t>
      </w:r>
    </w:p>
    <w:p w14:paraId="0CE12E0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养护作业人员应做好各项安全防范措施，必须着装上岗操作，施工期间按规定做好安全标识。</w:t>
      </w:r>
    </w:p>
    <w:p w14:paraId="3898E34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11 事故处理</w:t>
      </w:r>
    </w:p>
    <w:p w14:paraId="4B51255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发生重大伤亡及其他安全事故，乙方应按有关规定立即上报有关部门并通知甲方代表，同时按政府有关部门要求处理由事故责任方承担发生的费用。</w:t>
      </w:r>
    </w:p>
    <w:p w14:paraId="5183829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五、合同价款与支付</w:t>
      </w:r>
    </w:p>
    <w:p w14:paraId="54519978">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12合同价款</w:t>
      </w:r>
    </w:p>
    <w:p w14:paraId="759AAC01">
      <w:pPr>
        <w:widowControl w:val="0"/>
        <w:adjustRightInd w:val="0"/>
        <w:snapToGrid w:val="0"/>
        <w:spacing w:line="360" w:lineRule="auto"/>
        <w:ind w:firstLine="420" w:firstLineChars="200"/>
        <w:jc w:val="left"/>
        <w:rPr>
          <w:rFonts w:hint="eastAsia" w:ascii="宋体" w:hAnsi="宋体" w:eastAsia="宋体" w:cs="Times New Roman"/>
          <w:color w:val="auto"/>
          <w:kern w:val="2"/>
          <w:sz w:val="24"/>
          <w:szCs w:val="24"/>
          <w:highlight w:val="none"/>
          <w:lang w:val="en-US" w:eastAsia="zh-CN" w:bidi="ar-SA"/>
        </w:rPr>
      </w:pPr>
      <w:r>
        <w:rPr>
          <w:rFonts w:ascii="宋体" w:hAnsi="宋体" w:eastAsia="宋体" w:cs="Times New Roman"/>
          <w:color w:val="auto"/>
          <w:kern w:val="2"/>
          <w:sz w:val="21"/>
          <w:szCs w:val="21"/>
          <w:highlight w:val="none"/>
          <w:lang w:val="en-US" w:eastAsia="zh-CN" w:bidi="ar-SA"/>
        </w:rPr>
        <mc:AlternateContent>
          <mc:Choice Requires="wps">
            <w:drawing>
              <wp:anchor distT="0" distB="0" distL="114300" distR="114300" simplePos="0" relativeHeight="251661312" behindDoc="0" locked="0" layoutInCell="0" allowOverlap="1">
                <wp:simplePos x="0" y="0"/>
                <wp:positionH relativeFrom="page">
                  <wp:posOffset>5323205</wp:posOffset>
                </wp:positionH>
                <wp:positionV relativeFrom="paragraph">
                  <wp:posOffset>99695</wp:posOffset>
                </wp:positionV>
                <wp:extent cx="13970" cy="20320"/>
                <wp:effectExtent l="4445" t="4445" r="6985" b="13335"/>
                <wp:wrapNone/>
                <wp:docPr id="5" name="任意多边形 5"/>
                <wp:cNvGraphicFramePr/>
                <a:graphic xmlns:a="http://schemas.openxmlformats.org/drawingml/2006/main">
                  <a:graphicData uri="http://schemas.microsoft.com/office/word/2010/wordprocessingShape">
                    <wps:wsp>
                      <wps:cNvSpPr/>
                      <wps:spPr>
                        <a:xfrm>
                          <a:off x="0" y="0"/>
                          <a:ext cx="13970" cy="20320"/>
                        </a:xfrm>
                        <a:custGeom>
                          <a:avLst/>
                          <a:gdLst/>
                          <a:ahLst/>
                          <a:cxnLst/>
                          <a:pathLst>
                            <a:path w="21" h="31">
                              <a:moveTo>
                                <a:pt x="14" y="29"/>
                              </a:moveTo>
                              <a:lnTo>
                                <a:pt x="2" y="22"/>
                              </a:lnTo>
                              <a:lnTo>
                                <a:pt x="0" y="21"/>
                              </a:lnTo>
                              <a:lnTo>
                                <a:pt x="0" y="19"/>
                              </a:lnTo>
                              <a:lnTo>
                                <a:pt x="0" y="15"/>
                              </a:lnTo>
                              <a:lnTo>
                                <a:pt x="0" y="14"/>
                              </a:lnTo>
                              <a:lnTo>
                                <a:pt x="0" y="14"/>
                              </a:lnTo>
                              <a:lnTo>
                                <a:pt x="0" y="14"/>
                              </a:lnTo>
                              <a:lnTo>
                                <a:pt x="21" y="0"/>
                              </a:lnTo>
                              <a:lnTo>
                                <a:pt x="21" y="0"/>
                              </a:lnTo>
                              <a:lnTo>
                                <a:pt x="21" y="0"/>
                              </a:lnTo>
                              <a:lnTo>
                                <a:pt x="21" y="0"/>
                              </a:lnTo>
                              <a:lnTo>
                                <a:pt x="21" y="0"/>
                              </a:lnTo>
                              <a:lnTo>
                                <a:pt x="21" y="0"/>
                              </a:lnTo>
                              <a:lnTo>
                                <a:pt x="21" y="0"/>
                              </a:lnTo>
                            </a:path>
                          </a:pathLst>
                        </a:custGeom>
                        <a:solidFill>
                          <a:srgbClr val="FFFFFF"/>
                        </a:solidFill>
                        <a:ln w="8160" cap="rnd" cmpd="sng">
                          <a:solidFill>
                            <a:srgbClr val="001E59"/>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419.15pt;margin-top:7.85pt;height:1.6pt;width:1.1pt;mso-position-horizontal-relative:page;z-index:251661312;mso-width-relative:page;mso-height-relative:page;" fillcolor="#FFFFFF" filled="t" stroked="t" coordsize="21,31" o:allowincell="f" o:gfxdata="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CVxo1jXAAAACQEAAA8AAAAAAAAAAQAgAAAAIgAAAGRycy9kb3du&#10;cmV2LnhtbFBLAQIUABQAAAAIAIdO4kDgkpNzcgIAAJIGAAAOAAAAAAAAAAEAIAAAACYBAABkcnMv&#10;ZTJvRG9jLnhtbFBLBQYAAAAABgAGAFkBAAAKBgAAAAA=&#10;" path="m14,29l2,22,0,21,0,19,0,15,0,14,0,14,0,14,21,0,21,0,21,0,21,0,21,0,21,0,21,0e">
                <v:fill on="t" focussize="0,0"/>
                <v:stroke weight="0.64251968503937pt" color="#001E59" joinstyle="round" endcap="round"/>
                <v:imagedata o:title=""/>
                <o:lock v:ext="edit" aspectratio="f"/>
              </v:shape>
            </w:pict>
          </mc:Fallback>
        </mc:AlternateContent>
      </w:r>
      <w:r>
        <w:rPr>
          <w:rFonts w:hint="eastAsia" w:ascii="宋体" w:hAnsi="宋体" w:eastAsia="宋体" w:cs="Times New Roman"/>
          <w:color w:val="auto"/>
          <w:kern w:val="2"/>
          <w:sz w:val="24"/>
          <w:szCs w:val="24"/>
          <w:highlight w:val="none"/>
          <w:lang w:val="en-US" w:eastAsia="zh-CN" w:bidi="ar-SA"/>
        </w:rPr>
        <w:t>12.1 合同价款由甲、乙双方依据中标通知书中的中标价格在协议书内约定。</w:t>
      </w:r>
    </w:p>
    <w:p w14:paraId="3ED1017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12.2 乙方应向甲方提交月度养护作业统计报表。甲方可以按报表内容进行计量与考核，考核结果作为合同价款支付的依据。</w:t>
      </w:r>
    </w:p>
    <w:p w14:paraId="5AA3094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12.3 如实际养护作业量与设施量清单有出入时，乙方按照补充条款约定的时间上报计划变更单，经甲方审核并报有关部门审定后方可在下月养护计划中调整。</w:t>
      </w:r>
    </w:p>
    <w:p w14:paraId="30CC841C">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12.4 对乙方超出养护范围和因乙方原因造成返工的工作量，甲方不予计量。</w:t>
      </w:r>
    </w:p>
    <w:p w14:paraId="3D80C28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13 合同价款支付</w:t>
      </w:r>
    </w:p>
    <w:p w14:paraId="5EF9F007">
      <w:pPr>
        <w:widowControl w:val="0"/>
        <w:adjustRightInd w:val="0"/>
        <w:snapToGrid w:val="0"/>
        <w:spacing w:line="360" w:lineRule="auto"/>
        <w:ind w:firstLine="482" w:firstLineChars="200"/>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13.1合同签订后支付合同价款的30%作为预付款，剩余款项按半年度付款，服务费按照考核情况每半年度结算支付一次。实际支付按财政拨付计划结算养护经费。（结算费用时扣除预付款金额，预付款金额全部扣除后，后续服务费不再扣除）。</w:t>
      </w:r>
    </w:p>
    <w:p w14:paraId="3B3CABA5">
      <w:pPr>
        <w:pStyle w:val="350"/>
        <w:spacing w:line="360" w:lineRule="auto"/>
        <w:ind w:firstLine="482"/>
        <w:rPr>
          <w:rFonts w:hint="eastAsia" w:hAnsi="宋体" w:eastAsia="宋体"/>
          <w:b/>
          <w:color w:val="auto"/>
          <w:kern w:val="0"/>
          <w:sz w:val="24"/>
          <w:szCs w:val="24"/>
          <w:highlight w:val="none"/>
          <w:lang w:eastAsia="zh-CN"/>
        </w:rPr>
      </w:pPr>
      <w:r>
        <w:rPr>
          <w:rFonts w:hint="eastAsia" w:hAnsi="宋体"/>
          <w:b/>
          <w:color w:val="auto"/>
          <w:kern w:val="0"/>
          <w:sz w:val="24"/>
          <w:szCs w:val="24"/>
          <w:highlight w:val="none"/>
          <w:lang w:val="en-US" w:eastAsia="zh-CN"/>
        </w:rPr>
        <w:t>六、</w:t>
      </w:r>
      <w:r>
        <w:rPr>
          <w:rFonts w:hint="eastAsia" w:hAnsi="宋体"/>
          <w:b/>
          <w:color w:val="auto"/>
          <w:kern w:val="0"/>
          <w:sz w:val="24"/>
          <w:szCs w:val="24"/>
          <w:highlight w:val="none"/>
        </w:rPr>
        <w:t>项目</w:t>
      </w:r>
      <w:r>
        <w:rPr>
          <w:rFonts w:hAnsi="宋体"/>
          <w:b/>
          <w:color w:val="auto"/>
          <w:kern w:val="0"/>
          <w:sz w:val="24"/>
          <w:szCs w:val="24"/>
          <w:highlight w:val="none"/>
        </w:rPr>
        <w:t>验收</w:t>
      </w:r>
    </w:p>
    <w:p w14:paraId="7B3BA182">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lang w:val="en-US" w:eastAsia="zh-CN"/>
        </w:rPr>
        <w:t>14</w:t>
      </w:r>
      <w:r>
        <w:rPr>
          <w:rFonts w:hint="eastAsia" w:hAnsi="宋体"/>
          <w:color w:val="auto"/>
          <w:kern w:val="0"/>
          <w:sz w:val="24"/>
          <w:szCs w:val="24"/>
          <w:highlight w:val="none"/>
        </w:rPr>
        <w:t>.1甲方依法组织履约验收工作</w:t>
      </w:r>
      <w:r>
        <w:rPr>
          <w:rFonts w:hint="eastAsia" w:hAnsi="宋体"/>
          <w:color w:val="auto"/>
          <w:kern w:val="0"/>
          <w:sz w:val="24"/>
          <w:szCs w:val="24"/>
          <w:highlight w:val="none"/>
          <w:lang w:eastAsia="zh-CN"/>
        </w:rPr>
        <w:t>，</w:t>
      </w:r>
      <w:r>
        <w:rPr>
          <w:rFonts w:hint="eastAsia" w:hAnsi="宋体"/>
          <w:color w:val="auto"/>
          <w:kern w:val="0"/>
          <w:sz w:val="24"/>
          <w:szCs w:val="24"/>
          <w:highlight w:val="none"/>
        </w:rPr>
        <w:t>按照采购合同的约定对乙方的履约情况进行验收。</w:t>
      </w:r>
    </w:p>
    <w:p w14:paraId="7038B478">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E554CAD">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.3对于实际使用人和甲方分离的项目，甲方邀请实际使用人参与验收。</w:t>
      </w:r>
    </w:p>
    <w:p w14:paraId="0794CE66">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.4如有必要，甲方邀请参加本项目的其他</w:t>
      </w:r>
      <w:r>
        <w:rPr>
          <w:rFonts w:hint="eastAsia" w:hAnsi="宋体"/>
          <w:color w:val="auto"/>
          <w:kern w:val="0"/>
          <w:sz w:val="24"/>
          <w:szCs w:val="24"/>
          <w:highlight w:val="none"/>
          <w:lang w:eastAsia="zh-CN"/>
        </w:rPr>
        <w:t>投标供应商</w:t>
      </w:r>
      <w:r>
        <w:rPr>
          <w:rFonts w:hint="eastAsia" w:hAnsi="宋体"/>
          <w:color w:val="auto"/>
          <w:kern w:val="0"/>
          <w:sz w:val="24"/>
          <w:szCs w:val="24"/>
          <w:highlight w:val="none"/>
        </w:rPr>
        <w:t>或第三方专业机构及专家参与验收，相关意见将作为验收书的参考资料。</w:t>
      </w:r>
    </w:p>
    <w:p w14:paraId="48AD44A1">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.5甲方成立验收小组，按照采购合同的约定对乙方的履约情况进行验收。验收时</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甲方按照采购合同的约定对每一项技术、服务、安全标准的履约情况进行确认。验收结束后</w:t>
      </w:r>
      <w:r>
        <w:rPr>
          <w:rFonts w:hint="eastAsia" w:hAnsi="宋体"/>
          <w:color w:val="auto"/>
          <w:kern w:val="0"/>
          <w:sz w:val="24"/>
          <w:szCs w:val="24"/>
          <w:highlight w:val="none"/>
          <w:lang w:eastAsia="zh-CN"/>
        </w:rPr>
        <w:t>，</w:t>
      </w:r>
      <w:r>
        <w:rPr>
          <w:rFonts w:hint="eastAsia" w:hAnsi="宋体"/>
          <w:color w:val="auto"/>
          <w:kern w:val="0"/>
          <w:sz w:val="24"/>
          <w:szCs w:val="24"/>
          <w:highlight w:val="none"/>
        </w:rPr>
        <w:t>验收小组出具验收书</w:t>
      </w:r>
      <w:r>
        <w:rPr>
          <w:rFonts w:hint="eastAsia" w:hAnsi="宋体"/>
          <w:color w:val="auto"/>
          <w:kern w:val="0"/>
          <w:sz w:val="24"/>
          <w:szCs w:val="24"/>
          <w:highlight w:val="none"/>
          <w:lang w:eastAsia="zh-CN"/>
        </w:rPr>
        <w:t>，</w:t>
      </w:r>
      <w:r>
        <w:rPr>
          <w:rFonts w:hint="eastAsia" w:hAnsi="宋体"/>
          <w:color w:val="auto"/>
          <w:kern w:val="0"/>
          <w:sz w:val="24"/>
          <w:szCs w:val="24"/>
          <w:highlight w:val="none"/>
        </w:rPr>
        <w:t>列明各项标准的验收情况及项目总体评价</w:t>
      </w:r>
      <w:r>
        <w:rPr>
          <w:rFonts w:hint="eastAsia" w:hAnsi="宋体"/>
          <w:color w:val="auto"/>
          <w:kern w:val="0"/>
          <w:sz w:val="24"/>
          <w:szCs w:val="24"/>
          <w:highlight w:val="none"/>
          <w:lang w:eastAsia="zh-CN"/>
        </w:rPr>
        <w:t>，</w:t>
      </w:r>
      <w:r>
        <w:rPr>
          <w:rFonts w:hint="eastAsia" w:hAnsi="宋体"/>
          <w:color w:val="auto"/>
          <w:kern w:val="0"/>
          <w:sz w:val="24"/>
          <w:szCs w:val="24"/>
          <w:highlight w:val="none"/>
        </w:rPr>
        <w:t>由验收双方共同签署。验收结果与采购合同约定的资金支付及履约保证金返还条件挂钩。履约验收的各项资料存档备查。</w:t>
      </w:r>
    </w:p>
    <w:p w14:paraId="7DF26819">
      <w:pPr>
        <w:pStyle w:val="350"/>
        <w:spacing w:line="360" w:lineRule="auto"/>
        <w:ind w:firstLine="480"/>
        <w:rPr>
          <w:rFonts w:hint="eastAsia" w:hAnsi="宋体"/>
          <w:color w:val="auto"/>
          <w:kern w:val="0"/>
          <w:sz w:val="24"/>
          <w:szCs w:val="24"/>
          <w:highlight w:val="none"/>
        </w:rPr>
      </w:pPr>
      <w:r>
        <w:rPr>
          <w:rFonts w:hint="eastAsia" w:hAnsi="宋体"/>
          <w:color w:val="auto"/>
          <w:kern w:val="0"/>
          <w:sz w:val="24"/>
          <w:szCs w:val="24"/>
          <w:highlight w:val="none"/>
        </w:rPr>
        <w:t>1</w:t>
      </w:r>
      <w:r>
        <w:rPr>
          <w:rFonts w:hint="eastAsia" w:hAnsi="宋体"/>
          <w:color w:val="auto"/>
          <w:kern w:val="0"/>
          <w:sz w:val="24"/>
          <w:szCs w:val="24"/>
          <w:highlight w:val="none"/>
          <w:lang w:val="en-US" w:eastAsia="zh-CN"/>
        </w:rPr>
        <w:t>4</w:t>
      </w:r>
      <w:r>
        <w:rPr>
          <w:rFonts w:hint="eastAsia" w:hAnsi="宋体"/>
          <w:color w:val="auto"/>
          <w:kern w:val="0"/>
          <w:sz w:val="24"/>
          <w:szCs w:val="24"/>
          <w:highlight w:val="none"/>
        </w:rPr>
        <w:t>.</w:t>
      </w:r>
      <w:r>
        <w:rPr>
          <w:rFonts w:hint="eastAsia" w:hAnsi="宋体"/>
          <w:color w:val="auto"/>
          <w:kern w:val="0"/>
          <w:sz w:val="24"/>
          <w:szCs w:val="24"/>
          <w:highlight w:val="none"/>
          <w:lang w:val="en-US" w:eastAsia="zh-CN"/>
        </w:rPr>
        <w:t>6</w:t>
      </w:r>
      <w:r>
        <w:rPr>
          <w:rFonts w:hint="eastAsia" w:hAnsi="宋体"/>
          <w:color w:val="auto"/>
          <w:kern w:val="0"/>
          <w:sz w:val="24"/>
          <w:szCs w:val="24"/>
          <w:highlight w:val="none"/>
        </w:rPr>
        <w:t>验收合格的项目</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auto"/>
          <w:kern w:val="0"/>
          <w:sz w:val="24"/>
          <w:szCs w:val="24"/>
          <w:highlight w:val="none"/>
          <w:lang w:eastAsia="zh-CN"/>
        </w:rPr>
        <w:t>，</w:t>
      </w:r>
      <w:r>
        <w:rPr>
          <w:rFonts w:hint="eastAsia" w:hAnsi="宋体"/>
          <w:color w:val="auto"/>
          <w:kern w:val="0"/>
          <w:sz w:val="24"/>
          <w:szCs w:val="24"/>
          <w:highlight w:val="none"/>
        </w:rPr>
        <w:t>甲方将及时报告本级财政部门。</w:t>
      </w:r>
    </w:p>
    <w:p w14:paraId="64FD6A84">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七、违约和争议</w:t>
      </w:r>
    </w:p>
    <w:p w14:paraId="4460EDF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 违约</w:t>
      </w:r>
    </w:p>
    <w:p w14:paraId="458CE30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15.1 因甲方原因导致乙方不能按合同约定履行义务的，相应延续工期。</w:t>
      </w:r>
    </w:p>
    <w:p w14:paraId="71B3955B">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15.2 甲方未按合同约定支付养护经费的，甲方应按每日万分之二支付违约金。</w:t>
      </w:r>
    </w:p>
    <w:p w14:paraId="6C31FBF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15.3 乙方不能达到所承诺的养护质量和有关技术规范标准，乙方按协议条款支付违约金，赔偿因违约给甲方造成的损失。</w:t>
      </w:r>
    </w:p>
    <w:p w14:paraId="3CB6386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15.4 因一方违约使合同不能履行，另一方欲终止或解除全部合同，应提前10天通知违约方后，方可终止或解除合同，由违约方承担违约责任。</w:t>
      </w:r>
    </w:p>
    <w:p w14:paraId="7CAD4CE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 争议</w:t>
      </w:r>
    </w:p>
    <w:p w14:paraId="799ACF30">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16.1 甲乙双方因合同发生争议，可由甲乙双方协商、调解或向甲方所在地的人民法院起诉解决。</w:t>
      </w:r>
    </w:p>
    <w:p w14:paraId="05C44EC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16.2发生争议后，除出现以下情况的，双方都应继续履行合同，保持养护连续性：</w:t>
      </w:r>
    </w:p>
    <w:p w14:paraId="53763A25">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（1） 合同确已无法履行；</w:t>
      </w:r>
    </w:p>
    <w:p w14:paraId="52FCECA4">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（2） 双方协议停止养护作业；</w:t>
      </w:r>
    </w:p>
    <w:p w14:paraId="2BA3BD8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（3） 仲裁机关要求停止养护作业；</w:t>
      </w:r>
    </w:p>
    <w:p w14:paraId="6D24C9B3">
      <w:pPr>
        <w:widowControl w:val="0"/>
        <w:adjustRightInd w:val="0"/>
        <w:snapToGrid w:val="0"/>
        <w:spacing w:line="360" w:lineRule="auto"/>
        <w:ind w:firstLine="960" w:firstLineChars="4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 法院要求停止养护作业。</w:t>
      </w:r>
    </w:p>
    <w:p w14:paraId="694CBAD0">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八、合同终止</w:t>
      </w:r>
    </w:p>
    <w:p w14:paraId="0E59CA1D">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17.1 承包范围内的养护管理项目，乙方不得采取任何形式实施分包和转包，凡违反此规定的，甲方将立即取消乙方的承包资格，</w:t>
      </w:r>
      <w:r>
        <w:rPr>
          <w:rFonts w:hint="eastAsia" w:ascii="宋体" w:hAnsi="宋体" w:eastAsia="宋体" w:cs="Times New Roman"/>
          <w:bCs/>
          <w:color w:val="auto"/>
          <w:kern w:val="2"/>
          <w:sz w:val="24"/>
          <w:szCs w:val="24"/>
          <w:highlight w:val="none"/>
          <w:lang w:val="en-US" w:eastAsia="zh-CN" w:bidi="ar-SA"/>
        </w:rPr>
        <w:t>终</w:t>
      </w:r>
      <w:r>
        <w:rPr>
          <w:rFonts w:hint="eastAsia" w:ascii="宋体" w:hAnsi="宋体" w:eastAsia="宋体" w:cs="Times New Roman"/>
          <w:color w:val="auto"/>
          <w:kern w:val="2"/>
          <w:sz w:val="24"/>
          <w:szCs w:val="24"/>
          <w:highlight w:val="none"/>
          <w:lang w:val="en-US" w:eastAsia="zh-CN" w:bidi="ar-SA"/>
        </w:rPr>
        <w:t>止养护承包合同的履行，由此产生的一切法律责任和经济损失由乙方承担；</w:t>
      </w:r>
    </w:p>
    <w:p w14:paraId="683D3487">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17.2 乙方在本合同订立之日起三个月内，作为试用期；经甲方考核，达不到质量和技术标准的，甲方有权终止合同。因试用不合格，试用期内养护费按合同价的月平均价50％付给。 </w:t>
      </w:r>
    </w:p>
    <w:p w14:paraId="7FA0CA3F">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17.3月综合考评年内累计3次排名末位的，终止养护合同。</w:t>
      </w:r>
    </w:p>
    <w:p w14:paraId="2923731E">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九、其他</w:t>
      </w:r>
    </w:p>
    <w:p w14:paraId="3229A93A">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18.1 在本合同执行过程中如遇国家政策、地方性法规的有关规定不符时，按有关政策法规执行。</w:t>
      </w:r>
    </w:p>
    <w:p w14:paraId="0498A851">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18.2 如遇自然灾害和不可抗力造成损失的，经双方协商解决。</w:t>
      </w:r>
    </w:p>
    <w:p w14:paraId="79E49E0E">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18.3 本合同如有未尽事宜，双方可通过协商补充协议解决。</w:t>
      </w:r>
    </w:p>
    <w:p w14:paraId="12E0CDC3">
      <w:pPr>
        <w:widowControl w:val="0"/>
        <w:tabs>
          <w:tab w:val="center" w:pos="4960"/>
          <w:tab w:val="left" w:pos="7350"/>
        </w:tabs>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十、合同生效与终止</w:t>
      </w:r>
    </w:p>
    <w:p w14:paraId="2DACD552">
      <w:pPr>
        <w:widowControl w:val="0"/>
        <w:adjustRightInd w:val="0"/>
        <w:snapToGrid w:val="0"/>
        <w:spacing w:line="360" w:lineRule="auto"/>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19.1双方在合同协议书中约定合同生效方式。双方履行合同全部义务，合同价款支付完毕后，本合同即告终止。</w:t>
      </w:r>
    </w:p>
    <w:p w14:paraId="5E80F1AA">
      <w:pPr>
        <w:widowControl w:val="0"/>
        <w:adjustRightInd w:val="0"/>
        <w:snapToGrid w:val="0"/>
        <w:spacing w:line="360" w:lineRule="auto"/>
        <w:ind w:firstLine="482" w:firstLineChars="200"/>
        <w:jc w:val="left"/>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十一、合同份数与解释</w:t>
      </w:r>
    </w:p>
    <w:p w14:paraId="35DF54E6">
      <w:pPr>
        <w:widowControl w:val="0"/>
        <w:adjustRightInd w:val="0"/>
        <w:snapToGrid w:val="0"/>
        <w:spacing w:line="360" w:lineRule="auto"/>
        <w:ind w:firstLine="480" w:firstLineChars="2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20.1本合同一式陆份，并具有同等法律效力。由甲方执叁份、乙方执叁份。</w:t>
      </w:r>
    </w:p>
    <w:p w14:paraId="29687243">
      <w:pPr>
        <w:spacing w:line="360" w:lineRule="auto"/>
        <w:rPr>
          <w:rFonts w:hint="eastAsia" w:ascii="宋体" w:hAnsi="宋体" w:eastAsia="宋体"/>
          <w:color w:val="auto"/>
          <w:sz w:val="28"/>
          <w:szCs w:val="28"/>
          <w:highlight w:val="none"/>
        </w:rPr>
      </w:pPr>
      <w:r>
        <w:rPr>
          <w:rFonts w:hint="eastAsia" w:ascii="宋体" w:hAnsi="宋体"/>
          <w:color w:val="auto"/>
          <w:sz w:val="24"/>
          <w:highlight w:val="none"/>
          <w:lang w:val="en-US" w:eastAsia="zh-CN"/>
        </w:rPr>
        <w:br w:type="page"/>
      </w:r>
      <w:r>
        <w:rPr>
          <w:rFonts w:hint="eastAsia" w:ascii="宋体" w:hAnsi="宋体"/>
          <w:color w:val="auto"/>
          <w:sz w:val="28"/>
          <w:szCs w:val="28"/>
          <w:highlight w:val="none"/>
          <w:lang w:val="en-US" w:eastAsia="zh-CN"/>
        </w:rPr>
        <w:t>附件1：</w:t>
      </w:r>
    </w:p>
    <w:p w14:paraId="79083C45">
      <w:pPr>
        <w:spacing w:line="360" w:lineRule="auto"/>
        <w:ind w:firstLine="480" w:firstLineChars="200"/>
        <w:jc w:val="left"/>
        <w:rPr>
          <w:rFonts w:hint="eastAsia" w:ascii="宋体" w:hAnsi="宋体" w:eastAsia="宋体"/>
          <w:color w:val="auto"/>
          <w:sz w:val="24"/>
          <w:highlight w:val="none"/>
          <w:lang w:val="en-US" w:eastAsia="zh-CN"/>
        </w:rPr>
      </w:pPr>
      <w:r>
        <w:rPr>
          <w:rFonts w:hint="eastAsia" w:ascii="宋体" w:hAnsi="宋体"/>
          <w:color w:val="auto"/>
          <w:sz w:val="24"/>
          <w:highlight w:val="none"/>
        </w:rPr>
        <w:t>考核表</w:t>
      </w:r>
      <w:r>
        <w:rPr>
          <w:rFonts w:hint="eastAsia" w:ascii="宋体" w:hAnsi="宋体" w:eastAsia="宋体"/>
          <w:color w:val="auto"/>
          <w:sz w:val="24"/>
          <w:highlight w:val="none"/>
          <w:lang w:val="en-US" w:eastAsia="zh-CN"/>
        </w:rPr>
        <w:t>：</w:t>
      </w:r>
    </w:p>
    <w:p w14:paraId="6713B7C8">
      <w:pPr>
        <w:spacing w:line="360" w:lineRule="auto"/>
        <w:jc w:val="center"/>
        <w:rPr>
          <w:rFonts w:hint="default" w:ascii="宋体" w:hAnsi="宋体"/>
          <w:color w:val="auto"/>
          <w:sz w:val="24"/>
          <w:highlight w:val="none"/>
          <w:lang w:val="en-US"/>
        </w:rPr>
      </w:pPr>
      <w:r>
        <w:rPr>
          <w:rFonts w:hint="eastAsia" w:ascii="宋体" w:hAnsi="宋体" w:eastAsia="宋体" w:cs="宋体"/>
          <w:color w:val="auto"/>
          <w:sz w:val="24"/>
          <w:highlight w:val="none"/>
          <w:lang w:val="en-US" w:eastAsia="zh-CN"/>
        </w:rPr>
        <w:t>2026年山水城公共绿地与游园日常养护考核表</w:t>
      </w:r>
    </w:p>
    <w:tbl>
      <w:tblPr>
        <w:tblStyle w:val="47"/>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80"/>
        <w:gridCol w:w="1174"/>
        <w:gridCol w:w="4664"/>
        <w:gridCol w:w="855"/>
        <w:gridCol w:w="795"/>
      </w:tblGrid>
      <w:tr w14:paraId="5A92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20" w:type="dxa"/>
            <w:noWrap w:val="0"/>
            <w:vAlign w:val="center"/>
          </w:tcPr>
          <w:p w14:paraId="020A047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0" w:type="dxa"/>
            <w:noWrap w:val="0"/>
            <w:vAlign w:val="center"/>
          </w:tcPr>
          <w:p w14:paraId="61AE4E05">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内容</w:t>
            </w:r>
          </w:p>
        </w:tc>
        <w:tc>
          <w:tcPr>
            <w:tcW w:w="5838" w:type="dxa"/>
            <w:gridSpan w:val="2"/>
            <w:noWrap w:val="0"/>
            <w:vAlign w:val="center"/>
          </w:tcPr>
          <w:p w14:paraId="18DA8FA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855" w:type="dxa"/>
            <w:noWrap w:val="0"/>
            <w:vAlign w:val="center"/>
          </w:tcPr>
          <w:p w14:paraId="26BB17F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795" w:type="dxa"/>
            <w:noWrap w:val="0"/>
            <w:vAlign w:val="center"/>
          </w:tcPr>
          <w:p w14:paraId="42E1407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得分</w:t>
            </w:r>
          </w:p>
        </w:tc>
      </w:tr>
      <w:tr w14:paraId="0C75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6C46B6D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1580" w:type="dxa"/>
            <w:noWrap w:val="0"/>
            <w:vAlign w:val="center"/>
          </w:tcPr>
          <w:p w14:paraId="71C6E1AB">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养护计划上报和完成情况</w:t>
            </w:r>
          </w:p>
        </w:tc>
        <w:tc>
          <w:tcPr>
            <w:tcW w:w="5838" w:type="dxa"/>
            <w:gridSpan w:val="2"/>
            <w:noWrap w:val="0"/>
            <w:vAlign w:val="center"/>
          </w:tcPr>
          <w:p w14:paraId="2D7F8A8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未上报年度养护组织设计，扣2分；未上报月度和周养护计划，一次扣1分；未按计划落实养护工作，1项视情扣0.5-1分。</w:t>
            </w:r>
          </w:p>
        </w:tc>
        <w:tc>
          <w:tcPr>
            <w:tcW w:w="855" w:type="dxa"/>
            <w:noWrap w:val="0"/>
            <w:vAlign w:val="center"/>
          </w:tcPr>
          <w:p w14:paraId="376C1DA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7EA8DC4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744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0" w:type="dxa"/>
            <w:noWrap w:val="0"/>
            <w:vAlign w:val="center"/>
          </w:tcPr>
          <w:p w14:paraId="36CCE01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1580" w:type="dxa"/>
            <w:noWrap w:val="0"/>
            <w:vAlign w:val="center"/>
          </w:tcPr>
          <w:p w14:paraId="3E2BB9F3">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安全文明生产和工作纪律</w:t>
            </w:r>
          </w:p>
        </w:tc>
        <w:tc>
          <w:tcPr>
            <w:tcW w:w="5838" w:type="dxa"/>
            <w:gridSpan w:val="2"/>
            <w:noWrap w:val="0"/>
            <w:vAlign w:val="center"/>
          </w:tcPr>
          <w:p w14:paraId="09BA67F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因管理不善或因安全措施不力造成事故，一次视情扣2-4分；作业时没有充分利用机械设备，夜间作业未设置警戒标志，行道树修剪喷药、绿化带喷水除尘等处理不当影响行人及附近单位工作等，视情扣除1.5-2分；养护人员工作时未工作服，擅离职守，工作马虎，一人一次扣0.5分。</w:t>
            </w:r>
          </w:p>
        </w:tc>
        <w:tc>
          <w:tcPr>
            <w:tcW w:w="855" w:type="dxa"/>
            <w:noWrap w:val="0"/>
            <w:vAlign w:val="center"/>
          </w:tcPr>
          <w:p w14:paraId="4D0D09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230BD67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CDB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0" w:type="dxa"/>
            <w:noWrap w:val="0"/>
            <w:vAlign w:val="center"/>
          </w:tcPr>
          <w:p w14:paraId="000327D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3</w:t>
            </w:r>
          </w:p>
        </w:tc>
        <w:tc>
          <w:tcPr>
            <w:tcW w:w="1580" w:type="dxa"/>
            <w:noWrap w:val="0"/>
            <w:vAlign w:val="center"/>
          </w:tcPr>
          <w:p w14:paraId="6FE74D25">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突击性、指令性任务完成情况</w:t>
            </w:r>
          </w:p>
        </w:tc>
        <w:tc>
          <w:tcPr>
            <w:tcW w:w="5838" w:type="dxa"/>
            <w:gridSpan w:val="2"/>
            <w:noWrap w:val="0"/>
            <w:vAlign w:val="center"/>
          </w:tcPr>
          <w:p w14:paraId="37B9987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没有执行，一项扣4分；执行不及时，一项扣3分；完成质量不符合要求，视情扣0.5-2分；完成质量优异受到上级领导表扬，视情加2-4分。</w:t>
            </w:r>
          </w:p>
        </w:tc>
        <w:tc>
          <w:tcPr>
            <w:tcW w:w="855" w:type="dxa"/>
            <w:noWrap w:val="0"/>
            <w:vAlign w:val="center"/>
          </w:tcPr>
          <w:p w14:paraId="6E48B9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76FF70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8DDD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0" w:type="dxa"/>
            <w:noWrap w:val="0"/>
            <w:vAlign w:val="center"/>
          </w:tcPr>
          <w:p w14:paraId="2071916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1580" w:type="dxa"/>
            <w:noWrap w:val="0"/>
            <w:vAlign w:val="center"/>
          </w:tcPr>
          <w:p w14:paraId="2D2F3139">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参加会议</w:t>
            </w:r>
          </w:p>
        </w:tc>
        <w:tc>
          <w:tcPr>
            <w:tcW w:w="5838" w:type="dxa"/>
            <w:gridSpan w:val="2"/>
            <w:noWrap w:val="0"/>
            <w:vAlign w:val="center"/>
          </w:tcPr>
          <w:p w14:paraId="01F65F4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没有参加（含迟到早退），一次扣1分</w:t>
            </w:r>
          </w:p>
        </w:tc>
        <w:tc>
          <w:tcPr>
            <w:tcW w:w="855" w:type="dxa"/>
            <w:noWrap w:val="0"/>
            <w:vAlign w:val="center"/>
          </w:tcPr>
          <w:p w14:paraId="377050E9">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795" w:type="dxa"/>
            <w:noWrap/>
            <w:vAlign w:val="center"/>
          </w:tcPr>
          <w:p w14:paraId="5DEEDC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4BA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20" w:type="dxa"/>
            <w:noWrap w:val="0"/>
            <w:vAlign w:val="center"/>
          </w:tcPr>
          <w:p w14:paraId="6A52F43C">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5</w:t>
            </w:r>
          </w:p>
        </w:tc>
        <w:tc>
          <w:tcPr>
            <w:tcW w:w="1580" w:type="dxa"/>
            <w:noWrap w:val="0"/>
            <w:vAlign w:val="center"/>
          </w:tcPr>
          <w:p w14:paraId="787C2B28">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巡视报告制度落实情况</w:t>
            </w:r>
          </w:p>
        </w:tc>
        <w:tc>
          <w:tcPr>
            <w:tcW w:w="5838" w:type="dxa"/>
            <w:gridSpan w:val="2"/>
            <w:noWrap w:val="0"/>
            <w:vAlign w:val="center"/>
          </w:tcPr>
          <w:p w14:paraId="4442352F">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无巡视记录或记录不规范，一次扣1-2分；未按要求巡视，或发现绿化设施损坏未及时处理，或处理不当，或未及时上报，一次视情扣0.5-2分。</w:t>
            </w:r>
          </w:p>
        </w:tc>
        <w:tc>
          <w:tcPr>
            <w:tcW w:w="855" w:type="dxa"/>
            <w:noWrap w:val="0"/>
            <w:vAlign w:val="center"/>
          </w:tcPr>
          <w:p w14:paraId="67FD818D">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22A6F30A">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E65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0" w:type="dxa"/>
            <w:noWrap w:val="0"/>
            <w:vAlign w:val="center"/>
          </w:tcPr>
          <w:p w14:paraId="10E05BA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1580" w:type="dxa"/>
            <w:noWrap w:val="0"/>
            <w:vAlign w:val="center"/>
          </w:tcPr>
          <w:p w14:paraId="0DED089C">
            <w:pPr>
              <w:widowControl/>
              <w:ind w:left="-46" w:leftChars="-22" w:right="-107" w:rightChars="-51"/>
              <w:jc w:val="center"/>
              <w:rPr>
                <w:rFonts w:ascii="宋体" w:hAnsi="宋体" w:cs="宋体"/>
                <w:color w:val="auto"/>
                <w:kern w:val="0"/>
                <w:sz w:val="22"/>
                <w:szCs w:val="22"/>
                <w:highlight w:val="none"/>
              </w:rPr>
            </w:pPr>
            <w:r>
              <w:rPr>
                <w:rFonts w:hint="eastAsia" w:ascii="宋体" w:hAnsi="宋体" w:eastAsia="宋体" w:cs="宋体"/>
                <w:color w:val="auto"/>
                <w:kern w:val="0"/>
                <w:sz w:val="22"/>
                <w:szCs w:val="22"/>
                <w:highlight w:val="none"/>
                <w:lang w:eastAsia="zh-CN"/>
              </w:rPr>
              <w:t>台账资料</w:t>
            </w:r>
          </w:p>
        </w:tc>
        <w:tc>
          <w:tcPr>
            <w:tcW w:w="5838" w:type="dxa"/>
            <w:gridSpan w:val="2"/>
            <w:noWrap w:val="0"/>
            <w:vAlign w:val="center"/>
          </w:tcPr>
          <w:p w14:paraId="2204F9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资料不全，缺一项扣1分；养护日志缺一天扣0.25分；内容不实、整理装订不规范视情扣0.5-2分。</w:t>
            </w:r>
          </w:p>
        </w:tc>
        <w:tc>
          <w:tcPr>
            <w:tcW w:w="855" w:type="dxa"/>
            <w:noWrap w:val="0"/>
            <w:vAlign w:val="center"/>
          </w:tcPr>
          <w:p w14:paraId="2B17ACD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795" w:type="dxa"/>
            <w:noWrap/>
            <w:vAlign w:val="center"/>
          </w:tcPr>
          <w:p w14:paraId="13C32AA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5486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20" w:type="dxa"/>
            <w:noWrap w:val="0"/>
            <w:vAlign w:val="center"/>
          </w:tcPr>
          <w:p w14:paraId="1CBC36C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w:t>
            </w:r>
          </w:p>
        </w:tc>
        <w:tc>
          <w:tcPr>
            <w:tcW w:w="1580" w:type="dxa"/>
            <w:noWrap w:val="0"/>
            <w:vAlign w:val="center"/>
          </w:tcPr>
          <w:p w14:paraId="53812D84">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上级领导批评、市民投诉和媒体曝光</w:t>
            </w:r>
          </w:p>
        </w:tc>
        <w:tc>
          <w:tcPr>
            <w:tcW w:w="5838" w:type="dxa"/>
            <w:gridSpan w:val="2"/>
            <w:noWrap w:val="0"/>
            <w:vAlign w:val="center"/>
          </w:tcPr>
          <w:p w14:paraId="4B9BE68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被上级领导批评、市民投诉、新闻媒体曝光属养护单位责任的一次扣4分，在养护标段内但非养护单位责任且已及时上报的不扣分、未及时上报的一次扣1分。</w:t>
            </w:r>
          </w:p>
        </w:tc>
        <w:tc>
          <w:tcPr>
            <w:tcW w:w="855" w:type="dxa"/>
            <w:noWrap w:val="0"/>
            <w:vAlign w:val="center"/>
          </w:tcPr>
          <w:p w14:paraId="2D6C3E1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4</w:t>
            </w:r>
          </w:p>
        </w:tc>
        <w:tc>
          <w:tcPr>
            <w:tcW w:w="795" w:type="dxa"/>
            <w:noWrap/>
            <w:vAlign w:val="center"/>
          </w:tcPr>
          <w:p w14:paraId="0687980D">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001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noWrap w:val="0"/>
            <w:vAlign w:val="center"/>
          </w:tcPr>
          <w:p w14:paraId="167E6AA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8</w:t>
            </w:r>
          </w:p>
        </w:tc>
        <w:tc>
          <w:tcPr>
            <w:tcW w:w="1580" w:type="dxa"/>
            <w:noWrap w:val="0"/>
            <w:vAlign w:val="center"/>
          </w:tcPr>
          <w:p w14:paraId="3FE3F5BD">
            <w:pPr>
              <w:widowControl/>
              <w:ind w:left="-46" w:leftChars="-22" w:right="-107" w:rightChars="-51"/>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整改措施落实情况</w:t>
            </w:r>
          </w:p>
        </w:tc>
        <w:tc>
          <w:tcPr>
            <w:tcW w:w="5838" w:type="dxa"/>
            <w:gridSpan w:val="2"/>
            <w:noWrap w:val="0"/>
            <w:vAlign w:val="center"/>
          </w:tcPr>
          <w:p w14:paraId="5454FF55">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规定时间内未整改，扣3倍原扣分值；整改不及时扣2倍原扣分值分；整改后仍不符合要求，视情扣1-2倍原扣分值。</w:t>
            </w:r>
          </w:p>
        </w:tc>
        <w:tc>
          <w:tcPr>
            <w:tcW w:w="855" w:type="dxa"/>
            <w:noWrap w:val="0"/>
            <w:vAlign w:val="center"/>
          </w:tcPr>
          <w:p w14:paraId="50449230">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6</w:t>
            </w:r>
          </w:p>
        </w:tc>
        <w:tc>
          <w:tcPr>
            <w:tcW w:w="795" w:type="dxa"/>
            <w:noWrap/>
            <w:vAlign w:val="center"/>
          </w:tcPr>
          <w:p w14:paraId="4189646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649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720" w:type="dxa"/>
            <w:vMerge w:val="restart"/>
            <w:noWrap w:val="0"/>
            <w:vAlign w:val="center"/>
          </w:tcPr>
          <w:p w14:paraId="6EC884E2">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9</w:t>
            </w:r>
          </w:p>
        </w:tc>
        <w:tc>
          <w:tcPr>
            <w:tcW w:w="1580" w:type="dxa"/>
            <w:vMerge w:val="restart"/>
            <w:noWrap w:val="0"/>
            <w:vAlign w:val="center"/>
          </w:tcPr>
          <w:p w14:paraId="6CBF2357">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lang w:val="en-US" w:eastAsia="zh-CN"/>
              </w:rPr>
              <w:t>管养</w:t>
            </w:r>
            <w:r>
              <w:rPr>
                <w:rFonts w:hint="eastAsia" w:ascii="宋体" w:hAnsi="宋体" w:cs="宋体"/>
                <w:color w:val="auto"/>
                <w:kern w:val="0"/>
                <w:sz w:val="22"/>
                <w:szCs w:val="22"/>
                <w:highlight w:val="none"/>
              </w:rPr>
              <w:t>质量执行情况</w:t>
            </w:r>
          </w:p>
        </w:tc>
        <w:tc>
          <w:tcPr>
            <w:tcW w:w="1174" w:type="dxa"/>
            <w:noWrap w:val="0"/>
            <w:vAlign w:val="center"/>
          </w:tcPr>
          <w:p w14:paraId="7564580F">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树木</w:t>
            </w:r>
          </w:p>
        </w:tc>
        <w:tc>
          <w:tcPr>
            <w:tcW w:w="4664" w:type="dxa"/>
            <w:noWrap w:val="0"/>
            <w:vAlign w:val="center"/>
          </w:tcPr>
          <w:p w14:paraId="66DEC81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2"/>
                <w:szCs w:val="22"/>
                <w:highlight w:val="none"/>
                <w:lang w:eastAsia="zh-CN"/>
              </w:rPr>
              <w:t>符合</w:t>
            </w:r>
            <w:r>
              <w:rPr>
                <w:rFonts w:hint="eastAsia" w:ascii="宋体" w:hAnsi="宋体" w:cs="宋体"/>
                <w:color w:val="auto"/>
                <w:kern w:val="0"/>
                <w:sz w:val="22"/>
                <w:szCs w:val="22"/>
                <w:highlight w:val="none"/>
              </w:rPr>
              <w:t>要求，每株扣0.5分；3.缺株在2％以下（含），不得有连续2株缺株，补植树木与原树木径级基本一致，不符合要求每株扣0.5-1分；4.枝干上牵绳挂物、树穴内有垃圾杂草、切边整修不及时，一处扣0.25分。</w:t>
            </w:r>
          </w:p>
        </w:tc>
        <w:tc>
          <w:tcPr>
            <w:tcW w:w="855" w:type="dxa"/>
            <w:vMerge w:val="restart"/>
            <w:noWrap w:val="0"/>
            <w:vAlign w:val="center"/>
          </w:tcPr>
          <w:p w14:paraId="4C757AEE">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75</w:t>
            </w:r>
          </w:p>
        </w:tc>
        <w:tc>
          <w:tcPr>
            <w:tcW w:w="795" w:type="dxa"/>
            <w:noWrap/>
            <w:vAlign w:val="center"/>
          </w:tcPr>
          <w:p w14:paraId="301C3F8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473E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20" w:type="dxa"/>
            <w:vMerge w:val="continue"/>
            <w:noWrap w:val="0"/>
            <w:vAlign w:val="center"/>
          </w:tcPr>
          <w:p w14:paraId="5D951212">
            <w:pPr>
              <w:widowControl/>
              <w:jc w:val="left"/>
              <w:rPr>
                <w:rFonts w:ascii="宋体" w:hAnsi="宋体" w:cs="宋体"/>
                <w:color w:val="auto"/>
                <w:kern w:val="0"/>
                <w:sz w:val="22"/>
                <w:szCs w:val="22"/>
                <w:highlight w:val="none"/>
              </w:rPr>
            </w:pPr>
          </w:p>
        </w:tc>
        <w:tc>
          <w:tcPr>
            <w:tcW w:w="1580" w:type="dxa"/>
            <w:vMerge w:val="continue"/>
            <w:noWrap w:val="0"/>
            <w:vAlign w:val="center"/>
          </w:tcPr>
          <w:p w14:paraId="5C7C4D8A">
            <w:pPr>
              <w:widowControl/>
              <w:jc w:val="center"/>
              <w:rPr>
                <w:rFonts w:hint="eastAsia" w:ascii="宋体" w:hAnsi="宋体" w:cs="宋体"/>
                <w:color w:val="auto"/>
                <w:kern w:val="0"/>
                <w:sz w:val="22"/>
                <w:szCs w:val="22"/>
                <w:highlight w:val="none"/>
              </w:rPr>
            </w:pPr>
          </w:p>
        </w:tc>
        <w:tc>
          <w:tcPr>
            <w:tcW w:w="1174" w:type="dxa"/>
            <w:noWrap w:val="0"/>
            <w:vAlign w:val="center"/>
          </w:tcPr>
          <w:p w14:paraId="0641564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草坪</w:t>
            </w:r>
          </w:p>
        </w:tc>
        <w:tc>
          <w:tcPr>
            <w:tcW w:w="4664" w:type="dxa"/>
            <w:noWrap w:val="0"/>
            <w:vAlign w:val="center"/>
          </w:tcPr>
          <w:p w14:paraId="54BA59E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855" w:type="dxa"/>
            <w:vMerge w:val="continue"/>
            <w:noWrap w:val="0"/>
            <w:vAlign w:val="center"/>
          </w:tcPr>
          <w:p w14:paraId="6C02F7FC">
            <w:pPr>
              <w:widowControl/>
              <w:jc w:val="left"/>
              <w:rPr>
                <w:rFonts w:ascii="宋体" w:hAnsi="宋体" w:cs="宋体"/>
                <w:color w:val="auto"/>
                <w:kern w:val="0"/>
                <w:sz w:val="22"/>
                <w:szCs w:val="22"/>
                <w:highlight w:val="none"/>
              </w:rPr>
            </w:pPr>
          </w:p>
        </w:tc>
        <w:tc>
          <w:tcPr>
            <w:tcW w:w="795" w:type="dxa"/>
            <w:noWrap/>
            <w:vAlign w:val="center"/>
          </w:tcPr>
          <w:p w14:paraId="52350BD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FEB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720" w:type="dxa"/>
            <w:vMerge w:val="continue"/>
            <w:noWrap w:val="0"/>
            <w:vAlign w:val="center"/>
          </w:tcPr>
          <w:p w14:paraId="3A88C92B">
            <w:pPr>
              <w:widowControl/>
              <w:jc w:val="left"/>
              <w:rPr>
                <w:rFonts w:ascii="宋体" w:hAnsi="宋体" w:cs="宋体"/>
                <w:color w:val="auto"/>
                <w:kern w:val="0"/>
                <w:sz w:val="22"/>
                <w:szCs w:val="22"/>
                <w:highlight w:val="none"/>
              </w:rPr>
            </w:pPr>
          </w:p>
        </w:tc>
        <w:tc>
          <w:tcPr>
            <w:tcW w:w="1580" w:type="dxa"/>
            <w:vMerge w:val="continue"/>
            <w:noWrap w:val="0"/>
            <w:vAlign w:val="center"/>
          </w:tcPr>
          <w:p w14:paraId="57E5FA4B">
            <w:pPr>
              <w:widowControl/>
              <w:jc w:val="center"/>
              <w:rPr>
                <w:rFonts w:hint="eastAsia" w:ascii="宋体" w:hAnsi="宋体" w:cs="宋体"/>
                <w:color w:val="auto"/>
                <w:kern w:val="0"/>
                <w:sz w:val="22"/>
                <w:szCs w:val="22"/>
                <w:highlight w:val="none"/>
              </w:rPr>
            </w:pPr>
          </w:p>
        </w:tc>
        <w:tc>
          <w:tcPr>
            <w:tcW w:w="1174" w:type="dxa"/>
            <w:noWrap w:val="0"/>
            <w:vAlign w:val="center"/>
          </w:tcPr>
          <w:p w14:paraId="46C6656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花卉</w:t>
            </w:r>
          </w:p>
        </w:tc>
        <w:tc>
          <w:tcPr>
            <w:tcW w:w="4664" w:type="dxa"/>
            <w:noWrap w:val="0"/>
            <w:vAlign w:val="center"/>
          </w:tcPr>
          <w:p w14:paraId="0C158C3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-2分。</w:t>
            </w:r>
          </w:p>
        </w:tc>
        <w:tc>
          <w:tcPr>
            <w:tcW w:w="855" w:type="dxa"/>
            <w:vMerge w:val="continue"/>
            <w:noWrap w:val="0"/>
            <w:vAlign w:val="center"/>
          </w:tcPr>
          <w:p w14:paraId="04E1F9D2">
            <w:pPr>
              <w:widowControl/>
              <w:jc w:val="left"/>
              <w:rPr>
                <w:rFonts w:ascii="宋体" w:hAnsi="宋体" w:cs="宋体"/>
                <w:color w:val="auto"/>
                <w:kern w:val="0"/>
                <w:sz w:val="22"/>
                <w:szCs w:val="22"/>
                <w:highlight w:val="none"/>
              </w:rPr>
            </w:pPr>
          </w:p>
        </w:tc>
        <w:tc>
          <w:tcPr>
            <w:tcW w:w="795" w:type="dxa"/>
            <w:noWrap/>
            <w:vAlign w:val="center"/>
          </w:tcPr>
          <w:p w14:paraId="02679545">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545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20" w:type="dxa"/>
            <w:vMerge w:val="continue"/>
            <w:noWrap w:val="0"/>
            <w:vAlign w:val="center"/>
          </w:tcPr>
          <w:p w14:paraId="3D9767CE">
            <w:pPr>
              <w:widowControl/>
              <w:jc w:val="left"/>
              <w:rPr>
                <w:rFonts w:ascii="宋体" w:hAnsi="宋体" w:cs="宋体"/>
                <w:color w:val="auto"/>
                <w:kern w:val="0"/>
                <w:sz w:val="22"/>
                <w:szCs w:val="22"/>
                <w:highlight w:val="none"/>
              </w:rPr>
            </w:pPr>
          </w:p>
        </w:tc>
        <w:tc>
          <w:tcPr>
            <w:tcW w:w="1580" w:type="dxa"/>
            <w:vMerge w:val="continue"/>
            <w:noWrap w:val="0"/>
            <w:vAlign w:val="center"/>
          </w:tcPr>
          <w:p w14:paraId="1E7EA868">
            <w:pPr>
              <w:widowControl/>
              <w:jc w:val="center"/>
              <w:rPr>
                <w:rFonts w:hint="eastAsia" w:ascii="宋体" w:hAnsi="宋体" w:cs="宋体"/>
                <w:color w:val="auto"/>
                <w:kern w:val="0"/>
                <w:sz w:val="22"/>
                <w:szCs w:val="22"/>
                <w:highlight w:val="none"/>
              </w:rPr>
            </w:pPr>
          </w:p>
        </w:tc>
        <w:tc>
          <w:tcPr>
            <w:tcW w:w="1174" w:type="dxa"/>
            <w:noWrap w:val="0"/>
            <w:vAlign w:val="center"/>
          </w:tcPr>
          <w:p w14:paraId="62E84611">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藤本、绿篱及地被</w:t>
            </w:r>
          </w:p>
        </w:tc>
        <w:tc>
          <w:tcPr>
            <w:tcW w:w="4664" w:type="dxa"/>
            <w:noWrap w:val="0"/>
            <w:vAlign w:val="center"/>
          </w:tcPr>
          <w:p w14:paraId="0AB4F481">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1.生长不正常，一处扣1－3分；2.有枯枝、断枝，一处扣0.5分；3.修剪不及时，一次扣2－5分，修剪不成型、不完整，一次扣1－3分；4.有垃圾杂物，一处扣0.5－2分。</w:t>
            </w:r>
          </w:p>
        </w:tc>
        <w:tc>
          <w:tcPr>
            <w:tcW w:w="855" w:type="dxa"/>
            <w:vMerge w:val="continue"/>
            <w:noWrap w:val="0"/>
            <w:vAlign w:val="center"/>
          </w:tcPr>
          <w:p w14:paraId="35A3A52A">
            <w:pPr>
              <w:widowControl/>
              <w:jc w:val="left"/>
              <w:rPr>
                <w:rFonts w:ascii="宋体" w:hAnsi="宋体" w:cs="宋体"/>
                <w:color w:val="auto"/>
                <w:kern w:val="0"/>
                <w:sz w:val="22"/>
                <w:szCs w:val="22"/>
                <w:highlight w:val="none"/>
              </w:rPr>
            </w:pPr>
          </w:p>
        </w:tc>
        <w:tc>
          <w:tcPr>
            <w:tcW w:w="795" w:type="dxa"/>
            <w:noWrap/>
            <w:vAlign w:val="center"/>
          </w:tcPr>
          <w:p w14:paraId="63AD2A9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D3DD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20" w:type="dxa"/>
            <w:vMerge w:val="continue"/>
            <w:noWrap w:val="0"/>
            <w:vAlign w:val="center"/>
          </w:tcPr>
          <w:p w14:paraId="4402036A">
            <w:pPr>
              <w:widowControl/>
              <w:jc w:val="left"/>
              <w:rPr>
                <w:rFonts w:ascii="宋体" w:hAnsi="宋体" w:cs="宋体"/>
                <w:color w:val="auto"/>
                <w:kern w:val="0"/>
                <w:sz w:val="22"/>
                <w:szCs w:val="22"/>
                <w:highlight w:val="none"/>
              </w:rPr>
            </w:pPr>
          </w:p>
        </w:tc>
        <w:tc>
          <w:tcPr>
            <w:tcW w:w="1580" w:type="dxa"/>
            <w:vMerge w:val="continue"/>
            <w:noWrap w:val="0"/>
            <w:vAlign w:val="center"/>
          </w:tcPr>
          <w:p w14:paraId="78E70977">
            <w:pPr>
              <w:widowControl/>
              <w:jc w:val="center"/>
              <w:rPr>
                <w:rFonts w:hint="eastAsia" w:ascii="宋体" w:hAnsi="宋体" w:cs="宋体"/>
                <w:color w:val="auto"/>
                <w:kern w:val="0"/>
                <w:sz w:val="22"/>
                <w:szCs w:val="22"/>
                <w:highlight w:val="none"/>
              </w:rPr>
            </w:pPr>
          </w:p>
        </w:tc>
        <w:tc>
          <w:tcPr>
            <w:tcW w:w="1174" w:type="dxa"/>
            <w:noWrap w:val="0"/>
            <w:vAlign w:val="center"/>
          </w:tcPr>
          <w:p w14:paraId="427A2F07">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施肥、浇水、打药</w:t>
            </w:r>
          </w:p>
        </w:tc>
        <w:tc>
          <w:tcPr>
            <w:tcW w:w="4664" w:type="dxa"/>
            <w:noWrap w:val="0"/>
            <w:vAlign w:val="center"/>
          </w:tcPr>
          <w:p w14:paraId="27920149">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1.未按要求操作，一次扣1－3分，工作不及时，一次扣0.5-1分；3.造成路面污染，一处扣0.5－2分。</w:t>
            </w:r>
          </w:p>
        </w:tc>
        <w:tc>
          <w:tcPr>
            <w:tcW w:w="855" w:type="dxa"/>
            <w:vMerge w:val="continue"/>
            <w:noWrap w:val="0"/>
            <w:vAlign w:val="center"/>
          </w:tcPr>
          <w:p w14:paraId="36AEC4EA">
            <w:pPr>
              <w:widowControl/>
              <w:jc w:val="left"/>
              <w:rPr>
                <w:rFonts w:ascii="宋体" w:hAnsi="宋体" w:cs="宋体"/>
                <w:color w:val="auto"/>
                <w:kern w:val="0"/>
                <w:sz w:val="22"/>
                <w:szCs w:val="22"/>
                <w:highlight w:val="none"/>
              </w:rPr>
            </w:pPr>
          </w:p>
        </w:tc>
        <w:tc>
          <w:tcPr>
            <w:tcW w:w="795" w:type="dxa"/>
            <w:noWrap/>
            <w:vAlign w:val="center"/>
          </w:tcPr>
          <w:p w14:paraId="518A408A">
            <w:pPr>
              <w:widowControl/>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2676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20" w:type="dxa"/>
            <w:vMerge w:val="continue"/>
            <w:noWrap w:val="0"/>
            <w:vAlign w:val="center"/>
          </w:tcPr>
          <w:p w14:paraId="160965C6">
            <w:pPr>
              <w:widowControl/>
              <w:jc w:val="left"/>
              <w:rPr>
                <w:rFonts w:ascii="宋体" w:hAnsi="宋体" w:cs="宋体"/>
                <w:color w:val="auto"/>
                <w:kern w:val="0"/>
                <w:sz w:val="22"/>
                <w:szCs w:val="22"/>
                <w:highlight w:val="none"/>
              </w:rPr>
            </w:pPr>
          </w:p>
        </w:tc>
        <w:tc>
          <w:tcPr>
            <w:tcW w:w="1580" w:type="dxa"/>
            <w:vMerge w:val="continue"/>
            <w:noWrap w:val="0"/>
            <w:vAlign w:val="center"/>
          </w:tcPr>
          <w:p w14:paraId="1EFD45EC">
            <w:pPr>
              <w:widowControl/>
              <w:jc w:val="center"/>
              <w:rPr>
                <w:rFonts w:hint="eastAsia" w:ascii="宋体" w:hAnsi="宋体" w:cs="宋体"/>
                <w:color w:val="auto"/>
                <w:kern w:val="0"/>
                <w:sz w:val="22"/>
                <w:szCs w:val="22"/>
                <w:highlight w:val="none"/>
              </w:rPr>
            </w:pPr>
          </w:p>
        </w:tc>
        <w:tc>
          <w:tcPr>
            <w:tcW w:w="1174" w:type="dxa"/>
            <w:vMerge w:val="restart"/>
            <w:noWrap w:val="0"/>
            <w:vAlign w:val="center"/>
          </w:tcPr>
          <w:p w14:paraId="389E094E">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cs="宋体"/>
                <w:color w:val="auto"/>
                <w:kern w:val="0"/>
                <w:sz w:val="22"/>
                <w:szCs w:val="22"/>
                <w:highlight w:val="none"/>
                <w:lang w:val="en-US" w:eastAsia="zh-CN"/>
              </w:rPr>
              <w:t>路面清扫</w:t>
            </w:r>
          </w:p>
        </w:tc>
        <w:tc>
          <w:tcPr>
            <w:tcW w:w="4664" w:type="dxa"/>
            <w:noWrap w:val="0"/>
            <w:vAlign w:val="center"/>
          </w:tcPr>
          <w:p w14:paraId="79AF2B45">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路面清扫不丢扫、不漏扫，垃圾归堆不漏收，路面无堆积垃圾，不符合要求扣1－2分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38A5C965">
            <w:pPr>
              <w:widowControl/>
              <w:jc w:val="left"/>
              <w:rPr>
                <w:rFonts w:ascii="宋体" w:hAnsi="宋体" w:cs="宋体"/>
                <w:color w:val="auto"/>
                <w:kern w:val="0"/>
                <w:sz w:val="22"/>
                <w:szCs w:val="22"/>
                <w:highlight w:val="none"/>
              </w:rPr>
            </w:pPr>
          </w:p>
        </w:tc>
        <w:tc>
          <w:tcPr>
            <w:tcW w:w="795" w:type="dxa"/>
            <w:noWrap/>
            <w:vAlign w:val="center"/>
          </w:tcPr>
          <w:p w14:paraId="39462CC3">
            <w:pPr>
              <w:widowControl/>
              <w:jc w:val="center"/>
              <w:rPr>
                <w:rFonts w:hint="eastAsia" w:ascii="宋体" w:hAnsi="宋体" w:cs="宋体"/>
                <w:color w:val="auto"/>
                <w:kern w:val="0"/>
                <w:sz w:val="22"/>
                <w:szCs w:val="22"/>
                <w:highlight w:val="none"/>
              </w:rPr>
            </w:pPr>
          </w:p>
        </w:tc>
      </w:tr>
      <w:tr w14:paraId="027A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0" w:type="dxa"/>
            <w:vMerge w:val="continue"/>
            <w:noWrap w:val="0"/>
            <w:vAlign w:val="center"/>
          </w:tcPr>
          <w:p w14:paraId="58D409CF">
            <w:pPr>
              <w:widowControl/>
              <w:jc w:val="left"/>
              <w:rPr>
                <w:rFonts w:ascii="宋体" w:hAnsi="宋体" w:cs="宋体"/>
                <w:color w:val="auto"/>
                <w:kern w:val="0"/>
                <w:sz w:val="22"/>
                <w:szCs w:val="22"/>
                <w:highlight w:val="none"/>
              </w:rPr>
            </w:pPr>
          </w:p>
        </w:tc>
        <w:tc>
          <w:tcPr>
            <w:tcW w:w="1580" w:type="dxa"/>
            <w:vMerge w:val="continue"/>
            <w:noWrap w:val="0"/>
            <w:vAlign w:val="center"/>
          </w:tcPr>
          <w:p w14:paraId="34A666A0">
            <w:pPr>
              <w:widowControl/>
              <w:jc w:val="center"/>
              <w:rPr>
                <w:rFonts w:hint="eastAsia" w:ascii="宋体" w:hAnsi="宋体" w:cs="宋体"/>
                <w:color w:val="auto"/>
                <w:kern w:val="0"/>
                <w:sz w:val="22"/>
                <w:szCs w:val="22"/>
                <w:highlight w:val="none"/>
              </w:rPr>
            </w:pPr>
          </w:p>
        </w:tc>
        <w:tc>
          <w:tcPr>
            <w:tcW w:w="1174" w:type="dxa"/>
            <w:vMerge w:val="continue"/>
            <w:noWrap w:val="0"/>
            <w:vAlign w:val="center"/>
          </w:tcPr>
          <w:p w14:paraId="267B5EDD">
            <w:pPr>
              <w:widowControl/>
              <w:jc w:val="center"/>
              <w:rPr>
                <w:rFonts w:hint="eastAsia" w:ascii="宋体" w:hAnsi="宋体" w:cs="宋体"/>
                <w:color w:val="auto"/>
                <w:kern w:val="0"/>
                <w:sz w:val="22"/>
                <w:szCs w:val="22"/>
                <w:highlight w:val="none"/>
                <w:lang w:val="en-US" w:eastAsia="zh-CN"/>
              </w:rPr>
            </w:pPr>
          </w:p>
        </w:tc>
        <w:tc>
          <w:tcPr>
            <w:tcW w:w="4664" w:type="dxa"/>
            <w:noWrap w:val="0"/>
            <w:vAlign w:val="center"/>
          </w:tcPr>
          <w:p w14:paraId="7BB2885D">
            <w:pPr>
              <w:widowControl/>
              <w:jc w:val="left"/>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rPr>
              <w:t>硬地或路面上的垃圾、枯枝树叶不得向草坪、绿化带、雨水口内扫</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rPr>
              <w:t>不符合要求扣1－2分</w:t>
            </w:r>
            <w:r>
              <w:rPr>
                <w:rFonts w:hint="eastAsia" w:ascii="宋体" w:hAnsi="宋体" w:cs="宋体"/>
                <w:color w:val="auto"/>
                <w:kern w:val="0"/>
                <w:sz w:val="22"/>
                <w:szCs w:val="22"/>
                <w:highlight w:val="none"/>
                <w:lang w:eastAsia="zh-CN"/>
              </w:rPr>
              <w:t>。</w:t>
            </w:r>
          </w:p>
        </w:tc>
        <w:tc>
          <w:tcPr>
            <w:tcW w:w="855" w:type="dxa"/>
            <w:vMerge w:val="continue"/>
            <w:noWrap w:val="0"/>
            <w:vAlign w:val="center"/>
          </w:tcPr>
          <w:p w14:paraId="79661FA2">
            <w:pPr>
              <w:widowControl/>
              <w:jc w:val="left"/>
              <w:rPr>
                <w:rFonts w:ascii="宋体" w:hAnsi="宋体" w:cs="宋体"/>
                <w:color w:val="auto"/>
                <w:kern w:val="0"/>
                <w:sz w:val="22"/>
                <w:szCs w:val="22"/>
                <w:highlight w:val="none"/>
              </w:rPr>
            </w:pPr>
          </w:p>
        </w:tc>
        <w:tc>
          <w:tcPr>
            <w:tcW w:w="795" w:type="dxa"/>
            <w:noWrap/>
            <w:vAlign w:val="center"/>
          </w:tcPr>
          <w:p w14:paraId="3F590733">
            <w:pPr>
              <w:widowControl/>
              <w:jc w:val="center"/>
              <w:rPr>
                <w:rFonts w:hint="eastAsia" w:ascii="宋体" w:hAnsi="宋体" w:cs="宋体"/>
                <w:color w:val="auto"/>
                <w:kern w:val="0"/>
                <w:sz w:val="22"/>
                <w:szCs w:val="22"/>
                <w:highlight w:val="none"/>
              </w:rPr>
            </w:pPr>
          </w:p>
        </w:tc>
      </w:tr>
      <w:tr w14:paraId="5A5E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2300" w:type="dxa"/>
            <w:gridSpan w:val="2"/>
            <w:noWrap w:val="0"/>
            <w:vAlign w:val="center"/>
          </w:tcPr>
          <w:p w14:paraId="7CA4D5C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总分</w:t>
            </w:r>
          </w:p>
        </w:tc>
        <w:tc>
          <w:tcPr>
            <w:tcW w:w="1174" w:type="dxa"/>
            <w:noWrap w:val="0"/>
            <w:vAlign w:val="center"/>
          </w:tcPr>
          <w:p w14:paraId="7805808B">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4664" w:type="dxa"/>
            <w:noWrap w:val="0"/>
            <w:vAlign w:val="center"/>
          </w:tcPr>
          <w:p w14:paraId="4E80A1E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c>
          <w:tcPr>
            <w:tcW w:w="855" w:type="dxa"/>
            <w:noWrap w:val="0"/>
            <w:vAlign w:val="center"/>
          </w:tcPr>
          <w:p w14:paraId="371EFFA8">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100</w:t>
            </w:r>
          </w:p>
        </w:tc>
        <w:tc>
          <w:tcPr>
            <w:tcW w:w="795" w:type="dxa"/>
            <w:noWrap/>
            <w:vAlign w:val="center"/>
          </w:tcPr>
          <w:p w14:paraId="0E96468C">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bl>
    <w:p w14:paraId="44E6D39D">
      <w:pPr>
        <w:widowControl w:val="0"/>
        <w:ind w:firstLine="480" w:firstLineChars="200"/>
        <w:jc w:val="both"/>
        <w:rPr>
          <w:rFonts w:hint="eastAsia" w:ascii="宋体" w:hAnsi="宋体" w:eastAsia="宋体" w:cs="宋体"/>
          <w:bCs/>
          <w:color w:val="auto"/>
          <w:kern w:val="0"/>
          <w:sz w:val="24"/>
          <w:szCs w:val="24"/>
          <w:highlight w:val="none"/>
          <w:lang w:val="en-US" w:eastAsia="zh-CN" w:bidi="ar-SA"/>
        </w:rPr>
      </w:pPr>
    </w:p>
    <w:p w14:paraId="0FD13B4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3B1828F1">
      <w:pPr>
        <w:widowControl w:val="0"/>
        <w:spacing w:line="360" w:lineRule="auto"/>
        <w:ind w:firstLine="480" w:firstLineChars="200"/>
        <w:jc w:val="both"/>
        <w:rPr>
          <w:rFonts w:hint="eastAsia" w:ascii="宋体" w:hAnsi="宋体" w:eastAsia="宋体" w:cs="Times New Roman"/>
          <w:bCs w:val="0"/>
          <w:color w:val="auto"/>
          <w:kern w:val="2"/>
          <w:sz w:val="24"/>
          <w:szCs w:val="24"/>
          <w:highlight w:val="none"/>
          <w:lang w:val="en-US" w:eastAsia="zh-CN" w:bidi="ar-SA"/>
        </w:rPr>
      </w:pPr>
    </w:p>
    <w:p w14:paraId="5550E0ED">
      <w:pPr>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br w:type="page"/>
      </w:r>
    </w:p>
    <w:p w14:paraId="50B4CBC6">
      <w:pPr>
        <w:widowControl w:val="0"/>
        <w:spacing w:line="360" w:lineRule="auto"/>
        <w:jc w:val="both"/>
        <w:rPr>
          <w:rFonts w:hint="eastAsia" w:ascii="宋体" w:hAnsi="宋体" w:eastAsia="宋体" w:cs="Times New Roman"/>
          <w:bCs w:val="0"/>
          <w:color w:val="auto"/>
          <w:kern w:val="2"/>
          <w:sz w:val="28"/>
          <w:szCs w:val="28"/>
          <w:highlight w:val="none"/>
          <w:lang w:val="en-US" w:eastAsia="zh-CN" w:bidi="ar-SA"/>
        </w:rPr>
      </w:pPr>
      <w:r>
        <w:rPr>
          <w:rFonts w:hint="eastAsia" w:ascii="宋体" w:hAnsi="宋体" w:eastAsia="宋体" w:cs="Times New Roman"/>
          <w:bCs w:val="0"/>
          <w:color w:val="auto"/>
          <w:kern w:val="2"/>
          <w:sz w:val="28"/>
          <w:szCs w:val="28"/>
          <w:highlight w:val="none"/>
          <w:lang w:val="en-US" w:eastAsia="zh-CN" w:bidi="ar-SA"/>
        </w:rPr>
        <w:t>附件2：</w:t>
      </w:r>
    </w:p>
    <w:p w14:paraId="36D8C7F6">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t xml:space="preserve"> </w:t>
      </w:r>
    </w:p>
    <w:p w14:paraId="6D3E7DC8">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46273CE4">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整  改  通  知  书</w:t>
      </w:r>
    </w:p>
    <w:p w14:paraId="60882573">
      <w:pPr>
        <w:spacing w:line="360" w:lineRule="auto"/>
        <w:jc w:val="center"/>
        <w:rPr>
          <w:rFonts w:hint="eastAsia" w:ascii="宋体" w:hAnsi="宋体" w:eastAsia="宋体" w:cs="宋体"/>
          <w:b/>
          <w:color w:val="auto"/>
          <w:sz w:val="28"/>
          <w:szCs w:val="28"/>
          <w:highlight w:val="none"/>
        </w:rPr>
      </w:pPr>
    </w:p>
    <w:p w14:paraId="0594D2C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361DC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335C0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根据检查考核，发现你单位负责管护的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处存在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等问题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请你方于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整改到位，达到养护技术标准，并将整改情况书面报我方，以备核查。</w:t>
      </w:r>
    </w:p>
    <w:p w14:paraId="163F9E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该项问题将在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中扣分（款）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7F08AD">
      <w:pPr>
        <w:spacing w:line="360" w:lineRule="auto"/>
        <w:rPr>
          <w:rFonts w:hint="eastAsia" w:ascii="宋体" w:hAnsi="宋体" w:eastAsia="宋体" w:cs="宋体"/>
          <w:color w:val="auto"/>
          <w:sz w:val="24"/>
          <w:szCs w:val="24"/>
          <w:highlight w:val="none"/>
        </w:rPr>
      </w:pPr>
    </w:p>
    <w:p w14:paraId="7D3A702D">
      <w:pPr>
        <w:spacing w:line="360" w:lineRule="auto"/>
        <w:ind w:left="5280" w:hanging="3960" w:hangingChars="1650"/>
        <w:rPr>
          <w:rFonts w:hint="eastAsia" w:ascii="宋体" w:hAnsi="宋体" w:eastAsia="宋体" w:cs="宋体"/>
          <w:color w:val="auto"/>
          <w:sz w:val="24"/>
          <w:szCs w:val="24"/>
          <w:highlight w:val="none"/>
        </w:rPr>
      </w:pPr>
    </w:p>
    <w:p w14:paraId="4F36BE77">
      <w:pPr>
        <w:spacing w:line="360" w:lineRule="auto"/>
        <w:ind w:left="4198" w:leftChars="456" w:hanging="3240" w:hangingChars="1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乙方：（签收）             甲方：（盖章）</w:t>
      </w:r>
    </w:p>
    <w:p w14:paraId="7FAFCB2A">
      <w:pPr>
        <w:spacing w:line="360" w:lineRule="auto"/>
        <w:rPr>
          <w:rFonts w:ascii="仿宋_GB2312" w:eastAsia="仿宋_GB2312"/>
          <w:color w:val="auto"/>
          <w:sz w:val="24"/>
          <w:szCs w:val="24"/>
          <w:highlight w:val="none"/>
        </w:rPr>
      </w:pPr>
    </w:p>
    <w:p w14:paraId="02780D89">
      <w:pPr>
        <w:spacing w:line="360" w:lineRule="auto"/>
        <w:ind w:left="5280" w:hanging="3960" w:hangingChars="1650"/>
        <w:rPr>
          <w:rFonts w:ascii="仿宋_GB2312" w:eastAsia="仿宋_GB2312"/>
          <w:color w:val="auto"/>
          <w:sz w:val="24"/>
          <w:szCs w:val="24"/>
          <w:highlight w:val="none"/>
        </w:rPr>
      </w:pPr>
    </w:p>
    <w:p w14:paraId="6B51504A">
      <w:pPr>
        <w:spacing w:line="360" w:lineRule="auto"/>
        <w:ind w:left="4920" w:leftChars="1600" w:hanging="1560" w:hangingChars="650"/>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   月   日</w:t>
      </w:r>
    </w:p>
    <w:p w14:paraId="5B8E4398">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Times New Roman"/>
          <w:bCs w:val="0"/>
          <w:color w:val="auto"/>
          <w:kern w:val="2"/>
          <w:sz w:val="28"/>
          <w:szCs w:val="28"/>
          <w:highlight w:val="none"/>
          <w:lang w:val="en-US" w:eastAsia="zh-CN" w:bidi="ar-SA"/>
        </w:rPr>
        <w:t>附件3：</w:t>
      </w:r>
      <w:r>
        <w:rPr>
          <w:rFonts w:hint="eastAsia" w:ascii="仿宋_GB2312" w:eastAsia="仿宋_GB2312"/>
          <w:color w:val="auto"/>
          <w:sz w:val="32"/>
          <w:szCs w:val="28"/>
          <w:highlight w:val="none"/>
        </w:rPr>
        <w:t xml:space="preserve">      </w:t>
      </w:r>
    </w:p>
    <w:p w14:paraId="4440999B">
      <w:pPr>
        <w:spacing w:line="360" w:lineRule="auto"/>
        <w:ind w:firstLine="1928" w:firstLineChars="600"/>
        <w:rPr>
          <w:rFonts w:hint="eastAsia" w:ascii="仿宋_GB2312" w:eastAsia="仿宋_GB2312"/>
          <w:b/>
          <w:color w:val="auto"/>
          <w:sz w:val="32"/>
          <w:szCs w:val="28"/>
          <w:highlight w:val="none"/>
          <w:lang w:eastAsia="zh-CN"/>
        </w:rPr>
      </w:pPr>
    </w:p>
    <w:p w14:paraId="32CF776B">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2026年山水城公共绿地与游园日常养护</w:t>
      </w:r>
    </w:p>
    <w:p w14:paraId="3B5CBE24">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月度养护作业统计报表</w:t>
      </w:r>
    </w:p>
    <w:tbl>
      <w:tblPr>
        <w:tblStyle w:val="47"/>
        <w:tblW w:w="0" w:type="auto"/>
        <w:jc w:val="center"/>
        <w:tblLayout w:type="fixed"/>
        <w:tblCellMar>
          <w:top w:w="0" w:type="dxa"/>
          <w:left w:w="108" w:type="dxa"/>
          <w:bottom w:w="0" w:type="dxa"/>
          <w:right w:w="108" w:type="dxa"/>
        </w:tblCellMar>
      </w:tblPr>
      <w:tblGrid>
        <w:gridCol w:w="1653"/>
        <w:gridCol w:w="2487"/>
        <w:gridCol w:w="2288"/>
        <w:gridCol w:w="2237"/>
      </w:tblGrid>
      <w:tr w14:paraId="79CDB811">
        <w:tblPrEx>
          <w:tblCellMar>
            <w:top w:w="0" w:type="dxa"/>
            <w:left w:w="108" w:type="dxa"/>
            <w:bottom w:w="0" w:type="dxa"/>
            <w:right w:w="108" w:type="dxa"/>
          </w:tblCellMar>
        </w:tblPrEx>
        <w:trPr>
          <w:trHeight w:val="429" w:hRule="atLeast"/>
          <w:jc w:val="center"/>
        </w:trPr>
        <w:tc>
          <w:tcPr>
            <w:tcW w:w="8665" w:type="dxa"/>
            <w:gridSpan w:val="4"/>
            <w:noWrap w:val="0"/>
            <w:vAlign w:val="center"/>
          </w:tcPr>
          <w:p w14:paraId="6141DDE7">
            <w:pPr>
              <w:widowControl/>
              <w:spacing w:line="360" w:lineRule="auto"/>
              <w:jc w:val="center"/>
              <w:rPr>
                <w:rFonts w:hint="eastAsia" w:ascii="宋体" w:hAnsi="宋体" w:eastAsia="宋体" w:cs="宋体"/>
                <w:b w:val="0"/>
                <w:bCs w:val="0"/>
                <w:color w:val="auto"/>
                <w:kern w:val="0"/>
                <w:sz w:val="24"/>
                <w:szCs w:val="24"/>
                <w:highlight w:val="none"/>
              </w:rPr>
            </w:pPr>
          </w:p>
        </w:tc>
      </w:tr>
      <w:tr w14:paraId="599A15E6">
        <w:tblPrEx>
          <w:tblCellMar>
            <w:top w:w="0" w:type="dxa"/>
            <w:left w:w="108" w:type="dxa"/>
            <w:bottom w:w="0" w:type="dxa"/>
            <w:right w:w="108" w:type="dxa"/>
          </w:tblCellMar>
        </w:tblPrEx>
        <w:trPr>
          <w:trHeight w:val="400" w:hRule="atLeast"/>
          <w:jc w:val="center"/>
        </w:trPr>
        <w:tc>
          <w:tcPr>
            <w:tcW w:w="8665" w:type="dxa"/>
            <w:gridSpan w:val="4"/>
            <w:tcBorders>
              <w:top w:val="nil"/>
              <w:left w:val="nil"/>
              <w:bottom w:val="single" w:color="auto" w:sz="4" w:space="0"/>
              <w:right w:val="nil"/>
            </w:tcBorders>
            <w:noWrap w:val="0"/>
            <w:vAlign w:val="center"/>
          </w:tcPr>
          <w:p w14:paraId="164B3407">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养护范围：                     时间：自    月    日至     月    日止</w:t>
            </w:r>
          </w:p>
        </w:tc>
      </w:tr>
      <w:tr w14:paraId="4BDC9EA8">
        <w:tblPrEx>
          <w:tblCellMar>
            <w:top w:w="0" w:type="dxa"/>
            <w:left w:w="108" w:type="dxa"/>
            <w:bottom w:w="0" w:type="dxa"/>
            <w:right w:w="108" w:type="dxa"/>
          </w:tblCellMar>
        </w:tblPrEx>
        <w:trPr>
          <w:cantSplit/>
          <w:trHeight w:val="972" w:hRule="atLeast"/>
          <w:jc w:val="center"/>
        </w:trPr>
        <w:tc>
          <w:tcPr>
            <w:tcW w:w="1653" w:type="dxa"/>
            <w:tcBorders>
              <w:top w:val="nil"/>
              <w:left w:val="single" w:color="auto" w:sz="4" w:space="0"/>
              <w:bottom w:val="single" w:color="auto" w:sz="4" w:space="0"/>
              <w:right w:val="single" w:color="auto" w:sz="4" w:space="0"/>
            </w:tcBorders>
            <w:noWrap w:val="0"/>
            <w:vAlign w:val="center"/>
          </w:tcPr>
          <w:p w14:paraId="04163A3A">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工作内容</w:t>
            </w:r>
          </w:p>
        </w:tc>
        <w:tc>
          <w:tcPr>
            <w:tcW w:w="2487" w:type="dxa"/>
            <w:tcBorders>
              <w:top w:val="nil"/>
              <w:left w:val="nil"/>
              <w:bottom w:val="single" w:color="auto" w:sz="4" w:space="0"/>
              <w:right w:val="single" w:color="auto" w:sz="4" w:space="0"/>
            </w:tcBorders>
            <w:noWrap w:val="0"/>
            <w:vAlign w:val="center"/>
          </w:tcPr>
          <w:p w14:paraId="4BEAC8DB">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完成情况</w:t>
            </w:r>
          </w:p>
        </w:tc>
        <w:tc>
          <w:tcPr>
            <w:tcW w:w="2288" w:type="dxa"/>
            <w:tcBorders>
              <w:top w:val="single" w:color="auto" w:sz="4" w:space="0"/>
              <w:left w:val="nil"/>
              <w:bottom w:val="single" w:color="auto" w:sz="4" w:space="0"/>
              <w:right w:val="single" w:color="000000" w:sz="4" w:space="0"/>
            </w:tcBorders>
            <w:noWrap w:val="0"/>
            <w:vAlign w:val="center"/>
          </w:tcPr>
          <w:p w14:paraId="5B0B4467">
            <w:pPr>
              <w:widowControl/>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存在问题</w:t>
            </w:r>
          </w:p>
        </w:tc>
        <w:tc>
          <w:tcPr>
            <w:tcW w:w="2237" w:type="dxa"/>
            <w:tcBorders>
              <w:top w:val="nil"/>
              <w:left w:val="nil"/>
              <w:bottom w:val="single" w:color="auto" w:sz="4" w:space="0"/>
              <w:right w:val="single" w:color="auto" w:sz="4" w:space="0"/>
            </w:tcBorders>
            <w:noWrap w:val="0"/>
            <w:vAlign w:val="center"/>
          </w:tcPr>
          <w:p w14:paraId="3E8685D3">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整改措施</w:t>
            </w:r>
          </w:p>
        </w:tc>
      </w:tr>
      <w:tr w14:paraId="5C03A1D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54276C6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44E3728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7E7BD05">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0127E9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AB5F22">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80CD45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B797DDA">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5C586B">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542723E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CA9569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28B2AF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6E447B3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0B0D53">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D38A006">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4D5E787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6DF770AC">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40B90E7">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D1DE302">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250434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D886BED">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02845988">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C823E75">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8798BAD">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7127595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01C7535">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7F41F81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AABDC7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4FC15070">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2C433EA4">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C94F876">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A94DFC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0E9DD83F">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2CA2232E">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8F27C8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0FE4326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0ABDF1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776FE422">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5BC85DDA">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3B56EFA0">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1F54F5FE">
        <w:tblPrEx>
          <w:tblCellMar>
            <w:top w:w="0" w:type="dxa"/>
            <w:left w:w="108" w:type="dxa"/>
            <w:bottom w:w="0" w:type="dxa"/>
            <w:right w:w="108" w:type="dxa"/>
          </w:tblCellMar>
        </w:tblPrEx>
        <w:trPr>
          <w:trHeight w:val="693" w:hRule="atLeast"/>
          <w:jc w:val="center"/>
        </w:trPr>
        <w:tc>
          <w:tcPr>
            <w:tcW w:w="1653" w:type="dxa"/>
            <w:tcBorders>
              <w:top w:val="nil"/>
              <w:left w:val="single" w:color="auto" w:sz="4" w:space="0"/>
              <w:bottom w:val="single" w:color="auto" w:sz="4" w:space="0"/>
              <w:right w:val="single" w:color="auto" w:sz="4" w:space="0"/>
            </w:tcBorders>
            <w:noWrap w:val="0"/>
            <w:vAlign w:val="bottom"/>
          </w:tcPr>
          <w:p w14:paraId="2C60BEDE">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487" w:type="dxa"/>
            <w:tcBorders>
              <w:top w:val="nil"/>
              <w:left w:val="nil"/>
              <w:bottom w:val="single" w:color="auto" w:sz="4" w:space="0"/>
              <w:right w:val="single" w:color="auto" w:sz="4" w:space="0"/>
            </w:tcBorders>
            <w:noWrap w:val="0"/>
            <w:vAlign w:val="bottom"/>
          </w:tcPr>
          <w:p w14:paraId="518571CD">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88" w:type="dxa"/>
            <w:tcBorders>
              <w:top w:val="single" w:color="auto" w:sz="4" w:space="0"/>
              <w:left w:val="nil"/>
              <w:bottom w:val="single" w:color="auto" w:sz="4" w:space="0"/>
              <w:right w:val="single" w:color="000000" w:sz="4" w:space="0"/>
            </w:tcBorders>
            <w:noWrap w:val="0"/>
            <w:vAlign w:val="bottom"/>
          </w:tcPr>
          <w:p w14:paraId="32190E87">
            <w:pPr>
              <w:widowControl/>
              <w:spacing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2237" w:type="dxa"/>
            <w:tcBorders>
              <w:top w:val="nil"/>
              <w:left w:val="nil"/>
              <w:bottom w:val="single" w:color="auto" w:sz="4" w:space="0"/>
              <w:right w:val="single" w:color="auto" w:sz="4" w:space="0"/>
            </w:tcBorders>
            <w:noWrap w:val="0"/>
            <w:vAlign w:val="bottom"/>
          </w:tcPr>
          <w:p w14:paraId="0A33475B">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r w14:paraId="795C6E97">
        <w:tblPrEx>
          <w:tblCellMar>
            <w:top w:w="0" w:type="dxa"/>
            <w:left w:w="108" w:type="dxa"/>
            <w:bottom w:w="0" w:type="dxa"/>
            <w:right w:w="108" w:type="dxa"/>
          </w:tblCellMar>
        </w:tblPrEx>
        <w:trPr>
          <w:trHeight w:val="311" w:hRule="atLeast"/>
          <w:jc w:val="center"/>
        </w:trPr>
        <w:tc>
          <w:tcPr>
            <w:tcW w:w="1653" w:type="dxa"/>
            <w:noWrap w:val="0"/>
            <w:vAlign w:val="bottom"/>
          </w:tcPr>
          <w:p w14:paraId="41D39371">
            <w:pPr>
              <w:spacing w:line="360" w:lineRule="auto"/>
              <w:jc w:val="left"/>
              <w:rPr>
                <w:rFonts w:hint="eastAsia" w:ascii="宋体" w:hAnsi="宋体" w:eastAsia="宋体" w:cs="宋体"/>
                <w:b w:val="0"/>
                <w:bCs w:val="0"/>
                <w:color w:val="auto"/>
                <w:sz w:val="24"/>
                <w:szCs w:val="24"/>
                <w:highlight w:val="none"/>
              </w:rPr>
            </w:pPr>
          </w:p>
          <w:p w14:paraId="4261D0C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w:t>
            </w:r>
          </w:p>
        </w:tc>
        <w:tc>
          <w:tcPr>
            <w:tcW w:w="2487" w:type="dxa"/>
            <w:noWrap w:val="0"/>
            <w:vAlign w:val="bottom"/>
          </w:tcPr>
          <w:p w14:paraId="0FBBB861">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单位领导：</w:t>
            </w:r>
          </w:p>
        </w:tc>
        <w:tc>
          <w:tcPr>
            <w:tcW w:w="2288" w:type="dxa"/>
            <w:noWrap w:val="0"/>
            <w:vAlign w:val="bottom"/>
          </w:tcPr>
          <w:p w14:paraId="40B21ABB">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项目负责人：</w:t>
            </w:r>
          </w:p>
        </w:tc>
        <w:tc>
          <w:tcPr>
            <w:tcW w:w="2237" w:type="dxa"/>
            <w:tcBorders>
              <w:top w:val="single" w:color="auto" w:sz="4" w:space="0"/>
              <w:left w:val="nil"/>
              <w:bottom w:val="nil"/>
              <w:right w:val="nil"/>
            </w:tcBorders>
            <w:noWrap w:val="0"/>
            <w:vAlign w:val="bottom"/>
          </w:tcPr>
          <w:p w14:paraId="45A5D979">
            <w:p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制表人：</w:t>
            </w:r>
          </w:p>
        </w:tc>
      </w:tr>
    </w:tbl>
    <w:p w14:paraId="319FB5B6">
      <w:pPr>
        <w:spacing w:line="360" w:lineRule="auto"/>
        <w:jc w:val="center"/>
        <w:rPr>
          <w:rFonts w:eastAsia="仿宋_GB2312"/>
          <w:b/>
          <w:color w:val="auto"/>
          <w:sz w:val="24"/>
          <w:szCs w:val="20"/>
          <w:highlight w:val="none"/>
        </w:rPr>
      </w:pPr>
    </w:p>
    <w:p w14:paraId="1D390131">
      <w:pPr>
        <w:spacing w:line="360" w:lineRule="auto"/>
        <w:rPr>
          <w:rFonts w:ascii="仿宋_GB2312" w:eastAsia="仿宋_GB2312"/>
          <w:color w:val="auto"/>
          <w:sz w:val="32"/>
          <w:szCs w:val="28"/>
          <w:highlight w:val="none"/>
        </w:rPr>
      </w:pPr>
      <w:r>
        <w:rPr>
          <w:rFonts w:hint="eastAsia" w:ascii="仿宋_GB2312" w:eastAsia="仿宋_GB2312"/>
          <w:color w:val="auto"/>
          <w:sz w:val="32"/>
          <w:szCs w:val="28"/>
          <w:highlight w:val="none"/>
        </w:rPr>
        <w:br w:type="pag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 xml:space="preserve">  </w:t>
      </w:r>
      <w:r>
        <w:rPr>
          <w:rFonts w:hint="eastAsia" w:ascii="仿宋_GB2312" w:eastAsia="仿宋_GB2312"/>
          <w:color w:val="auto"/>
          <w:sz w:val="32"/>
          <w:szCs w:val="28"/>
          <w:highlight w:val="none"/>
        </w:rPr>
        <w:t xml:space="preserve">   </w:t>
      </w:r>
    </w:p>
    <w:p w14:paraId="09F51DB4">
      <w:pPr>
        <w:spacing w:line="360" w:lineRule="auto"/>
        <w:jc w:val="center"/>
        <w:rPr>
          <w:rFonts w:hint="eastAsia" w:ascii="仿宋_GB2312" w:eastAsia="仿宋_GB2312"/>
          <w:b/>
          <w:color w:val="auto"/>
          <w:sz w:val="32"/>
          <w:szCs w:val="28"/>
          <w:highlight w:val="none"/>
          <w:lang w:eastAsia="zh-CN"/>
        </w:rPr>
      </w:pPr>
    </w:p>
    <w:p w14:paraId="105004FF">
      <w:pPr>
        <w:spacing w:line="360" w:lineRule="auto"/>
        <w:jc w:val="center"/>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2026年山水城公共绿地与游园日常养护</w:t>
      </w:r>
    </w:p>
    <w:p w14:paraId="121ECCF7">
      <w:pPr>
        <w:spacing w:line="360" w:lineRule="auto"/>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月度养护工作计划</w:t>
      </w:r>
    </w:p>
    <w:tbl>
      <w:tblPr>
        <w:tblStyle w:val="47"/>
        <w:tblW w:w="0" w:type="auto"/>
        <w:jc w:val="center"/>
        <w:tblLayout w:type="fixed"/>
        <w:tblCellMar>
          <w:top w:w="0" w:type="dxa"/>
          <w:left w:w="108" w:type="dxa"/>
          <w:bottom w:w="0" w:type="dxa"/>
          <w:right w:w="108" w:type="dxa"/>
        </w:tblCellMar>
      </w:tblPr>
      <w:tblGrid>
        <w:gridCol w:w="1499"/>
        <w:gridCol w:w="1723"/>
        <w:gridCol w:w="976"/>
        <w:gridCol w:w="1055"/>
        <w:gridCol w:w="1763"/>
        <w:gridCol w:w="1844"/>
      </w:tblGrid>
      <w:tr w14:paraId="307FF66B">
        <w:tblPrEx>
          <w:tblCellMar>
            <w:top w:w="0" w:type="dxa"/>
            <w:left w:w="108" w:type="dxa"/>
            <w:bottom w:w="0" w:type="dxa"/>
            <w:right w:w="108" w:type="dxa"/>
          </w:tblCellMar>
        </w:tblPrEx>
        <w:trPr>
          <w:trHeight w:val="634" w:hRule="atLeast"/>
          <w:jc w:val="center"/>
        </w:trPr>
        <w:tc>
          <w:tcPr>
            <w:tcW w:w="8860" w:type="dxa"/>
            <w:gridSpan w:val="6"/>
            <w:tcBorders>
              <w:top w:val="nil"/>
              <w:left w:val="nil"/>
              <w:bottom w:val="single" w:color="auto" w:sz="4" w:space="0"/>
              <w:right w:val="nil"/>
            </w:tcBorders>
            <w:noWrap w:val="0"/>
            <w:vAlign w:val="center"/>
          </w:tcPr>
          <w:p w14:paraId="76C52EEC">
            <w:pPr>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xml:space="preserve">                                                                                  </w:t>
            </w:r>
            <w:r>
              <w:rPr>
                <w:rFonts w:hint="eastAsia" w:ascii="宋体" w:hAnsi="宋体" w:eastAsia="宋体" w:cs="宋体"/>
                <w:b w:val="0"/>
                <w:bCs/>
                <w:color w:val="auto"/>
                <w:sz w:val="24"/>
                <w:szCs w:val="24"/>
                <w:highlight w:val="none"/>
              </w:rPr>
              <w:t>养护范围：                    时间：自    月    日至     月    日止</w:t>
            </w:r>
          </w:p>
        </w:tc>
      </w:tr>
      <w:tr w14:paraId="08051385">
        <w:tblPrEx>
          <w:tblCellMar>
            <w:top w:w="0" w:type="dxa"/>
            <w:left w:w="108" w:type="dxa"/>
            <w:bottom w:w="0" w:type="dxa"/>
            <w:right w:w="108" w:type="dxa"/>
          </w:tblCellMar>
        </w:tblPrEx>
        <w:trPr>
          <w:cantSplit/>
          <w:trHeight w:val="537" w:hRule="atLeast"/>
          <w:jc w:val="center"/>
        </w:trPr>
        <w:tc>
          <w:tcPr>
            <w:tcW w:w="1499" w:type="dxa"/>
            <w:vMerge w:val="restart"/>
            <w:tcBorders>
              <w:top w:val="nil"/>
              <w:left w:val="single" w:color="auto" w:sz="4" w:space="0"/>
              <w:bottom w:val="single" w:color="000000" w:sz="4" w:space="0"/>
              <w:right w:val="single" w:color="auto" w:sz="4" w:space="0"/>
            </w:tcBorders>
            <w:noWrap w:val="0"/>
            <w:vAlign w:val="center"/>
          </w:tcPr>
          <w:p w14:paraId="432589FF">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工作内容</w:t>
            </w:r>
          </w:p>
        </w:tc>
        <w:tc>
          <w:tcPr>
            <w:tcW w:w="1723" w:type="dxa"/>
            <w:vMerge w:val="restart"/>
            <w:tcBorders>
              <w:top w:val="nil"/>
              <w:left w:val="single" w:color="auto" w:sz="4" w:space="0"/>
              <w:bottom w:val="single" w:color="000000" w:sz="4" w:space="0"/>
              <w:right w:val="single" w:color="auto" w:sz="4" w:space="0"/>
            </w:tcBorders>
            <w:noWrap w:val="0"/>
            <w:vAlign w:val="center"/>
          </w:tcPr>
          <w:p w14:paraId="3DFF661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质量标准</w:t>
            </w:r>
          </w:p>
        </w:tc>
        <w:tc>
          <w:tcPr>
            <w:tcW w:w="2031" w:type="dxa"/>
            <w:gridSpan w:val="2"/>
            <w:tcBorders>
              <w:top w:val="single" w:color="auto" w:sz="4" w:space="0"/>
              <w:left w:val="nil"/>
              <w:bottom w:val="single" w:color="auto" w:sz="4" w:space="0"/>
              <w:right w:val="single" w:color="000000" w:sz="4" w:space="0"/>
            </w:tcBorders>
            <w:noWrap w:val="0"/>
            <w:vAlign w:val="center"/>
          </w:tcPr>
          <w:p w14:paraId="4C40FD6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完成时间</w:t>
            </w:r>
          </w:p>
        </w:tc>
        <w:tc>
          <w:tcPr>
            <w:tcW w:w="1763" w:type="dxa"/>
            <w:vMerge w:val="restart"/>
            <w:tcBorders>
              <w:top w:val="nil"/>
              <w:left w:val="single" w:color="auto" w:sz="4" w:space="0"/>
              <w:bottom w:val="single" w:color="000000" w:sz="4" w:space="0"/>
              <w:right w:val="single" w:color="auto" w:sz="4" w:space="0"/>
            </w:tcBorders>
            <w:noWrap w:val="0"/>
            <w:vAlign w:val="center"/>
          </w:tcPr>
          <w:p w14:paraId="13D69D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投入劳力</w:t>
            </w:r>
            <w:r>
              <w:rPr>
                <w:rFonts w:hint="eastAsia" w:ascii="宋体" w:hAnsi="宋体" w:eastAsia="宋体" w:cs="宋体"/>
                <w:b w:val="0"/>
                <w:bCs/>
                <w:color w:val="auto"/>
                <w:sz w:val="24"/>
                <w:szCs w:val="24"/>
                <w:highlight w:val="none"/>
              </w:rPr>
              <w:br w:type="textWrapping"/>
            </w:r>
            <w:r>
              <w:rPr>
                <w:rFonts w:hint="eastAsia" w:ascii="宋体" w:hAnsi="宋体" w:eastAsia="宋体" w:cs="宋体"/>
                <w:b w:val="0"/>
                <w:bCs/>
                <w:color w:val="auto"/>
                <w:sz w:val="24"/>
                <w:szCs w:val="24"/>
                <w:highlight w:val="none"/>
              </w:rPr>
              <w:t>（人）</w:t>
            </w:r>
          </w:p>
        </w:tc>
        <w:tc>
          <w:tcPr>
            <w:tcW w:w="1844" w:type="dxa"/>
            <w:vMerge w:val="restart"/>
            <w:tcBorders>
              <w:top w:val="nil"/>
              <w:left w:val="single" w:color="auto" w:sz="4" w:space="0"/>
              <w:bottom w:val="single" w:color="000000" w:sz="4" w:space="0"/>
              <w:right w:val="single" w:color="auto" w:sz="4" w:space="0"/>
            </w:tcBorders>
            <w:noWrap w:val="0"/>
            <w:vAlign w:val="center"/>
          </w:tcPr>
          <w:p w14:paraId="53F2258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工作量</w:t>
            </w:r>
          </w:p>
          <w:p w14:paraId="57CD5186">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（工日）</w:t>
            </w:r>
          </w:p>
        </w:tc>
      </w:tr>
      <w:tr w14:paraId="23DF4B1B">
        <w:tblPrEx>
          <w:tblCellMar>
            <w:top w:w="0" w:type="dxa"/>
            <w:left w:w="108" w:type="dxa"/>
            <w:bottom w:w="0" w:type="dxa"/>
            <w:right w:w="108" w:type="dxa"/>
          </w:tblCellMar>
        </w:tblPrEx>
        <w:trPr>
          <w:cantSplit/>
          <w:trHeight w:val="391" w:hRule="atLeast"/>
          <w:jc w:val="center"/>
        </w:trPr>
        <w:tc>
          <w:tcPr>
            <w:tcW w:w="1499" w:type="dxa"/>
            <w:vMerge w:val="continue"/>
            <w:tcBorders>
              <w:top w:val="nil"/>
              <w:left w:val="single" w:color="auto" w:sz="4" w:space="0"/>
              <w:bottom w:val="single" w:color="000000" w:sz="4" w:space="0"/>
              <w:right w:val="single" w:color="auto" w:sz="4" w:space="0"/>
            </w:tcBorders>
            <w:noWrap w:val="0"/>
            <w:vAlign w:val="center"/>
          </w:tcPr>
          <w:p w14:paraId="04E82A83">
            <w:pPr>
              <w:widowControl/>
              <w:spacing w:line="360" w:lineRule="auto"/>
              <w:jc w:val="left"/>
              <w:rPr>
                <w:rFonts w:hint="eastAsia" w:ascii="宋体" w:hAnsi="宋体" w:eastAsia="宋体" w:cs="宋体"/>
                <w:b w:val="0"/>
                <w:bCs/>
                <w:color w:val="auto"/>
                <w:sz w:val="24"/>
                <w:szCs w:val="24"/>
                <w:highlight w:val="none"/>
              </w:rPr>
            </w:pPr>
          </w:p>
        </w:tc>
        <w:tc>
          <w:tcPr>
            <w:tcW w:w="1723" w:type="dxa"/>
            <w:vMerge w:val="continue"/>
            <w:tcBorders>
              <w:top w:val="nil"/>
              <w:left w:val="single" w:color="auto" w:sz="4" w:space="0"/>
              <w:bottom w:val="single" w:color="000000" w:sz="4" w:space="0"/>
              <w:right w:val="single" w:color="auto" w:sz="4" w:space="0"/>
            </w:tcBorders>
            <w:noWrap w:val="0"/>
            <w:vAlign w:val="center"/>
          </w:tcPr>
          <w:p w14:paraId="6EC619ED">
            <w:pPr>
              <w:widowControl/>
              <w:spacing w:line="360" w:lineRule="auto"/>
              <w:jc w:val="left"/>
              <w:rPr>
                <w:rFonts w:hint="eastAsia" w:ascii="宋体" w:hAnsi="宋体" w:eastAsia="宋体" w:cs="宋体"/>
                <w:b w:val="0"/>
                <w:bCs/>
                <w:color w:val="auto"/>
                <w:sz w:val="24"/>
                <w:szCs w:val="24"/>
                <w:highlight w:val="none"/>
              </w:rPr>
            </w:pPr>
          </w:p>
        </w:tc>
        <w:tc>
          <w:tcPr>
            <w:tcW w:w="976" w:type="dxa"/>
            <w:tcBorders>
              <w:top w:val="nil"/>
              <w:left w:val="nil"/>
              <w:bottom w:val="single" w:color="auto" w:sz="4" w:space="0"/>
              <w:right w:val="single" w:color="auto" w:sz="4" w:space="0"/>
            </w:tcBorders>
            <w:noWrap w:val="0"/>
            <w:vAlign w:val="center"/>
          </w:tcPr>
          <w:p w14:paraId="333CC56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始</w:t>
            </w:r>
          </w:p>
        </w:tc>
        <w:tc>
          <w:tcPr>
            <w:tcW w:w="1055" w:type="dxa"/>
            <w:tcBorders>
              <w:top w:val="nil"/>
              <w:left w:val="nil"/>
              <w:bottom w:val="single" w:color="auto" w:sz="4" w:space="0"/>
              <w:right w:val="single" w:color="auto" w:sz="4" w:space="0"/>
            </w:tcBorders>
            <w:noWrap w:val="0"/>
            <w:vAlign w:val="center"/>
          </w:tcPr>
          <w:p w14:paraId="6150157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止</w:t>
            </w:r>
          </w:p>
        </w:tc>
        <w:tc>
          <w:tcPr>
            <w:tcW w:w="1763" w:type="dxa"/>
            <w:vMerge w:val="continue"/>
            <w:tcBorders>
              <w:top w:val="nil"/>
              <w:left w:val="single" w:color="auto" w:sz="4" w:space="0"/>
              <w:bottom w:val="single" w:color="000000" w:sz="4" w:space="0"/>
              <w:right w:val="single" w:color="auto" w:sz="4" w:space="0"/>
            </w:tcBorders>
            <w:noWrap w:val="0"/>
            <w:vAlign w:val="center"/>
          </w:tcPr>
          <w:p w14:paraId="1A2139C4">
            <w:pPr>
              <w:widowControl/>
              <w:spacing w:line="360" w:lineRule="auto"/>
              <w:jc w:val="left"/>
              <w:rPr>
                <w:rFonts w:hint="eastAsia" w:ascii="宋体" w:hAnsi="宋体" w:eastAsia="宋体" w:cs="宋体"/>
                <w:b w:val="0"/>
                <w:bCs/>
                <w:color w:val="auto"/>
                <w:sz w:val="24"/>
                <w:szCs w:val="24"/>
                <w:highlight w:val="none"/>
              </w:rPr>
            </w:pPr>
          </w:p>
        </w:tc>
        <w:tc>
          <w:tcPr>
            <w:tcW w:w="1844" w:type="dxa"/>
            <w:vMerge w:val="continue"/>
            <w:tcBorders>
              <w:top w:val="nil"/>
              <w:left w:val="single" w:color="auto" w:sz="4" w:space="0"/>
              <w:bottom w:val="single" w:color="000000" w:sz="4" w:space="0"/>
              <w:right w:val="single" w:color="auto" w:sz="4" w:space="0"/>
            </w:tcBorders>
            <w:noWrap w:val="0"/>
            <w:vAlign w:val="center"/>
          </w:tcPr>
          <w:p w14:paraId="09688A7C">
            <w:pPr>
              <w:widowControl/>
              <w:spacing w:line="360" w:lineRule="auto"/>
              <w:jc w:val="left"/>
              <w:rPr>
                <w:rFonts w:hint="eastAsia" w:ascii="宋体" w:hAnsi="宋体" w:eastAsia="宋体" w:cs="宋体"/>
                <w:b w:val="0"/>
                <w:bCs/>
                <w:color w:val="auto"/>
                <w:sz w:val="24"/>
                <w:szCs w:val="24"/>
                <w:highlight w:val="none"/>
              </w:rPr>
            </w:pPr>
          </w:p>
        </w:tc>
      </w:tr>
      <w:tr w14:paraId="43E64A17">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4CA8328">
            <w:pPr>
              <w:widowControl/>
              <w:spacing w:line="360" w:lineRule="auto"/>
              <w:jc w:val="righ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69136E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B6A16E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A585AE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D4D6AB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915B6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0FF7DA5">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2E7FBC5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E00661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058A98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F592E2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1486B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40C7A7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49CD9CA3">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EF0455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19BEFE6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93ED953">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3A0F8E7">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F8302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472E99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24176C6D">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3129CBD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3C962EB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1E6F7A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B7D1EB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7DBCE6C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C8FE22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694481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1BD3AD6D">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5CD1B60E">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5E071DFF">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5FB9C29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39F084A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E6B547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5F8DE5B6">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32A494B">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00A6C7F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4003B05">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0FAC1FEA">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09724A6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2F6505DC">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1BD0638">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17D1C42">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27C020F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66C6DDD0">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2E2D6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5EB91C0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3EA5D6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134B8CF4">
        <w:tblPrEx>
          <w:tblCellMar>
            <w:top w:w="0" w:type="dxa"/>
            <w:left w:w="108" w:type="dxa"/>
            <w:bottom w:w="0" w:type="dxa"/>
            <w:right w:w="108" w:type="dxa"/>
          </w:tblCellMar>
        </w:tblPrEx>
        <w:trPr>
          <w:trHeight w:val="695" w:hRule="atLeast"/>
          <w:jc w:val="center"/>
        </w:trPr>
        <w:tc>
          <w:tcPr>
            <w:tcW w:w="1499" w:type="dxa"/>
            <w:tcBorders>
              <w:top w:val="nil"/>
              <w:left w:val="single" w:color="auto" w:sz="4" w:space="0"/>
              <w:bottom w:val="single" w:color="auto" w:sz="4" w:space="0"/>
              <w:right w:val="single" w:color="auto" w:sz="4" w:space="0"/>
            </w:tcBorders>
            <w:noWrap w:val="0"/>
            <w:vAlign w:val="bottom"/>
          </w:tcPr>
          <w:p w14:paraId="5E766C9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23" w:type="dxa"/>
            <w:tcBorders>
              <w:top w:val="nil"/>
              <w:left w:val="nil"/>
              <w:bottom w:val="single" w:color="auto" w:sz="4" w:space="0"/>
              <w:right w:val="single" w:color="auto" w:sz="4" w:space="0"/>
            </w:tcBorders>
            <w:noWrap w:val="0"/>
            <w:vAlign w:val="bottom"/>
          </w:tcPr>
          <w:p w14:paraId="44D5D8B6">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976" w:type="dxa"/>
            <w:tcBorders>
              <w:top w:val="nil"/>
              <w:left w:val="nil"/>
              <w:bottom w:val="single" w:color="auto" w:sz="4" w:space="0"/>
              <w:right w:val="single" w:color="auto" w:sz="4" w:space="0"/>
            </w:tcBorders>
            <w:noWrap w:val="0"/>
            <w:vAlign w:val="bottom"/>
          </w:tcPr>
          <w:p w14:paraId="4CD788A1">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055" w:type="dxa"/>
            <w:tcBorders>
              <w:top w:val="nil"/>
              <w:left w:val="nil"/>
              <w:bottom w:val="single" w:color="auto" w:sz="4" w:space="0"/>
              <w:right w:val="single" w:color="auto" w:sz="4" w:space="0"/>
            </w:tcBorders>
            <w:noWrap w:val="0"/>
            <w:vAlign w:val="bottom"/>
          </w:tcPr>
          <w:p w14:paraId="72537AB9">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763" w:type="dxa"/>
            <w:tcBorders>
              <w:top w:val="nil"/>
              <w:left w:val="nil"/>
              <w:bottom w:val="single" w:color="auto" w:sz="4" w:space="0"/>
              <w:right w:val="single" w:color="auto" w:sz="4" w:space="0"/>
            </w:tcBorders>
            <w:noWrap w:val="0"/>
            <w:vAlign w:val="bottom"/>
          </w:tcPr>
          <w:p w14:paraId="128D1848">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c>
          <w:tcPr>
            <w:tcW w:w="1844" w:type="dxa"/>
            <w:tcBorders>
              <w:top w:val="nil"/>
              <w:left w:val="nil"/>
              <w:bottom w:val="single" w:color="auto" w:sz="4" w:space="0"/>
              <w:right w:val="single" w:color="auto" w:sz="4" w:space="0"/>
            </w:tcBorders>
            <w:noWrap w:val="0"/>
            <w:vAlign w:val="bottom"/>
          </w:tcPr>
          <w:p w14:paraId="5AC47414">
            <w:pPr>
              <w:widowControl/>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　</w:t>
            </w:r>
          </w:p>
        </w:tc>
      </w:tr>
      <w:tr w14:paraId="6321E2AA">
        <w:tblPrEx>
          <w:tblCellMar>
            <w:top w:w="0" w:type="dxa"/>
            <w:left w:w="108" w:type="dxa"/>
            <w:bottom w:w="0" w:type="dxa"/>
            <w:right w:w="108" w:type="dxa"/>
          </w:tblCellMar>
        </w:tblPrEx>
        <w:trPr>
          <w:trHeight w:val="962" w:hRule="atLeast"/>
          <w:jc w:val="center"/>
        </w:trPr>
        <w:tc>
          <w:tcPr>
            <w:tcW w:w="1499" w:type="dxa"/>
            <w:noWrap w:val="0"/>
            <w:vAlign w:val="bottom"/>
          </w:tcPr>
          <w:p w14:paraId="3F9D55D7">
            <w:pPr>
              <w:spacing w:line="360" w:lineRule="auto"/>
              <w:rPr>
                <w:rFonts w:hint="eastAsia" w:ascii="宋体" w:hAnsi="宋体" w:eastAsia="宋体" w:cs="宋体"/>
                <w:b w:val="0"/>
                <w:bCs/>
                <w:color w:val="auto"/>
                <w:sz w:val="24"/>
                <w:szCs w:val="24"/>
                <w:highlight w:val="none"/>
              </w:rPr>
            </w:pPr>
          </w:p>
          <w:p w14:paraId="5F6EECD9">
            <w:pPr>
              <w:spacing w:line="360" w:lineRule="auto"/>
              <w:rPr>
                <w:rFonts w:hint="eastAsia" w:ascii="宋体" w:hAnsi="宋体" w:eastAsia="宋体" w:cs="宋体"/>
                <w:b w:val="0"/>
                <w:bCs/>
                <w:color w:val="auto"/>
                <w:sz w:val="24"/>
                <w:szCs w:val="24"/>
                <w:highlight w:val="none"/>
              </w:rPr>
            </w:pPr>
          </w:p>
          <w:p w14:paraId="4DBFEC5C">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1723" w:type="dxa"/>
            <w:noWrap w:val="0"/>
            <w:vAlign w:val="bottom"/>
          </w:tcPr>
          <w:p w14:paraId="525BCAE6">
            <w:pPr>
              <w:spacing w:line="360" w:lineRule="auto"/>
              <w:ind w:firstLine="240" w:firstLineChars="1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单位领导：</w:t>
            </w:r>
          </w:p>
        </w:tc>
        <w:tc>
          <w:tcPr>
            <w:tcW w:w="2031" w:type="dxa"/>
            <w:gridSpan w:val="2"/>
            <w:noWrap w:val="0"/>
            <w:vAlign w:val="bottom"/>
          </w:tcPr>
          <w:p w14:paraId="3303C82B">
            <w:pPr>
              <w:spacing w:line="360" w:lineRule="auto"/>
              <w:ind w:firstLine="240" w:firstLineChars="10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项目负责人：</w:t>
            </w:r>
          </w:p>
        </w:tc>
        <w:tc>
          <w:tcPr>
            <w:tcW w:w="3607" w:type="dxa"/>
            <w:gridSpan w:val="2"/>
            <w:tcBorders>
              <w:top w:val="single" w:color="auto" w:sz="4" w:space="0"/>
              <w:left w:val="nil"/>
              <w:bottom w:val="nil"/>
              <w:right w:val="nil"/>
            </w:tcBorders>
            <w:noWrap w:val="0"/>
            <w:vAlign w:val="bottom"/>
          </w:tcPr>
          <w:p w14:paraId="2D93F008">
            <w:pPr>
              <w:spacing w:line="360" w:lineRule="auto"/>
              <w:ind w:firstLine="1200" w:firstLineChars="5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制表人：</w:t>
            </w:r>
          </w:p>
        </w:tc>
      </w:tr>
    </w:tbl>
    <w:p w14:paraId="6D54338D">
      <w:pPr>
        <w:widowControl w:val="0"/>
        <w:spacing w:line="360" w:lineRule="auto"/>
        <w:jc w:val="both"/>
        <w:rPr>
          <w:rFonts w:hint="eastAsia" w:ascii="宋体" w:hAnsi="宋体" w:eastAsia="宋体" w:cs="Times New Roman"/>
          <w:bCs w:val="0"/>
          <w:color w:val="auto"/>
          <w:kern w:val="2"/>
          <w:sz w:val="24"/>
          <w:szCs w:val="24"/>
          <w:highlight w:val="none"/>
          <w:lang w:val="en-US" w:eastAsia="zh-CN" w:bidi="ar-SA"/>
        </w:rPr>
      </w:pPr>
    </w:p>
    <w:p w14:paraId="21CCCAE8">
      <w:pPr>
        <w:spacing w:line="360" w:lineRule="auto"/>
        <w:ind w:firstLine="480"/>
        <w:rPr>
          <w:rFonts w:ascii="Times New Roman" w:hAnsi="Times New Roman" w:cs="Times New Roman"/>
          <w:color w:val="auto"/>
          <w:sz w:val="24"/>
          <w:szCs w:val="24"/>
          <w:highlight w:val="none"/>
        </w:rPr>
      </w:pPr>
      <w:r>
        <w:rPr>
          <w:rFonts w:ascii="宋体" w:hAnsi="宋体" w:eastAsia="宋体" w:cs="Times New Roman"/>
          <w:color w:val="auto"/>
          <w:kern w:val="2"/>
          <w:sz w:val="24"/>
          <w:szCs w:val="24"/>
          <w:highlight w:val="none"/>
          <w:lang w:val="en-US" w:eastAsia="zh-CN" w:bidi="ar-SA"/>
        </w:rPr>
        <w:br w:type="page"/>
      </w:r>
    </w:p>
    <w:p w14:paraId="058D7CD2">
      <w:pPr>
        <w:spacing w:line="360" w:lineRule="auto"/>
        <w:jc w:val="center"/>
        <w:rPr>
          <w:rFonts w:hAnsi="宋体"/>
          <w:color w:val="auto"/>
          <w:sz w:val="36"/>
          <w:szCs w:val="36"/>
          <w:highlight w:val="none"/>
        </w:rPr>
      </w:pPr>
      <w:r>
        <w:rPr>
          <w:rFonts w:hint="eastAsia" w:ascii="黑体" w:eastAsia="黑体"/>
          <w:bCs/>
          <w:color w:val="auto"/>
          <w:sz w:val="36"/>
          <w:szCs w:val="36"/>
          <w:highlight w:val="none"/>
        </w:rPr>
        <w:t>第</w:t>
      </w:r>
      <w:bookmarkEnd w:id="144"/>
      <w:r>
        <w:rPr>
          <w:rFonts w:hint="eastAsia" w:ascii="黑体" w:eastAsia="黑体"/>
          <w:bCs/>
          <w:color w:val="auto"/>
          <w:sz w:val="36"/>
          <w:szCs w:val="36"/>
          <w:highlight w:val="none"/>
        </w:rPr>
        <w:t>四章 采购需求</w:t>
      </w:r>
      <w:bookmarkEnd w:id="145"/>
      <w:bookmarkEnd w:id="146"/>
      <w:bookmarkEnd w:id="147"/>
    </w:p>
    <w:p w14:paraId="7B80EEF6">
      <w:pPr>
        <w:spacing w:line="360" w:lineRule="auto"/>
        <w:jc w:val="left"/>
        <w:rPr>
          <w:rFonts w:hint="default" w:ascii="宋体" w:hAnsi="宋体" w:eastAsia="宋体" w:cs="Times New Roman"/>
          <w:b/>
          <w:bCs/>
          <w:color w:val="auto"/>
          <w:kern w:val="2"/>
          <w:sz w:val="24"/>
          <w:szCs w:val="24"/>
          <w:highlight w:val="none"/>
          <w:lang w:val="en-US" w:eastAsia="zh-CN" w:bidi="ar-SA"/>
        </w:rPr>
      </w:pPr>
      <w:bookmarkStart w:id="149" w:name="_Toc49090575"/>
      <w:bookmarkStart w:id="150" w:name="_Toc120614281"/>
      <w:bookmarkStart w:id="151" w:name="_Toc26554093"/>
      <w:r>
        <w:rPr>
          <w:rFonts w:hint="eastAsia" w:ascii="宋体" w:hAnsi="宋体" w:eastAsia="宋体" w:cs="Times New Roman"/>
          <w:b/>
          <w:bCs/>
          <w:color w:val="auto"/>
          <w:kern w:val="2"/>
          <w:sz w:val="24"/>
          <w:szCs w:val="24"/>
          <w:highlight w:val="none"/>
          <w:lang w:val="en-US" w:eastAsia="zh-CN" w:bidi="ar-SA"/>
        </w:rPr>
        <w:t>投标人须满足以下要求，不得有负偏离。</w:t>
      </w:r>
    </w:p>
    <w:p w14:paraId="11E3DBAE">
      <w:pPr>
        <w:pStyle w:val="23"/>
        <w:spacing w:line="360" w:lineRule="auto"/>
        <w:ind w:right="13" w:rightChars="6" w:firstLine="588" w:firstLineChars="196"/>
        <w:rPr>
          <w:rFonts w:hint="eastAsia" w:ascii="宋体" w:hAnsi="宋体" w:eastAsia="宋体" w:cs="宋体"/>
          <w:b/>
          <w:color w:val="auto"/>
          <w:sz w:val="28"/>
          <w:szCs w:val="28"/>
          <w:highlight w:val="none"/>
          <w:lang w:eastAsia="zh-CN"/>
        </w:rPr>
      </w:pPr>
      <w:bookmarkStart w:id="152" w:name="_Hlk42851011"/>
      <w:r>
        <w:rPr>
          <w:rFonts w:hint="eastAsia" w:ascii="宋体" w:hAnsi="宋体"/>
          <w:b/>
          <w:color w:val="auto"/>
          <w:sz w:val="30"/>
          <w:szCs w:val="30"/>
          <w:highlight w:val="none"/>
        </w:rPr>
        <w:t xml:space="preserve">第一部分  </w:t>
      </w:r>
      <w:r>
        <w:rPr>
          <w:rFonts w:hint="eastAsia" w:ascii="宋体" w:hAnsi="宋体" w:eastAsia="宋体"/>
          <w:b/>
          <w:color w:val="auto"/>
          <w:sz w:val="30"/>
          <w:szCs w:val="30"/>
          <w:highlight w:val="none"/>
          <w:lang w:val="en-US" w:eastAsia="zh-CN"/>
        </w:rPr>
        <w:t>项目技术要求</w:t>
      </w:r>
    </w:p>
    <w:p w14:paraId="02C99FDB">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eastAsia="zh-CN"/>
        </w:rPr>
        <w:t>一、项目</w:t>
      </w:r>
      <w:r>
        <w:rPr>
          <w:rFonts w:hint="eastAsia" w:ascii="宋体" w:hAnsi="宋体" w:eastAsia="宋体" w:cs="宋体"/>
          <w:b/>
          <w:color w:val="auto"/>
          <w:sz w:val="28"/>
          <w:szCs w:val="28"/>
          <w:highlight w:val="none"/>
          <w:lang w:val="en-US" w:eastAsia="zh-CN"/>
        </w:rPr>
        <w:t>基本情况</w:t>
      </w:r>
      <w:r>
        <w:rPr>
          <w:rFonts w:hint="eastAsia" w:ascii="宋体" w:hAnsi="宋体" w:eastAsia="宋体" w:cs="宋体"/>
          <w:b/>
          <w:color w:val="auto"/>
          <w:sz w:val="28"/>
          <w:szCs w:val="28"/>
          <w:highlight w:val="none"/>
          <w:lang w:eastAsia="zh-CN"/>
        </w:rPr>
        <w:t>：</w:t>
      </w:r>
    </w:p>
    <w:p w14:paraId="45A56335">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lang w:val="en-US" w:eastAsia="zh-CN"/>
        </w:rPr>
        <w:t>1、项目概况：对</w:t>
      </w:r>
      <w:r>
        <w:rPr>
          <w:rFonts w:hint="eastAsia" w:ascii="宋体" w:hAnsi="宋体" w:eastAsia="宋体"/>
          <w:color w:val="auto"/>
          <w:sz w:val="24"/>
          <w:highlight w:val="none"/>
          <w:lang w:eastAsia="zh-CN"/>
        </w:rPr>
        <w:t>山水城公共绿地与游园</w:t>
      </w:r>
      <w:r>
        <w:rPr>
          <w:rFonts w:hint="eastAsia" w:ascii="宋体" w:hAnsi="宋体" w:eastAsia="宋体"/>
          <w:color w:val="auto"/>
          <w:sz w:val="24"/>
          <w:highlight w:val="none"/>
          <w:lang w:val="en-US" w:eastAsia="zh-CN"/>
        </w:rPr>
        <w:t>进行</w:t>
      </w:r>
      <w:r>
        <w:rPr>
          <w:rFonts w:hint="eastAsia" w:ascii="宋体" w:hAnsi="宋体" w:eastAsia="宋体"/>
          <w:color w:val="auto"/>
          <w:sz w:val="24"/>
          <w:highlight w:val="none"/>
          <w:lang w:eastAsia="zh-CN"/>
        </w:rPr>
        <w:t>日常养护</w:t>
      </w:r>
      <w:r>
        <w:rPr>
          <w:rFonts w:hint="eastAsia" w:ascii="宋体" w:hAnsi="宋体" w:eastAsia="宋体" w:cs="Verdana"/>
          <w:color w:val="auto"/>
          <w:kern w:val="0"/>
          <w:sz w:val="24"/>
          <w:szCs w:val="24"/>
          <w:highlight w:val="none"/>
        </w:rPr>
        <w:t>。</w:t>
      </w:r>
    </w:p>
    <w:p w14:paraId="11B383D4">
      <w:pPr>
        <w:spacing w:line="360" w:lineRule="auto"/>
        <w:ind w:firstLine="480" w:firstLineChars="200"/>
        <w:rPr>
          <w:rFonts w:hint="eastAsia" w:ascii="宋体" w:hAnsi="宋体" w:eastAsia="宋体" w:cs="Verdana"/>
          <w:color w:val="auto"/>
          <w:kern w:val="0"/>
          <w:sz w:val="24"/>
          <w:szCs w:val="24"/>
          <w:highlight w:val="none"/>
        </w:rPr>
      </w:pPr>
      <w:r>
        <w:rPr>
          <w:rFonts w:hint="eastAsia" w:ascii="宋体" w:hAnsi="宋体" w:eastAsia="宋体" w:cs="Verdana"/>
          <w:color w:val="auto"/>
          <w:kern w:val="0"/>
          <w:sz w:val="24"/>
          <w:szCs w:val="24"/>
          <w:highlight w:val="none"/>
        </w:rPr>
        <w:t>2、</w:t>
      </w:r>
      <w:r>
        <w:rPr>
          <w:rFonts w:hint="eastAsia" w:ascii="宋体" w:hAnsi="宋体" w:eastAsia="宋体" w:cs="Verdana"/>
          <w:color w:val="auto"/>
          <w:kern w:val="0"/>
          <w:sz w:val="24"/>
          <w:szCs w:val="24"/>
          <w:highlight w:val="none"/>
          <w:lang w:val="en-US" w:eastAsia="zh-CN"/>
        </w:rPr>
        <w:t>服务期限</w:t>
      </w:r>
      <w:r>
        <w:rPr>
          <w:rFonts w:hint="eastAsia" w:ascii="宋体" w:hAnsi="宋体" w:eastAsia="宋体" w:cs="Verdana"/>
          <w:color w:val="auto"/>
          <w:kern w:val="0"/>
          <w:sz w:val="24"/>
          <w:szCs w:val="24"/>
          <w:highlight w:val="none"/>
        </w:rPr>
        <w:t>：</w:t>
      </w:r>
      <w:r>
        <w:rPr>
          <w:rFonts w:hint="eastAsia" w:ascii="宋体" w:hAnsi="宋体" w:eastAsia="宋体" w:cs="Verdana"/>
          <w:color w:val="auto"/>
          <w:kern w:val="0"/>
          <w:sz w:val="24"/>
          <w:szCs w:val="24"/>
          <w:highlight w:val="none"/>
          <w:lang w:val="en-US" w:eastAsia="zh-CN"/>
        </w:rPr>
        <w:t>17个月。</w:t>
      </w:r>
    </w:p>
    <w:p w14:paraId="269CB0C4">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3、服务质量要求：</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cs="Verdana"/>
          <w:color w:val="auto"/>
          <w:kern w:val="0"/>
          <w:sz w:val="24"/>
          <w:szCs w:val="24"/>
          <w:highlight w:val="none"/>
          <w:lang w:val="en-US" w:eastAsia="zh-CN"/>
        </w:rPr>
        <w:t>及采购人需求</w:t>
      </w:r>
      <w:r>
        <w:rPr>
          <w:rFonts w:hint="eastAsia" w:ascii="宋体" w:hAnsi="宋体" w:eastAsia="宋体" w:cs="Verdana"/>
          <w:color w:val="auto"/>
          <w:kern w:val="0"/>
          <w:sz w:val="24"/>
          <w:szCs w:val="24"/>
          <w:highlight w:val="none"/>
          <w:lang w:val="en-US" w:eastAsia="zh-CN"/>
        </w:rPr>
        <w:t>。</w:t>
      </w:r>
    </w:p>
    <w:p w14:paraId="5D92EFE1">
      <w:pPr>
        <w:spacing w:line="360" w:lineRule="auto"/>
        <w:ind w:firstLine="480" w:firstLineChars="200"/>
        <w:rPr>
          <w:rFonts w:hint="eastAsia" w:ascii="宋体" w:hAnsi="宋体" w:eastAsia="宋体" w:cs="Verdana"/>
          <w:color w:val="auto"/>
          <w:kern w:val="0"/>
          <w:sz w:val="24"/>
          <w:szCs w:val="24"/>
          <w:highlight w:val="none"/>
          <w:lang w:val="en-US" w:eastAsia="zh-CN"/>
        </w:rPr>
      </w:pPr>
      <w:r>
        <w:rPr>
          <w:rFonts w:hint="eastAsia" w:ascii="宋体" w:hAnsi="宋体" w:eastAsia="宋体" w:cs="Verdana"/>
          <w:color w:val="auto"/>
          <w:kern w:val="0"/>
          <w:sz w:val="24"/>
          <w:szCs w:val="24"/>
          <w:highlight w:val="none"/>
          <w:lang w:val="en-US" w:eastAsia="zh-CN"/>
        </w:rPr>
        <w:t>4、项目地点：</w:t>
      </w:r>
      <w:r>
        <w:rPr>
          <w:rFonts w:hint="eastAsia" w:ascii="宋体" w:hAnsi="宋体" w:eastAsia="宋体"/>
          <w:color w:val="auto"/>
          <w:sz w:val="24"/>
          <w:highlight w:val="none"/>
          <w:lang w:eastAsia="zh-CN"/>
        </w:rPr>
        <w:t>山水城</w:t>
      </w:r>
      <w:r>
        <w:rPr>
          <w:rFonts w:hint="eastAsia" w:ascii="宋体" w:hAnsi="宋体" w:eastAsia="宋体"/>
          <w:color w:val="auto"/>
          <w:sz w:val="24"/>
          <w:highlight w:val="none"/>
          <w:lang w:val="en-US" w:eastAsia="zh-CN"/>
        </w:rPr>
        <w:t>范围内指定的</w:t>
      </w:r>
      <w:r>
        <w:rPr>
          <w:rFonts w:hint="eastAsia" w:ascii="宋体" w:hAnsi="宋体" w:eastAsia="宋体"/>
          <w:color w:val="auto"/>
          <w:sz w:val="24"/>
          <w:highlight w:val="none"/>
          <w:lang w:eastAsia="zh-CN"/>
        </w:rPr>
        <w:t>公共绿地与游园</w:t>
      </w:r>
      <w:r>
        <w:rPr>
          <w:rFonts w:hint="eastAsia" w:ascii="宋体" w:hAnsi="宋体" w:eastAsia="宋体" w:cs="Verdana"/>
          <w:color w:val="auto"/>
          <w:kern w:val="0"/>
          <w:sz w:val="24"/>
          <w:szCs w:val="24"/>
          <w:highlight w:val="none"/>
          <w:lang w:val="en-US" w:eastAsia="zh-CN"/>
        </w:rPr>
        <w:t>。</w:t>
      </w:r>
    </w:p>
    <w:p w14:paraId="08EFCFF4">
      <w:pPr>
        <w:pStyle w:val="23"/>
        <w:spacing w:line="360" w:lineRule="auto"/>
        <w:ind w:right="13" w:rightChars="6" w:firstLine="470" w:firstLineChars="196"/>
        <w:rPr>
          <w:rFonts w:hint="eastAsia" w:ascii="宋体" w:hAnsi="宋体" w:eastAsia="宋体"/>
          <w:color w:val="auto"/>
          <w:sz w:val="24"/>
          <w:highlight w:val="none"/>
          <w:lang w:eastAsia="zh-CN"/>
        </w:rPr>
      </w:pPr>
      <w:r>
        <w:rPr>
          <w:rFonts w:hint="eastAsia" w:ascii="宋体" w:hAnsi="宋体" w:eastAsia="宋体" w:cs="Verdana"/>
          <w:color w:val="auto"/>
          <w:kern w:val="0"/>
          <w:sz w:val="24"/>
          <w:szCs w:val="24"/>
          <w:highlight w:val="none"/>
          <w:lang w:val="en-US" w:eastAsia="zh-CN"/>
        </w:rPr>
        <w:t>5、采购标的的数量：本项目所涉及</w:t>
      </w:r>
      <w:r>
        <w:rPr>
          <w:rFonts w:hint="eastAsia" w:ascii="宋体" w:hAnsi="宋体" w:eastAsia="宋体"/>
          <w:color w:val="auto"/>
          <w:sz w:val="24"/>
          <w:highlight w:val="none"/>
          <w:lang w:val="en-US" w:eastAsia="zh-CN"/>
        </w:rPr>
        <w:t>的</w:t>
      </w:r>
      <w:r>
        <w:rPr>
          <w:rFonts w:hint="eastAsia" w:ascii="宋体" w:hAnsi="宋体" w:eastAsia="宋体"/>
          <w:color w:val="auto"/>
          <w:sz w:val="24"/>
          <w:highlight w:val="none"/>
          <w:lang w:eastAsia="zh-CN"/>
        </w:rPr>
        <w:t>公共</w:t>
      </w:r>
      <w:r>
        <w:rPr>
          <w:rFonts w:hint="eastAsia" w:ascii="宋体" w:hAnsi="宋体" w:eastAsia="宋体"/>
          <w:color w:val="auto"/>
          <w:sz w:val="24"/>
          <w:highlight w:val="none"/>
          <w:lang w:val="en-US" w:eastAsia="zh-CN"/>
        </w:rPr>
        <w:t>绿地与游园如下表，具体工作量</w:t>
      </w:r>
      <w:r>
        <w:rPr>
          <w:rFonts w:hint="eastAsia" w:ascii="宋体" w:hAnsi="宋体" w:eastAsia="宋体" w:cs="Verdana"/>
          <w:color w:val="auto"/>
          <w:kern w:val="0"/>
          <w:sz w:val="24"/>
          <w:szCs w:val="24"/>
          <w:highlight w:val="none"/>
          <w:lang w:val="en-US" w:eastAsia="zh-CN"/>
        </w:rPr>
        <w:t>清单另附，详见附件。</w:t>
      </w:r>
    </w:p>
    <w:p w14:paraId="303B03F1">
      <w:pPr>
        <w:pStyle w:val="23"/>
        <w:spacing w:line="360" w:lineRule="auto"/>
        <w:ind w:right="13" w:rightChars="6" w:firstLine="470" w:firstLineChars="196"/>
        <w:rPr>
          <w:rFonts w:hint="eastAsia" w:ascii="宋体" w:hAnsi="宋体" w:eastAsia="宋体"/>
          <w:color w:val="auto"/>
          <w:sz w:val="24"/>
          <w:highlight w:val="none"/>
        </w:rPr>
      </w:pPr>
      <w:r>
        <w:rPr>
          <w:rFonts w:hint="eastAsia" w:ascii="宋体" w:hAnsi="宋体" w:eastAsia="宋体"/>
          <w:color w:val="auto"/>
          <w:sz w:val="24"/>
          <w:highlight w:val="none"/>
          <w:lang w:eastAsia="zh-CN"/>
        </w:rPr>
        <w:t>2026年山水城公共绿地与游园日常养护</w:t>
      </w:r>
      <w:r>
        <w:rPr>
          <w:rFonts w:hint="eastAsia" w:ascii="宋体" w:hAnsi="宋体" w:eastAsia="宋体"/>
          <w:color w:val="auto"/>
          <w:sz w:val="24"/>
          <w:highlight w:val="none"/>
        </w:rPr>
        <w:t>，养护范围、养护面积及养护作业人员最低配置情况详见下表：</w:t>
      </w:r>
    </w:p>
    <w:bookmarkEnd w:id="152"/>
    <w:tbl>
      <w:tblPr>
        <w:tblStyle w:val="47"/>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5"/>
        <w:gridCol w:w="2289"/>
        <w:gridCol w:w="3615"/>
        <w:gridCol w:w="1457"/>
        <w:gridCol w:w="1457"/>
      </w:tblGrid>
      <w:tr w14:paraId="5860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10C2E58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289" w:type="dxa"/>
            <w:shd w:val="clear" w:color="auto" w:fill="auto"/>
            <w:vAlign w:val="center"/>
          </w:tcPr>
          <w:p w14:paraId="7C35179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kern w:val="0"/>
                <w:sz w:val="24"/>
                <w:szCs w:val="24"/>
                <w:highlight w:val="none"/>
                <w:lang w:val="en-US" w:eastAsia="zh-CN"/>
              </w:rPr>
              <w:t>游园/绿地</w:t>
            </w:r>
            <w:r>
              <w:rPr>
                <w:rFonts w:hint="eastAsia" w:ascii="宋体" w:hAnsi="宋体" w:eastAsia="宋体" w:cs="宋体"/>
                <w:b/>
                <w:bCs/>
                <w:i w:val="0"/>
                <w:iCs w:val="0"/>
                <w:color w:val="auto"/>
                <w:kern w:val="0"/>
                <w:sz w:val="24"/>
                <w:szCs w:val="24"/>
                <w:highlight w:val="none"/>
                <w:u w:val="none"/>
                <w:lang w:val="en-US" w:eastAsia="zh-CN" w:bidi="ar"/>
              </w:rPr>
              <w:t>名称</w:t>
            </w:r>
          </w:p>
        </w:tc>
        <w:tc>
          <w:tcPr>
            <w:tcW w:w="3615" w:type="dxa"/>
            <w:shd w:val="clear" w:color="auto" w:fill="auto"/>
            <w:vAlign w:val="center"/>
          </w:tcPr>
          <w:p w14:paraId="10F6C8E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具体范围</w:t>
            </w:r>
          </w:p>
        </w:tc>
        <w:tc>
          <w:tcPr>
            <w:tcW w:w="1457" w:type="dxa"/>
            <w:shd w:val="clear" w:color="auto" w:fill="auto"/>
            <w:vAlign w:val="center"/>
          </w:tcPr>
          <w:p w14:paraId="18861EC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绿化面积</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（平方米）</w:t>
            </w:r>
          </w:p>
        </w:tc>
        <w:tc>
          <w:tcPr>
            <w:tcW w:w="1457" w:type="dxa"/>
            <w:shd w:val="clear" w:color="auto" w:fill="auto"/>
            <w:vAlign w:val="center"/>
          </w:tcPr>
          <w:p w14:paraId="47BB889B">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color w:val="auto"/>
                <w:kern w:val="0"/>
                <w:sz w:val="24"/>
                <w:szCs w:val="24"/>
                <w:highlight w:val="none"/>
                <w:lang w:val="en-US" w:eastAsia="zh-CN"/>
              </w:rPr>
              <w:t>养护</w:t>
            </w:r>
            <w:r>
              <w:rPr>
                <w:rFonts w:hint="eastAsia" w:ascii="宋体" w:hAnsi="宋体" w:eastAsia="宋体" w:cs="宋体"/>
                <w:b/>
                <w:bCs/>
                <w:color w:val="auto"/>
                <w:kern w:val="0"/>
                <w:sz w:val="24"/>
                <w:szCs w:val="24"/>
                <w:highlight w:val="none"/>
              </w:rPr>
              <w:t>作业人员</w:t>
            </w:r>
            <w:r>
              <w:rPr>
                <w:rFonts w:hint="eastAsia" w:ascii="宋体" w:hAnsi="宋体" w:eastAsia="宋体" w:cs="宋体"/>
                <w:b/>
                <w:bCs/>
                <w:color w:val="auto"/>
                <w:kern w:val="0"/>
                <w:sz w:val="24"/>
                <w:szCs w:val="24"/>
                <w:highlight w:val="none"/>
                <w:lang w:val="en-US" w:eastAsia="zh-CN"/>
              </w:rPr>
              <w:t>最低</w:t>
            </w:r>
            <w:r>
              <w:rPr>
                <w:rFonts w:hint="eastAsia" w:ascii="宋体" w:hAnsi="宋体" w:eastAsia="宋体" w:cs="宋体"/>
                <w:b/>
                <w:bCs/>
                <w:color w:val="auto"/>
                <w:kern w:val="0"/>
                <w:sz w:val="24"/>
                <w:szCs w:val="24"/>
                <w:highlight w:val="none"/>
              </w:rPr>
              <w:t>配置要求（人）</w:t>
            </w:r>
          </w:p>
        </w:tc>
      </w:tr>
      <w:tr w14:paraId="3679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03D751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289" w:type="dxa"/>
            <w:shd w:val="clear" w:color="auto" w:fill="auto"/>
            <w:vAlign w:val="center"/>
          </w:tcPr>
          <w:p w14:paraId="2868AD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军嶂一支路小游园</w:t>
            </w:r>
          </w:p>
        </w:tc>
        <w:tc>
          <w:tcPr>
            <w:tcW w:w="3615" w:type="dxa"/>
            <w:shd w:val="clear" w:color="auto" w:fill="auto"/>
            <w:vAlign w:val="center"/>
          </w:tcPr>
          <w:p w14:paraId="3214EB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军嶂新村B区南侧，盘龙北路东</w:t>
            </w:r>
          </w:p>
        </w:tc>
        <w:tc>
          <w:tcPr>
            <w:tcW w:w="1457" w:type="dxa"/>
            <w:shd w:val="clear" w:color="auto" w:fill="auto"/>
            <w:vAlign w:val="center"/>
          </w:tcPr>
          <w:p w14:paraId="59E959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17850</w:t>
            </w:r>
          </w:p>
        </w:tc>
        <w:tc>
          <w:tcPr>
            <w:tcW w:w="1457" w:type="dxa"/>
            <w:vMerge w:val="restart"/>
            <w:shd w:val="clear" w:color="auto" w:fill="auto"/>
            <w:vAlign w:val="center"/>
          </w:tcPr>
          <w:p w14:paraId="3D0FB82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r>
      <w:tr w14:paraId="57DD8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C9B91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289" w:type="dxa"/>
            <w:shd w:val="clear" w:color="auto" w:fill="auto"/>
            <w:vAlign w:val="center"/>
          </w:tcPr>
          <w:p w14:paraId="0E1898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军嶂新村A区南侧小游园</w:t>
            </w:r>
          </w:p>
        </w:tc>
        <w:tc>
          <w:tcPr>
            <w:tcW w:w="3615" w:type="dxa"/>
            <w:shd w:val="clear" w:color="auto" w:fill="auto"/>
            <w:vAlign w:val="center"/>
          </w:tcPr>
          <w:p w14:paraId="51FE25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军嶂新村A区南侧，盘龙北路东</w:t>
            </w:r>
          </w:p>
        </w:tc>
        <w:tc>
          <w:tcPr>
            <w:tcW w:w="1457" w:type="dxa"/>
            <w:shd w:val="clear" w:color="auto" w:fill="auto"/>
            <w:vAlign w:val="center"/>
          </w:tcPr>
          <w:p w14:paraId="62E30D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5462</w:t>
            </w:r>
          </w:p>
        </w:tc>
        <w:tc>
          <w:tcPr>
            <w:tcW w:w="1457" w:type="dxa"/>
            <w:vMerge w:val="continue"/>
            <w:shd w:val="clear" w:color="auto" w:fill="auto"/>
            <w:vAlign w:val="center"/>
          </w:tcPr>
          <w:p w14:paraId="27FBB17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EF0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711BB6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289" w:type="dxa"/>
            <w:shd w:val="clear" w:color="auto" w:fill="auto"/>
            <w:vAlign w:val="center"/>
          </w:tcPr>
          <w:p w14:paraId="099490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羊北游园</w:t>
            </w:r>
          </w:p>
        </w:tc>
        <w:tc>
          <w:tcPr>
            <w:tcW w:w="3615" w:type="dxa"/>
            <w:shd w:val="clear" w:color="auto" w:fill="auto"/>
            <w:vAlign w:val="center"/>
          </w:tcPr>
          <w:p w14:paraId="7F733C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塘绛路西侧，羊北路南侧至（公交公司对面）</w:t>
            </w:r>
          </w:p>
        </w:tc>
        <w:tc>
          <w:tcPr>
            <w:tcW w:w="1457" w:type="dxa"/>
            <w:shd w:val="clear" w:color="auto" w:fill="auto"/>
            <w:vAlign w:val="center"/>
          </w:tcPr>
          <w:p w14:paraId="066BA3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5725</w:t>
            </w:r>
          </w:p>
        </w:tc>
        <w:tc>
          <w:tcPr>
            <w:tcW w:w="1457" w:type="dxa"/>
            <w:vMerge w:val="continue"/>
            <w:shd w:val="clear" w:color="auto" w:fill="auto"/>
            <w:vAlign w:val="center"/>
          </w:tcPr>
          <w:p w14:paraId="6663CFC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D17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7B386C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289" w:type="dxa"/>
            <w:shd w:val="clear" w:color="auto" w:fill="auto"/>
            <w:vAlign w:val="center"/>
          </w:tcPr>
          <w:p w14:paraId="65B7D8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张庄巷河游园</w:t>
            </w:r>
          </w:p>
        </w:tc>
        <w:tc>
          <w:tcPr>
            <w:tcW w:w="3615" w:type="dxa"/>
            <w:shd w:val="clear" w:color="auto" w:fill="auto"/>
            <w:vAlign w:val="center"/>
          </w:tcPr>
          <w:p w14:paraId="05A0BF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蠡湖大道以西，金石路以东，大通路以北</w:t>
            </w:r>
          </w:p>
        </w:tc>
        <w:tc>
          <w:tcPr>
            <w:tcW w:w="1457" w:type="dxa"/>
            <w:shd w:val="clear" w:color="auto" w:fill="auto"/>
            <w:vAlign w:val="center"/>
          </w:tcPr>
          <w:p w14:paraId="7F653B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5355.6</w:t>
            </w:r>
          </w:p>
        </w:tc>
        <w:tc>
          <w:tcPr>
            <w:tcW w:w="1457" w:type="dxa"/>
            <w:vMerge w:val="continue"/>
            <w:shd w:val="clear" w:color="auto" w:fill="auto"/>
            <w:vAlign w:val="center"/>
          </w:tcPr>
          <w:p w14:paraId="6BC6059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32DD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57FBB6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289" w:type="dxa"/>
            <w:shd w:val="clear" w:color="auto" w:fill="auto"/>
            <w:vAlign w:val="center"/>
          </w:tcPr>
          <w:p w14:paraId="2CE791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缘溪道与具区路交叉口小游园</w:t>
            </w:r>
          </w:p>
        </w:tc>
        <w:tc>
          <w:tcPr>
            <w:tcW w:w="3615" w:type="dxa"/>
            <w:shd w:val="clear" w:color="auto" w:fill="auto"/>
            <w:vAlign w:val="center"/>
          </w:tcPr>
          <w:p w14:paraId="400593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具区路以南，缘溪道以东（交叉口东南侧）</w:t>
            </w:r>
          </w:p>
        </w:tc>
        <w:tc>
          <w:tcPr>
            <w:tcW w:w="1457" w:type="dxa"/>
            <w:shd w:val="clear" w:color="auto" w:fill="auto"/>
            <w:vAlign w:val="center"/>
          </w:tcPr>
          <w:p w14:paraId="14DED2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18678</w:t>
            </w:r>
          </w:p>
        </w:tc>
        <w:tc>
          <w:tcPr>
            <w:tcW w:w="1457" w:type="dxa"/>
            <w:vMerge w:val="continue"/>
            <w:shd w:val="clear" w:color="auto" w:fill="auto"/>
            <w:vAlign w:val="center"/>
          </w:tcPr>
          <w:p w14:paraId="6569C74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C81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6B175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289" w:type="dxa"/>
            <w:shd w:val="clear" w:color="auto" w:fill="auto"/>
            <w:vAlign w:val="center"/>
          </w:tcPr>
          <w:p w14:paraId="03B07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敬泰路（塘绛路—安南路）小游园</w:t>
            </w:r>
          </w:p>
        </w:tc>
        <w:tc>
          <w:tcPr>
            <w:tcW w:w="3615" w:type="dxa"/>
            <w:shd w:val="clear" w:color="auto" w:fill="auto"/>
            <w:vAlign w:val="center"/>
          </w:tcPr>
          <w:p w14:paraId="3AD652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塘绛路以东，安南路以西，敬泰路两侧</w:t>
            </w:r>
          </w:p>
        </w:tc>
        <w:tc>
          <w:tcPr>
            <w:tcW w:w="1457" w:type="dxa"/>
            <w:shd w:val="clear" w:color="auto" w:fill="auto"/>
            <w:vAlign w:val="center"/>
          </w:tcPr>
          <w:p w14:paraId="7C72D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12775.4</w:t>
            </w:r>
          </w:p>
        </w:tc>
        <w:tc>
          <w:tcPr>
            <w:tcW w:w="1457" w:type="dxa"/>
            <w:vMerge w:val="continue"/>
            <w:shd w:val="clear" w:color="auto" w:fill="auto"/>
            <w:vAlign w:val="center"/>
          </w:tcPr>
          <w:p w14:paraId="24F3231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753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06D92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289" w:type="dxa"/>
            <w:shd w:val="clear" w:color="auto" w:fill="auto"/>
            <w:vAlign w:val="center"/>
          </w:tcPr>
          <w:p w14:paraId="3F7D63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横山一支路游园</w:t>
            </w:r>
          </w:p>
        </w:tc>
        <w:tc>
          <w:tcPr>
            <w:tcW w:w="3615" w:type="dxa"/>
            <w:shd w:val="clear" w:color="auto" w:fill="auto"/>
            <w:vAlign w:val="center"/>
          </w:tcPr>
          <w:p w14:paraId="6C0A9A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清源路以南，具区路以北，横山一支路西侧</w:t>
            </w:r>
          </w:p>
        </w:tc>
        <w:tc>
          <w:tcPr>
            <w:tcW w:w="1457" w:type="dxa"/>
            <w:shd w:val="clear" w:color="auto" w:fill="auto"/>
            <w:vAlign w:val="center"/>
          </w:tcPr>
          <w:p w14:paraId="42BEDB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33084</w:t>
            </w:r>
          </w:p>
        </w:tc>
        <w:tc>
          <w:tcPr>
            <w:tcW w:w="1457" w:type="dxa"/>
            <w:vMerge w:val="continue"/>
            <w:shd w:val="clear" w:color="auto" w:fill="auto"/>
            <w:vAlign w:val="center"/>
          </w:tcPr>
          <w:p w14:paraId="77672B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DB5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23AAAA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289" w:type="dxa"/>
            <w:shd w:val="clear" w:color="auto" w:fill="auto"/>
            <w:vAlign w:val="center"/>
          </w:tcPr>
          <w:p w14:paraId="475116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山门口游园</w:t>
            </w:r>
          </w:p>
        </w:tc>
        <w:tc>
          <w:tcPr>
            <w:tcW w:w="3615" w:type="dxa"/>
            <w:shd w:val="clear" w:color="auto" w:fill="auto"/>
            <w:vAlign w:val="center"/>
          </w:tcPr>
          <w:p w14:paraId="1ED9C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山水东路西侧，山门口停车场南侧</w:t>
            </w:r>
          </w:p>
        </w:tc>
        <w:tc>
          <w:tcPr>
            <w:tcW w:w="1457" w:type="dxa"/>
            <w:shd w:val="clear" w:color="auto" w:fill="auto"/>
            <w:vAlign w:val="center"/>
          </w:tcPr>
          <w:p w14:paraId="60EB4D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12454.22</w:t>
            </w:r>
          </w:p>
        </w:tc>
        <w:tc>
          <w:tcPr>
            <w:tcW w:w="1457" w:type="dxa"/>
            <w:vMerge w:val="continue"/>
            <w:shd w:val="clear" w:color="auto" w:fill="auto"/>
            <w:vAlign w:val="center"/>
          </w:tcPr>
          <w:p w14:paraId="0CD6FB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D4A5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2856E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289" w:type="dxa"/>
            <w:shd w:val="clear" w:color="auto" w:fill="auto"/>
            <w:vAlign w:val="center"/>
          </w:tcPr>
          <w:p w14:paraId="1C4B6A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葛埭融创游园</w:t>
            </w:r>
          </w:p>
        </w:tc>
        <w:tc>
          <w:tcPr>
            <w:tcW w:w="3615" w:type="dxa"/>
            <w:shd w:val="clear" w:color="auto" w:fill="auto"/>
            <w:vAlign w:val="center"/>
          </w:tcPr>
          <w:p w14:paraId="2C5766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缘溪道东侧，地铁站1号出口</w:t>
            </w:r>
          </w:p>
        </w:tc>
        <w:tc>
          <w:tcPr>
            <w:tcW w:w="1457" w:type="dxa"/>
            <w:shd w:val="clear" w:color="auto" w:fill="auto"/>
            <w:vAlign w:val="center"/>
          </w:tcPr>
          <w:p w14:paraId="6EF0FE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10092</w:t>
            </w:r>
          </w:p>
        </w:tc>
        <w:tc>
          <w:tcPr>
            <w:tcW w:w="1457" w:type="dxa"/>
            <w:vMerge w:val="continue"/>
            <w:shd w:val="clear" w:color="auto" w:fill="auto"/>
            <w:vAlign w:val="center"/>
          </w:tcPr>
          <w:p w14:paraId="76FD07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1B7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1CF5E9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289" w:type="dxa"/>
            <w:shd w:val="clear" w:color="auto" w:fill="auto"/>
            <w:vAlign w:val="center"/>
          </w:tcPr>
          <w:p w14:paraId="7A1E65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南湖中路北侧</w:t>
            </w:r>
          </w:p>
        </w:tc>
        <w:tc>
          <w:tcPr>
            <w:tcW w:w="3615" w:type="dxa"/>
            <w:shd w:val="clear" w:color="auto" w:fill="auto"/>
            <w:vAlign w:val="center"/>
          </w:tcPr>
          <w:p w14:paraId="735C73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缘溪道西侧，笠泽路东侧，南湖中路北侧</w:t>
            </w:r>
          </w:p>
        </w:tc>
        <w:tc>
          <w:tcPr>
            <w:tcW w:w="1457" w:type="dxa"/>
            <w:shd w:val="clear" w:color="auto" w:fill="auto"/>
            <w:vAlign w:val="center"/>
          </w:tcPr>
          <w:p w14:paraId="0142F5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5040</w:t>
            </w:r>
          </w:p>
        </w:tc>
        <w:tc>
          <w:tcPr>
            <w:tcW w:w="1457" w:type="dxa"/>
            <w:vMerge w:val="continue"/>
            <w:shd w:val="clear" w:color="auto" w:fill="auto"/>
            <w:vAlign w:val="center"/>
          </w:tcPr>
          <w:p w14:paraId="58D8C05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736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59BC73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289" w:type="dxa"/>
            <w:shd w:val="clear" w:color="auto" w:fill="auto"/>
            <w:vAlign w:val="center"/>
          </w:tcPr>
          <w:p w14:paraId="3E045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敬泰路（消防队）小游园</w:t>
            </w:r>
          </w:p>
        </w:tc>
        <w:tc>
          <w:tcPr>
            <w:tcW w:w="3615" w:type="dxa"/>
            <w:shd w:val="clear" w:color="auto" w:fill="auto"/>
            <w:vAlign w:val="center"/>
          </w:tcPr>
          <w:p w14:paraId="704480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方泉支路东侧，消防队西侧，缘禧楼南侧，加兴汽车服务北侧</w:t>
            </w:r>
          </w:p>
        </w:tc>
        <w:tc>
          <w:tcPr>
            <w:tcW w:w="1457" w:type="dxa"/>
            <w:shd w:val="clear" w:color="auto" w:fill="auto"/>
            <w:vAlign w:val="center"/>
          </w:tcPr>
          <w:p w14:paraId="2156F8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10252</w:t>
            </w:r>
          </w:p>
        </w:tc>
        <w:tc>
          <w:tcPr>
            <w:tcW w:w="1457" w:type="dxa"/>
            <w:vMerge w:val="continue"/>
            <w:shd w:val="clear" w:color="auto" w:fill="auto"/>
            <w:vAlign w:val="center"/>
          </w:tcPr>
          <w:p w14:paraId="02101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02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51DB50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289" w:type="dxa"/>
            <w:shd w:val="clear" w:color="auto" w:fill="auto"/>
            <w:vAlign w:val="center"/>
          </w:tcPr>
          <w:p w14:paraId="50998D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五湖大道（上元楼）小游园</w:t>
            </w:r>
          </w:p>
        </w:tc>
        <w:tc>
          <w:tcPr>
            <w:tcW w:w="3615" w:type="dxa"/>
            <w:shd w:val="clear" w:color="auto" w:fill="auto"/>
            <w:vAlign w:val="center"/>
          </w:tcPr>
          <w:p w14:paraId="3BAC46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雪溪路南侧，五湖大道西侧，尚德路以北，小河东侧</w:t>
            </w:r>
          </w:p>
        </w:tc>
        <w:tc>
          <w:tcPr>
            <w:tcW w:w="1457" w:type="dxa"/>
            <w:shd w:val="clear" w:color="auto" w:fill="auto"/>
            <w:vAlign w:val="center"/>
          </w:tcPr>
          <w:p w14:paraId="25591D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4510</w:t>
            </w:r>
          </w:p>
        </w:tc>
        <w:tc>
          <w:tcPr>
            <w:tcW w:w="1457" w:type="dxa"/>
            <w:vMerge w:val="continue"/>
            <w:shd w:val="clear" w:color="auto" w:fill="auto"/>
            <w:vAlign w:val="center"/>
          </w:tcPr>
          <w:p w14:paraId="59250DF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C4F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555220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289" w:type="dxa"/>
            <w:shd w:val="clear" w:color="auto" w:fill="auto"/>
            <w:vAlign w:val="center"/>
          </w:tcPr>
          <w:p w14:paraId="119F75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南苑党建公园</w:t>
            </w:r>
          </w:p>
        </w:tc>
        <w:tc>
          <w:tcPr>
            <w:tcW w:w="3615" w:type="dxa"/>
            <w:shd w:val="clear" w:color="auto" w:fill="auto"/>
            <w:vAlign w:val="center"/>
          </w:tcPr>
          <w:p w14:paraId="0B6968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兴隆路东侧，南苑宾馆南侧，南苑新村北侧</w:t>
            </w:r>
          </w:p>
        </w:tc>
        <w:tc>
          <w:tcPr>
            <w:tcW w:w="1457" w:type="dxa"/>
            <w:shd w:val="clear" w:color="auto" w:fill="auto"/>
            <w:vAlign w:val="center"/>
          </w:tcPr>
          <w:p w14:paraId="452EC3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5916.5</w:t>
            </w:r>
          </w:p>
        </w:tc>
        <w:tc>
          <w:tcPr>
            <w:tcW w:w="1457" w:type="dxa"/>
            <w:vMerge w:val="continue"/>
            <w:shd w:val="clear" w:color="auto" w:fill="auto"/>
            <w:vAlign w:val="center"/>
          </w:tcPr>
          <w:p w14:paraId="6E4375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9F6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72C25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289" w:type="dxa"/>
            <w:shd w:val="clear" w:color="auto" w:fill="auto"/>
            <w:vAlign w:val="center"/>
          </w:tcPr>
          <w:p w14:paraId="33E34C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雪浪公园游园</w:t>
            </w:r>
          </w:p>
        </w:tc>
        <w:tc>
          <w:tcPr>
            <w:tcW w:w="3615" w:type="dxa"/>
            <w:shd w:val="clear" w:color="auto" w:fill="auto"/>
            <w:vAlign w:val="center"/>
          </w:tcPr>
          <w:p w14:paraId="22FB2A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雪浪公园东侧，震泽路南侧，河道西侧</w:t>
            </w:r>
          </w:p>
        </w:tc>
        <w:tc>
          <w:tcPr>
            <w:tcW w:w="1457" w:type="dxa"/>
            <w:shd w:val="clear" w:color="auto" w:fill="auto"/>
            <w:vAlign w:val="center"/>
          </w:tcPr>
          <w:p w14:paraId="3606EE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17007.9</w:t>
            </w:r>
          </w:p>
        </w:tc>
        <w:tc>
          <w:tcPr>
            <w:tcW w:w="1457" w:type="dxa"/>
            <w:vMerge w:val="continue"/>
            <w:shd w:val="clear" w:color="auto" w:fill="auto"/>
            <w:vAlign w:val="center"/>
          </w:tcPr>
          <w:p w14:paraId="647CD84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561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0CCC24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289" w:type="dxa"/>
            <w:shd w:val="clear" w:color="auto" w:fill="auto"/>
            <w:vAlign w:val="center"/>
          </w:tcPr>
          <w:p w14:paraId="55BF86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尧歌里花海游园</w:t>
            </w:r>
          </w:p>
        </w:tc>
        <w:tc>
          <w:tcPr>
            <w:tcW w:w="3615" w:type="dxa"/>
            <w:shd w:val="clear" w:color="auto" w:fill="auto"/>
            <w:vAlign w:val="center"/>
          </w:tcPr>
          <w:p w14:paraId="2D2EEA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山水东路东侧，尧歌路南侧，北至绿波美术馆，西至沿山</w:t>
            </w:r>
          </w:p>
        </w:tc>
        <w:tc>
          <w:tcPr>
            <w:tcW w:w="1457" w:type="dxa"/>
            <w:shd w:val="clear" w:color="auto" w:fill="auto"/>
            <w:vAlign w:val="center"/>
          </w:tcPr>
          <w:p w14:paraId="2E1633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33042.98</w:t>
            </w:r>
          </w:p>
        </w:tc>
        <w:tc>
          <w:tcPr>
            <w:tcW w:w="1457" w:type="dxa"/>
            <w:vMerge w:val="continue"/>
            <w:shd w:val="clear" w:color="auto" w:fill="auto"/>
            <w:vAlign w:val="center"/>
          </w:tcPr>
          <w:p w14:paraId="0B14F7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77E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4096B5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289" w:type="dxa"/>
            <w:shd w:val="clear" w:color="auto" w:fill="auto"/>
            <w:vAlign w:val="center"/>
          </w:tcPr>
          <w:p w14:paraId="053896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仙河苑周边游园</w:t>
            </w:r>
          </w:p>
        </w:tc>
        <w:tc>
          <w:tcPr>
            <w:tcW w:w="3615" w:type="dxa"/>
            <w:shd w:val="clear" w:color="auto" w:fill="auto"/>
            <w:vAlign w:val="center"/>
          </w:tcPr>
          <w:p w14:paraId="202275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五湖大道至万顺道（清源路北侧）</w:t>
            </w:r>
          </w:p>
        </w:tc>
        <w:tc>
          <w:tcPr>
            <w:tcW w:w="1457" w:type="dxa"/>
            <w:shd w:val="clear" w:color="auto" w:fill="auto"/>
            <w:vAlign w:val="center"/>
          </w:tcPr>
          <w:p w14:paraId="37A9C6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12128</w:t>
            </w:r>
          </w:p>
        </w:tc>
        <w:tc>
          <w:tcPr>
            <w:tcW w:w="1457" w:type="dxa"/>
            <w:vMerge w:val="continue"/>
            <w:shd w:val="clear" w:color="auto" w:fill="auto"/>
            <w:vAlign w:val="center"/>
          </w:tcPr>
          <w:p w14:paraId="3430C6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AD9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3BCCA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289" w:type="dxa"/>
            <w:shd w:val="clear" w:color="auto" w:fill="auto"/>
            <w:vAlign w:val="center"/>
          </w:tcPr>
          <w:p w14:paraId="5710A2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金桥学校南侧小游园</w:t>
            </w:r>
          </w:p>
        </w:tc>
        <w:tc>
          <w:tcPr>
            <w:tcW w:w="3615" w:type="dxa"/>
            <w:shd w:val="clear" w:color="auto" w:fill="auto"/>
            <w:vAlign w:val="center"/>
          </w:tcPr>
          <w:p w14:paraId="2CDB9B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塘绛路以东，安南路以西，南湖中路北侧至学校围墙</w:t>
            </w:r>
          </w:p>
        </w:tc>
        <w:tc>
          <w:tcPr>
            <w:tcW w:w="1457" w:type="dxa"/>
            <w:shd w:val="clear" w:color="auto" w:fill="auto"/>
            <w:vAlign w:val="center"/>
          </w:tcPr>
          <w:p w14:paraId="61BC6E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5437</w:t>
            </w:r>
          </w:p>
        </w:tc>
        <w:tc>
          <w:tcPr>
            <w:tcW w:w="1457" w:type="dxa"/>
            <w:vMerge w:val="continue"/>
            <w:shd w:val="clear" w:color="auto" w:fill="auto"/>
            <w:vAlign w:val="center"/>
          </w:tcPr>
          <w:p w14:paraId="757307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48A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775" w:type="dxa"/>
            <w:shd w:val="clear" w:color="auto" w:fill="auto"/>
            <w:vAlign w:val="center"/>
          </w:tcPr>
          <w:p w14:paraId="4EF808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289" w:type="dxa"/>
            <w:shd w:val="clear" w:color="auto" w:fill="auto"/>
            <w:vAlign w:val="center"/>
          </w:tcPr>
          <w:p w14:paraId="7621AF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九个节点</w:t>
            </w:r>
          </w:p>
        </w:tc>
        <w:tc>
          <w:tcPr>
            <w:tcW w:w="3615" w:type="dxa"/>
            <w:shd w:val="clear" w:color="auto" w:fill="auto"/>
            <w:vAlign w:val="center"/>
          </w:tcPr>
          <w:p w14:paraId="4E6839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清源路，五湖大道，震泽路</w:t>
            </w:r>
          </w:p>
        </w:tc>
        <w:tc>
          <w:tcPr>
            <w:tcW w:w="1457" w:type="dxa"/>
            <w:shd w:val="clear" w:color="auto" w:fill="auto"/>
            <w:vAlign w:val="center"/>
          </w:tcPr>
          <w:p w14:paraId="675CE3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13896</w:t>
            </w:r>
          </w:p>
        </w:tc>
        <w:tc>
          <w:tcPr>
            <w:tcW w:w="1457" w:type="dxa"/>
            <w:vMerge w:val="continue"/>
            <w:shd w:val="clear" w:color="auto" w:fill="auto"/>
            <w:vAlign w:val="center"/>
          </w:tcPr>
          <w:p w14:paraId="64AA961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0DA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75" w:type="dxa"/>
            <w:shd w:val="clear" w:color="auto" w:fill="auto"/>
            <w:vAlign w:val="center"/>
          </w:tcPr>
          <w:p w14:paraId="786705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289" w:type="dxa"/>
            <w:shd w:val="clear" w:color="auto" w:fill="auto"/>
            <w:vAlign w:val="center"/>
          </w:tcPr>
          <w:p w14:paraId="0BA5CC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金湾饭店东侧游园</w:t>
            </w:r>
          </w:p>
        </w:tc>
        <w:tc>
          <w:tcPr>
            <w:tcW w:w="3615" w:type="dxa"/>
            <w:shd w:val="clear" w:color="auto" w:fill="auto"/>
            <w:vAlign w:val="center"/>
          </w:tcPr>
          <w:p w14:paraId="33877E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南湖中路南匝道南侧，壬滨路东侧，蠡湖大道西侧，南至沿河</w:t>
            </w:r>
          </w:p>
        </w:tc>
        <w:tc>
          <w:tcPr>
            <w:tcW w:w="1457" w:type="dxa"/>
            <w:shd w:val="clear" w:color="auto" w:fill="auto"/>
            <w:vAlign w:val="center"/>
          </w:tcPr>
          <w:p w14:paraId="0AEC73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7376</w:t>
            </w:r>
          </w:p>
        </w:tc>
        <w:tc>
          <w:tcPr>
            <w:tcW w:w="1457" w:type="dxa"/>
            <w:vMerge w:val="continue"/>
            <w:shd w:val="clear" w:color="auto" w:fill="auto"/>
            <w:vAlign w:val="center"/>
          </w:tcPr>
          <w:p w14:paraId="69C3855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846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79" w:type="dxa"/>
            <w:gridSpan w:val="3"/>
            <w:shd w:val="clear" w:color="auto" w:fill="auto"/>
            <w:vAlign w:val="center"/>
          </w:tcPr>
          <w:p w14:paraId="6B825F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1457" w:type="dxa"/>
            <w:shd w:val="clear" w:color="auto" w:fill="auto"/>
            <w:vAlign w:val="center"/>
          </w:tcPr>
          <w:p w14:paraId="32BED0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236082.6</w:t>
            </w:r>
          </w:p>
        </w:tc>
        <w:tc>
          <w:tcPr>
            <w:tcW w:w="1457" w:type="dxa"/>
            <w:shd w:val="clear" w:color="auto" w:fill="auto"/>
            <w:vAlign w:val="center"/>
          </w:tcPr>
          <w:p w14:paraId="7348FD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6C56E9E8">
      <w:pPr>
        <w:pStyle w:val="23"/>
        <w:spacing w:line="360" w:lineRule="auto"/>
        <w:ind w:right="13" w:rightChars="6" w:firstLine="551" w:firstLineChars="196"/>
        <w:rPr>
          <w:rFonts w:hint="eastAsia" w:ascii="宋体" w:hAnsi="宋体" w:eastAsia="宋体" w:cs="宋体"/>
          <w:b/>
          <w:color w:val="auto"/>
          <w:sz w:val="28"/>
          <w:szCs w:val="28"/>
          <w:highlight w:val="none"/>
          <w:lang w:val="en-US" w:eastAsia="zh-CN"/>
        </w:rPr>
      </w:pPr>
    </w:p>
    <w:p w14:paraId="1D71E1EA">
      <w:pPr>
        <w:pStyle w:val="23"/>
        <w:spacing w:line="360" w:lineRule="auto"/>
        <w:ind w:right="13" w:rightChars="6" w:firstLine="551" w:firstLineChars="196"/>
        <w:rPr>
          <w:rFonts w:hint="eastAsia" w:ascii="宋体" w:hAnsi="宋体" w:eastAsia="宋体"/>
          <w:color w:val="auto"/>
          <w:sz w:val="24"/>
          <w:highlight w:val="none"/>
          <w:lang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绿化养护服务要求</w:t>
      </w:r>
      <w:r>
        <w:rPr>
          <w:rFonts w:hint="eastAsia" w:ascii="宋体" w:hAnsi="宋体" w:eastAsia="宋体" w:cs="宋体"/>
          <w:b/>
          <w:color w:val="auto"/>
          <w:sz w:val="28"/>
          <w:szCs w:val="28"/>
          <w:highlight w:val="none"/>
          <w:lang w:eastAsia="zh-CN"/>
        </w:rPr>
        <w:t>：</w:t>
      </w:r>
    </w:p>
    <w:p w14:paraId="606974E7">
      <w:pPr>
        <w:widowControl w:val="0"/>
        <w:tabs>
          <w:tab w:val="left" w:pos="0"/>
          <w:tab w:val="left" w:pos="1134"/>
        </w:tabs>
        <w:adjustRightInd w:val="0"/>
        <w:snapToGrid w:val="0"/>
        <w:spacing w:line="360" w:lineRule="auto"/>
        <w:ind w:firstLine="232" w:firstLineChars="97"/>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（一）绿化养护的质量标准和要求</w:t>
      </w:r>
    </w:p>
    <w:p w14:paraId="313A161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1、养护质量标准：</w:t>
      </w:r>
      <w:r>
        <w:rPr>
          <w:rFonts w:hint="eastAsia" w:ascii="宋体" w:hAnsi="宋体" w:eastAsia="宋体" w:cs="Verdana"/>
          <w:color w:val="auto"/>
          <w:kern w:val="0"/>
          <w:sz w:val="24"/>
          <w:szCs w:val="24"/>
          <w:highlight w:val="none"/>
        </w:rPr>
        <w:t>《江苏省城市园林绿化养护管理规范及分级标准》</w:t>
      </w:r>
      <w:r>
        <w:rPr>
          <w:rFonts w:hint="eastAsia" w:ascii="宋体" w:hAnsi="宋体" w:cs="Verdana"/>
          <w:color w:val="auto"/>
          <w:kern w:val="0"/>
          <w:sz w:val="24"/>
          <w:szCs w:val="24"/>
          <w:highlight w:val="none"/>
          <w:lang w:val="en-US" w:eastAsia="zh-CN"/>
        </w:rPr>
        <w:t>二</w:t>
      </w:r>
      <w:r>
        <w:rPr>
          <w:rFonts w:hint="eastAsia" w:ascii="宋体" w:hAnsi="宋体" w:eastAsia="宋体" w:cs="Verdana"/>
          <w:color w:val="auto"/>
          <w:kern w:val="0"/>
          <w:sz w:val="24"/>
          <w:szCs w:val="24"/>
          <w:highlight w:val="none"/>
        </w:rPr>
        <w:t>级养护标准</w:t>
      </w:r>
      <w:r>
        <w:rPr>
          <w:rFonts w:hint="eastAsia" w:ascii="宋体" w:hAnsi="宋体" w:eastAsia="宋体" w:cs="Verdana"/>
          <w:color w:val="auto"/>
          <w:kern w:val="0"/>
          <w:sz w:val="24"/>
          <w:szCs w:val="24"/>
          <w:highlight w:val="none"/>
          <w:lang w:eastAsia="zh-CN"/>
        </w:rPr>
        <w:t>，</w:t>
      </w:r>
      <w:r>
        <w:rPr>
          <w:rFonts w:hint="eastAsia" w:ascii="宋体" w:hAnsi="宋体" w:eastAsia="宋体" w:cs="Verdana"/>
          <w:color w:val="auto"/>
          <w:kern w:val="0"/>
          <w:sz w:val="24"/>
          <w:szCs w:val="24"/>
          <w:highlight w:val="none"/>
        </w:rPr>
        <w:t>符合现行的主管部门绿地养护管理考核办法及以后可能修订的考核办法规定</w:t>
      </w:r>
      <w:r>
        <w:rPr>
          <w:rFonts w:hint="eastAsia" w:ascii="宋体" w:hAnsi="宋体" w:eastAsia="宋体" w:cs="Times New Roman"/>
          <w:bCs/>
          <w:color w:val="auto"/>
          <w:kern w:val="2"/>
          <w:sz w:val="24"/>
          <w:szCs w:val="24"/>
          <w:highlight w:val="none"/>
          <w:lang w:val="en-US" w:eastAsia="zh-CN" w:bidi="ar-SA"/>
        </w:rPr>
        <w:t>。</w:t>
      </w:r>
    </w:p>
    <w:p w14:paraId="60271C33">
      <w:pPr>
        <w:tabs>
          <w:tab w:val="left" w:pos="1050"/>
        </w:tabs>
        <w:adjustRightInd w:val="0"/>
        <w:snapToGrid w:val="0"/>
        <w:spacing w:line="360" w:lineRule="auto"/>
        <w:ind w:firstLine="240" w:firstLineChars="1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 绿地设施日常养护的一般标准</w:t>
      </w:r>
    </w:p>
    <w:p w14:paraId="1F1F1271">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按照《江苏省城市园林绿化养护管理规范及分级标准》的要求，绿地养护应做到：</w:t>
      </w:r>
    </w:p>
    <w:p w14:paraId="3AE95F15">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绿地中的乔木、灌木、花卉、藤本和攀缘、地被和草坪等植物，凡经栽植成活一年以上的其保存率均应达到98％。植物生长健壮，群落结构合理，青枝绿叶、无死树、无缺株；修剪合理，树形优美、叶茂花盛；花卉地被栽植符合指标，无裸露地、草坪无空秃；病虫杂草控制良好，无大型杂草及缠绕、攀缘性杂草、无明显病虫危害迹象，控制病虫害危害率达标。保持绿地设施完好无损，并有良好的景观面貌。</w:t>
      </w:r>
    </w:p>
    <w:p w14:paraId="383154DC">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行道树修剪、剥芽符合技术规程，长势良好，有良好的群体效果：一条道路同一品种分枝点基本相同。无缺株、死株；树木倾斜度不超过10度；无断桩、坏桩，桩位绑扎规范化；基本无病虫害危害迹象；有防台措施。</w:t>
      </w:r>
    </w:p>
    <w:p w14:paraId="073C4BAE">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③养护标段内在日常养护中发生绿化苗木抽稀、调整和改善土质等工作，是正常的养护内容，</w:t>
      </w:r>
      <w:r>
        <w:rPr>
          <w:rFonts w:hint="eastAsia" w:ascii="宋体" w:hAnsi="宋体" w:eastAsia="宋体" w:cs="Times New Roman"/>
          <w:color w:val="auto"/>
          <w:kern w:val="2"/>
          <w:sz w:val="24"/>
          <w:szCs w:val="24"/>
          <w:highlight w:val="none"/>
          <w:lang w:val="en-US" w:eastAsia="zh-CN" w:bidi="ar-SA"/>
        </w:rPr>
        <w:t>每年对总量3%以内的乔木进行调整</w:t>
      </w:r>
      <w:r>
        <w:rPr>
          <w:rFonts w:hint="eastAsia" w:ascii="宋体" w:hAnsi="宋体" w:eastAsia="宋体" w:cs="Times New Roman"/>
          <w:bCs/>
          <w:color w:val="auto"/>
          <w:kern w:val="2"/>
          <w:sz w:val="24"/>
          <w:szCs w:val="24"/>
          <w:highlight w:val="none"/>
          <w:lang w:val="en-US" w:eastAsia="zh-CN" w:bidi="ar-SA"/>
        </w:rPr>
        <w:t>。</w:t>
      </w:r>
    </w:p>
    <w:p w14:paraId="2A3E5067">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④道路绿化隔离带植物叶面喷水除尘，春秋季每天早晨1次、夏季每天早晚各1次、冬季中午前后1次，雨天及冬季冰冻日除外。</w:t>
      </w:r>
    </w:p>
    <w:p w14:paraId="1BEA1CDA">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⑤硬质景观养护，包括园路、花台、花架、亭廊、座椅、栏杆、标志牌箱等园林小品等设施。应保持完好无损，发现缺损应及时修补、更换。</w:t>
      </w:r>
      <w:r>
        <w:rPr>
          <w:rFonts w:hint="eastAsia" w:ascii="宋体" w:hAnsi="宋体" w:eastAsia="宋体" w:cs="宋体"/>
          <w:color w:val="auto"/>
          <w:kern w:val="2"/>
          <w:sz w:val="24"/>
          <w:szCs w:val="24"/>
          <w:highlight w:val="none"/>
          <w:lang w:val="en-US" w:eastAsia="zh-CN" w:bidi="ar-SA"/>
        </w:rPr>
        <w:t>随时保持绿地清洁、美观。亭、廊整洁，无驳落物和痕迹，无垃圾。花坛、护栏等设施，经常维护，无破损残缺。园林装饰品完整、清洁，无破损、无丢失。绿地内座椅、果屑箱、标志牌等公共设施经常擦洗，及时清除设施上的牛皮癣及乱涂乱画痕迹，园路、广场及时清运草屑、树枝、死树等施工残留物。</w:t>
      </w:r>
      <w:r>
        <w:rPr>
          <w:rFonts w:hint="eastAsia" w:ascii="宋体" w:hAnsi="宋体" w:eastAsia="宋体" w:cs="Times New Roman"/>
          <w:bCs/>
          <w:color w:val="auto"/>
          <w:kern w:val="2"/>
          <w:sz w:val="24"/>
          <w:szCs w:val="24"/>
          <w:highlight w:val="none"/>
          <w:lang w:val="en-US" w:eastAsia="zh-CN" w:bidi="ar-SA"/>
        </w:rPr>
        <w:t xml:space="preserve">绿地内圆路、小品等硬质铺装及构筑物确保设施完整，做好日常保养维修工作，其中木（铁）质每年不少于1次油漆。绿地附属栏杆保持完好、完整，每年油漆1次。景观道路沿线绿地挡土墙因车辆撞击等各种因素破损、残缺的，事故发生后或事故现场清理后24小时内需修复。 </w:t>
      </w:r>
    </w:p>
    <w:p w14:paraId="35AD983F">
      <w:pPr>
        <w:tabs>
          <w:tab w:val="left" w:pos="1050"/>
        </w:tabs>
        <w:adjustRightInd w:val="0"/>
        <w:snapToGrid w:val="0"/>
        <w:spacing w:line="360" w:lineRule="auto"/>
        <w:ind w:firstLine="480" w:firstLineChars="200"/>
        <w:jc w:val="left"/>
        <w:rPr>
          <w:rFonts w:hint="default"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⑥因管理需要，</w:t>
      </w:r>
      <w:r>
        <w:rPr>
          <w:rFonts w:hint="eastAsia" w:ascii="宋体" w:hAnsi="宋体" w:eastAsia="宋体" w:cs="Times New Roman"/>
          <w:bCs/>
          <w:color w:val="auto"/>
          <w:kern w:val="2"/>
          <w:sz w:val="24"/>
          <w:szCs w:val="24"/>
          <w:highlight w:val="none"/>
          <w:lang w:val="en-US" w:eastAsia="zh-CN" w:bidi="ar-SA"/>
        </w:rPr>
        <w:t>专项养护方案合同期内应对投标文件中提出的行道树管养、草花布置、乔木修剪、花灌木修剪、色块管理、地被及草坪管养、空秃地整治、疏林、树木与各类设施的矛盾解决等有效提升绿地景观的专项养护方案，按照具体管理要求予以落实</w:t>
      </w:r>
      <w:r>
        <w:rPr>
          <w:rFonts w:hint="eastAsia" w:ascii="宋体" w:hAnsi="宋体" w:eastAsia="宋体" w:cs="Times New Roman"/>
          <w:color w:val="auto"/>
          <w:kern w:val="2"/>
          <w:sz w:val="24"/>
          <w:szCs w:val="24"/>
          <w:highlight w:val="none"/>
          <w:lang w:val="en-US" w:eastAsia="zh-CN" w:bidi="ar-SA"/>
        </w:rPr>
        <w:t>。</w:t>
      </w:r>
    </w:p>
    <w:p w14:paraId="1DA6A93B">
      <w:pPr>
        <w:tabs>
          <w:tab w:val="left" w:pos="1050"/>
        </w:tabs>
        <w:adjustRightInd w:val="0"/>
        <w:snapToGrid w:val="0"/>
        <w:spacing w:line="360" w:lineRule="auto"/>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⑦日常保洁养护内业资料齐全，做到有计划、有记录、有统计，并且资料与实际养护情况相符。</w:t>
      </w:r>
    </w:p>
    <w:p w14:paraId="7CFE5A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（2）绿地养护等级标准</w:t>
      </w:r>
    </w:p>
    <w:tbl>
      <w:tblPr>
        <w:tblStyle w:val="4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7922"/>
      </w:tblGrid>
      <w:tr w14:paraId="4690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473" w:type="dxa"/>
            <w:noWrap w:val="0"/>
            <w:vAlign w:val="center"/>
          </w:tcPr>
          <w:p w14:paraId="19EA9961">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等级标准</w:t>
            </w:r>
          </w:p>
        </w:tc>
        <w:tc>
          <w:tcPr>
            <w:tcW w:w="7922" w:type="dxa"/>
            <w:noWrap w:val="0"/>
            <w:vAlign w:val="center"/>
          </w:tcPr>
          <w:p w14:paraId="73C21B0B">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二级养护标准</w:t>
            </w:r>
          </w:p>
        </w:tc>
      </w:tr>
      <w:tr w14:paraId="0DBA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C2B866C">
            <w:pPr>
              <w:widowControl/>
              <w:adjustRightInd w:val="0"/>
              <w:snapToGrid w:val="0"/>
              <w:spacing w:line="360" w:lineRule="auto"/>
              <w:ind w:firstLine="200" w:firstLineChars="0"/>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乔、灌木</w:t>
            </w:r>
          </w:p>
        </w:tc>
        <w:tc>
          <w:tcPr>
            <w:tcW w:w="7922" w:type="dxa"/>
            <w:noWrap w:val="0"/>
            <w:vAlign w:val="center"/>
          </w:tcPr>
          <w:p w14:paraId="53247197">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①生长正常，树冠基本完整，主侧枝分枝基本均匀，数量适宜，内膛通风透光。</w:t>
            </w:r>
          </w:p>
          <w:p w14:paraId="13FC8815">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②叶色基本正常，有少量黄叶（生长季节）、焦叶、卷叶，有少量虫粪。</w:t>
            </w:r>
          </w:p>
          <w:p w14:paraId="3D267B1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③枝干生长正常，无明显枯死枝，害虫害虽有发生，但能及时防除。         ④缺株在4％以下（含4％）。不得有连续3棵缺株，补植树木与原树木径级不超过35％。</w:t>
            </w:r>
          </w:p>
          <w:p w14:paraId="188BB9C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⑤树穴内无垃圾及高型杂草、土壤不板结。</w:t>
            </w:r>
          </w:p>
        </w:tc>
      </w:tr>
      <w:tr w14:paraId="59FD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1473" w:type="dxa"/>
            <w:noWrap w:val="0"/>
            <w:vAlign w:val="center"/>
          </w:tcPr>
          <w:p w14:paraId="3EE79E16">
            <w:pPr>
              <w:widowControl/>
              <w:adjustRightInd w:val="0"/>
              <w:snapToGrid w:val="0"/>
              <w:spacing w:line="360" w:lineRule="auto"/>
              <w:ind w:firstLine="200"/>
              <w:jc w:val="center"/>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草坪</w:t>
            </w:r>
          </w:p>
        </w:tc>
        <w:tc>
          <w:tcPr>
            <w:tcW w:w="7922" w:type="dxa"/>
            <w:noWrap w:val="0"/>
            <w:vAlign w:val="center"/>
          </w:tcPr>
          <w:p w14:paraId="2BE1E40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①生长良好，杂草率≤25％，覆盖率达90％。                              ②修剪高度符合要求，能及时处理堆料堆物。                            ③单块空秃面积不超过0.3m2。</w:t>
            </w:r>
          </w:p>
        </w:tc>
      </w:tr>
      <w:tr w14:paraId="666CA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8" w:hRule="atLeast"/>
          <w:jc w:val="center"/>
        </w:trPr>
        <w:tc>
          <w:tcPr>
            <w:tcW w:w="1473" w:type="dxa"/>
            <w:noWrap w:val="0"/>
            <w:vAlign w:val="center"/>
          </w:tcPr>
          <w:p w14:paraId="000327A8">
            <w:pPr>
              <w:widowControl/>
              <w:adjustRightInd w:val="0"/>
              <w:snapToGrid w:val="0"/>
              <w:spacing w:line="360" w:lineRule="auto"/>
              <w:ind w:firstLine="200"/>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花卉</w:t>
            </w:r>
          </w:p>
        </w:tc>
        <w:tc>
          <w:tcPr>
            <w:tcW w:w="7922" w:type="dxa"/>
            <w:noWrap w:val="0"/>
            <w:vAlign w:val="center"/>
          </w:tcPr>
          <w:p w14:paraId="1BA1608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①全年换花四次。</w:t>
            </w:r>
          </w:p>
          <w:p w14:paraId="5F179397">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②花卉生长正常，缺株、倒伏不超过3～5处，无枯枝残花（残花量≤15％）。</w:t>
            </w:r>
          </w:p>
          <w:p w14:paraId="3FCCE330">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③花期基本整齐，覆盖面达75％以上。</w:t>
            </w:r>
          </w:p>
        </w:tc>
      </w:tr>
      <w:tr w14:paraId="3D04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7" w:hRule="atLeast"/>
          <w:jc w:val="center"/>
        </w:trPr>
        <w:tc>
          <w:tcPr>
            <w:tcW w:w="1473" w:type="dxa"/>
            <w:noWrap w:val="0"/>
            <w:vAlign w:val="center"/>
          </w:tcPr>
          <w:p w14:paraId="3532BE5D">
            <w:pPr>
              <w:widowControl/>
              <w:adjustRightInd w:val="0"/>
              <w:snapToGrid w:val="0"/>
              <w:spacing w:line="360" w:lineRule="auto"/>
              <w:jc w:val="center"/>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绿篱及地被</w:t>
            </w:r>
          </w:p>
        </w:tc>
        <w:tc>
          <w:tcPr>
            <w:tcW w:w="7922" w:type="dxa"/>
            <w:noWrap w:val="0"/>
            <w:vAlign w:val="center"/>
          </w:tcPr>
          <w:p w14:paraId="4AF0236B">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①生长正常。无明显枯枝、断枝。</w:t>
            </w:r>
          </w:p>
          <w:p w14:paraId="70C61AB6">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②修剪及时，形状较完整。</w:t>
            </w:r>
          </w:p>
          <w:p w14:paraId="5B4B0FBF">
            <w:pPr>
              <w:widowControl/>
              <w:adjustRightInd w:val="0"/>
              <w:snapToGrid w:val="0"/>
              <w:spacing w:line="360" w:lineRule="auto"/>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③基本无垃圾杂物。</w:t>
            </w:r>
          </w:p>
        </w:tc>
      </w:tr>
      <w:tr w14:paraId="280B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6" w:hRule="atLeast"/>
          <w:jc w:val="center"/>
        </w:trPr>
        <w:tc>
          <w:tcPr>
            <w:tcW w:w="1473" w:type="dxa"/>
            <w:noWrap w:val="0"/>
            <w:vAlign w:val="center"/>
          </w:tcPr>
          <w:p w14:paraId="7DD4EA87">
            <w:pPr>
              <w:widowControl/>
              <w:adjustRightInd w:val="0"/>
              <w:snapToGrid w:val="0"/>
              <w:spacing w:line="360" w:lineRule="auto"/>
              <w:ind w:firstLine="200"/>
              <w:jc w:val="left"/>
              <w:rPr>
                <w:rFonts w:hint="default"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混合花境</w:t>
            </w:r>
          </w:p>
        </w:tc>
        <w:tc>
          <w:tcPr>
            <w:tcW w:w="7922" w:type="dxa"/>
            <w:noWrap w:val="0"/>
            <w:vAlign w:val="center"/>
          </w:tcPr>
          <w:p w14:paraId="4901CD0E">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花境养护要求：</w:t>
            </w:r>
          </w:p>
          <w:p w14:paraId="63FF2E7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①花境养护设施清单内品种数量及各品种种植面积要保持不变。</w:t>
            </w:r>
          </w:p>
          <w:p w14:paraId="157AAB6D">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②现有花境内木本、宿根（球、块根）花卉比例与布局、位置不能变。</w:t>
            </w:r>
          </w:p>
          <w:p w14:paraId="1A08E65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③生长正常，无病虫害，无残花败叶，按自然花期开花。</w:t>
            </w:r>
          </w:p>
        </w:tc>
      </w:tr>
      <w:tr w14:paraId="39FB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4" w:hRule="atLeast"/>
          <w:jc w:val="center"/>
        </w:trPr>
        <w:tc>
          <w:tcPr>
            <w:tcW w:w="1473" w:type="dxa"/>
            <w:noWrap w:val="0"/>
            <w:vAlign w:val="center"/>
          </w:tcPr>
          <w:p w14:paraId="6F96A983">
            <w:pPr>
              <w:spacing w:line="360" w:lineRule="auto"/>
              <w:jc w:val="center"/>
              <w:rPr>
                <w:rFonts w:hint="default" w:ascii="宋体" w:hAnsi="宋体" w:eastAsia="宋体" w:cs="Times New Roman"/>
                <w:color w:val="auto"/>
                <w:kern w:val="2"/>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w:t>
            </w:r>
          </w:p>
        </w:tc>
        <w:tc>
          <w:tcPr>
            <w:tcW w:w="7922" w:type="dxa"/>
            <w:noWrap w:val="0"/>
            <w:vAlign w:val="center"/>
          </w:tcPr>
          <w:p w14:paraId="424BC35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花箱养护要求：</w:t>
            </w:r>
          </w:p>
          <w:p w14:paraId="1A3A820C">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①花卉种植及更换要求：花卉布置有计划，品种、色彩搭配合理、美观，配置新颖有特色。一年高档精品花卉换种八次以上，日常发现问题及时更换，更换方案每次由甲方确认后实施，元旦、五一、十一等重大节假日确保花卉更换品质。保证全年无死株、无枯株、无残花。</w:t>
            </w:r>
          </w:p>
          <w:p w14:paraId="1C63CDF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②长势良好、蓬型饱满，枝叶分布均匀，疏密合理，生长健壮，枝叶茂盛，色泽正常。</w:t>
            </w:r>
          </w:p>
          <w:p w14:paraId="00F37640">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③全年观赏效果优良，无枯枝残花、无缺株死株。</w:t>
            </w:r>
          </w:p>
          <w:p w14:paraId="73EEDC64">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④按需及时做好施肥、补水、修剪、病虫害防护措施。根据气候因素合理安排灌溉频率和灌溉量，遇到降雨则自动顺延。夏季高温要加强灌溉频率，安排清晨或傍晚最佳。</w:t>
            </w:r>
          </w:p>
          <w:p w14:paraId="7F84E471">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⑤损坏的花箱进行及时更换，花箱注意做好备份。</w:t>
            </w:r>
          </w:p>
          <w:p w14:paraId="061B9ED8">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⑥花箱种植宜以花期长、耐干旱并且枝叶饱满优美，花色艳丽的花卉品种为主体。</w:t>
            </w:r>
          </w:p>
          <w:p w14:paraId="48A8D46A">
            <w:pPr>
              <w:widowControl/>
              <w:adjustRightInd w:val="0"/>
              <w:snapToGrid w:val="0"/>
              <w:spacing w:line="360" w:lineRule="auto"/>
              <w:jc w:val="left"/>
              <w:rPr>
                <w:rFonts w:hint="eastAsia" w:ascii="宋体" w:hAnsi="宋体" w:eastAsia="宋体" w:cs="黑体"/>
                <w:color w:val="auto"/>
                <w:kern w:val="0"/>
                <w:sz w:val="24"/>
                <w:szCs w:val="24"/>
                <w:highlight w:val="none"/>
                <w:lang w:val="en-US" w:eastAsia="zh-CN" w:bidi="ar-SA"/>
              </w:rPr>
            </w:pPr>
            <w:r>
              <w:rPr>
                <w:rFonts w:hint="eastAsia" w:ascii="宋体" w:hAnsi="宋体" w:eastAsia="宋体" w:cs="黑体"/>
                <w:color w:val="auto"/>
                <w:kern w:val="0"/>
                <w:sz w:val="24"/>
                <w:szCs w:val="24"/>
                <w:highlight w:val="none"/>
                <w:lang w:val="en-US" w:eastAsia="zh-CN" w:bidi="ar-SA"/>
              </w:rPr>
              <w:t>⑦植物配植要表现花卉平面和立面的自然美，展现不同类花卉的形态。</w:t>
            </w:r>
          </w:p>
        </w:tc>
      </w:tr>
    </w:tbl>
    <w:p w14:paraId="30C38A6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2、防汛防台风要求</w:t>
      </w:r>
    </w:p>
    <w:p w14:paraId="240A649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（1）汛前准备：成立防汛领导小组，建立防汛通讯网络，落实抢险队伍，添置必需的防汛器材，以加强汛期抗险能力，做到召之即来。同时做好非汛期区域内全部绿地排水的疏通工作。</w:t>
      </w:r>
    </w:p>
    <w:p w14:paraId="348269AE">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（2）汛期抢险：安排人员加强值班，一旦预报有大到暴雨天气要组织人员外出巡查，并及时收听气象报告，做好气象、雨量记录。雨后，必须及时组织人员进行排水工作。</w:t>
      </w:r>
    </w:p>
    <w:p w14:paraId="68B8842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（3）台风季节应由专人值班，并在出现灾害后及时（24小时内）处理完毕。</w:t>
      </w:r>
    </w:p>
    <w:p w14:paraId="1C8585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（4）防雪灾准备及相应抢险措施同防汛抗台风要求。</w:t>
      </w:r>
    </w:p>
    <w:p w14:paraId="3FEE8BCB">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3、绿地日常管理</w:t>
      </w:r>
    </w:p>
    <w:p w14:paraId="612E6888">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每天进行绿地保洁，及时清除绿地内纸屑烟蒂果壳、垃圾堆物等不洁物，保持绿地清洁。景观道路沿线绿地保洁按季节特征实行动态巡视管理，确保早晨上班高峰时绿地清洁。（随绿地保洁权的归属而变更）</w:t>
      </w:r>
    </w:p>
    <w:p w14:paraId="2F3176BD">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行道树修剪、打药水和绿化隔离带喷水除尘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p>
    <w:p w14:paraId="0C57324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（3）及时清理绿地内的枯枝落叶，确保绿地整洁、美观。</w:t>
      </w:r>
    </w:p>
    <w:p w14:paraId="32D1F315">
      <w:pPr>
        <w:widowControl w:val="0"/>
        <w:tabs>
          <w:tab w:val="left" w:pos="0"/>
          <w:tab w:val="left" w:pos="1134"/>
        </w:tabs>
        <w:adjustRightInd w:val="0"/>
        <w:snapToGrid w:val="0"/>
        <w:spacing w:line="360" w:lineRule="auto"/>
        <w:ind w:firstLine="240" w:firstLineChars="100"/>
        <w:jc w:val="left"/>
        <w:rPr>
          <w:rFonts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w:t>
      </w:r>
      <w:r>
        <w:rPr>
          <w:rFonts w:hint="eastAsia" w:ascii="宋体" w:hAnsi="宋体" w:eastAsia="宋体" w:cs="Times New Roman"/>
          <w:bCs/>
          <w:color w:val="auto"/>
          <w:kern w:val="2"/>
          <w:sz w:val="24"/>
          <w:szCs w:val="24"/>
          <w:highlight w:val="none"/>
          <w:lang w:val="en-US" w:eastAsia="zh-CN" w:bidi="ar-SA"/>
        </w:rPr>
        <w:t>不得擅自变更绿地设施，</w:t>
      </w:r>
      <w:r>
        <w:rPr>
          <w:rFonts w:hint="eastAsia" w:ascii="宋体" w:hAnsi="宋体" w:eastAsia="宋体" w:cs="Times New Roman"/>
          <w:color w:val="auto"/>
          <w:kern w:val="2"/>
          <w:sz w:val="24"/>
          <w:szCs w:val="24"/>
          <w:highlight w:val="none"/>
          <w:lang w:val="en-US" w:eastAsia="zh-CN" w:bidi="ar-SA"/>
        </w:rPr>
        <w:t>如需变更，需经</w:t>
      </w:r>
      <w:r>
        <w:rPr>
          <w:rFonts w:hint="eastAsia" w:ascii="宋体" w:hAnsi="宋体" w:eastAsia="宋体" w:cs="Times New Roman"/>
          <w:bCs/>
          <w:color w:val="auto"/>
          <w:kern w:val="2"/>
          <w:sz w:val="24"/>
          <w:szCs w:val="24"/>
          <w:highlight w:val="none"/>
          <w:lang w:val="en-US" w:eastAsia="zh-CN" w:bidi="ar-SA"/>
        </w:rPr>
        <w:t>发包人同意，变更设施量报发包人备案。</w:t>
      </w:r>
    </w:p>
    <w:p w14:paraId="685D2798">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4、单列专项质量：</w:t>
      </w:r>
    </w:p>
    <w:p w14:paraId="500C8FEF">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对单列专项的项目，承包人必须按发包人的具体指令要求实施。</w:t>
      </w:r>
    </w:p>
    <w:p w14:paraId="53E821F7">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5、文明安全养护要求</w:t>
      </w:r>
    </w:p>
    <w:p w14:paraId="4C32F704">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（1）乙方应有安全员，并对施工人员进行安全教育并对施工设备和现场进行安全检查。</w:t>
      </w:r>
    </w:p>
    <w:p w14:paraId="6A4E2996">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（2）在夜间养护作业必须在作业地域内设置明显警戒标志，绿化养护人员必须穿反光背心。</w:t>
      </w:r>
    </w:p>
    <w:p w14:paraId="1FA519BC">
      <w:pPr>
        <w:widowControl w:val="0"/>
        <w:tabs>
          <w:tab w:val="left" w:pos="0"/>
          <w:tab w:val="left" w:pos="1134"/>
        </w:tabs>
        <w:adjustRightInd w:val="0"/>
        <w:snapToGrid w:val="0"/>
        <w:spacing w:line="360" w:lineRule="auto"/>
        <w:ind w:firstLine="240" w:firstLineChars="1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（3）绿化养护作业时，应做到文明作业，随时保持道路的清洁、畅通，并由专人负责监管，以确保文明安全养护。</w:t>
      </w:r>
    </w:p>
    <w:p w14:paraId="75EB311A">
      <w:pPr>
        <w:widowControl w:val="0"/>
        <w:tabs>
          <w:tab w:val="left" w:pos="0"/>
          <w:tab w:val="left" w:pos="1134"/>
        </w:tabs>
        <w:adjustRightInd w:val="0"/>
        <w:snapToGrid w:val="0"/>
        <w:spacing w:line="360" w:lineRule="auto"/>
        <w:ind w:firstLine="240" w:firstLineChars="1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（4）应做到文明作业。</w:t>
      </w:r>
    </w:p>
    <w:p w14:paraId="1E9A3F39">
      <w:pPr>
        <w:spacing w:line="360" w:lineRule="auto"/>
        <w:ind w:firstLine="562" w:firstLineChars="200"/>
        <w:rPr>
          <w:rFonts w:hint="eastAsia" w:ascii="宋体" w:hAnsi="宋体" w:eastAsia="宋体" w:cs="Verdana"/>
          <w:b/>
          <w:color w:val="auto"/>
          <w:kern w:val="0"/>
          <w:sz w:val="24"/>
          <w:szCs w:val="24"/>
          <w:highlight w:val="none"/>
          <w:lang w:val="en-US" w:eastAsia="zh-CN" w:bidi="ar-SA"/>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其他要求</w:t>
      </w:r>
      <w:r>
        <w:rPr>
          <w:rFonts w:hint="eastAsia" w:ascii="宋体" w:hAnsi="宋体" w:eastAsia="宋体" w:cs="宋体"/>
          <w:b/>
          <w:color w:val="auto"/>
          <w:sz w:val="28"/>
          <w:szCs w:val="28"/>
          <w:highlight w:val="none"/>
          <w:lang w:eastAsia="zh-CN"/>
        </w:rPr>
        <w:t>：</w:t>
      </w:r>
    </w:p>
    <w:p w14:paraId="3E1733FB">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拟派项目负责人</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后须常驻本项目现场，每月25日前制定详细绿化养护计划书提交甲方确定，并严格按照养护计划执行，且</w:t>
      </w:r>
      <w:r>
        <w:rPr>
          <w:rFonts w:hint="eastAsia" w:ascii="宋体" w:hAnsi="宋体" w:cs="宋体"/>
          <w:bCs/>
          <w:color w:val="auto"/>
          <w:sz w:val="24"/>
          <w:szCs w:val="24"/>
          <w:highlight w:val="none"/>
          <w:lang w:eastAsia="zh-CN"/>
        </w:rPr>
        <w:t>常驻</w:t>
      </w:r>
      <w:r>
        <w:rPr>
          <w:rFonts w:hint="eastAsia" w:ascii="宋体" w:hAnsi="宋体" w:eastAsia="宋体" w:cs="宋体"/>
          <w:bCs/>
          <w:color w:val="auto"/>
          <w:sz w:val="24"/>
          <w:szCs w:val="24"/>
          <w:highlight w:val="none"/>
        </w:rPr>
        <w:t>现场的养护技术工人不得兼任</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项目。</w:t>
      </w:r>
    </w:p>
    <w:p w14:paraId="766F160E">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绿化养护人员工资待遇需符合国家、省、市相关政策。本项目配置服务人员中，退休返聘等依法可不缴纳社会保险人员占项目总配备人员比例不得高于</w:t>
      </w: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%；投标人投标报价须按符合社保缴纳规定人员足额测算相关人工成本；中标后采购人有权核验人员资料，不满足比例要求视为违约。</w:t>
      </w:r>
    </w:p>
    <w:p w14:paraId="42AE9576">
      <w:pPr>
        <w:keepNext w:val="0"/>
        <w:keepLines w:val="0"/>
        <w:pageBreakBefore w:val="0"/>
        <w:tabs>
          <w:tab w:val="left" w:pos="0"/>
          <w:tab w:val="left" w:pos="1134"/>
        </w:tabs>
        <w:spacing w:line="360" w:lineRule="auto"/>
        <w:ind w:firstLine="480"/>
        <w:jc w:val="left"/>
        <w:rPr>
          <w:rFonts w:hint="default" w:eastAsia="宋体"/>
          <w:b w:val="0"/>
          <w:bCs/>
          <w:color w:val="auto"/>
          <w:highlight w:val="none"/>
          <w:lang w:val="en-US" w:eastAsia="zh-CN"/>
        </w:rPr>
      </w:pPr>
      <w:r>
        <w:rPr>
          <w:rFonts w:hint="eastAsia" w:ascii="宋体" w:hAnsi="宋体" w:eastAsia="宋体" w:cs="宋体"/>
          <w:b w:val="0"/>
          <w:bCs/>
          <w:color w:val="auto"/>
          <w:sz w:val="24"/>
          <w:szCs w:val="24"/>
          <w:highlight w:val="none"/>
          <w:lang w:val="en-US" w:eastAsia="zh-CN"/>
        </w:rPr>
        <w:t>3、人工费</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包括按各级绿地最大管养面积应配备的绿化管理养护工人和管理人员的全部工资（符合无锡市最低工资标准2660元/月/人）、奖金、房补、劳保福利、社保、医疗保险、工伤保险等，教育培训费，暂住费及处理一切伤亡事故等的费用。</w:t>
      </w:r>
    </w:p>
    <w:p w14:paraId="41F5EA65">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4、中标</w:t>
      </w:r>
      <w:r>
        <w:rPr>
          <w:rFonts w:hint="eastAsia" w:ascii="宋体" w:hAnsi="宋体" w:eastAsia="宋体" w:cs="宋体"/>
          <w:bCs/>
          <w:color w:val="auto"/>
          <w:sz w:val="24"/>
          <w:szCs w:val="24"/>
          <w:highlight w:val="none"/>
        </w:rPr>
        <w:t>单位应按照相关规定，与所有聘用人员依法签订劳动合同，并承担聘用人员一切意外事件造成人身伤害等损失的费用。</w:t>
      </w:r>
    </w:p>
    <w:p w14:paraId="140EAE33">
      <w:pPr>
        <w:keepNext w:val="0"/>
        <w:keepLines w:val="0"/>
        <w:pageBreakBefore w:val="0"/>
        <w:tabs>
          <w:tab w:val="left" w:pos="0"/>
          <w:tab w:val="left" w:pos="1134"/>
        </w:tabs>
        <w:spacing w:line="360" w:lineRule="auto"/>
        <w:ind w:firstLine="480"/>
        <w:jc w:val="left"/>
        <w:rPr>
          <w:rFonts w:hint="eastAsia" w:eastAsia="宋体"/>
          <w:color w:val="auto"/>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报价包括在服务期内绿化养护所需要的人工、材料、机械、农药、化肥、易耗品、管理、维护、保险、利润、税金、政策性文件规定及合同包含的所有风险、责任等一切费用。供应商报价时应充分考虑服务期内所有可能影响到报价的因素，如发生漏、缺、少项，都将被认为是供应商的报价让利行为，损失自负。</w:t>
      </w:r>
    </w:p>
    <w:p w14:paraId="5AC34B2F">
      <w:pPr>
        <w:keepNext w:val="0"/>
        <w:keepLines w:val="0"/>
        <w:pageBreakBefore w:val="0"/>
        <w:tabs>
          <w:tab w:val="left" w:pos="0"/>
          <w:tab w:val="left" w:pos="1134"/>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属于服务范围、内容的项目，</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单位应当在接到采购人通知起，一般问题响应时间不超过12小时，重大问题不超过24小时。</w:t>
      </w:r>
    </w:p>
    <w:p w14:paraId="3FE1FC32">
      <w:pPr>
        <w:keepNext w:val="0"/>
        <w:keepLines w:val="0"/>
        <w:pageBreakBefore w:val="0"/>
        <w:tabs>
          <w:tab w:val="left" w:pos="0"/>
          <w:tab w:val="left" w:pos="1134"/>
        </w:tabs>
        <w:spacing w:line="360" w:lineRule="auto"/>
        <w:ind w:firstLine="480"/>
        <w:jc w:val="both"/>
        <w:rPr>
          <w:rFonts w:hint="eastAsia"/>
          <w:color w:val="auto"/>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如有突击性任务，</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 xml:space="preserve">单位必须及时到位，配合完成任务。 </w:t>
      </w:r>
    </w:p>
    <w:p w14:paraId="09DB68FC">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8、考核及奖惩办法（考核表详见合同附件）</w:t>
      </w:r>
    </w:p>
    <w:p w14:paraId="0BCE3259">
      <w:pPr>
        <w:widowControl w:val="0"/>
        <w:tabs>
          <w:tab w:val="left" w:pos="0"/>
          <w:tab w:val="left" w:pos="1134"/>
        </w:tabs>
        <w:adjustRightInd w:val="0"/>
        <w:snapToGrid w:val="0"/>
        <w:spacing w:line="360" w:lineRule="auto"/>
        <w:ind w:firstLine="480" w:firstLineChars="200"/>
        <w:jc w:val="left"/>
        <w:rPr>
          <w:rFonts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p>
    <w:p w14:paraId="436CDCA9">
      <w:pPr>
        <w:widowControl w:val="0"/>
        <w:tabs>
          <w:tab w:val="left" w:pos="0"/>
          <w:tab w:val="left" w:pos="1134"/>
        </w:tabs>
        <w:adjustRightInd w:val="0"/>
        <w:snapToGrid w:val="0"/>
        <w:spacing w:line="360" w:lineRule="auto"/>
        <w:ind w:firstLine="480" w:firstLineChars="200"/>
        <w:jc w:val="lef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（2）绿化养护质量考核得分作为合同经费拨付及考核扣款依据。</w:t>
      </w:r>
    </w:p>
    <w:p w14:paraId="49704EB1">
      <w:pPr>
        <w:spacing w:line="360" w:lineRule="auto"/>
        <w:ind w:firstLine="600" w:firstLineChars="200"/>
        <w:rPr>
          <w:rFonts w:ascii="宋体" w:hAnsi="宋体"/>
          <w:b/>
          <w:color w:val="auto"/>
          <w:sz w:val="30"/>
          <w:szCs w:val="30"/>
          <w:highlight w:val="none"/>
        </w:rPr>
      </w:pPr>
      <w:r>
        <w:rPr>
          <w:rFonts w:hint="eastAsia" w:ascii="宋体" w:hAnsi="宋体"/>
          <w:b/>
          <w:color w:val="auto"/>
          <w:sz w:val="30"/>
          <w:szCs w:val="30"/>
          <w:highlight w:val="none"/>
        </w:rPr>
        <w:t>第二部分  有关说明</w:t>
      </w:r>
    </w:p>
    <w:p w14:paraId="1D0BE1CC">
      <w:pPr>
        <w:numPr>
          <w:ilvl w:val="1"/>
          <w:numId w:val="8"/>
        </w:numPr>
        <w:tabs>
          <w:tab w:val="left" w:pos="945"/>
        </w:tabs>
        <w:spacing w:line="360" w:lineRule="auto"/>
        <w:ind w:left="0" w:firstLine="480"/>
        <w:rPr>
          <w:rFonts w:ascii="宋体"/>
          <w:bCs/>
          <w:color w:val="auto"/>
          <w:sz w:val="24"/>
          <w:szCs w:val="24"/>
          <w:highlight w:val="none"/>
        </w:rPr>
      </w:pPr>
      <w:r>
        <w:rPr>
          <w:rFonts w:hint="eastAsia" w:ascii="宋体" w:hAnsi="宋体"/>
          <w:color w:val="auto"/>
          <w:sz w:val="24"/>
          <w:szCs w:val="24"/>
          <w:highlight w:val="none"/>
        </w:rPr>
        <w:t>投标人报价时应充分考虑服务期内所有可能</w:t>
      </w:r>
      <w:r>
        <w:rPr>
          <w:rFonts w:hint="eastAsia" w:ascii="宋体" w:hAnsi="宋体"/>
          <w:color w:val="auto"/>
          <w:sz w:val="24"/>
          <w:szCs w:val="24"/>
          <w:highlight w:val="none"/>
          <w:lang w:eastAsia="zh-CN"/>
        </w:rPr>
        <w:t>影响</w:t>
      </w:r>
      <w:r>
        <w:rPr>
          <w:rFonts w:hint="eastAsia" w:ascii="宋体" w:hAnsi="宋体"/>
          <w:color w:val="auto"/>
          <w:sz w:val="24"/>
          <w:szCs w:val="24"/>
          <w:highlight w:val="none"/>
        </w:rPr>
        <w:t>报价的因素，包括最低工资标准及社保基数的政策性调整、一旦投标结束最终中标，总价固定，不予调整。</w:t>
      </w:r>
    </w:p>
    <w:p w14:paraId="6C14BD72">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olor w:val="auto"/>
          <w:sz w:val="24"/>
          <w:highlight w:val="none"/>
        </w:rPr>
        <w:t>员工工资、社保费用、税金、保险等法定费用为不可让利部分（不可竞争费用），须按规定计算，投标总报价不可低于上述相关费用合计，否则作无效投标处理。</w:t>
      </w:r>
    </w:p>
    <w:p w14:paraId="75A787CD">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cs="仿宋_GB2312"/>
          <w:color w:val="auto"/>
          <w:sz w:val="24"/>
          <w:szCs w:val="24"/>
          <w:highlight w:val="none"/>
        </w:rPr>
        <w:t>中标单位应按照相关规定，与所有聘用人员依法签订劳动合同。</w:t>
      </w:r>
    </w:p>
    <w:p w14:paraId="683BED16">
      <w:pPr>
        <w:numPr>
          <w:ilvl w:val="1"/>
          <w:numId w:val="8"/>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投标人必须在满足采购文件要求的基础上进行报价，如有服务偏离请于投标偏离表中说明。</w:t>
      </w:r>
    </w:p>
    <w:p w14:paraId="183A1837">
      <w:pPr>
        <w:numPr>
          <w:ilvl w:val="1"/>
          <w:numId w:val="8"/>
        </w:numPr>
        <w:tabs>
          <w:tab w:val="left" w:pos="525"/>
          <w:tab w:val="left" w:pos="945"/>
        </w:tabs>
        <w:spacing w:line="360" w:lineRule="auto"/>
        <w:ind w:left="0"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rPr>
        <w:t>付款方式：</w:t>
      </w:r>
      <w:r>
        <w:rPr>
          <w:rFonts w:hint="eastAsia" w:ascii="宋体" w:hAnsi="宋体"/>
          <w:b/>
          <w:bCs w:val="0"/>
          <w:color w:val="auto"/>
          <w:sz w:val="24"/>
          <w:szCs w:val="24"/>
          <w:highlight w:val="none"/>
          <w:lang w:val="en-US" w:eastAsia="zh-CN"/>
        </w:rPr>
        <w:t>合同签订后支付合同价款的30%作为预付款，剩余款项按半年度付款，服务费按照考核情况每半年度结算支付一次。实际支付按财政拨付计划结算养护经费</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（结算费用时扣除预付款金额，预付款金额全部扣除后，后续服务费不再扣除）</w:t>
      </w:r>
    </w:p>
    <w:p w14:paraId="1787A1D7">
      <w:pPr>
        <w:numPr>
          <w:ilvl w:val="1"/>
          <w:numId w:val="8"/>
        </w:numPr>
        <w:tabs>
          <w:tab w:val="left" w:pos="525"/>
          <w:tab w:val="left" w:pos="630"/>
          <w:tab w:val="left" w:pos="735"/>
          <w:tab w:val="left" w:pos="94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78AB4665">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610BAA8A">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12B5112D">
      <w:pPr>
        <w:numPr>
          <w:ilvl w:val="1"/>
          <w:numId w:val="8"/>
        </w:numPr>
        <w:tabs>
          <w:tab w:val="left" w:pos="525"/>
          <w:tab w:val="left" w:pos="630"/>
          <w:tab w:val="left" w:pos="735"/>
          <w:tab w:val="left" w:pos="945"/>
        </w:tabs>
        <w:spacing w:line="360" w:lineRule="auto"/>
        <w:ind w:left="0" w:firstLine="480"/>
        <w:rPr>
          <w:rFonts w:hint="eastAsia" w:ascii="宋体"/>
          <w:bCs/>
          <w:color w:val="auto"/>
          <w:sz w:val="24"/>
          <w:szCs w:val="24"/>
          <w:highlight w:val="none"/>
        </w:rPr>
      </w:pP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7BA58727">
      <w:pPr>
        <w:widowControl w:val="0"/>
        <w:tabs>
          <w:tab w:val="left" w:pos="0"/>
          <w:tab w:val="left" w:pos="1134"/>
        </w:tabs>
        <w:adjustRightInd w:val="0"/>
        <w:snapToGrid w:val="0"/>
        <w:spacing w:line="360" w:lineRule="auto"/>
        <w:ind w:firstLine="360" w:firstLineChars="150"/>
        <w:jc w:val="left"/>
        <w:rPr>
          <w:rFonts w:ascii="宋体" w:hAnsi="宋体" w:eastAsia="宋体" w:cs="Times New Roman"/>
          <w:bCs/>
          <w:color w:val="auto"/>
          <w:kern w:val="2"/>
          <w:sz w:val="24"/>
          <w:szCs w:val="24"/>
          <w:highlight w:val="none"/>
          <w:lang w:val="en-US" w:eastAsia="zh-CN" w:bidi="ar-SA"/>
        </w:rPr>
      </w:pPr>
      <w:r>
        <w:rPr>
          <w:rFonts w:hint="eastAsia" w:ascii="宋体" w:hAnsi="宋体"/>
          <w:bCs/>
          <w:color w:val="auto"/>
          <w:sz w:val="24"/>
          <w:highlight w:val="none"/>
        </w:rPr>
        <w:t>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1AD9464F">
      <w:pPr>
        <w:spacing w:line="360" w:lineRule="auto"/>
        <w:ind w:firstLine="600" w:firstLineChars="200"/>
        <w:rPr>
          <w:rFonts w:hint="eastAsia" w:ascii="宋体" w:hAnsi="宋体"/>
          <w:b/>
          <w:bCs/>
          <w:color w:val="auto"/>
          <w:sz w:val="30"/>
          <w:szCs w:val="30"/>
          <w:highlight w:val="none"/>
        </w:rPr>
      </w:pPr>
      <w:r>
        <w:rPr>
          <w:rFonts w:hint="eastAsia" w:ascii="宋体" w:hAnsi="宋体"/>
          <w:b/>
          <w:color w:val="auto"/>
          <w:sz w:val="30"/>
          <w:szCs w:val="30"/>
          <w:highlight w:val="none"/>
        </w:rPr>
        <w:t>第三部分  政府采购政策（包括但不限于下列具体政策要求）</w:t>
      </w:r>
    </w:p>
    <w:p w14:paraId="364FBEDF">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1.</w:t>
      </w: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0CCC803">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2.</w:t>
      </w: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74527E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7F19BBE8">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73EB4C49">
      <w:pPr>
        <w:numPr>
          <w:ilvl w:val="1"/>
          <w:numId w:val="0"/>
        </w:numPr>
        <w:tabs>
          <w:tab w:val="left" w:pos="525"/>
          <w:tab w:val="left" w:pos="945"/>
        </w:tabs>
        <w:spacing w:line="360" w:lineRule="auto"/>
        <w:ind w:left="0" w:leftChars="0" w:firstLine="525" w:firstLineChars="0"/>
        <w:rPr>
          <w:rFonts w:hint="eastAsia" w:ascii="宋体"/>
          <w:bCs/>
          <w:color w:val="auto"/>
          <w:sz w:val="24"/>
          <w:szCs w:val="24"/>
          <w:highlight w:val="none"/>
        </w:rPr>
      </w:pPr>
      <w:r>
        <w:rPr>
          <w:rFonts w:hint="eastAsia" w:ascii="宋体" w:cs="Times New Roman" w:hAnsiTheme="minorHAnsi" w:eastAsiaTheme="minorEastAsia"/>
          <w:bCs/>
          <w:color w:val="auto"/>
          <w:sz w:val="24"/>
          <w:szCs w:val="24"/>
          <w:highlight w:val="none"/>
        </w:rPr>
        <w:t>3.</w:t>
      </w:r>
      <w:r>
        <w:rPr>
          <w:rFonts w:hint="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4F34A9B">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eastAsia="宋体"/>
          <w:bCs/>
          <w:color w:val="auto"/>
          <w:sz w:val="24"/>
          <w:szCs w:val="24"/>
          <w:highlight w:val="none"/>
          <w:lang w:val="en-US" w:eastAsia="zh-CN"/>
        </w:rPr>
        <w:t>4.</w:t>
      </w:r>
      <w:r>
        <w:rPr>
          <w:rFonts w:hint="eastAsia" w:ascii="宋体"/>
          <w:bCs/>
          <w:color w:val="auto"/>
          <w:sz w:val="24"/>
          <w:szCs w:val="24"/>
          <w:highlight w:val="none"/>
        </w:rPr>
        <w:t>有关中小企业政策，如落实政府采购政策需满足的资格要求以及落实政府采购政策的价</w:t>
      </w:r>
      <w:r>
        <w:rPr>
          <w:rFonts w:hint="eastAsia" w:ascii="宋体"/>
          <w:bCs/>
          <w:color w:val="auto"/>
          <w:sz w:val="24"/>
          <w:szCs w:val="24"/>
          <w:highlight w:val="none"/>
          <w:lang w:val="en"/>
        </w:rPr>
        <w:t>格调整的相关内容可详见本文件其他章节。</w:t>
      </w:r>
    </w:p>
    <w:p w14:paraId="3EFE9405">
      <w:pPr>
        <w:tabs>
          <w:tab w:val="left" w:pos="525"/>
          <w:tab w:val="left" w:pos="630"/>
          <w:tab w:val="left" w:pos="735"/>
          <w:tab w:val="left" w:pos="945"/>
          <w:tab w:val="left" w:pos="1080"/>
        </w:tabs>
        <w:spacing w:line="360" w:lineRule="auto"/>
        <w:ind w:firstLine="480"/>
        <w:rPr>
          <w:rFonts w:hint="eastAsia"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lang w:val="en"/>
        </w:rPr>
        <w:t>中标、成交供应商可采用合同融资形式，中标人可凭政府采购合同办理融资贷款，详见政</w:t>
      </w:r>
      <w:r>
        <w:rPr>
          <w:rFonts w:hint="eastAsia" w:ascii="宋体"/>
          <w:bCs/>
          <w:color w:val="auto"/>
          <w:sz w:val="24"/>
          <w:szCs w:val="24"/>
          <w:highlight w:val="none"/>
        </w:rPr>
        <w:t>府采购网“政采贷”专栏。</w:t>
      </w:r>
    </w:p>
    <w:p w14:paraId="5ACF89EB">
      <w:pPr>
        <w:numPr>
          <w:ilvl w:val="1"/>
          <w:numId w:val="0"/>
        </w:numPr>
        <w:tabs>
          <w:tab w:val="left" w:pos="525"/>
          <w:tab w:val="left" w:pos="945"/>
        </w:tabs>
        <w:spacing w:line="360" w:lineRule="auto"/>
        <w:ind w:left="0" w:leftChars="0" w:firstLine="525" w:firstLineChars="0"/>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rPr>
        <w:t>6</w:t>
      </w:r>
      <w:r>
        <w:rPr>
          <w:rFonts w:hint="eastAsia" w:ascii="宋体" w:hAnsi="宋体" w:cs="Times New Roman" w:eastAsiaTheme="minorEastAsia"/>
          <w:color w:val="auto"/>
          <w:sz w:val="24"/>
          <w:szCs w:val="24"/>
          <w:highlight w:val="none"/>
        </w:rPr>
        <w:t>.</w:t>
      </w: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4F7BEFD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中标、成交供应商可以采用电子履约保函形式缴纳履约保证金，具体操作可登录江苏政府采购网（http://www.ccgp-jiangsu.gov.cn/）的保险保函模块进行办理。</w:t>
      </w:r>
    </w:p>
    <w:p w14:paraId="54B8DE77">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7</w:t>
      </w:r>
      <w:r>
        <w:rPr>
          <w:rFonts w:hint="eastAsia" w:ascii="宋体" w:cs="Times New Roman" w:hAnsiTheme="minorHAnsi" w:eastAsiaTheme="minorEastAsia"/>
          <w:bCs/>
          <w:color w:val="auto"/>
          <w:sz w:val="24"/>
          <w:szCs w:val="24"/>
          <w:highlight w:val="none"/>
        </w:rPr>
        <w:t>.</w:t>
      </w: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78A8006F">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8</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9D032B9">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AE22F31">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采购人原则上应当自收到发票后10个工作日内将资金支付到合同约定的供应商账户。</w:t>
      </w:r>
    </w:p>
    <w:p w14:paraId="22162853">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9</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2643F9FC">
      <w:pPr>
        <w:numPr>
          <w:ilvl w:val="1"/>
          <w:numId w:val="0"/>
        </w:numPr>
        <w:tabs>
          <w:tab w:val="left" w:pos="525"/>
          <w:tab w:val="left" w:pos="945"/>
        </w:tabs>
        <w:spacing w:line="360" w:lineRule="auto"/>
        <w:ind w:left="0" w:leftChars="0" w:firstLine="480" w:firstLineChars="0"/>
        <w:rPr>
          <w:rFonts w:hint="eastAsia" w:ascii="宋体"/>
          <w:bCs/>
          <w:color w:val="auto"/>
          <w:sz w:val="24"/>
          <w:szCs w:val="24"/>
          <w:highlight w:val="none"/>
        </w:rPr>
      </w:pPr>
      <w:r>
        <w:rPr>
          <w:rFonts w:hint="eastAsia" w:ascii="宋体" w:eastAsia="宋体" w:cs="Times New Roman"/>
          <w:bCs/>
          <w:color w:val="auto"/>
          <w:sz w:val="24"/>
          <w:szCs w:val="24"/>
          <w:highlight w:val="none"/>
          <w:lang w:val="en-US" w:eastAsia="zh-CN"/>
        </w:rPr>
        <w:t>10</w:t>
      </w:r>
      <w:r>
        <w:rPr>
          <w:rFonts w:hint="eastAsia" w:ascii="宋体" w:cs="Times New Roman" w:hAnsiTheme="minorHAnsi" w:eastAsiaTheme="minorEastAsia"/>
          <w:bCs/>
          <w:color w:val="auto"/>
          <w:sz w:val="24"/>
          <w:szCs w:val="24"/>
          <w:highlight w:val="none"/>
        </w:rPr>
        <w:t>.</w:t>
      </w:r>
      <w:r>
        <w:rPr>
          <w:rFonts w:hint="eastAsia" w:ascii="宋体"/>
          <w:bCs/>
          <w:color w:val="auto"/>
          <w:sz w:val="24"/>
          <w:szCs w:val="24"/>
          <w:highlight w:val="none"/>
        </w:rPr>
        <w:t>根据</w:t>
      </w:r>
      <w:bookmarkStart w:id="153" w:name="OLE_LINK1"/>
      <w:bookmarkStart w:id="154" w:name="OLE_LINK2"/>
      <w:r>
        <w:rPr>
          <w:rFonts w:hint="eastAsia" w:ascii="宋体"/>
          <w:bCs/>
          <w:color w:val="auto"/>
          <w:sz w:val="24"/>
          <w:szCs w:val="24"/>
          <w:highlight w:val="none"/>
        </w:rPr>
        <w:t>《保障中小企业款项支付条例》（中华人民共和国国务院令第802号）</w:t>
      </w:r>
      <w:bookmarkEnd w:id="153"/>
      <w:bookmarkEnd w:id="154"/>
      <w:r>
        <w:rPr>
          <w:rFonts w:hint="eastAsia" w:ascii="宋体"/>
          <w:bCs/>
          <w:color w:val="auto"/>
          <w:sz w:val="24"/>
          <w:szCs w:val="24"/>
          <w:highlight w:val="none"/>
        </w:rPr>
        <w:t>，机关、事业单位和大型企业不得要求中小企业接受不合理的付款期限、方式、条件和违约责任等交易条件，不得拖欠中小企业的货物、工程、服务款项。</w:t>
      </w:r>
    </w:p>
    <w:p w14:paraId="5122ADD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机关、事业单位从中小企业采购货物、工程、服务，应当自货物、工程、服务交付之日起30日内支付款项；合同另有约定的，从其约定，但付款期限最长不得超过60日。</w:t>
      </w:r>
    </w:p>
    <w:p w14:paraId="60EC002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中小企业应当依法经营，诚实守信，按照合同约定提供合格的货物、工程和服务。</w:t>
      </w:r>
    </w:p>
    <w:p w14:paraId="4869990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
        </w:rPr>
        <w:t>机关、事业单位和大型企业采购货物、工程、服务支付中小企业款项，应当遵守《保障中小企业款项支付条例》（中华人民共和国国务院令第802号）。</w:t>
      </w:r>
    </w:p>
    <w:p w14:paraId="4C5D8317">
      <w:pPr>
        <w:numPr>
          <w:ilvl w:val="0"/>
          <w:numId w:val="0"/>
        </w:numPr>
        <w:tabs>
          <w:tab w:val="left" w:pos="525"/>
          <w:tab w:val="left" w:pos="945"/>
        </w:tabs>
        <w:spacing w:line="360" w:lineRule="auto"/>
        <w:ind w:firstLine="480"/>
        <w:rPr>
          <w:rFonts w:hint="eastAsia" w:ascii="宋体"/>
          <w:bCs/>
          <w:color w:val="auto"/>
          <w:sz w:val="24"/>
          <w:szCs w:val="24"/>
          <w:highlight w:val="none"/>
          <w:lang w:val="en"/>
        </w:rPr>
      </w:pPr>
      <w:r>
        <w:rPr>
          <w:rFonts w:hint="eastAsia" w:ascii="宋体"/>
          <w:bCs/>
          <w:color w:val="auto"/>
          <w:sz w:val="24"/>
          <w:szCs w:val="24"/>
          <w:highlight w:val="none"/>
          <w:lang w:val="en-US" w:eastAsia="zh-CN"/>
        </w:rPr>
        <w:t>11.</w:t>
      </w:r>
      <w:r>
        <w:rPr>
          <w:rFonts w:hint="eastAsia" w:ascii="宋体"/>
          <w:bCs/>
          <w:color w:val="auto"/>
          <w:sz w:val="24"/>
          <w:szCs w:val="24"/>
          <w:highlight w:val="none"/>
        </w:rPr>
        <w:t>根据《关于推动解决政府采购异常低价问题相关工作的通知》（苏财购〔2025〕62号）要求，</w:t>
      </w:r>
      <w:r>
        <w:rPr>
          <w:rFonts w:hint="eastAsia" w:ascii="宋体"/>
          <w:bCs/>
          <w:color w:val="auto"/>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30091923">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0B571C83">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55" w:name="_Hlk165208094"/>
      <w:bookmarkStart w:id="156"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商务标45分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55</w:t>
      </w:r>
      <w:r>
        <w:rPr>
          <w:rFonts w:hint="eastAsia" w:ascii="宋体" w:hAnsi="宋体" w:eastAsia="宋体" w:cs="宋体"/>
          <w:b/>
          <w:bCs/>
          <w:color w:val="auto"/>
          <w:sz w:val="24"/>
          <w:szCs w:val="24"/>
          <w:highlight w:val="none"/>
        </w:rPr>
        <w:t>分</w:t>
      </w:r>
      <w:bookmarkEnd w:id="155"/>
    </w:p>
    <w:bookmarkEnd w:id="156"/>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商务标（45分）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23</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44F24C48">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企业业绩（</w:t>
      </w:r>
      <w:r>
        <w:rPr>
          <w:rFonts w:hint="eastAsia" w:ascii="宋体" w:hAnsi="宋体" w:eastAsia="宋体" w:cs="宋体"/>
          <w:b/>
          <w:bCs w:val="0"/>
          <w:color w:val="auto"/>
          <w:kern w:val="0"/>
          <w:sz w:val="24"/>
          <w:highlight w:val="none"/>
          <w:lang w:val="en-US" w:eastAsia="zh-CN"/>
        </w:rPr>
        <w:t>2</w:t>
      </w:r>
      <w:r>
        <w:rPr>
          <w:rFonts w:hint="eastAsia" w:ascii="宋体" w:hAnsi="宋体" w:cs="宋体"/>
          <w:b/>
          <w:bCs w:val="0"/>
          <w:color w:val="auto"/>
          <w:kern w:val="0"/>
          <w:sz w:val="24"/>
          <w:highlight w:val="none"/>
        </w:rPr>
        <w:t>分）</w:t>
      </w:r>
    </w:p>
    <w:p w14:paraId="694328DF">
      <w:pPr>
        <w:adjustRightInd w:val="0"/>
        <w:snapToGrid w:val="0"/>
        <w:spacing w:line="360" w:lineRule="auto"/>
        <w:ind w:firstLine="480" w:firstLineChars="200"/>
        <w:jc w:val="left"/>
        <w:rPr>
          <w:rFonts w:hint="eastAsia" w:ascii="宋体" w:hAnsi="宋体" w:eastAsia="宋体" w:cs="宋体"/>
          <w:bCs/>
          <w:color w:val="auto"/>
          <w:kern w:val="0"/>
          <w:sz w:val="24"/>
          <w:highlight w:val="none"/>
          <w:lang w:eastAsia="zh-CN"/>
        </w:rPr>
      </w:pPr>
      <w:r>
        <w:rPr>
          <w:rFonts w:hint="eastAsia" w:ascii="宋体" w:hAnsi="宋体" w:cs="宋体"/>
          <w:bCs/>
          <w:color w:val="auto"/>
          <w:sz w:val="24"/>
          <w:highlight w:val="none"/>
        </w:rPr>
        <w:t>投标供应商自202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w:t>
      </w:r>
      <w:r>
        <w:rPr>
          <w:rFonts w:hint="eastAsia" w:ascii="宋体" w:hAnsi="宋体" w:cs="宋体"/>
          <w:bCs/>
          <w:color w:val="auto"/>
          <w:sz w:val="24"/>
          <w:highlight w:val="none"/>
          <w:lang w:val="zh-CN"/>
        </w:rPr>
        <w:t>合同签订日期</w:t>
      </w:r>
      <w:r>
        <w:rPr>
          <w:rFonts w:hint="eastAsia" w:ascii="宋体" w:hAnsi="宋体"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以来</w:t>
      </w:r>
      <w:r>
        <w:rPr>
          <w:rFonts w:hint="eastAsia" w:ascii="宋体" w:hAnsi="宋体" w:eastAsia="宋体" w:cs="宋体"/>
          <w:bCs/>
          <w:color w:val="auto"/>
          <w:sz w:val="24"/>
          <w:highlight w:val="none"/>
          <w:lang w:val="en-US" w:eastAsia="zh-CN"/>
        </w:rPr>
        <w:t>承接</w:t>
      </w:r>
      <w:r>
        <w:rPr>
          <w:rFonts w:hint="eastAsia" w:ascii="宋体" w:hAnsi="宋体" w:cs="宋体"/>
          <w:bCs/>
          <w:color w:val="auto"/>
          <w:sz w:val="24"/>
          <w:highlight w:val="none"/>
        </w:rPr>
        <w:t>过</w:t>
      </w:r>
      <w:r>
        <w:rPr>
          <w:rFonts w:hint="eastAsia" w:ascii="宋体" w:hAnsi="宋体" w:eastAsia="宋体" w:cs="宋体"/>
          <w:bCs/>
          <w:color w:val="auto"/>
          <w:sz w:val="24"/>
          <w:highlight w:val="none"/>
          <w:lang w:val="en-US" w:eastAsia="zh-CN"/>
        </w:rPr>
        <w:t>同类项目的业绩</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有</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个得</w:t>
      </w: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cs="宋体"/>
          <w:bCs/>
          <w:color w:val="auto"/>
          <w:kern w:val="0"/>
          <w:sz w:val="24"/>
          <w:highlight w:val="none"/>
          <w:lang w:eastAsia="zh-CN"/>
        </w:rPr>
        <w:t>【</w:t>
      </w:r>
      <w:r>
        <w:rPr>
          <w:rFonts w:hint="eastAsia" w:ascii="宋体" w:hAnsi="宋体" w:cs="宋体"/>
          <w:b/>
          <w:bCs w:val="0"/>
          <w:color w:val="auto"/>
          <w:sz w:val="24"/>
          <w:highlight w:val="none"/>
        </w:rPr>
        <w:t>提供</w:t>
      </w:r>
      <w:r>
        <w:rPr>
          <w:rFonts w:hint="eastAsia" w:ascii="宋体" w:hAnsi="宋体" w:eastAsia="宋体" w:cs="宋体"/>
          <w:b/>
          <w:bCs w:val="0"/>
          <w:color w:val="auto"/>
          <w:sz w:val="24"/>
          <w:highlight w:val="none"/>
          <w:lang w:val="en-US" w:eastAsia="zh-CN"/>
        </w:rPr>
        <w:t>业绩</w:t>
      </w:r>
      <w:r>
        <w:rPr>
          <w:rFonts w:hint="eastAsia" w:ascii="宋体" w:hAnsi="宋体" w:cs="宋体"/>
          <w:b/>
          <w:bCs w:val="0"/>
          <w:color w:val="auto"/>
          <w:sz w:val="24"/>
          <w:highlight w:val="none"/>
        </w:rPr>
        <w:t>合同</w:t>
      </w:r>
      <w:r>
        <w:rPr>
          <w:rFonts w:hint="eastAsia" w:ascii="宋体" w:hAnsi="宋体" w:eastAsia="宋体" w:cs="宋体"/>
          <w:b/>
          <w:bCs w:val="0"/>
          <w:color w:val="auto"/>
          <w:sz w:val="24"/>
          <w:highlight w:val="none"/>
          <w:lang w:val="en-US" w:eastAsia="zh-CN"/>
        </w:rPr>
        <w:t>原件扫描件上传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val="0"/>
          <w:color w:val="auto"/>
          <w:sz w:val="24"/>
          <w:highlight w:val="none"/>
          <w:lang w:eastAsia="zh-CN"/>
        </w:rPr>
        <w:t>，不提供或提供不全不得分</w:t>
      </w:r>
      <w:r>
        <w:rPr>
          <w:rFonts w:hint="eastAsia" w:ascii="宋体" w:hAnsi="宋体" w:eastAsia="宋体" w:cs="宋体"/>
          <w:b/>
          <w:bCs w:val="0"/>
          <w:color w:val="auto"/>
          <w:sz w:val="24"/>
          <w:szCs w:val="24"/>
          <w:highlight w:val="none"/>
          <w:lang w:eastAsia="zh-CN"/>
        </w:rPr>
        <w:t>】</w:t>
      </w:r>
    </w:p>
    <w:p w14:paraId="5ABE3D32">
      <w:pPr>
        <w:numPr>
          <w:ilvl w:val="0"/>
          <w:numId w:val="0"/>
        </w:numPr>
        <w:adjustRightInd w:val="0"/>
        <w:snapToGrid w:val="0"/>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eastAsia="宋体"/>
          <w:b/>
          <w:bCs/>
          <w:color w:val="auto"/>
          <w:sz w:val="24"/>
          <w:highlight w:val="none"/>
          <w:lang w:val="en-US" w:eastAsia="zh-CN"/>
        </w:rPr>
        <w:t>3、</w:t>
      </w:r>
      <w:r>
        <w:rPr>
          <w:rFonts w:hint="eastAsia" w:ascii="宋体" w:hAnsi="宋体" w:eastAsia="宋体"/>
          <w:b/>
          <w:bCs/>
          <w:color w:val="auto"/>
          <w:sz w:val="24"/>
          <w:highlight w:val="none"/>
        </w:rPr>
        <w:t>企业</w:t>
      </w:r>
      <w:r>
        <w:rPr>
          <w:rFonts w:hint="eastAsia" w:ascii="宋体" w:hAnsi="宋体" w:eastAsia="宋体"/>
          <w:b/>
          <w:bCs/>
          <w:color w:val="auto"/>
          <w:sz w:val="24"/>
          <w:highlight w:val="none"/>
          <w:lang w:val="en-US" w:eastAsia="zh-CN"/>
        </w:rPr>
        <w:t>荣誉</w:t>
      </w:r>
      <w:r>
        <w:rPr>
          <w:rFonts w:hint="eastAsia" w:ascii="宋体" w:hAnsi="宋体" w:eastAsia="宋体"/>
          <w:b/>
          <w:bCs/>
          <w:color w:val="auto"/>
          <w:sz w:val="24"/>
          <w:highlight w:val="none"/>
          <w:lang w:eastAsia="zh-CN"/>
        </w:rPr>
        <w:t>（</w:t>
      </w:r>
      <w:r>
        <w:rPr>
          <w:rFonts w:hint="eastAsia" w:ascii="宋体" w:hAnsi="宋体" w:eastAsia="宋体"/>
          <w:b/>
          <w:bCs/>
          <w:color w:val="auto"/>
          <w:sz w:val="24"/>
          <w:highlight w:val="none"/>
          <w:lang w:val="en-US" w:eastAsia="zh-CN"/>
        </w:rPr>
        <w:t>2</w:t>
      </w:r>
      <w:r>
        <w:rPr>
          <w:rFonts w:hint="eastAsia" w:ascii="宋体" w:hAnsi="宋体" w:eastAsia="宋体"/>
          <w:b/>
          <w:bCs/>
          <w:color w:val="auto"/>
          <w:sz w:val="24"/>
          <w:highlight w:val="none"/>
        </w:rPr>
        <w:t>分）</w:t>
      </w:r>
    </w:p>
    <w:p w14:paraId="07C898A5">
      <w:pPr>
        <w:adjustRightInd w:val="0"/>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投标供应商</w:t>
      </w:r>
      <w:r>
        <w:rPr>
          <w:rFonts w:hint="eastAsia" w:ascii="宋体" w:hAnsi="宋体" w:cs="宋体"/>
          <w:bCs/>
          <w:color w:val="auto"/>
          <w:sz w:val="24"/>
          <w:highlight w:val="none"/>
        </w:rPr>
        <w:t>自</w:t>
      </w:r>
      <w:r>
        <w:rPr>
          <w:rFonts w:hint="eastAsia" w:ascii="宋体" w:hAnsi="宋体" w:cs="宋体"/>
          <w:color w:val="auto"/>
          <w:sz w:val="24"/>
          <w:highlight w:val="none"/>
          <w:lang w:val="en-US" w:eastAsia="zh-CN"/>
        </w:rPr>
        <w:t>2023年1月1日（以落款日期为准）以来获得区级及以上荣誉证书的，有1个得1分，</w:t>
      </w:r>
      <w:r>
        <w:rPr>
          <w:rFonts w:hint="eastAsia" w:ascii="宋体" w:hAnsi="宋体" w:cs="宋体"/>
          <w:bCs/>
          <w:color w:val="auto"/>
          <w:sz w:val="24"/>
          <w:highlight w:val="none"/>
        </w:rPr>
        <w:t>本项</w:t>
      </w:r>
      <w:r>
        <w:rPr>
          <w:rFonts w:hint="eastAsia" w:ascii="宋体" w:hAnsi="宋体" w:cs="宋体"/>
          <w:color w:val="auto"/>
          <w:sz w:val="24"/>
          <w:highlight w:val="none"/>
          <w:lang w:val="en-US" w:eastAsia="zh-CN"/>
        </w:rPr>
        <w:t>最高得2分。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提供有效的证书原件</w:t>
      </w:r>
      <w:r>
        <w:rPr>
          <w:rFonts w:hint="eastAsia" w:ascii="宋体" w:hAnsi="宋体" w:eastAsia="宋体" w:cs="宋体"/>
          <w:b/>
          <w:bCs/>
          <w:color w:val="auto"/>
          <w:sz w:val="24"/>
          <w:szCs w:val="24"/>
          <w:highlight w:val="none"/>
        </w:rPr>
        <w:t>扫描</w:t>
      </w:r>
      <w:r>
        <w:rPr>
          <w:rFonts w:hint="eastAsia" w:ascii="宋体" w:hAnsi="宋体" w:eastAsia="宋体" w:cs="宋体"/>
          <w:b/>
          <w:bCs/>
          <w:color w:val="auto"/>
          <w:sz w:val="24"/>
          <w:szCs w:val="24"/>
          <w:highlight w:val="none"/>
          <w:lang w:val="en-US" w:eastAsia="zh-CN"/>
        </w:rPr>
        <w:t>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79D9EC29">
      <w:pPr>
        <w:tabs>
          <w:tab w:val="left" w:pos="0"/>
        </w:tabs>
        <w:autoSpaceDE w:val="0"/>
        <w:autoSpaceDN w:val="0"/>
        <w:adjustRightInd w:val="0"/>
        <w:spacing w:line="360" w:lineRule="auto"/>
        <w:ind w:firstLine="480" w:firstLineChars="200"/>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4、拟投入养护作业人员数量（6分）</w:t>
      </w:r>
    </w:p>
    <w:p w14:paraId="16C5CCCF">
      <w:pPr>
        <w:tabs>
          <w:tab w:val="left" w:pos="0"/>
        </w:tabs>
        <w:autoSpaceDE w:val="0"/>
        <w:autoSpaceDN w:val="0"/>
        <w:adjustRightInd w:val="0"/>
        <w:spacing w:line="360" w:lineRule="auto"/>
        <w:ind w:firstLine="480" w:firstLineChars="200"/>
        <w:rPr>
          <w:rFonts w:hint="default" w:ascii="宋体" w:hAnsi="宋体" w:eastAsia="宋体" w:cs="宋体"/>
          <w:b/>
          <w:color w:val="auto"/>
          <w:kern w:val="0"/>
          <w:sz w:val="24"/>
          <w:highlight w:val="none"/>
          <w:lang w:val="en-US" w:eastAsia="zh-CN"/>
        </w:rPr>
      </w:pPr>
      <w:r>
        <w:rPr>
          <w:rFonts w:hint="eastAsia" w:ascii="宋体" w:hAnsi="宋体" w:eastAsia="宋体" w:cs="宋体"/>
          <w:color w:val="auto"/>
          <w:sz w:val="24"/>
          <w:highlight w:val="none"/>
          <w:lang w:val="en-US" w:eastAsia="zh-CN"/>
        </w:rPr>
        <w:t>投标供应商配备养护作业人员人数在满足最低投入养护人员人数要求的基础上，每增加1人得0.5分，</w:t>
      </w:r>
      <w:r>
        <w:rPr>
          <w:rFonts w:hint="eastAsia" w:ascii="宋体" w:hAnsi="宋体" w:cs="宋体"/>
          <w:bCs/>
          <w:color w:val="auto"/>
          <w:sz w:val="24"/>
          <w:highlight w:val="none"/>
        </w:rPr>
        <w:t>本项</w:t>
      </w:r>
      <w:r>
        <w:rPr>
          <w:rFonts w:hint="eastAsia" w:ascii="宋体" w:hAnsi="宋体" w:eastAsia="宋体" w:cs="宋体"/>
          <w:color w:val="auto"/>
          <w:sz w:val="24"/>
          <w:highlight w:val="none"/>
          <w:lang w:val="en-US" w:eastAsia="zh-CN"/>
        </w:rPr>
        <w:t>最高得6分。</w:t>
      </w:r>
      <w:r>
        <w:rPr>
          <w:rFonts w:hint="eastAsia" w:ascii="宋体" w:hAnsi="宋体"/>
          <w:color w:val="auto"/>
          <w:sz w:val="24"/>
          <w:szCs w:val="24"/>
          <w:highlight w:val="none"/>
        </w:rPr>
        <w:t>【</w:t>
      </w:r>
      <w:r>
        <w:rPr>
          <w:rFonts w:hint="eastAsia" w:ascii="宋体" w:hAnsi="宋体" w:cs="宋体"/>
          <w:b/>
          <w:bCs/>
          <w:color w:val="auto"/>
          <w:sz w:val="24"/>
          <w:highlight w:val="none"/>
          <w:lang w:val="en-US" w:eastAsia="zh-CN"/>
        </w:rPr>
        <w:t>投标时提供承诺书（格式自拟）扫描件</w:t>
      </w:r>
      <w:r>
        <w:rPr>
          <w:rFonts w:hint="eastAsia" w:ascii="宋体" w:hAnsi="宋体" w:eastAsia="宋体" w:cs="宋体"/>
          <w:b/>
          <w:bCs w:val="0"/>
          <w:color w:val="auto"/>
          <w:sz w:val="24"/>
          <w:highlight w:val="none"/>
          <w:lang w:val="en-US" w:eastAsia="zh-CN"/>
        </w:rPr>
        <w:t>上传</w:t>
      </w:r>
      <w:r>
        <w:rPr>
          <w:rFonts w:hint="eastAsia" w:ascii="宋体" w:hAnsi="宋体" w:cs="宋体"/>
          <w:b/>
          <w:bCs w:val="0"/>
          <w:color w:val="auto"/>
          <w:sz w:val="24"/>
          <w:highlight w:val="none"/>
          <w:lang w:val="en-US" w:eastAsia="zh-CN"/>
        </w:rPr>
        <w:t>至系统中并加盖公章</w:t>
      </w:r>
      <w:r>
        <w:rPr>
          <w:rFonts w:hint="eastAsia" w:ascii="宋体" w:hAnsi="宋体" w:cs="宋体"/>
          <w:b/>
          <w:bCs/>
          <w:color w:val="auto"/>
          <w:sz w:val="24"/>
          <w:highlight w:val="none"/>
          <w:lang w:val="en-US" w:eastAsia="zh-CN"/>
        </w:rPr>
        <w:t>，承诺书中需列明拟配备养护作业人员人数总数（养护作业人员不含项目负责人）。中标后采购人核实配备人数。</w:t>
      </w:r>
      <w:r>
        <w:rPr>
          <w:rFonts w:ascii="宋体" w:hAnsi="宋体" w:cs="宋体"/>
          <w:b/>
          <w:color w:val="auto"/>
          <w:kern w:val="0"/>
          <w:sz w:val="24"/>
          <w:highlight w:val="none"/>
        </w:rPr>
        <w:t>上述证明材料</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6937BD72">
      <w:pPr>
        <w:tabs>
          <w:tab w:val="left" w:pos="525"/>
          <w:tab w:val="left" w:pos="945"/>
        </w:tabs>
        <w:spacing w:line="360" w:lineRule="auto"/>
        <w:ind w:firstLine="480"/>
        <w:rPr>
          <w:rFonts w:hint="eastAsia" w:ascii="宋体" w:hAnsi="宋体" w:cs="宋体"/>
          <w:bCs/>
          <w:color w:val="auto"/>
          <w:sz w:val="24"/>
          <w:highlight w:val="none"/>
          <w:lang w:eastAsia="zh-CN"/>
        </w:rPr>
      </w:pPr>
      <w:r>
        <w:rPr>
          <w:rFonts w:hint="eastAsia" w:ascii="宋体" w:hAnsi="宋体" w:cs="Times New Roman"/>
          <w:b/>
          <w:bCs w:val="0"/>
          <w:color w:val="auto"/>
          <w:sz w:val="24"/>
          <w:szCs w:val="24"/>
          <w:highlight w:val="none"/>
          <w:u w:val="none"/>
          <w:lang w:val="en-US" w:eastAsia="zh-CN"/>
        </w:rPr>
        <w:t>5、项目团队能力</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6分</w:t>
      </w:r>
      <w:r>
        <w:rPr>
          <w:rFonts w:hint="eastAsia" w:ascii="宋体" w:hAnsi="宋体" w:eastAsia="宋体" w:cs="宋体"/>
          <w:b/>
          <w:bCs w:val="0"/>
          <w:color w:val="auto"/>
          <w:sz w:val="24"/>
          <w:highlight w:val="none"/>
          <w:lang w:eastAsia="zh-CN"/>
        </w:rPr>
        <w:t>）</w:t>
      </w:r>
    </w:p>
    <w:p w14:paraId="39607092">
      <w:pPr>
        <w:spacing w:line="360" w:lineRule="auto"/>
        <w:ind w:firstLine="600" w:firstLineChars="250"/>
        <w:rPr>
          <w:rFonts w:hint="eastAsia" w:ascii="宋体" w:hAnsi="宋体" w:cs="宋体"/>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除项目负责人外，拟投入本项目中的项目技术负责人具备园林绿化</w:t>
      </w:r>
      <w:r>
        <w:rPr>
          <w:rFonts w:hint="eastAsia" w:ascii="宋体" w:hAnsi="宋体" w:eastAsia="宋体" w:cs="宋体"/>
          <w:bCs/>
          <w:color w:val="auto"/>
          <w:sz w:val="24"/>
          <w:highlight w:val="none"/>
          <w:lang w:val="en-US" w:eastAsia="zh-CN"/>
        </w:rPr>
        <w:t>相关</w:t>
      </w:r>
      <w:r>
        <w:rPr>
          <w:rFonts w:hint="eastAsia" w:ascii="宋体" w:hAnsi="宋体" w:cs="宋体"/>
          <w:bCs/>
          <w:color w:val="auto"/>
          <w:sz w:val="24"/>
          <w:highlight w:val="none"/>
        </w:rPr>
        <w:t>专业</w:t>
      </w:r>
      <w:r>
        <w:rPr>
          <w:rFonts w:hint="eastAsia" w:ascii="宋体" w:hAnsi="宋体" w:cs="宋体"/>
          <w:bCs/>
          <w:color w:val="auto"/>
          <w:sz w:val="24"/>
          <w:highlight w:val="none"/>
          <w:lang w:val="en-US" w:eastAsia="zh-CN"/>
        </w:rPr>
        <w:t>中</w:t>
      </w:r>
      <w:r>
        <w:rPr>
          <w:rFonts w:hint="eastAsia" w:ascii="宋体" w:hAnsi="宋体" w:cs="宋体"/>
          <w:bCs/>
          <w:color w:val="auto"/>
          <w:sz w:val="24"/>
          <w:highlight w:val="none"/>
        </w:rPr>
        <w:t>级职称的得</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rPr>
        <w:t>分，具备园林绿化相关专业高级职称的得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color w:val="auto"/>
          <w:kern w:val="0"/>
          <w:sz w:val="24"/>
          <w:highlight w:val="none"/>
          <w:lang w:val="en-US" w:eastAsia="zh-CN"/>
        </w:rPr>
        <w:t>项目负责人不得兼任项目技术负责人，</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w:t>
      </w:r>
      <w:r>
        <w:rPr>
          <w:rFonts w:hint="eastAsia" w:ascii="宋体" w:hAnsi="宋体" w:eastAsia="宋体" w:cs="宋体"/>
          <w:b/>
          <w:bCs/>
          <w:color w:val="auto"/>
          <w:sz w:val="24"/>
          <w:szCs w:val="24"/>
          <w:highlight w:val="none"/>
        </w:rPr>
        <w:t>提供或提供不全不得分</w:t>
      </w:r>
      <w:r>
        <w:rPr>
          <w:rFonts w:hint="eastAsia" w:ascii="宋体" w:hAnsi="宋体" w:eastAsia="宋体" w:cs="宋体"/>
          <w:b/>
          <w:bCs/>
          <w:color w:val="auto"/>
          <w:sz w:val="24"/>
          <w:szCs w:val="24"/>
          <w:highlight w:val="none"/>
          <w:lang w:eastAsia="zh-CN"/>
        </w:rPr>
        <w:t>】</w:t>
      </w:r>
    </w:p>
    <w:p w14:paraId="0DA71DC0">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rPr>
        <w:t>除项目负责人外，拟投入本项目的养护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eastAsia="宋体" w:cs="宋体"/>
          <w:bCs/>
          <w:color w:val="auto"/>
          <w:sz w:val="24"/>
          <w:highlight w:val="none"/>
          <w:lang w:val="en-US" w:eastAsia="zh-CN"/>
        </w:rPr>
        <w:t>中</w:t>
      </w:r>
      <w:r>
        <w:rPr>
          <w:rFonts w:hint="eastAsia" w:ascii="宋体" w:hAnsi="宋体" w:cs="宋体"/>
          <w:bCs/>
          <w:color w:val="auto"/>
          <w:sz w:val="24"/>
          <w:highlight w:val="none"/>
        </w:rPr>
        <w:t>具备高处作业操作证、电工</w:t>
      </w:r>
      <w:r>
        <w:rPr>
          <w:rFonts w:hint="eastAsia" w:ascii="宋体" w:hAnsi="宋体" w:cs="宋体"/>
          <w:bCs/>
          <w:color w:val="auto"/>
          <w:sz w:val="24"/>
          <w:highlight w:val="none"/>
          <w:lang w:val="en-US" w:eastAsia="zh-CN"/>
        </w:rPr>
        <w:t>作业操作证</w:t>
      </w:r>
      <w:r>
        <w:rPr>
          <w:rFonts w:hint="eastAsia" w:ascii="宋体" w:hAnsi="宋体" w:cs="宋体"/>
          <w:bCs/>
          <w:color w:val="auto"/>
          <w:sz w:val="24"/>
          <w:highlight w:val="none"/>
        </w:rPr>
        <w:t>，每有一个工种得</w:t>
      </w:r>
      <w:r>
        <w:rPr>
          <w:rFonts w:hint="eastAsia" w:ascii="宋体" w:hAnsi="宋体" w:eastAsia="宋体" w:cs="宋体"/>
          <w:bCs/>
          <w:color w:val="auto"/>
          <w:sz w:val="24"/>
          <w:highlight w:val="none"/>
          <w:lang w:val="en-US" w:eastAsia="zh-CN"/>
        </w:rPr>
        <w:t>0.5</w:t>
      </w:r>
      <w:r>
        <w:rPr>
          <w:rFonts w:hint="eastAsia" w:ascii="宋体" w:hAnsi="宋体" w:cs="宋体"/>
          <w:bCs/>
          <w:color w:val="auto"/>
          <w:sz w:val="24"/>
          <w:highlight w:val="none"/>
        </w:rPr>
        <w:t>分，本项最高</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color w:val="auto"/>
          <w:sz w:val="24"/>
          <w:szCs w:val="24"/>
          <w:highlight w:val="none"/>
        </w:rPr>
        <w:t>【</w:t>
      </w:r>
      <w:r>
        <w:rPr>
          <w:rFonts w:hint="eastAsia" w:ascii="宋体" w:hAnsi="宋体" w:cs="宋体"/>
          <w:b/>
          <w:bCs w:val="0"/>
          <w:color w:val="auto"/>
          <w:sz w:val="24"/>
          <w:highlight w:val="none"/>
          <w:lang w:val="en-US" w:eastAsia="zh-CN"/>
        </w:rPr>
        <w:t>本项同一人员不同时得分。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w:t>
      </w:r>
      <w:r>
        <w:rPr>
          <w:rFonts w:hint="eastAsia" w:ascii="宋体" w:hAnsi="宋体" w:cs="宋体"/>
          <w:b/>
          <w:bCs w:val="0"/>
          <w:color w:val="auto"/>
          <w:kern w:val="0"/>
          <w:sz w:val="24"/>
          <w:highlight w:val="none"/>
        </w:rPr>
        <w:t>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w:t>
      </w:r>
      <w:r>
        <w:rPr>
          <w:rFonts w:hint="eastAsia" w:ascii="宋体" w:hAnsi="宋体" w:eastAsia="宋体" w:cs="宋体"/>
          <w:b/>
          <w:bCs/>
          <w:color w:val="auto"/>
          <w:sz w:val="24"/>
          <w:szCs w:val="24"/>
          <w:highlight w:val="none"/>
        </w:rPr>
        <w:t>不提供或提供不全不得分</w:t>
      </w:r>
      <w:r>
        <w:rPr>
          <w:rFonts w:hint="eastAsia" w:ascii="宋体" w:hAnsi="宋体" w:eastAsia="宋体" w:cs="宋体"/>
          <w:b/>
          <w:bCs/>
          <w:color w:val="auto"/>
          <w:sz w:val="24"/>
          <w:szCs w:val="24"/>
          <w:highlight w:val="none"/>
          <w:lang w:eastAsia="zh-CN"/>
        </w:rPr>
        <w:t>】</w:t>
      </w:r>
    </w:p>
    <w:p w14:paraId="54BAD3FB">
      <w:pPr>
        <w:tabs>
          <w:tab w:val="left" w:pos="525"/>
          <w:tab w:val="left" w:pos="945"/>
        </w:tabs>
        <w:spacing w:line="360" w:lineRule="auto"/>
        <w:ind w:firstLine="480" w:firstLineChars="200"/>
        <w:rPr>
          <w:rFonts w:hint="default" w:ascii="宋体" w:hAnsi="宋体" w:eastAsia="宋体" w:cs="宋体"/>
          <w:bCs/>
          <w:color w:val="auto"/>
          <w:sz w:val="24"/>
          <w:highlight w:val="none"/>
          <w:lang w:val="en-US" w:eastAsia="zh-CN"/>
        </w:rPr>
      </w:pPr>
      <w:r>
        <w:rPr>
          <w:rFonts w:hint="eastAsia" w:ascii="宋体" w:hAnsi="宋体" w:cs="Times New Roman"/>
          <w:b w:val="0"/>
          <w:bCs/>
          <w:color w:val="auto"/>
          <w:sz w:val="24"/>
          <w:szCs w:val="24"/>
          <w:highlight w:val="none"/>
          <w:u w:val="none"/>
          <w:lang w:val="en-US" w:eastAsia="zh-CN"/>
        </w:rPr>
        <w:t>（3）</w:t>
      </w:r>
      <w:r>
        <w:rPr>
          <w:rFonts w:hint="eastAsia" w:ascii="宋体" w:hAnsi="宋体" w:cs="宋体"/>
          <w:bCs/>
          <w:color w:val="auto"/>
          <w:sz w:val="24"/>
          <w:highlight w:val="none"/>
        </w:rPr>
        <w:t>除项目负责人外，</w:t>
      </w:r>
      <w:r>
        <w:rPr>
          <w:rFonts w:hint="eastAsia" w:ascii="宋体" w:hAnsi="宋体" w:cs="Times New Roman"/>
          <w:b w:val="0"/>
          <w:bCs/>
          <w:color w:val="auto"/>
          <w:sz w:val="24"/>
          <w:szCs w:val="24"/>
          <w:highlight w:val="none"/>
          <w:u w:val="none"/>
          <w:lang w:val="en-US" w:eastAsia="zh-CN"/>
        </w:rPr>
        <w:t>拟投入</w:t>
      </w:r>
      <w:r>
        <w:rPr>
          <w:rFonts w:hint="eastAsia" w:ascii="宋体" w:hAnsi="宋体" w:cs="宋体"/>
          <w:bCs/>
          <w:color w:val="auto"/>
          <w:sz w:val="24"/>
          <w:highlight w:val="none"/>
        </w:rPr>
        <w:t>本项目的养护</w:t>
      </w:r>
      <w:r>
        <w:rPr>
          <w:rFonts w:hint="eastAsia" w:ascii="宋体" w:hAnsi="宋体" w:eastAsia="宋体" w:cs="宋体"/>
          <w:bCs/>
          <w:color w:val="auto"/>
          <w:sz w:val="24"/>
          <w:highlight w:val="none"/>
          <w:lang w:val="en-US" w:eastAsia="zh-CN"/>
        </w:rPr>
        <w:t>作业</w:t>
      </w:r>
      <w:r>
        <w:rPr>
          <w:rFonts w:hint="eastAsia" w:ascii="宋体" w:hAnsi="宋体" w:cs="宋体"/>
          <w:bCs/>
          <w:color w:val="auto"/>
          <w:sz w:val="24"/>
          <w:highlight w:val="none"/>
        </w:rPr>
        <w:t>人员</w:t>
      </w:r>
      <w:r>
        <w:rPr>
          <w:rFonts w:hint="eastAsia" w:ascii="宋体" w:hAnsi="宋体" w:cs="Times New Roman"/>
          <w:b w:val="0"/>
          <w:bCs/>
          <w:color w:val="auto"/>
          <w:sz w:val="24"/>
          <w:szCs w:val="24"/>
          <w:highlight w:val="none"/>
          <w:u w:val="none"/>
          <w:lang w:val="en-US" w:eastAsia="zh-CN"/>
        </w:rPr>
        <w:t>（绿化工、花卉工</w:t>
      </w:r>
      <w:r>
        <w:rPr>
          <w:rFonts w:hint="eastAsia" w:ascii="宋体" w:hAnsi="宋体" w:cs="Times New Roman"/>
          <w:b w:val="0"/>
          <w:bCs/>
          <w:strike w:val="0"/>
          <w:dstrike w:val="0"/>
          <w:color w:val="auto"/>
          <w:sz w:val="24"/>
          <w:szCs w:val="24"/>
          <w:highlight w:val="none"/>
          <w:u w:val="none"/>
          <w:lang w:val="en-US" w:eastAsia="zh-CN"/>
        </w:rPr>
        <w:t>等</w:t>
      </w:r>
      <w:r>
        <w:rPr>
          <w:rFonts w:hint="eastAsia" w:ascii="宋体" w:hAnsi="宋体" w:cs="Times New Roman"/>
          <w:b w:val="0"/>
          <w:bCs/>
          <w:color w:val="auto"/>
          <w:sz w:val="24"/>
          <w:szCs w:val="24"/>
          <w:highlight w:val="none"/>
          <w:u w:val="none"/>
          <w:lang w:val="en-US" w:eastAsia="zh-CN"/>
        </w:rPr>
        <w:t>）中具备中级（四级）或以上技工证书的，有一人得0.5分，本项最高得4分。</w:t>
      </w:r>
      <w:r>
        <w:rPr>
          <w:rFonts w:hint="eastAsia" w:ascii="宋体" w:hAnsi="宋体"/>
          <w:color w:val="auto"/>
          <w:sz w:val="24"/>
          <w:szCs w:val="24"/>
          <w:highlight w:val="none"/>
        </w:rPr>
        <w:t>【</w:t>
      </w:r>
      <w:r>
        <w:rPr>
          <w:rFonts w:hint="eastAsia" w:ascii="宋体" w:hAnsi="宋体" w:cs="Times New Roman"/>
          <w:b/>
          <w:bCs w:val="0"/>
          <w:color w:val="auto"/>
          <w:sz w:val="24"/>
          <w:szCs w:val="24"/>
          <w:highlight w:val="none"/>
          <w:u w:val="none"/>
          <w:lang w:val="en-US" w:eastAsia="zh-CN"/>
        </w:rPr>
        <w:t>本项同一人员不重复得分。</w:t>
      </w:r>
      <w:r>
        <w:rPr>
          <w:rFonts w:ascii="宋体" w:hAnsi="宋体" w:cs="宋体"/>
          <w:b/>
          <w:color w:val="auto"/>
          <w:kern w:val="0"/>
          <w:sz w:val="24"/>
          <w:highlight w:val="none"/>
        </w:rPr>
        <w:t>以《</w:t>
      </w:r>
      <w:r>
        <w:rPr>
          <w:rFonts w:hint="eastAsia" w:ascii="宋体" w:hAnsi="宋体" w:eastAsia="宋体" w:cs="宋体"/>
          <w:b/>
          <w:color w:val="auto"/>
          <w:kern w:val="0"/>
          <w:sz w:val="24"/>
          <w:highlight w:val="none"/>
          <w:lang w:val="en-US" w:eastAsia="zh-CN"/>
        </w:rPr>
        <w:t>项目</w:t>
      </w:r>
      <w:r>
        <w:rPr>
          <w:rFonts w:ascii="宋体" w:hAnsi="宋体" w:cs="宋体"/>
          <w:b/>
          <w:color w:val="auto"/>
          <w:kern w:val="0"/>
          <w:sz w:val="24"/>
          <w:highlight w:val="none"/>
        </w:rPr>
        <w:t>人员</w:t>
      </w:r>
      <w:r>
        <w:rPr>
          <w:rFonts w:hint="eastAsia" w:ascii="宋体" w:hAnsi="宋体" w:eastAsia="宋体" w:cs="宋体"/>
          <w:b/>
          <w:color w:val="auto"/>
          <w:kern w:val="0"/>
          <w:sz w:val="24"/>
          <w:highlight w:val="none"/>
          <w:lang w:val="en-US" w:eastAsia="zh-CN"/>
        </w:rPr>
        <w:t>配置</w:t>
      </w:r>
      <w:r>
        <w:rPr>
          <w:rFonts w:ascii="宋体" w:hAnsi="宋体" w:cs="宋体"/>
          <w:b/>
          <w:color w:val="auto"/>
          <w:kern w:val="0"/>
          <w:sz w:val="24"/>
          <w:highlight w:val="none"/>
        </w:rPr>
        <w:t>表》（格式见附件）中所列为准</w:t>
      </w:r>
      <w:r>
        <w:rPr>
          <w:rFonts w:hint="eastAsia" w:ascii="宋体" w:hAnsi="宋体" w:eastAsia="宋体" w:cs="宋体"/>
          <w:b/>
          <w:color w:val="auto"/>
          <w:kern w:val="0"/>
          <w:sz w:val="24"/>
          <w:highlight w:val="none"/>
          <w:lang w:eastAsia="zh-CN"/>
        </w:rPr>
        <w:t>，</w:t>
      </w:r>
      <w:r>
        <w:rPr>
          <w:rFonts w:ascii="宋体" w:hAnsi="宋体" w:cs="宋体"/>
          <w:b/>
          <w:color w:val="auto"/>
          <w:kern w:val="0"/>
          <w:sz w:val="24"/>
          <w:highlight w:val="none"/>
        </w:rPr>
        <w:t>投标时提供证书</w:t>
      </w:r>
      <w:r>
        <w:rPr>
          <w:rFonts w:hint="eastAsia" w:ascii="宋体" w:hAnsi="宋体" w:cs="宋体"/>
          <w:b/>
          <w:color w:val="auto"/>
          <w:kern w:val="0"/>
          <w:sz w:val="24"/>
          <w:highlight w:val="none"/>
        </w:rPr>
        <w:t>原件扫描件</w:t>
      </w:r>
      <w:r>
        <w:rPr>
          <w:rFonts w:hint="eastAsia" w:ascii="宋体" w:hAnsi="宋体" w:eastAsia="宋体" w:cs="宋体"/>
          <w:b/>
          <w:bCs w:val="0"/>
          <w:color w:val="auto"/>
          <w:kern w:val="0"/>
          <w:sz w:val="24"/>
          <w:highlight w:val="none"/>
          <w:lang w:eastAsia="zh-CN"/>
        </w:rPr>
        <w:t>，</w:t>
      </w:r>
      <w:r>
        <w:rPr>
          <w:rFonts w:hint="eastAsia" w:ascii="宋体" w:hAnsi="宋体" w:cs="宋体"/>
          <w:b/>
          <w:bCs w:val="0"/>
          <w:color w:val="auto"/>
          <w:sz w:val="24"/>
          <w:highlight w:val="none"/>
          <w:lang w:val="en-US" w:eastAsia="zh-CN"/>
        </w:rPr>
        <w:t>投标供应商为其缴纳的近三个月</w:t>
      </w:r>
      <w:r>
        <w:rPr>
          <w:rFonts w:hint="eastAsia" w:ascii="宋体" w:hAnsi="宋体" w:cs="宋体"/>
          <w:b/>
          <w:bCs w:val="0"/>
          <w:color w:val="auto"/>
          <w:sz w:val="24"/>
          <w:highlight w:val="none"/>
          <w:lang w:eastAsia="zh-CN"/>
        </w:rPr>
        <w:t>中任意一个月份（不含</w:t>
      </w:r>
      <w:r>
        <w:rPr>
          <w:rFonts w:hint="eastAsia" w:ascii="宋体" w:hAnsi="宋体" w:cs="宋体"/>
          <w:b/>
          <w:bCs w:val="0"/>
          <w:color w:val="auto"/>
          <w:sz w:val="24"/>
          <w:highlight w:val="none"/>
          <w:lang w:val="en-US" w:eastAsia="zh-CN"/>
        </w:rPr>
        <w:t>投</w:t>
      </w:r>
      <w:r>
        <w:rPr>
          <w:rFonts w:hint="eastAsia" w:ascii="宋体" w:hAnsi="宋体" w:cs="宋体"/>
          <w:b/>
          <w:bCs w:val="0"/>
          <w:color w:val="auto"/>
          <w:sz w:val="24"/>
          <w:highlight w:val="none"/>
          <w:lang w:eastAsia="zh-CN"/>
        </w:rPr>
        <w:t>标当月）的</w:t>
      </w:r>
      <w:r>
        <w:rPr>
          <w:rFonts w:hint="eastAsia" w:ascii="宋体" w:hAnsi="宋体" w:cs="宋体"/>
          <w:b/>
          <w:bCs w:val="0"/>
          <w:color w:val="auto"/>
          <w:sz w:val="24"/>
          <w:highlight w:val="none"/>
          <w:lang w:val="en-US" w:eastAsia="zh-CN"/>
        </w:rPr>
        <w:t>社保缴费证明扫描件上传至系统中并加盖公章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1E48DD5B">
      <w:pPr>
        <w:adjustRightInd w:val="0"/>
        <w:snapToGrid w:val="0"/>
        <w:spacing w:line="360" w:lineRule="auto"/>
        <w:ind w:firstLine="482" w:firstLineChars="200"/>
        <w:jc w:val="left"/>
        <w:rPr>
          <w:rFonts w:hint="eastAsia" w:ascii="宋体" w:hAnsi="宋体" w:cs="宋体"/>
          <w:b/>
          <w:bCs w:val="0"/>
          <w:color w:val="auto"/>
          <w:kern w:val="0"/>
          <w:sz w:val="24"/>
          <w:highlight w:val="none"/>
        </w:rPr>
      </w:pP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绿地养护</w:t>
      </w:r>
      <w:r>
        <w:rPr>
          <w:rFonts w:hint="eastAsia" w:ascii="宋体" w:hAnsi="宋体" w:eastAsia="宋体" w:cs="宋体"/>
          <w:b/>
          <w:bCs w:val="0"/>
          <w:color w:val="auto"/>
          <w:kern w:val="0"/>
          <w:sz w:val="24"/>
          <w:highlight w:val="none"/>
          <w:lang w:val="en-US" w:eastAsia="zh-CN"/>
        </w:rPr>
        <w:t>作业</w:t>
      </w:r>
      <w:r>
        <w:rPr>
          <w:rFonts w:hint="eastAsia" w:ascii="宋体" w:hAnsi="宋体" w:cs="宋体"/>
          <w:b/>
          <w:bCs w:val="0"/>
          <w:color w:val="auto"/>
          <w:kern w:val="0"/>
          <w:sz w:val="24"/>
          <w:highlight w:val="none"/>
        </w:rPr>
        <w:t>设备（</w:t>
      </w: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分）</w:t>
      </w:r>
    </w:p>
    <w:p w14:paraId="0B92F929">
      <w:pPr>
        <w:adjustRightInd w:val="0"/>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中大型高空作业车（作业高度达10米及以上且折臂可360度旋转）</w:t>
      </w:r>
      <w:r>
        <w:rPr>
          <w:rFonts w:hint="eastAsia" w:ascii="宋体" w:hAnsi="宋体" w:eastAsia="宋体" w:cs="宋体"/>
          <w:color w:val="auto"/>
          <w:sz w:val="24"/>
          <w:highlight w:val="none"/>
          <w:lang w:val="en-US"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p>
    <w:p w14:paraId="60F87C0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w:t>
      </w:r>
      <w:r>
        <w:rPr>
          <w:rFonts w:hint="eastAsia" w:ascii="宋体" w:hAnsi="宋体" w:eastAsia="宋体" w:cs="宋体"/>
          <w:color w:val="auto"/>
          <w:sz w:val="24"/>
          <w:highlight w:val="none"/>
        </w:rPr>
        <w:t>多功能抑尘车静风水平射程50米</w:t>
      </w:r>
      <w:r>
        <w:rPr>
          <w:rFonts w:hint="eastAsia" w:ascii="宋体" w:hAnsi="宋体" w:eastAsia="宋体" w:cs="宋体"/>
          <w:color w:val="auto"/>
          <w:sz w:val="24"/>
          <w:highlight w:val="none"/>
          <w:lang w:val="en-US" w:eastAsia="zh-CN"/>
        </w:rPr>
        <w:t>至100米</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得0.5分，</w:t>
      </w:r>
      <w:r>
        <w:rPr>
          <w:rFonts w:hint="eastAsia" w:ascii="宋体" w:hAnsi="宋体" w:eastAsia="宋体" w:cs="宋体"/>
          <w:color w:val="auto"/>
          <w:sz w:val="24"/>
          <w:highlight w:val="none"/>
        </w:rPr>
        <w:t>静风水平射程100米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以上的得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本项最高得1分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限评一台）</w:t>
      </w:r>
    </w:p>
    <w:p w14:paraId="647C72EE">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w:t>
      </w:r>
      <w:r>
        <w:rPr>
          <w:rFonts w:hint="eastAsia" w:ascii="宋体" w:hAnsi="宋体" w:eastAsia="宋体" w:cs="宋体"/>
          <w:color w:val="auto"/>
          <w:sz w:val="24"/>
          <w:highlight w:val="none"/>
          <w:lang w:val="en-US" w:eastAsia="zh-CN"/>
        </w:rPr>
        <w:t>配备电动割灌机、电动绿篱机的，</w:t>
      </w:r>
      <w:r>
        <w:rPr>
          <w:rFonts w:hint="eastAsia" w:ascii="宋体" w:hAnsi="宋体" w:eastAsia="宋体" w:cs="宋体"/>
          <w:color w:val="auto"/>
          <w:sz w:val="24"/>
          <w:highlight w:val="none"/>
        </w:rPr>
        <w:t>有一</w:t>
      </w:r>
      <w:r>
        <w:rPr>
          <w:rFonts w:hint="eastAsia" w:ascii="宋体" w:hAnsi="宋体" w:eastAsia="宋体" w:cs="宋体"/>
          <w:color w:val="auto"/>
          <w:sz w:val="24"/>
          <w:highlight w:val="none"/>
          <w:lang w:val="en-US" w:eastAsia="zh-CN"/>
        </w:rPr>
        <w:t>类</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同类别设备不重复得分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本项最高得2分。</w:t>
      </w:r>
    </w:p>
    <w:p w14:paraId="4696EE2C">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配备</w:t>
      </w:r>
      <w:r>
        <w:rPr>
          <w:rFonts w:hint="eastAsia" w:ascii="宋体" w:hAnsi="宋体" w:cs="宋体"/>
          <w:color w:val="auto"/>
          <w:sz w:val="24"/>
          <w:highlight w:val="none"/>
        </w:rPr>
        <w:t>树叶粉碎机，有一台得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p>
    <w:p w14:paraId="2821D66A">
      <w:pPr>
        <w:autoSpaceDE w:val="0"/>
        <w:autoSpaceDN w:val="0"/>
        <w:adjustRightInd w:val="0"/>
        <w:snapToGrid w:val="0"/>
        <w:spacing w:line="360" w:lineRule="auto"/>
        <w:ind w:firstLine="480" w:firstLineChars="200"/>
        <w:jc w:val="left"/>
        <w:rPr>
          <w:rFonts w:hint="eastAsia" w:hAnsi="宋体"/>
          <w:b/>
          <w:bCs w:val="0"/>
          <w:color w:val="auto"/>
          <w:sz w:val="24"/>
          <w:szCs w:val="24"/>
          <w:highlight w:val="none"/>
          <w:lang w:val="en-US" w:eastAsia="zh-CN"/>
        </w:rPr>
      </w:pPr>
      <w:r>
        <w:rPr>
          <w:rFonts w:hint="eastAsia" w:ascii="宋体" w:hAnsi="宋体"/>
          <w:b/>
          <w:bCs w:val="0"/>
          <w:color w:val="auto"/>
          <w:sz w:val="24"/>
          <w:highlight w:val="none"/>
        </w:rPr>
        <w:t>【</w:t>
      </w:r>
      <w:r>
        <w:rPr>
          <w:rFonts w:hint="eastAsia" w:hAnsi="宋体"/>
          <w:b/>
          <w:color w:val="auto"/>
          <w:sz w:val="24"/>
          <w:highlight w:val="none"/>
        </w:rPr>
        <w:t>投标时若是自有车辆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hAnsi="宋体"/>
          <w:b/>
          <w:color w:val="auto"/>
          <w:sz w:val="24"/>
          <w:highlight w:val="none"/>
          <w:lang w:val="en-US" w:eastAsia="zh-CN"/>
        </w:rPr>
        <w:t>车辆</w:t>
      </w:r>
      <w:r>
        <w:rPr>
          <w:rFonts w:hint="eastAsia" w:hAnsi="宋体" w:eastAsia="宋体"/>
          <w:b/>
          <w:color w:val="auto"/>
          <w:sz w:val="24"/>
          <w:highlight w:val="none"/>
          <w:lang w:val="en-US" w:eastAsia="zh-CN"/>
        </w:rPr>
        <w:t>或设备</w:t>
      </w:r>
      <w:r>
        <w:rPr>
          <w:rFonts w:hint="eastAsia" w:ascii="宋体" w:hAnsi="宋体" w:cs="宋体"/>
          <w:b/>
          <w:color w:val="auto"/>
          <w:kern w:val="0"/>
          <w:sz w:val="24"/>
          <w:highlight w:val="none"/>
        </w:rPr>
        <w:t>购置发票原件</w:t>
      </w:r>
      <w:r>
        <w:rPr>
          <w:rFonts w:hint="eastAsia" w:ascii="宋体" w:hAnsi="宋体" w:eastAsia="宋体" w:cs="宋体"/>
          <w:b/>
          <w:bCs/>
          <w:color w:val="auto"/>
          <w:sz w:val="24"/>
          <w:highlight w:val="none"/>
          <w:lang w:val="en-US" w:eastAsia="zh-CN"/>
        </w:rPr>
        <w:t>扫描件</w:t>
      </w:r>
      <w:r>
        <w:rPr>
          <w:rFonts w:hint="eastAsia" w:hAnsi="宋体" w:eastAsia="宋体"/>
          <w:b/>
          <w:color w:val="auto"/>
          <w:sz w:val="24"/>
          <w:highlight w:val="none"/>
          <w:lang w:val="en-US" w:eastAsia="zh-CN"/>
        </w:rPr>
        <w:t>上传至系统中并加盖公章</w:t>
      </w:r>
      <w:r>
        <w:rPr>
          <w:rFonts w:hint="eastAsia" w:hAnsi="宋体"/>
          <w:b/>
          <w:color w:val="auto"/>
          <w:sz w:val="24"/>
          <w:highlight w:val="none"/>
          <w:lang w:eastAsia="zh-CN"/>
        </w:rPr>
        <w:t>；</w:t>
      </w:r>
      <w:r>
        <w:rPr>
          <w:rFonts w:hint="eastAsia" w:hAnsi="宋体"/>
          <w:b/>
          <w:color w:val="auto"/>
          <w:sz w:val="24"/>
          <w:highlight w:val="none"/>
        </w:rPr>
        <w:t>若是租赁车辆</w:t>
      </w:r>
      <w:r>
        <w:rPr>
          <w:rFonts w:hint="eastAsia" w:hAnsi="宋体" w:eastAsia="宋体"/>
          <w:b/>
          <w:color w:val="auto"/>
          <w:sz w:val="24"/>
          <w:highlight w:val="none"/>
          <w:lang w:val="en-US" w:eastAsia="zh-CN"/>
        </w:rPr>
        <w:t>或设备</w:t>
      </w:r>
      <w:r>
        <w:rPr>
          <w:rFonts w:hint="eastAsia" w:hAnsi="宋体"/>
          <w:b/>
          <w:color w:val="auto"/>
          <w:sz w:val="24"/>
          <w:highlight w:val="none"/>
        </w:rPr>
        <w:t>，提供</w:t>
      </w:r>
      <w:r>
        <w:rPr>
          <w:rFonts w:hint="eastAsia" w:ascii="宋体" w:hAnsi="宋体" w:cs="宋体"/>
          <w:b/>
          <w:color w:val="auto"/>
          <w:kern w:val="0"/>
          <w:sz w:val="24"/>
          <w:highlight w:val="none"/>
        </w:rPr>
        <w:t>租赁协议、租赁发票原件</w:t>
      </w:r>
      <w:r>
        <w:rPr>
          <w:rFonts w:hint="eastAsia" w:ascii="宋体" w:hAnsi="宋体" w:eastAsia="宋体" w:cs="宋体"/>
          <w:b/>
          <w:bCs/>
          <w:color w:val="auto"/>
          <w:sz w:val="24"/>
          <w:highlight w:val="none"/>
          <w:lang w:val="en-US" w:eastAsia="zh-CN"/>
        </w:rPr>
        <w:t>扫描件上传至系统中并加盖公章；</w:t>
      </w:r>
      <w:r>
        <w:rPr>
          <w:rFonts w:hint="eastAsia" w:ascii="宋体" w:hAnsi="宋体" w:cs="宋体"/>
          <w:b/>
          <w:color w:val="auto"/>
          <w:kern w:val="0"/>
          <w:sz w:val="24"/>
          <w:highlight w:val="none"/>
        </w:rPr>
        <w:t>如投标供应商投标时不具备上述设备的，可承诺中标后按采购人要求提供满足需求的</w:t>
      </w:r>
      <w:r>
        <w:rPr>
          <w:rFonts w:hint="eastAsia" w:ascii="宋体" w:hAnsi="宋体" w:cs="宋体"/>
          <w:b/>
          <w:color w:val="auto"/>
          <w:kern w:val="0"/>
          <w:sz w:val="24"/>
          <w:highlight w:val="none"/>
          <w:lang w:val="en-US" w:eastAsia="zh-CN"/>
        </w:rPr>
        <w:t>设备</w:t>
      </w:r>
      <w:r>
        <w:rPr>
          <w:rFonts w:hint="eastAsia" w:ascii="宋体" w:hAnsi="宋体" w:cs="宋体"/>
          <w:b/>
          <w:color w:val="auto"/>
          <w:kern w:val="0"/>
          <w:sz w:val="24"/>
          <w:highlight w:val="none"/>
        </w:rPr>
        <w:t>的承诺书（格式自拟，承诺书中需注明拟</w:t>
      </w:r>
      <w:r>
        <w:rPr>
          <w:rFonts w:hint="eastAsia" w:ascii="宋体" w:hAnsi="宋体" w:cs="宋体"/>
          <w:b/>
          <w:color w:val="auto"/>
          <w:kern w:val="0"/>
          <w:sz w:val="24"/>
          <w:highlight w:val="none"/>
          <w:lang w:val="en-US" w:eastAsia="zh-CN"/>
        </w:rPr>
        <w:t>投入设备的参数，未注明不得分</w:t>
      </w:r>
      <w:r>
        <w:rPr>
          <w:rFonts w:hint="eastAsia" w:ascii="宋体" w:hAnsi="宋体" w:cs="宋体"/>
          <w:b/>
          <w:color w:val="auto"/>
          <w:kern w:val="0"/>
          <w:sz w:val="24"/>
          <w:highlight w:val="none"/>
        </w:rPr>
        <w:t>）</w:t>
      </w:r>
      <w:r>
        <w:rPr>
          <w:rFonts w:hint="eastAsia" w:ascii="宋体" w:hAnsi="宋体" w:cs="宋体"/>
          <w:b/>
          <w:color w:val="auto"/>
          <w:kern w:val="0"/>
          <w:sz w:val="24"/>
          <w:highlight w:val="none"/>
          <w:lang w:val="en-US" w:eastAsia="zh-CN"/>
        </w:rPr>
        <w:t>上传至系统中并加盖公章，</w:t>
      </w:r>
      <w:r>
        <w:rPr>
          <w:rFonts w:hint="eastAsia" w:ascii="宋体" w:hAnsi="宋体" w:eastAsia="宋体" w:cs="宋体"/>
          <w:b/>
          <w:bCs w:val="0"/>
          <w:color w:val="auto"/>
          <w:sz w:val="24"/>
          <w:szCs w:val="24"/>
          <w:highlight w:val="none"/>
        </w:rPr>
        <w:t>不提供或</w:t>
      </w:r>
      <w:r>
        <w:rPr>
          <w:rFonts w:hint="eastAsia" w:ascii="宋体" w:hAnsi="宋体" w:eastAsia="宋体" w:cs="宋体"/>
          <w:b/>
          <w:bCs/>
          <w:color w:val="auto"/>
          <w:sz w:val="24"/>
          <w:szCs w:val="24"/>
          <w:highlight w:val="none"/>
        </w:rPr>
        <w:t>提供不全不得分</w:t>
      </w:r>
      <w:r>
        <w:rPr>
          <w:rFonts w:hint="eastAsia" w:ascii="宋体" w:hAnsi="宋体" w:eastAsia="宋体" w:cs="宋体"/>
          <w:b/>
          <w:bCs/>
          <w:color w:val="auto"/>
          <w:sz w:val="24"/>
          <w:szCs w:val="24"/>
          <w:highlight w:val="none"/>
          <w:lang w:eastAsia="zh-CN"/>
        </w:rPr>
        <w:t>】</w:t>
      </w: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55分</w:t>
      </w:r>
      <w:r>
        <w:rPr>
          <w:rFonts w:hint="eastAsia" w:ascii="宋体" w:hAnsi="宋体" w:eastAsia="宋体"/>
          <w:b/>
          <w:color w:val="auto"/>
          <w:sz w:val="24"/>
          <w:highlight w:val="none"/>
        </w:rPr>
        <w:t>）</w:t>
      </w:r>
    </w:p>
    <w:p w14:paraId="1F7B529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1、项目总体概述（5分）</w:t>
      </w:r>
      <w:r>
        <w:rPr>
          <w:rFonts w:hint="eastAsia" w:ascii="宋体" w:hAnsi="宋体" w:eastAsia="宋体" w:cs="宋体"/>
          <w:b/>
          <w:bCs w:val="0"/>
          <w:color w:val="auto"/>
          <w:sz w:val="24"/>
          <w:highlight w:val="none"/>
          <w:lang w:eastAsia="zh-CN"/>
        </w:rPr>
        <w:t>：</w:t>
      </w:r>
      <w:r>
        <w:rPr>
          <w:rFonts w:hint="eastAsia" w:ascii="宋体" w:hAnsi="宋体" w:eastAsia="宋体" w:cs="宋体"/>
          <w:color w:val="auto"/>
          <w:sz w:val="24"/>
          <w:highlight w:val="none"/>
        </w:rPr>
        <w:t>投</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sz w:val="24"/>
        </w:rPr>
        <w:t>。</w:t>
      </w:r>
    </w:p>
    <w:p w14:paraId="7F6EAE85">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2、</w:t>
      </w:r>
      <w:r>
        <w:rPr>
          <w:rFonts w:hint="eastAsia" w:ascii="宋体" w:hAnsi="宋体" w:eastAsia="宋体" w:cs="Times New Roman"/>
          <w:b/>
          <w:bCs w:val="0"/>
          <w:color w:val="auto"/>
          <w:sz w:val="24"/>
          <w:highlight w:val="none"/>
        </w:rPr>
        <w:t>公司管理体系、养护考核制度</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1925B34F">
      <w:pPr>
        <w:tabs>
          <w:tab w:val="left" w:pos="525"/>
          <w:tab w:val="left" w:pos="1155"/>
          <w:tab w:val="left" w:pos="1260"/>
        </w:tabs>
        <w:spacing w:line="360" w:lineRule="auto"/>
        <w:ind w:firstLine="482" w:firstLineChars="200"/>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3、</w:t>
      </w:r>
      <w:r>
        <w:rPr>
          <w:rFonts w:hint="eastAsia" w:ascii="宋体" w:hAnsi="宋体" w:eastAsia="宋体" w:cs="Times New Roman"/>
          <w:b/>
          <w:bCs w:val="0"/>
          <w:color w:val="auto"/>
          <w:sz w:val="24"/>
          <w:highlight w:val="none"/>
        </w:rPr>
        <w:t>日常养护管理</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、项目人员责任制落实</w:t>
      </w:r>
      <w:r>
        <w:rPr>
          <w:rFonts w:hint="eastAsia" w:ascii="宋体" w:hAnsi="宋体" w:eastAsia="宋体" w:cs="Times New Roman"/>
          <w:b/>
          <w:bCs w:val="0"/>
          <w:color w:val="auto"/>
          <w:sz w:val="24"/>
          <w:highlight w:val="none"/>
          <w:lang w:val="en-US" w:eastAsia="zh-CN"/>
        </w:rPr>
        <w:t>制度</w:t>
      </w:r>
      <w:r>
        <w:rPr>
          <w:rFonts w:hint="eastAsia" w:ascii="宋体" w:hAnsi="宋体" w:eastAsia="宋体" w:cs="Times New Roman"/>
          <w:b/>
          <w:bCs w:val="0"/>
          <w:color w:val="auto"/>
          <w:sz w:val="24"/>
          <w:highlight w:val="none"/>
        </w:rPr>
        <w:t>、养护台账体系等</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体系</w:t>
      </w:r>
      <w:r>
        <w:rPr>
          <w:rFonts w:hint="eastAsia" w:ascii="宋体" w:hAnsi="宋体" w:eastAsia="宋体" w:cs="宋体"/>
          <w:bCs/>
          <w:color w:val="auto"/>
          <w:sz w:val="24"/>
          <w:szCs w:val="24"/>
          <w:highlight w:val="none"/>
        </w:rPr>
        <w:t>制度基本满足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得1分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5973AA4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4、</w:t>
      </w:r>
      <w:r>
        <w:rPr>
          <w:rFonts w:hint="eastAsia" w:ascii="宋体" w:hAnsi="宋体" w:eastAsia="宋体" w:cs="Times New Roman"/>
          <w:b/>
          <w:bCs w:val="0"/>
          <w:color w:val="auto"/>
          <w:sz w:val="24"/>
          <w:highlight w:val="none"/>
        </w:rPr>
        <w:t>抢险救灾应急预案（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分）：针对各类灾害及突发事件处置的可行性预案。</w:t>
      </w:r>
    </w:p>
    <w:p w14:paraId="5E80182D">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类灾害及突发事件安全问题分析全面，</w:t>
      </w:r>
      <w:r>
        <w:rPr>
          <w:rFonts w:hint="eastAsia" w:ascii="宋体" w:hAnsi="宋体" w:eastAsia="宋体" w:cs="Times New Roman"/>
          <w:bCs/>
          <w:color w:val="auto"/>
          <w:sz w:val="24"/>
          <w:highlight w:val="none"/>
          <w:lang w:val="en-US" w:eastAsia="zh-CN"/>
        </w:rPr>
        <w:t>对各类灾害及突发事件处置</w:t>
      </w:r>
      <w:r>
        <w:rPr>
          <w:rFonts w:hint="eastAsia" w:ascii="宋体" w:hAnsi="宋体" w:eastAsia="宋体" w:cs="Times New Roman"/>
          <w:bCs/>
          <w:color w:val="auto"/>
          <w:sz w:val="24"/>
          <w:highlight w:val="none"/>
        </w:rPr>
        <w:t>措施科学有效的得</w:t>
      </w:r>
      <w:r>
        <w:rPr>
          <w:rFonts w:hint="eastAsia" w:ascii="宋体" w:hAnsi="宋体" w:eastAsia="宋体" w:cs="Times New Roman"/>
          <w:bCs/>
          <w:color w:val="auto"/>
          <w:sz w:val="24"/>
          <w:highlight w:val="none"/>
          <w:lang w:val="en-US" w:eastAsia="zh-CN"/>
        </w:rPr>
        <w:t>5</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类灾害及突发事件安全问题分析部分合理，</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措施部分有效得</w:t>
      </w:r>
      <w:r>
        <w:rPr>
          <w:rFonts w:hint="eastAsia" w:ascii="宋体" w:hAnsi="宋体" w:eastAsia="宋体" w:cs="Times New Roman"/>
          <w:bCs/>
          <w:color w:val="auto"/>
          <w:sz w:val="24"/>
          <w:highlight w:val="none"/>
          <w:lang w:val="en-US" w:eastAsia="zh-CN"/>
        </w:rPr>
        <w:t>3</w:t>
      </w:r>
      <w:r>
        <w:rPr>
          <w:rFonts w:hint="eastAsia" w:ascii="宋体" w:hAnsi="宋体" w:eastAsia="宋体" w:cs="Times New Roman"/>
          <w:bCs/>
          <w:color w:val="auto"/>
          <w:sz w:val="24"/>
          <w:highlight w:val="none"/>
        </w:rPr>
        <w:t>分；</w:t>
      </w:r>
      <w:r>
        <w:rPr>
          <w:rFonts w:hint="eastAsia" w:ascii="宋体" w:hAnsi="宋体" w:eastAsia="宋体" w:cs="Times New Roman"/>
          <w:bCs/>
          <w:color w:val="auto"/>
          <w:sz w:val="24"/>
          <w:highlight w:val="none"/>
          <w:lang w:val="en-US" w:eastAsia="zh-CN"/>
        </w:rPr>
        <w:t>各</w:t>
      </w:r>
      <w:r>
        <w:rPr>
          <w:rFonts w:hint="eastAsia" w:ascii="宋体" w:hAnsi="宋体" w:eastAsia="宋体" w:cs="Times New Roman"/>
          <w:bCs/>
          <w:color w:val="auto"/>
          <w:sz w:val="24"/>
          <w:highlight w:val="none"/>
        </w:rPr>
        <w:t>类灾害及突发事件安全问题分析一般，</w:t>
      </w:r>
      <w:r>
        <w:rPr>
          <w:rFonts w:hint="eastAsia" w:ascii="宋体" w:hAnsi="宋体" w:eastAsia="宋体" w:cs="Times New Roman"/>
          <w:bCs/>
          <w:color w:val="auto"/>
          <w:sz w:val="24"/>
          <w:highlight w:val="none"/>
          <w:lang w:val="en-US" w:eastAsia="zh-CN"/>
        </w:rPr>
        <w:t>处置</w:t>
      </w:r>
      <w:r>
        <w:rPr>
          <w:rFonts w:hint="eastAsia" w:ascii="宋体" w:hAnsi="宋体" w:eastAsia="宋体" w:cs="Times New Roman"/>
          <w:bCs/>
          <w:color w:val="auto"/>
          <w:sz w:val="24"/>
          <w:highlight w:val="none"/>
        </w:rPr>
        <w:t>措施可行性一般得</w:t>
      </w:r>
      <w:r>
        <w:rPr>
          <w:rFonts w:hint="eastAsia" w:ascii="宋体" w:hAnsi="宋体" w:eastAsia="宋体" w:cs="Times New Roman"/>
          <w:bCs/>
          <w:color w:val="auto"/>
          <w:sz w:val="24"/>
          <w:highlight w:val="none"/>
          <w:lang w:val="en-US" w:eastAsia="zh-CN"/>
        </w:rPr>
        <w:t>1</w:t>
      </w:r>
      <w:r>
        <w:rPr>
          <w:rFonts w:hint="eastAsia" w:ascii="宋体" w:hAnsi="宋体" w:eastAsia="宋体" w:cs="Times New Roman"/>
          <w:bCs/>
          <w:color w:val="auto"/>
          <w:sz w:val="24"/>
          <w:highlight w:val="none"/>
        </w:rPr>
        <w:t>分；</w:t>
      </w:r>
      <w:r>
        <w:rPr>
          <w:rFonts w:hint="eastAsia" w:hAnsi="宋体"/>
          <w:color w:val="auto"/>
          <w:sz w:val="24"/>
          <w:szCs w:val="24"/>
          <w:highlight w:val="none"/>
          <w:lang w:val="en-US" w:eastAsia="zh-CN"/>
        </w:rPr>
        <w:t>不提供不得分。</w:t>
      </w:r>
    </w:p>
    <w:p w14:paraId="6EE3452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养护</w:t>
      </w:r>
      <w:r>
        <w:rPr>
          <w:rFonts w:hint="eastAsia" w:ascii="宋体" w:hAnsi="宋体" w:eastAsia="宋体" w:cs="Times New Roman"/>
          <w:b/>
          <w:bCs w:val="0"/>
          <w:color w:val="auto"/>
          <w:sz w:val="24"/>
          <w:highlight w:val="none"/>
          <w:lang w:val="en-US" w:eastAsia="zh-CN"/>
        </w:rPr>
        <w:t>工作计划</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设计完整，方案科学合理，设计清晰详细，符合本项目采购需求的得</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内容基本符合本项目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rPr>
        <w:t>，方案基本科学合理，设计基本清晰得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val="en-US" w:eastAsia="zh-CN"/>
        </w:rPr>
        <w:t>工作计划</w:t>
      </w:r>
      <w:r>
        <w:rPr>
          <w:rFonts w:hint="eastAsia" w:ascii="宋体" w:hAnsi="宋体" w:eastAsia="宋体" w:cs="宋体"/>
          <w:bCs/>
          <w:color w:val="auto"/>
          <w:sz w:val="24"/>
          <w:szCs w:val="24"/>
          <w:highlight w:val="none"/>
        </w:rPr>
        <w:t>基本满足</w:t>
      </w:r>
      <w:r>
        <w:rPr>
          <w:rFonts w:hint="eastAsia" w:ascii="宋体" w:hAnsi="宋体" w:eastAsia="宋体" w:cs="宋体"/>
          <w:bCs/>
          <w:color w:val="auto"/>
          <w:sz w:val="24"/>
          <w:szCs w:val="24"/>
          <w:highlight w:val="none"/>
          <w:lang w:val="en-US" w:eastAsia="zh-CN"/>
        </w:rPr>
        <w:t>项目</w:t>
      </w:r>
      <w:r>
        <w:rPr>
          <w:rFonts w:hint="eastAsia" w:hAnsi="宋体"/>
          <w:color w:val="auto"/>
          <w:sz w:val="24"/>
          <w:szCs w:val="24"/>
          <w:highlight w:val="none"/>
        </w:rPr>
        <w:t>采购需求</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hAnsi="宋体"/>
          <w:color w:val="auto"/>
          <w:sz w:val="24"/>
          <w:szCs w:val="24"/>
          <w:highlight w:val="none"/>
          <w:lang w:val="en-US" w:eastAsia="zh-CN"/>
        </w:rPr>
        <w:t>不提供不得分</w:t>
      </w:r>
      <w:r>
        <w:rPr>
          <w:rFonts w:hint="eastAsia" w:ascii="宋体" w:hAnsi="宋体" w:eastAsia="宋体" w:cs="宋体"/>
          <w:color w:val="auto"/>
          <w:sz w:val="24"/>
          <w:szCs w:val="24"/>
          <w:highlight w:val="none"/>
        </w:rPr>
        <w:t>。</w:t>
      </w:r>
    </w:p>
    <w:p w14:paraId="72071556">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6、</w:t>
      </w:r>
      <w:r>
        <w:rPr>
          <w:rFonts w:hint="eastAsia" w:ascii="宋体" w:hAnsi="宋体" w:eastAsia="宋体"/>
          <w:b/>
          <w:bCs w:val="0"/>
          <w:color w:val="auto"/>
          <w:sz w:val="24"/>
          <w:highlight w:val="none"/>
        </w:rPr>
        <w:t>现有问题解决措施</w:t>
      </w:r>
      <w:r>
        <w:rPr>
          <w:rFonts w:hint="eastAsia" w:ascii="宋体" w:hAnsi="宋体" w:eastAsia="宋体"/>
          <w:b/>
          <w:bCs w:val="0"/>
          <w:color w:val="auto"/>
          <w:sz w:val="24"/>
          <w:highlight w:val="none"/>
          <w:lang w:eastAsia="zh-CN"/>
        </w:rPr>
        <w:t>（</w:t>
      </w:r>
      <w:r>
        <w:rPr>
          <w:rFonts w:hint="eastAsia" w:ascii="宋体" w:hAnsi="宋体" w:eastAsia="宋体"/>
          <w:b/>
          <w:bCs w:val="0"/>
          <w:color w:val="auto"/>
          <w:sz w:val="24"/>
          <w:highlight w:val="none"/>
          <w:lang w:val="en-US" w:eastAsia="zh-CN"/>
        </w:rPr>
        <w:t>5分</w:t>
      </w:r>
      <w:r>
        <w:rPr>
          <w:rFonts w:hint="eastAsia" w:ascii="宋体" w:hAnsi="宋体" w:eastAsia="宋体"/>
          <w:b/>
          <w:bCs w:val="0"/>
          <w:color w:val="auto"/>
          <w:sz w:val="24"/>
          <w:highlight w:val="none"/>
          <w:lang w:eastAsia="zh-CN"/>
        </w:rPr>
        <w:t>）：</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11CB1D7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val="en-US" w:eastAsia="zh-CN"/>
        </w:rPr>
        <w:t>7、</w:t>
      </w:r>
      <w:r>
        <w:rPr>
          <w:rFonts w:hint="eastAsia" w:ascii="宋体" w:hAnsi="宋体" w:eastAsia="宋体" w:cs="Times New Roman"/>
          <w:b/>
          <w:bCs w:val="0"/>
          <w:color w:val="auto"/>
          <w:sz w:val="24"/>
          <w:highlight w:val="none"/>
        </w:rPr>
        <w:t>乔木修剪、花灌木修剪、空秃地整治专项养护方案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B165C36">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8、</w:t>
      </w:r>
      <w:r>
        <w:rPr>
          <w:rFonts w:hint="eastAsia" w:ascii="宋体" w:hAnsi="宋体" w:eastAsia="宋体" w:cs="Times New Roman"/>
          <w:b/>
          <w:bCs w:val="0"/>
          <w:color w:val="auto"/>
          <w:sz w:val="24"/>
          <w:highlight w:val="none"/>
        </w:rPr>
        <w:t>其他有效提升绿地景观的专项养护方案</w:t>
      </w:r>
      <w:r>
        <w:rPr>
          <w:rFonts w:hint="eastAsia" w:ascii="宋体" w:hAnsi="宋体" w:eastAsia="宋体" w:cs="Times New Roman"/>
          <w:b/>
          <w:bCs w:val="0"/>
          <w:color w:val="auto"/>
          <w:sz w:val="24"/>
          <w:highlight w:val="none"/>
          <w:lang w:eastAsia="zh-CN"/>
        </w:rPr>
        <w:t>（</w:t>
      </w:r>
      <w:r>
        <w:rPr>
          <w:rFonts w:hint="eastAsia" w:ascii="宋体" w:hAnsi="宋体" w:eastAsia="宋体" w:cs="Times New Roman"/>
          <w:b/>
          <w:bCs w:val="0"/>
          <w:color w:val="auto"/>
          <w:sz w:val="24"/>
          <w:highlight w:val="none"/>
          <w:lang w:val="en-US" w:eastAsia="zh-CN"/>
        </w:rPr>
        <w:t>5分</w:t>
      </w:r>
      <w:r>
        <w:rPr>
          <w:rFonts w:hint="eastAsia" w:ascii="宋体" w:hAnsi="宋体" w:eastAsia="宋体" w:cs="Times New Roman"/>
          <w:b/>
          <w:bCs w:val="0"/>
          <w:color w:val="auto"/>
          <w:sz w:val="24"/>
          <w:highlight w:val="none"/>
          <w:lang w:eastAsia="zh-CN"/>
        </w:rPr>
        <w:t>）</w:t>
      </w: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r>
        <w:rPr>
          <w:rFonts w:hint="eastAsia" w:ascii="宋体" w:hAnsi="宋体" w:eastAsia="宋体" w:cs="Times New Roman"/>
          <w:bCs/>
          <w:color w:val="auto"/>
          <w:sz w:val="24"/>
          <w:highlight w:val="none"/>
        </w:rPr>
        <w:t>。</w:t>
      </w:r>
    </w:p>
    <w:p w14:paraId="37B0B1F2">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9、</w:t>
      </w:r>
      <w:r>
        <w:rPr>
          <w:rFonts w:hint="eastAsia" w:ascii="宋体" w:hAnsi="宋体" w:eastAsia="宋体" w:cs="Times New Roman"/>
          <w:b/>
          <w:bCs w:val="0"/>
          <w:color w:val="auto"/>
          <w:sz w:val="24"/>
          <w:highlight w:val="none"/>
        </w:rPr>
        <w:t>安全文明</w:t>
      </w:r>
      <w:r>
        <w:rPr>
          <w:rFonts w:hint="eastAsia" w:ascii="宋体" w:hAnsi="宋体" w:eastAsia="宋体" w:cs="Times New Roman"/>
          <w:b/>
          <w:bCs w:val="0"/>
          <w:color w:val="auto"/>
          <w:sz w:val="24"/>
          <w:highlight w:val="none"/>
          <w:lang w:val="en-US" w:eastAsia="zh-CN"/>
        </w:rPr>
        <w:t>作业</w:t>
      </w:r>
      <w:r>
        <w:rPr>
          <w:rFonts w:hint="eastAsia" w:ascii="宋体" w:hAnsi="宋体" w:eastAsia="宋体" w:cs="Times New Roman"/>
          <w:b/>
          <w:bCs w:val="0"/>
          <w:color w:val="auto"/>
          <w:sz w:val="24"/>
          <w:highlight w:val="none"/>
        </w:rPr>
        <w:t>及环境保护</w:t>
      </w:r>
      <w:r>
        <w:rPr>
          <w:rFonts w:hint="eastAsia" w:ascii="宋体" w:hAnsi="宋体" w:eastAsia="宋体" w:cs="Times New Roman"/>
          <w:b/>
          <w:bCs w:val="0"/>
          <w:color w:val="auto"/>
          <w:sz w:val="24"/>
          <w:highlight w:val="none"/>
          <w:lang w:val="en-US" w:eastAsia="zh-CN"/>
        </w:rPr>
        <w:t>措施</w:t>
      </w:r>
      <w:r>
        <w:rPr>
          <w:rFonts w:hint="eastAsia" w:ascii="宋体" w:hAnsi="宋体" w:eastAsia="宋体" w:cs="Times New Roman"/>
          <w:b/>
          <w:bCs w:val="0"/>
          <w:color w:val="auto"/>
          <w:sz w:val="24"/>
          <w:highlight w:val="none"/>
        </w:rPr>
        <w:t>（</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无可操作性，思路不合理或未提供执行</w:t>
      </w:r>
      <w:r>
        <w:rPr>
          <w:rFonts w:hint="eastAsia" w:ascii="宋体" w:hAnsi="宋体" w:eastAsia="宋体" w:cs="宋体"/>
          <w:b w:val="0"/>
          <w:bCs/>
          <w:color w:val="auto"/>
          <w:kern w:val="0"/>
          <w:sz w:val="24"/>
          <w:highlight w:val="none"/>
          <w:lang w:val="en-US" w:eastAsia="zh-CN"/>
        </w:rPr>
        <w:t>措施</w:t>
      </w:r>
      <w:r>
        <w:rPr>
          <w:rFonts w:hint="eastAsia" w:ascii="宋体" w:hAnsi="宋体" w:eastAsia="宋体" w:cs="宋体"/>
          <w:b w:val="0"/>
          <w:bCs/>
          <w:color w:val="auto"/>
          <w:kern w:val="0"/>
          <w:sz w:val="24"/>
          <w:highlight w:val="none"/>
          <w:lang w:eastAsia="zh-CN"/>
        </w:rPr>
        <w:t>，不得分。</w:t>
      </w:r>
    </w:p>
    <w:p w14:paraId="656482D1">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10、</w:t>
      </w:r>
      <w:r>
        <w:rPr>
          <w:rFonts w:hint="eastAsia" w:ascii="宋体" w:hAnsi="宋体" w:eastAsia="宋体" w:cs="Times New Roman"/>
          <w:b/>
          <w:bCs w:val="0"/>
          <w:color w:val="auto"/>
          <w:sz w:val="24"/>
          <w:highlight w:val="none"/>
        </w:rPr>
        <w:t>园林绿化废弃物</w:t>
      </w:r>
      <w:r>
        <w:rPr>
          <w:rFonts w:hint="eastAsia" w:ascii="宋体" w:hAnsi="宋体" w:eastAsia="宋体" w:cs="Times New Roman"/>
          <w:b/>
          <w:bCs w:val="0"/>
          <w:color w:val="auto"/>
          <w:sz w:val="24"/>
          <w:highlight w:val="none"/>
          <w:lang w:val="en-US" w:eastAsia="zh-CN"/>
        </w:rPr>
        <w:t>收集和</w:t>
      </w:r>
      <w:r>
        <w:rPr>
          <w:rFonts w:hint="eastAsia" w:ascii="宋体" w:hAnsi="宋体" w:eastAsia="宋体" w:cs="Times New Roman"/>
          <w:b/>
          <w:bCs w:val="0"/>
          <w:color w:val="auto"/>
          <w:sz w:val="24"/>
          <w:highlight w:val="none"/>
        </w:rPr>
        <w:t>处置方案（</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包含但不限于园林废弃物收集、输运、堆放及资源化利用。</w:t>
      </w:r>
    </w:p>
    <w:p w14:paraId="1324DABC">
      <w:pPr>
        <w:tabs>
          <w:tab w:val="left" w:pos="525"/>
          <w:tab w:val="left" w:pos="1155"/>
          <w:tab w:val="left" w:pos="1260"/>
        </w:tabs>
        <w:spacing w:line="360" w:lineRule="auto"/>
        <w:ind w:firstLine="480" w:firstLineChars="200"/>
        <w:rPr>
          <w:rFonts w:hint="eastAsia" w:ascii="宋体" w:hAnsi="宋体" w:eastAsia="宋体" w:cs="Times New Roman"/>
          <w:bCs/>
          <w:color w:val="auto"/>
          <w:sz w:val="24"/>
          <w:highlight w:val="none"/>
        </w:rPr>
      </w:pPr>
      <w:r>
        <w:rPr>
          <w:rFonts w:hint="eastAsia" w:ascii="宋体" w:hAnsi="宋体" w:eastAsia="宋体" w:cs="宋体"/>
          <w:b w:val="0"/>
          <w:bCs/>
          <w:color w:val="auto"/>
          <w:kern w:val="0"/>
          <w:sz w:val="24"/>
          <w:highlight w:val="none"/>
          <w:lang w:eastAsia="zh-CN"/>
        </w:rPr>
        <w:t>方案详细完整，针对性强、可操作性强，思路合理得5分；方案较详细，针对性、可操作性较强，思路较合理得3分；方案简单，针对性、可操作性一般，思路可行性不高得1分；方案无可操作性，思路不合理或未提供执行方案，不得分。</w:t>
      </w:r>
    </w:p>
    <w:p w14:paraId="123D7434">
      <w:pPr>
        <w:tabs>
          <w:tab w:val="left" w:pos="525"/>
          <w:tab w:val="left" w:pos="1155"/>
          <w:tab w:val="left" w:pos="1260"/>
        </w:tabs>
        <w:spacing w:line="360" w:lineRule="auto"/>
        <w:ind w:firstLine="482" w:firstLineChars="200"/>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11、</w:t>
      </w:r>
      <w:r>
        <w:rPr>
          <w:rFonts w:hint="eastAsia" w:ascii="宋体" w:hAnsi="宋体" w:eastAsia="宋体" w:cs="Times New Roman"/>
          <w:b/>
          <w:bCs w:val="0"/>
          <w:color w:val="auto"/>
          <w:sz w:val="24"/>
          <w:highlight w:val="none"/>
        </w:rPr>
        <w:t>质量及服务、优惠条件承诺（</w:t>
      </w:r>
      <w:r>
        <w:rPr>
          <w:rFonts w:hint="eastAsia" w:ascii="宋体" w:hAnsi="宋体" w:eastAsia="宋体" w:cs="Times New Roman"/>
          <w:b/>
          <w:bCs w:val="0"/>
          <w:color w:val="auto"/>
          <w:sz w:val="24"/>
          <w:highlight w:val="none"/>
          <w:lang w:val="en-US" w:eastAsia="zh-CN"/>
        </w:rPr>
        <w:t>5</w:t>
      </w:r>
      <w:r>
        <w:rPr>
          <w:rFonts w:hint="eastAsia" w:ascii="宋体" w:hAnsi="宋体" w:eastAsia="宋体" w:cs="Times New Roman"/>
          <w:b/>
          <w:bCs w:val="0"/>
          <w:color w:val="auto"/>
          <w:sz w:val="24"/>
          <w:highlight w:val="none"/>
        </w:rPr>
        <w:t>分）</w:t>
      </w:r>
      <w:r>
        <w:rPr>
          <w:rFonts w:hint="eastAsia" w:ascii="宋体" w:hAnsi="宋体" w:eastAsia="宋体" w:cs="Times New Roman"/>
          <w:bCs/>
          <w:color w:val="auto"/>
          <w:sz w:val="24"/>
          <w:highlight w:val="none"/>
        </w:rPr>
        <w:t>：各投标供应商根据自身实际情况，结合招标文件，就中标后进一步配合采购人加强区管绿地管养，对质量及服务、优惠条件作出具体承诺。</w:t>
      </w:r>
    </w:p>
    <w:p w14:paraId="7A3AD877">
      <w:pPr>
        <w:tabs>
          <w:tab w:val="left" w:pos="525"/>
          <w:tab w:val="left" w:pos="1155"/>
          <w:tab w:val="left" w:pos="1260"/>
        </w:tabs>
        <w:spacing w:line="360" w:lineRule="auto"/>
        <w:ind w:firstLine="480" w:firstLineChars="200"/>
        <w:rPr>
          <w:rFonts w:hint="eastAsia" w:ascii="黑体" w:eastAsia="黑体"/>
          <w:bCs/>
          <w:color w:val="auto"/>
          <w:sz w:val="36"/>
          <w:szCs w:val="36"/>
          <w:highlight w:val="none"/>
        </w:rPr>
      </w:pP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详细完整，针对性强、可操作性强，思路合理得5分；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较详细，针对性、可操作性较强，思路较合理得3分；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简单，针对性、可操作性一般，思路可行性不高得1分；</w:t>
      </w:r>
      <w:r>
        <w:rPr>
          <w:rFonts w:hint="eastAsia" w:ascii="宋体" w:hAnsi="宋体" w:eastAsia="宋体" w:cs="宋体"/>
          <w:b w:val="0"/>
          <w:bCs/>
          <w:color w:val="auto"/>
          <w:kern w:val="0"/>
          <w:sz w:val="24"/>
          <w:highlight w:val="none"/>
          <w:lang w:val="en-US" w:eastAsia="zh-CN"/>
        </w:rPr>
        <w:t>承诺内容</w:t>
      </w:r>
      <w:r>
        <w:rPr>
          <w:rFonts w:hint="eastAsia" w:ascii="宋体" w:hAnsi="宋体" w:eastAsia="宋体" w:cs="宋体"/>
          <w:b w:val="0"/>
          <w:bCs/>
          <w:color w:val="auto"/>
          <w:kern w:val="0"/>
          <w:sz w:val="24"/>
          <w:highlight w:val="none"/>
          <w:lang w:eastAsia="zh-CN"/>
        </w:rPr>
        <w:t>无可操作性，思路不合理或未提供</w:t>
      </w:r>
      <w:r>
        <w:rPr>
          <w:rFonts w:hint="eastAsia" w:ascii="宋体" w:hAnsi="宋体" w:eastAsia="宋体" w:cs="宋体"/>
          <w:b w:val="0"/>
          <w:bCs/>
          <w:color w:val="auto"/>
          <w:kern w:val="0"/>
          <w:sz w:val="24"/>
          <w:highlight w:val="none"/>
          <w:lang w:val="en-US" w:eastAsia="zh-CN"/>
        </w:rPr>
        <w:t>承诺</w:t>
      </w:r>
      <w:r>
        <w:rPr>
          <w:rFonts w:hint="eastAsia" w:ascii="宋体" w:hAnsi="宋体" w:eastAsia="宋体" w:cs="宋体"/>
          <w:b w:val="0"/>
          <w:bCs/>
          <w:color w:val="auto"/>
          <w:kern w:val="0"/>
          <w:sz w:val="24"/>
          <w:highlight w:val="none"/>
          <w:lang w:eastAsia="zh-CN"/>
        </w:rPr>
        <w:t>，不得分。</w:t>
      </w:r>
      <w:bookmarkStart w:id="167" w:name="_GoBack"/>
      <w:bookmarkEnd w:id="167"/>
      <w:r>
        <w:rPr>
          <w:rFonts w:hint="eastAsia" w:ascii="黑体" w:eastAsia="黑体"/>
          <w:bCs/>
          <w:color w:val="auto"/>
          <w:sz w:val="36"/>
          <w:szCs w:val="36"/>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9"/>
      <w:bookmarkEnd w:id="150"/>
      <w:bookmarkEnd w:id="151"/>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57" w:name="_Hlt26955039"/>
      <w:bookmarkEnd w:id="157"/>
      <w:bookmarkStart w:id="158" w:name="_Hlt26671244"/>
      <w:bookmarkEnd w:id="158"/>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9"/>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1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0E0B258A">
      <w:pPr>
        <w:spacing w:line="360" w:lineRule="auto"/>
        <w:jc w:val="center"/>
        <w:rPr>
          <w:rFonts w:asciiTheme="minorEastAsia" w:hAnsiTheme="minorEastAsia"/>
          <w:bCs/>
          <w:color w:val="auto"/>
          <w:sz w:val="7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3B17D90">
      <w:pPr>
        <w:spacing w:line="360" w:lineRule="auto"/>
        <w:jc w:val="center"/>
        <w:rPr>
          <w:rFonts w:asciiTheme="minorEastAsia" w:hAnsiTheme="minorEastAsia"/>
          <w:bCs/>
          <w:color w:val="auto"/>
          <w:sz w:val="7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63FD26F0">
      <w:pPr>
        <w:spacing w:line="360" w:lineRule="auto"/>
        <w:jc w:val="center"/>
        <w:rPr>
          <w:rFonts w:asciiTheme="minorEastAsia" w:hAnsiTheme="minorEastAsia"/>
          <w:bCs/>
          <w:color w:val="auto"/>
          <w:sz w:val="7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59"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9"/>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60" w:name="报价方关于资格的声明函（格式）"/>
      <w:bookmarkEnd w:id="160"/>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0CDFBFED">
      <w:pPr>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shd w:val="clear" w:fill="FFFFFF"/>
        </w:rPr>
        <w:br w:type="page"/>
      </w:r>
    </w:p>
    <w:p w14:paraId="53F6DFCB">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11"/>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11"/>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11"/>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F63A50A">
      <w:pPr>
        <w:spacing w:line="360" w:lineRule="auto"/>
        <w:rPr>
          <w:rFonts w:ascii="黑体" w:eastAsia="黑体"/>
          <w:bCs/>
          <w:color w:val="auto"/>
          <w:sz w:val="24"/>
          <w:szCs w:val="24"/>
          <w:highlight w:val="none"/>
        </w:rPr>
      </w:pPr>
    </w:p>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61"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61"/>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62" w:name="_Toc120614284"/>
    </w:p>
    <w:p w14:paraId="46F02F00">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分项报价表</w:t>
      </w:r>
    </w:p>
    <w:p w14:paraId="76FD0A57">
      <w:pPr>
        <w:pBdr>
          <w:top w:val="none" w:color="000000" w:sz="0" w:space="0"/>
          <w:left w:val="none" w:color="000000" w:sz="0" w:space="0"/>
          <w:bottom w:val="none" w:color="000000" w:sz="0" w:space="0"/>
          <w:right w:val="none" w:color="000000" w:sz="0" w:space="0"/>
        </w:pBdr>
        <w:spacing w:line="360" w:lineRule="auto"/>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w:t>
      </w:r>
      <w:r>
        <w:rPr>
          <w:rFonts w:hint="eastAsia" w:ascii="黑体" w:eastAsia="黑体"/>
          <w:bCs/>
          <w:color w:val="auto"/>
          <w:sz w:val="28"/>
          <w:szCs w:val="28"/>
          <w:highlight w:val="none"/>
          <w:lang w:val="en-US" w:eastAsia="zh-CN"/>
        </w:rPr>
        <w:t>根据附件《清单-2026年山水城公共绿地与游园日常养护》填报</w:t>
      </w:r>
      <w:r>
        <w:rPr>
          <w:rFonts w:hint="eastAsia" w:ascii="黑体" w:eastAsia="黑体"/>
          <w:bCs/>
          <w:color w:val="auto"/>
          <w:sz w:val="28"/>
          <w:szCs w:val="28"/>
          <w:highlight w:val="none"/>
          <w:lang w:eastAsia="zh-CN"/>
        </w:rPr>
        <w:t>）</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p w14:paraId="2DED9379">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195A5A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注：1、采购人不提供开办费及前期接管费用，不提供装备和装备费，供应商需要将以上费用</w:t>
      </w:r>
      <w:r>
        <w:rPr>
          <w:rFonts w:hint="eastAsia" w:ascii="宋体" w:hAnsi="宋体" w:eastAsia="宋体" w:cs="宋体"/>
          <w:color w:val="auto"/>
          <w:sz w:val="24"/>
          <w:szCs w:val="24"/>
          <w:highlight w:val="none"/>
          <w:lang w:val="en-US" w:eastAsia="zh-CN"/>
        </w:rPr>
        <w:t>自行考虑到</w:t>
      </w:r>
      <w:r>
        <w:rPr>
          <w:rFonts w:hint="eastAsia" w:ascii="宋体" w:hAnsi="宋体" w:eastAsia="宋体" w:cs="宋体"/>
          <w:color w:val="auto"/>
          <w:sz w:val="24"/>
          <w:szCs w:val="24"/>
          <w:highlight w:val="none"/>
        </w:rPr>
        <w:t>分项报价中。</w:t>
      </w:r>
    </w:p>
    <w:p w14:paraId="3FC6F6A1">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2、投标人报价时应充分考虑服务期内所有可能影响到报价的因素（包括最低工资标准和社保基数的政策性调整）</w:t>
      </w:r>
      <w:r>
        <w:rPr>
          <w:rFonts w:hint="eastAsia" w:ascii="宋体" w:hAnsi="宋体" w:eastAsia="宋体" w:cs="宋体"/>
          <w:bCs/>
          <w:color w:val="auto"/>
          <w:sz w:val="24"/>
          <w:szCs w:val="24"/>
          <w:highlight w:val="none"/>
        </w:rPr>
        <w:t>。投标人报价时应充分考虑服务期内所有可能影响到报价的因素，</w:t>
      </w:r>
      <w:r>
        <w:rPr>
          <w:rFonts w:hint="eastAsia" w:ascii="宋体" w:hAnsi="宋体" w:eastAsia="宋体" w:cs="宋体"/>
          <w:color w:val="auto"/>
          <w:sz w:val="24"/>
          <w:szCs w:val="24"/>
          <w:highlight w:val="none"/>
        </w:rPr>
        <w:t>一旦报价结束最终中标，总价将包定，中间不予调整。</w:t>
      </w:r>
    </w:p>
    <w:p w14:paraId="6F0E0ED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、投标人提供的服务全部由符合政策要求的中小企业承接的，须提供按格式填写的《中小企业声明函》（服务）；或提供由省级以上监狱管理局、戒毒管理局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color w:val="auto"/>
          <w:sz w:val="24"/>
          <w:szCs w:val="24"/>
          <w:highlight w:val="none"/>
          <w:lang w:val="en-US" w:eastAsia="zh-CN"/>
        </w:rPr>
        <w:t>采购人及采购代理机构</w:t>
      </w:r>
      <w:r>
        <w:rPr>
          <w:rFonts w:hint="eastAsia" w:ascii="宋体" w:hAnsi="宋体" w:eastAsia="宋体" w:cs="宋体"/>
          <w:color w:val="auto"/>
          <w:sz w:val="24"/>
          <w:szCs w:val="24"/>
          <w:highlight w:val="none"/>
        </w:rPr>
        <w:t>有权将相关内容进行公示。</w:t>
      </w:r>
    </w:p>
    <w:p w14:paraId="5B96F623">
      <w:pPr>
        <w:spacing w:line="500" w:lineRule="exact"/>
        <w:ind w:firstLine="960"/>
        <w:jc w:val="left"/>
        <w:rPr>
          <w:rFonts w:ascii="宋体" w:hAnsi="宋体"/>
          <w:b/>
          <w:bCs/>
          <w:color w:val="auto"/>
          <w:sz w:val="24"/>
          <w:highlight w:val="none"/>
        </w:rPr>
      </w:pP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p>
    <w:p w14:paraId="2FF2B8A1">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62"/>
      <w:bookmarkStart w:id="163" w:name="_Hlt26609389"/>
      <w:bookmarkEnd w:id="163"/>
      <w:bookmarkStart w:id="164" w:name="_Hlt26671374"/>
      <w:bookmarkEnd w:id="164"/>
      <w:bookmarkStart w:id="165" w:name="_格式2__法定代表人授权书"/>
      <w:bookmarkEnd w:id="165"/>
      <w:bookmarkStart w:id="166" w:name="_Hlt26955066"/>
      <w:bookmarkEnd w:id="166"/>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674"/>
        <w:gridCol w:w="779"/>
        <w:gridCol w:w="700"/>
        <w:gridCol w:w="1521"/>
        <w:gridCol w:w="1356"/>
        <w:gridCol w:w="1794"/>
        <w:gridCol w:w="849"/>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67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7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700"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521"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356"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794"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849"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3E44606D">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1098" w:type="dxa"/>
            <w:noWrap w:val="0"/>
            <w:vAlign w:val="center"/>
          </w:tcPr>
          <w:p w14:paraId="769F2CDF">
            <w:pPr>
              <w:spacing w:line="360" w:lineRule="auto"/>
              <w:jc w:val="center"/>
              <w:outlineLvl w:val="0"/>
              <w:rPr>
                <w:rFonts w:hint="eastAsia" w:ascii="宋体" w:hAnsi="宋体" w:eastAsia="宋体" w:cs="宋体"/>
                <w:bCs/>
                <w:color w:val="auto"/>
                <w:sz w:val="24"/>
                <w:szCs w:val="24"/>
                <w:highlight w:val="none"/>
                <w:lang w:val="en-US" w:eastAsia="zh-CN"/>
              </w:rPr>
            </w:pPr>
          </w:p>
        </w:tc>
        <w:tc>
          <w:tcPr>
            <w:tcW w:w="674" w:type="dxa"/>
            <w:noWrap w:val="0"/>
            <w:vAlign w:val="center"/>
          </w:tcPr>
          <w:p w14:paraId="1CAB5E10">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6549E472">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FD9492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206010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cs="宋体"/>
                <w:color w:val="auto"/>
                <w:kern w:val="0"/>
                <w:sz w:val="24"/>
                <w:highlight w:val="none"/>
              </w:rPr>
              <w:t>项目负责人</w:t>
            </w:r>
          </w:p>
        </w:tc>
        <w:tc>
          <w:tcPr>
            <w:tcW w:w="1356" w:type="dxa"/>
            <w:noWrap w:val="0"/>
            <w:vAlign w:val="center"/>
          </w:tcPr>
          <w:p w14:paraId="432BE2EA">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7946EA1E">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E8A3113">
            <w:pPr>
              <w:spacing w:line="360" w:lineRule="auto"/>
              <w:jc w:val="center"/>
              <w:outlineLvl w:val="0"/>
              <w:rPr>
                <w:rFonts w:hint="eastAsia" w:ascii="宋体" w:hAnsi="宋体" w:eastAsia="宋体" w:cs="宋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40FB02B8">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p>
        </w:tc>
        <w:tc>
          <w:tcPr>
            <w:tcW w:w="1098" w:type="dxa"/>
            <w:noWrap w:val="0"/>
            <w:vAlign w:val="center"/>
          </w:tcPr>
          <w:p w14:paraId="29492A71">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1AE41A26">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5283A68">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E571210">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31645C2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7361DB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3FE97D65">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004D1A32">
            <w:pPr>
              <w:spacing w:line="360" w:lineRule="auto"/>
              <w:jc w:val="center"/>
              <w:outlineLvl w:val="0"/>
              <w:rPr>
                <w:rFonts w:hint="eastAsia" w:ascii="宋体" w:hAnsi="宋体" w:eastAsia="宋体" w:cs="宋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62BC9ADF">
            <w:pPr>
              <w:spacing w:line="360" w:lineRule="auto"/>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098" w:type="dxa"/>
            <w:noWrap w:val="0"/>
            <w:vAlign w:val="center"/>
          </w:tcPr>
          <w:p w14:paraId="0501C63F">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4A1A08A8">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3265D56D">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49F52114">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D68FE5B">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23A19802">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8A9565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124B045F">
            <w:pPr>
              <w:spacing w:line="360" w:lineRule="auto"/>
              <w:jc w:val="center"/>
              <w:outlineLvl w:val="0"/>
              <w:rPr>
                <w:rFonts w:hint="eastAsia" w:ascii="宋体" w:hAnsi="宋体" w:eastAsia="宋体" w:cs="宋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7A25823D">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03FBAB2B">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30DA7C72">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07BD70BC">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06513A59">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49B21790">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9BDB63">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23F03043">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47B0BE1D">
            <w:pPr>
              <w:spacing w:line="360" w:lineRule="auto"/>
              <w:jc w:val="center"/>
              <w:outlineLvl w:val="0"/>
              <w:rPr>
                <w:rFonts w:hint="eastAsia" w:ascii="宋体" w:hAnsi="宋体" w:eastAsia="宋体" w:cs="宋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center"/>
          </w:tcPr>
          <w:p w14:paraId="576702DF">
            <w:pPr>
              <w:spacing w:line="360" w:lineRule="auto"/>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098" w:type="dxa"/>
            <w:noWrap w:val="0"/>
            <w:vAlign w:val="center"/>
          </w:tcPr>
          <w:p w14:paraId="4A912866">
            <w:pPr>
              <w:spacing w:line="360" w:lineRule="auto"/>
              <w:jc w:val="center"/>
              <w:outlineLvl w:val="0"/>
              <w:rPr>
                <w:rFonts w:hint="eastAsia" w:ascii="宋体" w:hAnsi="宋体" w:eastAsia="宋体" w:cs="宋体"/>
                <w:bCs/>
                <w:color w:val="auto"/>
                <w:sz w:val="24"/>
                <w:szCs w:val="24"/>
                <w:highlight w:val="none"/>
              </w:rPr>
            </w:pPr>
          </w:p>
        </w:tc>
        <w:tc>
          <w:tcPr>
            <w:tcW w:w="674" w:type="dxa"/>
            <w:noWrap w:val="0"/>
            <w:vAlign w:val="center"/>
          </w:tcPr>
          <w:p w14:paraId="27988FFB">
            <w:pPr>
              <w:spacing w:line="360" w:lineRule="auto"/>
              <w:jc w:val="center"/>
              <w:outlineLvl w:val="0"/>
              <w:rPr>
                <w:rFonts w:hint="eastAsia" w:ascii="宋体" w:hAnsi="宋体" w:eastAsia="宋体" w:cs="宋体"/>
                <w:bCs/>
                <w:color w:val="auto"/>
                <w:sz w:val="24"/>
                <w:szCs w:val="24"/>
                <w:highlight w:val="none"/>
              </w:rPr>
            </w:pPr>
          </w:p>
        </w:tc>
        <w:tc>
          <w:tcPr>
            <w:tcW w:w="779" w:type="dxa"/>
            <w:noWrap w:val="0"/>
            <w:vAlign w:val="center"/>
          </w:tcPr>
          <w:p w14:paraId="5CF5719B">
            <w:pPr>
              <w:spacing w:line="360" w:lineRule="auto"/>
              <w:jc w:val="center"/>
              <w:outlineLvl w:val="0"/>
              <w:rPr>
                <w:rFonts w:hint="eastAsia" w:ascii="宋体" w:hAnsi="宋体" w:eastAsia="宋体" w:cs="宋体"/>
                <w:bCs/>
                <w:color w:val="auto"/>
                <w:sz w:val="24"/>
                <w:szCs w:val="24"/>
                <w:highlight w:val="none"/>
              </w:rPr>
            </w:pPr>
          </w:p>
        </w:tc>
        <w:tc>
          <w:tcPr>
            <w:tcW w:w="700" w:type="dxa"/>
            <w:noWrap w:val="0"/>
            <w:vAlign w:val="center"/>
          </w:tcPr>
          <w:p w14:paraId="5C38359B">
            <w:pPr>
              <w:spacing w:line="360" w:lineRule="auto"/>
              <w:jc w:val="center"/>
              <w:outlineLvl w:val="0"/>
              <w:rPr>
                <w:rFonts w:hint="eastAsia" w:ascii="宋体" w:hAnsi="宋体" w:eastAsia="宋体" w:cs="宋体"/>
                <w:bCs/>
                <w:color w:val="auto"/>
                <w:sz w:val="24"/>
                <w:szCs w:val="24"/>
                <w:highlight w:val="none"/>
              </w:rPr>
            </w:pPr>
          </w:p>
        </w:tc>
        <w:tc>
          <w:tcPr>
            <w:tcW w:w="1521" w:type="dxa"/>
            <w:noWrap w:val="0"/>
            <w:vAlign w:val="center"/>
          </w:tcPr>
          <w:p w14:paraId="17004E4C">
            <w:pPr>
              <w:spacing w:line="360" w:lineRule="auto"/>
              <w:jc w:val="center"/>
              <w:outlineLvl w:val="0"/>
              <w:rPr>
                <w:rFonts w:hint="eastAsia" w:ascii="宋体" w:hAnsi="宋体" w:eastAsia="宋体" w:cs="宋体"/>
                <w:bCs/>
                <w:color w:val="auto"/>
                <w:sz w:val="24"/>
                <w:szCs w:val="24"/>
                <w:highlight w:val="none"/>
              </w:rPr>
            </w:pPr>
          </w:p>
        </w:tc>
        <w:tc>
          <w:tcPr>
            <w:tcW w:w="1356" w:type="dxa"/>
            <w:noWrap w:val="0"/>
            <w:vAlign w:val="center"/>
          </w:tcPr>
          <w:p w14:paraId="49EE5B91">
            <w:pPr>
              <w:spacing w:line="360" w:lineRule="auto"/>
              <w:jc w:val="center"/>
              <w:outlineLvl w:val="0"/>
              <w:rPr>
                <w:rFonts w:hint="eastAsia" w:ascii="宋体" w:hAnsi="宋体" w:eastAsia="宋体" w:cs="宋体"/>
                <w:bCs/>
                <w:color w:val="auto"/>
                <w:sz w:val="24"/>
                <w:szCs w:val="24"/>
                <w:highlight w:val="none"/>
              </w:rPr>
            </w:pPr>
          </w:p>
        </w:tc>
        <w:tc>
          <w:tcPr>
            <w:tcW w:w="1794" w:type="dxa"/>
            <w:noWrap w:val="0"/>
            <w:vAlign w:val="center"/>
          </w:tcPr>
          <w:p w14:paraId="0586A57A">
            <w:pPr>
              <w:spacing w:line="360" w:lineRule="auto"/>
              <w:jc w:val="center"/>
              <w:outlineLvl w:val="0"/>
              <w:rPr>
                <w:rFonts w:hint="eastAsia" w:ascii="宋体" w:hAnsi="宋体" w:eastAsia="宋体" w:cs="宋体"/>
                <w:bCs/>
                <w:color w:val="auto"/>
                <w:sz w:val="24"/>
                <w:szCs w:val="24"/>
                <w:highlight w:val="none"/>
              </w:rPr>
            </w:pPr>
          </w:p>
        </w:tc>
        <w:tc>
          <w:tcPr>
            <w:tcW w:w="849" w:type="dxa"/>
            <w:noWrap w:val="0"/>
            <w:vAlign w:val="center"/>
          </w:tcPr>
          <w:p w14:paraId="520D0198">
            <w:pPr>
              <w:spacing w:line="360" w:lineRule="auto"/>
              <w:jc w:val="center"/>
              <w:outlineLvl w:val="0"/>
              <w:rPr>
                <w:rFonts w:hint="eastAsia" w:ascii="宋体" w:hAnsi="宋体" w:eastAsia="宋体" w:cs="宋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rPr>
          <w:rFonts w:asciiTheme="minorEastAsia" w:hAnsiTheme="minorEastAsia"/>
          <w:bCs/>
          <w:color w:val="auto"/>
          <w:sz w:val="30"/>
          <w:highlight w:val="none"/>
        </w:rPr>
      </w:pPr>
      <w:r>
        <w:rPr>
          <w:rFonts w:asciiTheme="minorEastAsia" w:hAnsiTheme="minorEastAsia"/>
          <w:bCs/>
          <w:color w:val="auto"/>
          <w:sz w:val="30"/>
          <w:highlight w:val="none"/>
        </w:rPr>
        <w:br w:type="page"/>
      </w:r>
    </w:p>
    <w:p w14:paraId="0221E861">
      <w:pPr>
        <w:spacing w:line="360" w:lineRule="auto"/>
        <w:rPr>
          <w:rFonts w:hint="eastAsia" w:eastAsia="宋体" w:asciiTheme="minorEastAsia" w:hAnsiTheme="minorEastAsia"/>
          <w:bCs/>
          <w:color w:val="auto"/>
          <w:sz w:val="30"/>
          <w:highlight w:val="none"/>
          <w:lang w:val="en-US" w:eastAsia="zh-CN"/>
        </w:rPr>
      </w:pPr>
      <w:r>
        <w:rPr>
          <w:rFonts w:hint="eastAsia"/>
          <w:b/>
          <w:color w:val="auto"/>
          <w:sz w:val="28"/>
          <w:szCs w:val="28"/>
          <w:highlight w:val="none"/>
          <w:lang w:val="en-US" w:eastAsia="zh-CN"/>
        </w:rPr>
        <w:t>十一、设备配备表</w:t>
      </w:r>
      <w:r>
        <w:rPr>
          <w:rFonts w:hint="eastAsia"/>
          <w:b/>
          <w:color w:val="auto"/>
          <w:sz w:val="28"/>
          <w:szCs w:val="28"/>
          <w:highlight w:val="none"/>
        </w:rPr>
        <w:t>（格式）</w:t>
      </w:r>
    </w:p>
    <w:p w14:paraId="040A91FC">
      <w:pPr>
        <w:spacing w:line="360" w:lineRule="auto"/>
        <w:ind w:firstLine="490"/>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lang w:val="en-US" w:eastAsia="zh-CN"/>
        </w:rPr>
        <w:t>设备配备表</w:t>
      </w:r>
      <w:r>
        <w:rPr>
          <w:rFonts w:hint="eastAsia" w:ascii="黑体" w:eastAsia="黑体"/>
          <w:bCs/>
          <w:color w:val="auto"/>
          <w:sz w:val="28"/>
          <w:szCs w:val="28"/>
          <w:highlight w:val="none"/>
        </w:rPr>
        <w:t>（格式）</w:t>
      </w:r>
    </w:p>
    <w:p w14:paraId="2CF9815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4994" w:type="pct"/>
        <w:jc w:val="center"/>
        <w:tblLayout w:type="autofit"/>
        <w:tblCellMar>
          <w:top w:w="0" w:type="dxa"/>
          <w:left w:w="108" w:type="dxa"/>
          <w:bottom w:w="0" w:type="dxa"/>
          <w:right w:w="108" w:type="dxa"/>
        </w:tblCellMar>
      </w:tblPr>
      <w:tblGrid>
        <w:gridCol w:w="879"/>
        <w:gridCol w:w="1518"/>
        <w:gridCol w:w="1520"/>
        <w:gridCol w:w="2512"/>
        <w:gridCol w:w="2409"/>
        <w:gridCol w:w="1287"/>
      </w:tblGrid>
      <w:tr w14:paraId="3D932786">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296A8CD">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749" w:type="pct"/>
            <w:tcBorders>
              <w:top w:val="single" w:color="auto" w:sz="4" w:space="0"/>
              <w:left w:val="nil"/>
              <w:bottom w:val="single" w:color="auto" w:sz="4" w:space="0"/>
              <w:right w:val="single" w:color="auto" w:sz="4" w:space="0"/>
            </w:tcBorders>
            <w:vAlign w:val="center"/>
          </w:tcPr>
          <w:p w14:paraId="03BAACE4">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设备名称</w:t>
            </w:r>
          </w:p>
        </w:tc>
        <w:tc>
          <w:tcPr>
            <w:tcW w:w="750" w:type="pct"/>
            <w:tcBorders>
              <w:top w:val="single" w:color="auto" w:sz="4" w:space="0"/>
              <w:left w:val="nil"/>
              <w:bottom w:val="single" w:color="auto" w:sz="4" w:space="0"/>
              <w:right w:val="single" w:color="auto" w:sz="4" w:space="0"/>
            </w:tcBorders>
            <w:vAlign w:val="center"/>
          </w:tcPr>
          <w:p w14:paraId="588D70D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是否自有</w:t>
            </w:r>
          </w:p>
        </w:tc>
        <w:tc>
          <w:tcPr>
            <w:tcW w:w="1240" w:type="pct"/>
            <w:tcBorders>
              <w:top w:val="single" w:color="auto" w:sz="4" w:space="0"/>
              <w:left w:val="nil"/>
              <w:bottom w:val="single" w:color="auto" w:sz="4" w:space="0"/>
              <w:right w:val="single" w:color="auto" w:sz="4" w:space="0"/>
            </w:tcBorders>
            <w:vAlign w:val="center"/>
          </w:tcPr>
          <w:p w14:paraId="057641B0">
            <w:pPr>
              <w:widowControl/>
              <w:jc w:val="center"/>
              <w:rPr>
                <w:rFonts w:hint="default" w:eastAsia="宋体"/>
                <w:color w:val="auto"/>
                <w:highlight w:val="none"/>
                <w:lang w:val="en-US" w:eastAsia="zh-CN"/>
              </w:rPr>
            </w:pPr>
            <w:r>
              <w:rPr>
                <w:rFonts w:hint="eastAsia" w:ascii="宋体" w:hAnsi="宋体" w:eastAsia="宋体" w:cs="宋体"/>
                <w:b/>
                <w:bCs/>
                <w:color w:val="auto"/>
                <w:kern w:val="0"/>
                <w:sz w:val="24"/>
                <w:highlight w:val="none"/>
                <w:lang w:val="en-US" w:eastAsia="zh-CN"/>
              </w:rPr>
              <w:t>设备型号</w:t>
            </w:r>
          </w:p>
        </w:tc>
        <w:tc>
          <w:tcPr>
            <w:tcW w:w="1189" w:type="pct"/>
            <w:tcBorders>
              <w:top w:val="single" w:color="auto" w:sz="4" w:space="0"/>
              <w:left w:val="single" w:color="auto" w:sz="4" w:space="0"/>
              <w:bottom w:val="single" w:color="auto" w:sz="4" w:space="0"/>
              <w:right w:val="single" w:color="auto" w:sz="4" w:space="0"/>
            </w:tcBorders>
            <w:vAlign w:val="center"/>
          </w:tcPr>
          <w:p w14:paraId="1E2B254C">
            <w:pPr>
              <w:widowControl/>
              <w:jc w:val="center"/>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设备参数</w:t>
            </w:r>
          </w:p>
        </w:tc>
        <w:tc>
          <w:tcPr>
            <w:tcW w:w="635" w:type="pct"/>
            <w:tcBorders>
              <w:top w:val="single" w:color="auto" w:sz="4" w:space="0"/>
              <w:left w:val="nil"/>
              <w:bottom w:val="single" w:color="auto" w:sz="4" w:space="0"/>
              <w:right w:val="single" w:color="auto" w:sz="4" w:space="0"/>
            </w:tcBorders>
            <w:vAlign w:val="center"/>
          </w:tcPr>
          <w:p w14:paraId="4C23FBD5">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lang w:val="en-US" w:eastAsia="zh-CN"/>
              </w:rPr>
              <w:t>备注</w:t>
            </w:r>
          </w:p>
        </w:tc>
      </w:tr>
      <w:tr w14:paraId="097F9B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9FCC612">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0312FC4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4FF5F80B">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4D3D3ADC">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6F4628F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33529D56">
            <w:pPr>
              <w:widowControl/>
              <w:jc w:val="center"/>
              <w:rPr>
                <w:rFonts w:hint="eastAsia" w:ascii="宋体" w:hAnsi="宋体" w:eastAsia="宋体" w:cs="宋体"/>
                <w:color w:val="auto"/>
                <w:kern w:val="0"/>
                <w:sz w:val="24"/>
                <w:highlight w:val="none"/>
                <w:lang w:eastAsia="zh-CN"/>
              </w:rPr>
            </w:pPr>
          </w:p>
        </w:tc>
      </w:tr>
      <w:tr w14:paraId="0329B53F">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9DAE95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60D7500C">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5C2A9BDE">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3F74B6">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738D41D6">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01DD3187">
            <w:pPr>
              <w:widowControl/>
              <w:jc w:val="center"/>
              <w:rPr>
                <w:rFonts w:hint="eastAsia" w:ascii="宋体" w:hAnsi="宋体" w:eastAsia="宋体" w:cs="宋体"/>
                <w:color w:val="auto"/>
                <w:kern w:val="0"/>
                <w:sz w:val="24"/>
                <w:highlight w:val="none"/>
                <w:lang w:eastAsia="zh-CN"/>
              </w:rPr>
            </w:pPr>
          </w:p>
        </w:tc>
      </w:tr>
      <w:tr w14:paraId="1A76F391">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7A8A3C8B">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70CAAA34">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1AB00F38">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D4543E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052DF50">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4C07EC62">
            <w:pPr>
              <w:widowControl/>
              <w:jc w:val="center"/>
              <w:rPr>
                <w:rFonts w:hint="eastAsia" w:ascii="宋体" w:hAnsi="宋体" w:eastAsia="宋体" w:cs="宋体"/>
                <w:color w:val="auto"/>
                <w:kern w:val="0"/>
                <w:sz w:val="24"/>
                <w:highlight w:val="none"/>
                <w:lang w:eastAsia="zh-CN"/>
              </w:rPr>
            </w:pPr>
          </w:p>
        </w:tc>
      </w:tr>
      <w:tr w14:paraId="15C9BA8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D521CA3">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04DE14F">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0B37B161">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79175B33">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47EC4D2D">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16769215">
            <w:pPr>
              <w:widowControl/>
              <w:jc w:val="center"/>
              <w:rPr>
                <w:rFonts w:hint="eastAsia" w:ascii="宋体" w:hAnsi="宋体" w:eastAsia="宋体" w:cs="宋体"/>
                <w:color w:val="auto"/>
                <w:kern w:val="0"/>
                <w:sz w:val="24"/>
                <w:highlight w:val="none"/>
                <w:lang w:eastAsia="zh-CN"/>
              </w:rPr>
            </w:pPr>
          </w:p>
        </w:tc>
      </w:tr>
      <w:tr w14:paraId="0BAF85DA">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55D8B64F">
            <w:pPr>
              <w:widowControl/>
              <w:jc w:val="center"/>
              <w:rPr>
                <w:rFonts w:hint="eastAsia" w:ascii="宋体" w:hAnsi="宋体" w:cs="宋体"/>
                <w:color w:val="auto"/>
                <w:kern w:val="0"/>
                <w:sz w:val="24"/>
                <w:highlight w:val="none"/>
              </w:rPr>
            </w:pPr>
          </w:p>
        </w:tc>
        <w:tc>
          <w:tcPr>
            <w:tcW w:w="749" w:type="pct"/>
            <w:tcBorders>
              <w:top w:val="nil"/>
              <w:left w:val="nil"/>
              <w:bottom w:val="single" w:color="auto" w:sz="4" w:space="0"/>
              <w:right w:val="single" w:color="auto" w:sz="4" w:space="0"/>
            </w:tcBorders>
            <w:vAlign w:val="center"/>
          </w:tcPr>
          <w:p w14:paraId="1282677A">
            <w:pPr>
              <w:widowControl/>
              <w:jc w:val="center"/>
              <w:rPr>
                <w:rFonts w:hint="eastAsia" w:ascii="宋体" w:hAnsi="宋体" w:eastAsia="宋体" w:cs="宋体"/>
                <w:color w:val="auto"/>
                <w:kern w:val="0"/>
                <w:sz w:val="24"/>
                <w:highlight w:val="none"/>
                <w:lang w:eastAsia="zh-CN"/>
              </w:rPr>
            </w:pPr>
          </w:p>
        </w:tc>
        <w:tc>
          <w:tcPr>
            <w:tcW w:w="750" w:type="pct"/>
            <w:tcBorders>
              <w:top w:val="nil"/>
              <w:left w:val="nil"/>
              <w:bottom w:val="single" w:color="auto" w:sz="4" w:space="0"/>
              <w:right w:val="single" w:color="auto" w:sz="4" w:space="0"/>
            </w:tcBorders>
            <w:vAlign w:val="center"/>
          </w:tcPr>
          <w:p w14:paraId="737D8B7C">
            <w:pPr>
              <w:widowControl/>
              <w:jc w:val="center"/>
              <w:rPr>
                <w:rFonts w:hint="eastAsia" w:ascii="宋体" w:hAnsi="宋体" w:eastAsia="宋体" w:cs="宋体"/>
                <w:color w:val="auto"/>
                <w:kern w:val="0"/>
                <w:sz w:val="24"/>
                <w:highlight w:val="none"/>
                <w:lang w:eastAsia="zh-CN"/>
              </w:rPr>
            </w:pPr>
          </w:p>
        </w:tc>
        <w:tc>
          <w:tcPr>
            <w:tcW w:w="1240" w:type="pct"/>
            <w:tcBorders>
              <w:top w:val="single" w:color="auto" w:sz="4" w:space="0"/>
              <w:left w:val="nil"/>
              <w:bottom w:val="single" w:color="auto" w:sz="4" w:space="0"/>
              <w:right w:val="single" w:color="auto" w:sz="4" w:space="0"/>
            </w:tcBorders>
            <w:vAlign w:val="center"/>
          </w:tcPr>
          <w:p w14:paraId="097AF570">
            <w:pPr>
              <w:widowControl/>
              <w:jc w:val="center"/>
              <w:rPr>
                <w:rFonts w:hint="eastAsia" w:ascii="宋体" w:hAnsi="宋体" w:cs="宋体"/>
                <w:color w:val="auto"/>
                <w:kern w:val="0"/>
                <w:sz w:val="24"/>
                <w:highlight w:val="none"/>
              </w:rPr>
            </w:pPr>
          </w:p>
        </w:tc>
        <w:tc>
          <w:tcPr>
            <w:tcW w:w="1189" w:type="pct"/>
            <w:tcBorders>
              <w:top w:val="nil"/>
              <w:left w:val="single" w:color="auto" w:sz="4" w:space="0"/>
              <w:bottom w:val="single" w:color="auto" w:sz="4" w:space="0"/>
              <w:right w:val="single" w:color="auto" w:sz="4" w:space="0"/>
            </w:tcBorders>
            <w:vAlign w:val="center"/>
          </w:tcPr>
          <w:p w14:paraId="52B55CD7">
            <w:pPr>
              <w:widowControl/>
              <w:jc w:val="center"/>
              <w:rPr>
                <w:rFonts w:hint="eastAsia" w:ascii="宋体" w:hAnsi="宋体" w:eastAsia="宋体" w:cs="宋体"/>
                <w:color w:val="auto"/>
                <w:kern w:val="0"/>
                <w:sz w:val="24"/>
                <w:highlight w:val="none"/>
                <w:lang w:eastAsia="zh-CN"/>
              </w:rPr>
            </w:pPr>
          </w:p>
        </w:tc>
        <w:tc>
          <w:tcPr>
            <w:tcW w:w="635" w:type="pct"/>
            <w:tcBorders>
              <w:top w:val="nil"/>
              <w:left w:val="nil"/>
              <w:bottom w:val="single" w:color="auto" w:sz="4" w:space="0"/>
              <w:right w:val="single" w:color="auto" w:sz="4" w:space="0"/>
            </w:tcBorders>
            <w:vAlign w:val="center"/>
          </w:tcPr>
          <w:p w14:paraId="74F746A2">
            <w:pPr>
              <w:widowControl/>
              <w:jc w:val="center"/>
              <w:rPr>
                <w:rFonts w:hint="eastAsia" w:ascii="宋体" w:hAnsi="宋体" w:eastAsia="宋体" w:cs="宋体"/>
                <w:color w:val="auto"/>
                <w:kern w:val="0"/>
                <w:sz w:val="24"/>
                <w:highlight w:val="none"/>
                <w:lang w:eastAsia="zh-CN"/>
              </w:rPr>
            </w:pPr>
          </w:p>
        </w:tc>
      </w:tr>
    </w:tbl>
    <w:p w14:paraId="3D3F6FC5">
      <w:pPr>
        <w:spacing w:line="480" w:lineRule="auto"/>
        <w:rPr>
          <w:rFonts w:hint="eastAsia" w:ascii="宋体" w:hAnsi="宋体"/>
          <w:bCs/>
          <w:color w:val="auto"/>
          <w:sz w:val="24"/>
          <w:highlight w:val="none"/>
        </w:rPr>
      </w:pPr>
      <w:r>
        <w:rPr>
          <w:rFonts w:hint="eastAsia" w:ascii="宋体" w:hAnsi="宋体"/>
          <w:bCs/>
          <w:color w:val="auto"/>
          <w:sz w:val="24"/>
          <w:highlight w:val="none"/>
        </w:rPr>
        <w:t>注：表格不够可自行延长。</w:t>
      </w:r>
    </w:p>
    <w:p w14:paraId="2F2ADAE9">
      <w:pPr>
        <w:spacing w:line="360" w:lineRule="auto"/>
        <w:rPr>
          <w:rFonts w:hint="eastAsia" w:eastAsia="宋体" w:asciiTheme="minorEastAsia" w:hAnsiTheme="minorEastAsia"/>
          <w:bCs/>
          <w:color w:val="auto"/>
          <w:sz w:val="30"/>
          <w:highlight w:val="none"/>
          <w:lang w:val="en-US" w:eastAsia="zh-CN"/>
        </w:rPr>
      </w:pPr>
    </w:p>
    <w:p w14:paraId="3D33847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5C8D842">
      <w:pPr>
        <w:spacing w:line="360" w:lineRule="auto"/>
        <w:rPr>
          <w:rFonts w:hint="eastAsia" w:eastAsia="宋体" w:asciiTheme="minorEastAsia" w:hAnsiTheme="minorEastAsia"/>
          <w:bCs/>
          <w:color w:val="auto"/>
          <w:sz w:val="30"/>
          <w:highlight w:val="none"/>
          <w:lang w:val="en-US" w:eastAsia="zh-CN"/>
        </w:rPr>
      </w:pPr>
    </w:p>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5A26B94"/>
    <w:multiLevelType w:val="multilevel"/>
    <w:tmpl w:val="55A26B94"/>
    <w:lvl w:ilvl="0" w:tentative="0">
      <w:start w:val="1"/>
      <w:numFmt w:val="decimal"/>
      <w:lvlText w:val="（%1）"/>
      <w:lvlJc w:val="left"/>
      <w:pPr>
        <w:tabs>
          <w:tab w:val="left" w:pos="1200"/>
        </w:tabs>
        <w:ind w:left="1200" w:hanging="720"/>
      </w:pPr>
      <w:rPr>
        <w:rFonts w:hint="eastAsia" w:eastAsia="华文细黑"/>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10">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8"/>
  </w:num>
  <w:num w:numId="8">
    <w:abstractNumId w:val="5"/>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04022"/>
    <w:rsid w:val="06045C18"/>
    <w:rsid w:val="07307A8D"/>
    <w:rsid w:val="07D35CE1"/>
    <w:rsid w:val="085463F6"/>
    <w:rsid w:val="0B542645"/>
    <w:rsid w:val="0BDC31C7"/>
    <w:rsid w:val="0CF24B34"/>
    <w:rsid w:val="0E8A639A"/>
    <w:rsid w:val="0F6565D0"/>
    <w:rsid w:val="10274F3F"/>
    <w:rsid w:val="12521AED"/>
    <w:rsid w:val="14E76E65"/>
    <w:rsid w:val="15114D98"/>
    <w:rsid w:val="197D279B"/>
    <w:rsid w:val="1A063933"/>
    <w:rsid w:val="1C625023"/>
    <w:rsid w:val="1CFE11EF"/>
    <w:rsid w:val="1E0C2606"/>
    <w:rsid w:val="1E666D4E"/>
    <w:rsid w:val="203C016F"/>
    <w:rsid w:val="205975FC"/>
    <w:rsid w:val="233139A1"/>
    <w:rsid w:val="247753E3"/>
    <w:rsid w:val="24927F5B"/>
    <w:rsid w:val="25956469"/>
    <w:rsid w:val="26560E9A"/>
    <w:rsid w:val="293927F9"/>
    <w:rsid w:val="2A355B25"/>
    <w:rsid w:val="2A6851A7"/>
    <w:rsid w:val="2A9C5BA4"/>
    <w:rsid w:val="2C2965E5"/>
    <w:rsid w:val="30490504"/>
    <w:rsid w:val="30A679D1"/>
    <w:rsid w:val="31045506"/>
    <w:rsid w:val="32E0684A"/>
    <w:rsid w:val="337C2EF9"/>
    <w:rsid w:val="3450368F"/>
    <w:rsid w:val="350B54A6"/>
    <w:rsid w:val="35EC11D2"/>
    <w:rsid w:val="360E7947"/>
    <w:rsid w:val="375B6188"/>
    <w:rsid w:val="3BEA3967"/>
    <w:rsid w:val="3D10686A"/>
    <w:rsid w:val="3D7704B3"/>
    <w:rsid w:val="3DA16AAC"/>
    <w:rsid w:val="3F2522A5"/>
    <w:rsid w:val="4044512F"/>
    <w:rsid w:val="407C76AA"/>
    <w:rsid w:val="41181D0C"/>
    <w:rsid w:val="428E0070"/>
    <w:rsid w:val="462723CB"/>
    <w:rsid w:val="465B76BA"/>
    <w:rsid w:val="48574386"/>
    <w:rsid w:val="4A060F81"/>
    <w:rsid w:val="4BF90552"/>
    <w:rsid w:val="4E6678AC"/>
    <w:rsid w:val="504A1B61"/>
    <w:rsid w:val="51212E4C"/>
    <w:rsid w:val="556542E0"/>
    <w:rsid w:val="5658600A"/>
    <w:rsid w:val="5A18635F"/>
    <w:rsid w:val="5A396CCA"/>
    <w:rsid w:val="5ACB11CB"/>
    <w:rsid w:val="5BC052E6"/>
    <w:rsid w:val="5CB6152C"/>
    <w:rsid w:val="5D9442E8"/>
    <w:rsid w:val="5D9B1B67"/>
    <w:rsid w:val="5E6837F3"/>
    <w:rsid w:val="601919D2"/>
    <w:rsid w:val="62EE5E27"/>
    <w:rsid w:val="65095BA8"/>
    <w:rsid w:val="650C6EA7"/>
    <w:rsid w:val="66420AF0"/>
    <w:rsid w:val="67A83750"/>
    <w:rsid w:val="68207505"/>
    <w:rsid w:val="689C207C"/>
    <w:rsid w:val="69521FB1"/>
    <w:rsid w:val="6B3D7D33"/>
    <w:rsid w:val="6BE34669"/>
    <w:rsid w:val="6F1F3C7A"/>
    <w:rsid w:val="701A1BE2"/>
    <w:rsid w:val="705E2375"/>
    <w:rsid w:val="71723392"/>
    <w:rsid w:val="74980757"/>
    <w:rsid w:val="75C94940"/>
    <w:rsid w:val="75F65A92"/>
    <w:rsid w:val="764F3790"/>
    <w:rsid w:val="77B500A9"/>
    <w:rsid w:val="782642CC"/>
    <w:rsid w:val="788334CC"/>
    <w:rsid w:val="7C4949A9"/>
    <w:rsid w:val="7DB96D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next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8CD3D684-0D47-4378-88B7-CCBC9D428EB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60</Pages>
  <Words>665</Words>
  <Characters>765</Characters>
  <TotalTime>6</TotalTime>
  <ScaleCrop>false</ScaleCrop>
  <LinksUpToDate>false</LinksUpToDate>
  <CharactersWithSpaces>780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2026-08-25T08:55:01Z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AD17FC18BD0D4C7D986D0A0CACF2511A_13</vt:lpwstr>
  </property>
  <property fmtid="{D5CDD505-2E9C-101B-9397-08002B2CF9AE}" pid="4" name="KSOTemplateDocerSaveRecord">
    <vt:lpwstr>eyJoZGlkIjoiOWQ4ZDVkODY4ZGIxNmFhN2NhMzc3ZTdmNTkyNmNlODciLCJ1c2VySWQiOiI1NjE1OTU0OTYifQ==</vt:lpwstr>
  </property>
</Properties>
</file>