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61"/>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9"/>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b/>
          <w:color w:val="000000"/>
          <w:sz w:val="32"/>
          <w:szCs w:val="32"/>
        </w:rPr>
        <w:t xml:space="preserve">南京鼓楼医院科室医疗质量安全管理系统</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869"/>
        <w:ind w:firstLine="1606"/>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0265</w:t>
      </w:r>
      <w:r>
        <w:rPr>
          <w:color w:val="000000"/>
          <w:lang w:val="en-US"/>
        </w:rPr>
      </w:r>
      <w:r/>
    </w:p>
    <w:p>
      <w:pPr>
        <w:pStyle w:val="869"/>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948"/>
        <w:rPr>
          <w:rFonts w:hint="eastAsia"/>
          <w:lang w:val="en-US" w:eastAsia="zh-CN"/>
        </w:rPr>
      </w:pPr>
      <w:r>
        <w:rPr>
          <w:rFonts w:hint="eastAsia"/>
          <w:lang w:val="en-US" w:eastAsia="zh-CN"/>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869"/>
        <w:jc w:val="left"/>
        <w:spacing w:line="360" w:lineRule="auto"/>
        <w:rPr>
          <w:rFonts w:hint="eastAsia" w:ascii="宋体" w:hAnsi="宋体"/>
          <w:sz w:val="24"/>
          <w:szCs w:val="24"/>
        </w:rPr>
      </w:pPr>
      <w:r>
        <w:rPr>
          <w:rFonts w:hint="eastAsia" w:ascii="宋体" w:hAnsi="宋体"/>
          <w:sz w:val="24"/>
          <w:szCs w:val="24"/>
        </w:rPr>
      </w:r>
      <w:r/>
    </w:p>
    <w:p>
      <w:pPr>
        <w:pStyle w:val="961"/>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9"/>
        <w:jc w:val="center"/>
        <w:spacing w:before="120" w:after="120" w:line="360" w:lineRule="auto"/>
        <w:rPr>
          <w:rFonts w:hint="eastAsia" w:ascii="Arial" w:hAnsi="Arial"/>
          <w:sz w:val="24"/>
          <w:szCs w:val="24"/>
        </w:rPr>
      </w:pPr>
      <w:r>
        <w:rPr>
          <w:rFonts w:hint="eastAsia" w:ascii="Arial" w:hAnsi="Arial"/>
          <w:sz w:val="24"/>
          <w:szCs w:val="24"/>
        </w:rPr>
      </w:r>
      <w:r/>
    </w:p>
    <w:p>
      <w:pPr>
        <w:pStyle w:val="869"/>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9"/>
        <w:jc w:val="center"/>
        <w:spacing w:line="480" w:lineRule="auto"/>
        <w:rPr>
          <w:rFonts w:ascii="Times New Roman" w:hAnsi="Times New Roman"/>
          <w:szCs w:val="21"/>
        </w:rPr>
        <w:outlineLvl w:val="0"/>
      </w:pPr>
      <w:r>
        <w:rPr>
          <w:rFonts w:ascii="Times New Roman" w:hAnsi="Times New Roman"/>
          <w:szCs w:val="21"/>
        </w:rPr>
      </w:r>
      <w:r/>
    </w:p>
    <w:p>
      <w:pPr>
        <w:pStyle w:val="869"/>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9"/>
        <w:spacing w:line="480" w:lineRule="auto"/>
        <w:rPr>
          <w:rFonts w:hint="eastAsia" w:ascii="仿宋_GB2312" w:hAnsi="Arial" w:eastAsia="仿宋_GB2312"/>
          <w:b/>
          <w:sz w:val="28"/>
          <w:szCs w:val="21"/>
        </w:rPr>
      </w:pPr>
      <w:r/>
      <w:bookmarkStart w:id="0" w:name="_Toc16938516"/>
      <w:r/>
      <w:bookmarkStart w:id="1" w:name="_Toc523127445"/>
      <w:r/>
      <w:bookmarkStart w:id="2" w:name="_Toc513029200"/>
      <w:r/>
      <w:bookmarkStart w:id="3" w:name="_Toc120614210"/>
      <w:r/>
      <w:bookmarkStart w:id="4" w:name="_Toc479757206"/>
      <w:r/>
      <w:bookmarkStart w:id="5" w:name="_Toc20823272"/>
      <w:r>
        <w:rPr>
          <w:rFonts w:hint="eastAsia" w:ascii="仿宋_GB2312" w:hAnsi="Arial" w:eastAsia="仿宋_GB2312"/>
          <w:b/>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rPr>
          <w:rFonts w:hint="eastAsia" w:ascii="Times New Roman" w:hAnsi="Times New Roman"/>
          <w:szCs w:val="21"/>
        </w:rPr>
      </w:pPr>
      <w:r>
        <w:rPr>
          <w:rFonts w:hint="eastAsia" w:ascii="Times New Roman" w:hAnsi="Times New Roman"/>
          <w:szCs w:val="21"/>
        </w:rPr>
      </w:r>
      <w:r/>
    </w:p>
    <w:p>
      <w:pPr>
        <w:pStyle w:val="869"/>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rPr>
        <w:t xml:space="preserve">南京鼓楼医院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rPr>
        <w:t xml:space="preserve">南京鼓楼医院科室医疗质量安全管理系统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0265</w:t>
      </w:r>
      <w:r>
        <w:rPr>
          <w:rFonts w:ascii="宋体" w:hAnsi="宋体"/>
          <w:color w:val="000000"/>
          <w:sz w:val="24"/>
          <w:szCs w:val="24"/>
          <w:lang w:val="en-US"/>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rPr>
        <w:t xml:space="preserve">南京鼓楼医院科室医疗质量安全管理系统</w:t>
      </w:r>
      <w:r>
        <w:rPr>
          <w:rFonts w:hint="eastAsia" w:ascii="宋体" w:hAnsi="宋体" w:eastAsia="宋体"/>
          <w:color w:val="000000"/>
          <w:sz w:val="24"/>
          <w:szCs w:val="24"/>
          <w:lang w:eastAsia="zh-CN"/>
        </w:rPr>
      </w:r>
      <w:r/>
    </w:p>
    <w:p>
      <w:pPr>
        <w:pStyle w:val="869"/>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万元；</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4.最高限价：</w:t>
      </w: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万元；</w:t>
      </w:r>
      <w:r>
        <w:rPr>
          <w:rFonts w:hint="eastAsia" w:ascii="宋体" w:hAnsi="宋体" w:eastAsia="宋体" w:cs="宋体"/>
          <w:color w:val="000000"/>
          <w:sz w:val="24"/>
          <w:szCs w:val="24"/>
          <w:highlight w:val="yellow"/>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ascii="宋体" w:hAnsi="宋体"/>
          <w:color w:val="000000"/>
          <w:sz w:val="24"/>
          <w:szCs w:val="24"/>
        </w:rPr>
        <w:t xml:space="preserve">为提升南京鼓楼医院各科室医疗质量与安全管理水平，拟采购一套科室医疗质量安全管理系统，该系统支持B/S架构、能够与医院现有质量管理系统无缝融合，通过质控台账管理、质控指标管理、数据检索、统计分析等功能模块，建立覆盖组织架构、QC人员职责、制度与规范、计划与总结、指标监测、质量考核、数据分析等全流程的闭环质控体系，实现科室质控工作的标准化、数字化、闭环化管理</w:t>
      </w:r>
      <w:r>
        <w:rPr>
          <w:rFonts w:hint="eastAsia" w:ascii="宋体" w:hAnsi="宋体"/>
          <w:color w:val="000000"/>
          <w:sz w:val="24"/>
          <w:szCs w:val="24"/>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69"/>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60天</w:t>
      </w:r>
      <w:r>
        <w:rPr>
          <w:rFonts w:ascii="宋体" w:hAnsi="宋体" w:eastAsia="宋体" w:cs="宋体"/>
          <w:color w:val="000000"/>
          <w:sz w:val="24"/>
          <w:szCs w:val="24"/>
          <w:highlight w:val="yellow"/>
          <w:lang w:val="en-US"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ascii="宋体" w:hAnsi="宋体"/>
          <w:color w:val="000000"/>
          <w:sz w:val="24"/>
          <w:szCs w:val="24"/>
          <w:highlight w:val="yellow"/>
          <w:lang w:val="en-US"/>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s="Times New Roman"/>
          <w:color w:val="000000"/>
          <w:sz w:val="24"/>
          <w:szCs w:val="24"/>
          <w:lang w:val="zh-CN" w:eastAsia="zh-CN"/>
        </w:rPr>
        <w:t xml:space="preserve">。</w:t>
      </w:r>
      <w:r>
        <w:rPr>
          <w:rFonts w:ascii="宋体" w:hAnsi="宋体"/>
          <w:color w:val="000000"/>
          <w:sz w:val="24"/>
          <w:szCs w:val="24"/>
          <w:highlight w:val="yellow"/>
          <w:lang w:val="en-US"/>
        </w:rPr>
      </w:r>
      <w:r/>
    </w:p>
    <w:p>
      <w:pPr>
        <w:pStyle w:val="869"/>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lang w:val="en-US" w:eastAsia="zh-CN"/>
        </w:rPr>
        <w:t xml:space="preserve">。</w:t>
      </w:r>
      <w:r>
        <w:rPr>
          <w:rFonts w:hint="eastAsia" w:ascii="宋体" w:hAnsi="宋体" w:eastAsia="宋体" w:cs="Times New Roman"/>
          <w:color w:val="0000ff"/>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9"/>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年</w:t>
      </w:r>
      <w:r>
        <w:rPr>
          <w:rFonts w:hint="eastAsia" w:ascii="宋体" w:hAnsi="宋体" w:cs="宋体"/>
          <w:b w:val="0"/>
          <w:bCs w:val="0"/>
          <w:color w:val="000000"/>
          <w:sz w:val="24"/>
          <w:szCs w:val="24"/>
          <w:highlight w:val="none"/>
          <w:u w:val="none"/>
          <w:lang w:val="en-US" w:eastAsia="zh-CN"/>
        </w:rPr>
        <w:t xml:space="preserve">8</w:t>
      </w:r>
      <w:r>
        <w:rPr>
          <w:rFonts w:hint="eastAsia" w:ascii="宋体" w:hAnsi="宋体"/>
          <w:b w:val="0"/>
          <w:bCs w:val="0"/>
          <w:color w:val="000000"/>
          <w:sz w:val="24"/>
          <w:szCs w:val="24"/>
          <w:u w:val="none"/>
        </w:rPr>
        <w:t xml:space="preserve">月10</w:t>
      </w:r>
      <w:r>
        <w:rPr>
          <w:rFonts w:hint="eastAsia" w:ascii="宋体" w:hAnsi="宋体"/>
          <w:b w:val="0"/>
          <w:bCs w:val="0"/>
          <w:color w:val="000000"/>
          <w:sz w:val="24"/>
          <w:szCs w:val="24"/>
          <w:u w:val="none"/>
        </w:rPr>
        <w:t xml:space="preserve">日14</w:t>
      </w:r>
      <w:r>
        <w:rPr>
          <w:rFonts w:hint="eastAsia" w:ascii="Times New Roman" w:hAnsi="Times New Roman" w:eastAsia="宋体" w:cs="Times New Roman"/>
          <w:b w:val="0"/>
          <w:bCs w:val="0"/>
          <w:color w:val="000000"/>
          <w:sz w:val="24"/>
          <w:szCs w:val="24"/>
          <w:u w:val="none"/>
          <w:lang w:val="en-US" w:eastAsia="zh-CN"/>
        </w:rPr>
        <w:t xml:space="preserve">时00</w:t>
      </w:r>
      <w:r>
        <w:rPr>
          <w:rFonts w:hint="eastAsia" w:ascii="宋体" w:hAnsi="宋体"/>
          <w:b w:val="0"/>
          <w:bCs w:val="0"/>
          <w:color w:val="000000"/>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w:t>
      </w:r>
      <w:r>
        <w:rPr>
          <w:rFonts w:hint="eastAsia" w:ascii="宋体" w:hAnsi="宋体" w:eastAsia="宋体" w:cs="宋体"/>
          <w:sz w:val="24"/>
          <w:szCs w:val="24"/>
          <w:highlight w:val="none"/>
          <w:lang w:val="en-US" w:eastAsia="zh-CN"/>
        </w:rPr>
        <w:t xml:space="preserve">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olor w:val="000000"/>
          <w:sz w:val="24"/>
        </w:rPr>
        <w:t xml:space="preserve">张老师，收件地址：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color w:val="000000"/>
          <w:sz w:val="24"/>
        </w:rPr>
        <w:t xml:space="preserve">联系电话：</w:t>
      </w:r>
      <w:r>
        <w:rPr>
          <w:rFonts w:ascii="宋体" w:hAnsi="宋体"/>
          <w:color w:val="000000"/>
          <w:sz w:val="24"/>
        </w:rPr>
        <w:t xml:space="preserve">025-83105006</w:t>
      </w:r>
      <w:r>
        <w:rPr>
          <w:rFonts w:hint="eastAsia" w:ascii="宋体" w:hAnsi="宋体"/>
          <w:color w:val="000000"/>
          <w:sz w:val="24"/>
        </w:rPr>
        <w:t xml:space="preserve">。</w:t>
      </w:r>
      <w:r>
        <w:rPr>
          <w:rFonts w:ascii="宋体" w:hAnsi="宋体" w:eastAsia="宋体" w:cs="Times New Roman"/>
          <w:b w:val="0"/>
          <w:bCs w:val="0"/>
          <w:color w:val="000000"/>
          <w:sz w:val="24"/>
          <w:lang w:val="en-US" w:eastAsia="zh-CN"/>
        </w:rPr>
      </w:r>
      <w:r/>
    </w:p>
    <w:p>
      <w:pPr>
        <w:pStyle w:val="869"/>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  称：南京鼓楼医院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地  址：南京市</w:t>
      </w:r>
      <w:r>
        <w:rPr>
          <w:rFonts w:hint="eastAsia" w:ascii="宋体" w:hAnsi="宋体" w:eastAsia="宋体" w:cs="Times New Roman"/>
          <w:color w:val="000000"/>
          <w:sz w:val="24"/>
          <w:szCs w:val="24"/>
          <w:lang w:val="en-US" w:eastAsia="zh-CN"/>
        </w:rPr>
        <w:t xml:space="preserve">鼓楼区</w:t>
      </w:r>
      <w:r>
        <w:rPr>
          <w:rFonts w:hint="eastAsia" w:ascii="宋体" w:hAnsi="宋体" w:eastAsia="宋体" w:cs="Times New Roman"/>
          <w:color w:val="000000"/>
          <w:sz w:val="24"/>
          <w:szCs w:val="24"/>
        </w:rPr>
        <w:t xml:space="preserve">中山路321号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联系人：张老师 </w:t>
      </w:r>
      <w:r>
        <w:rPr>
          <w:rFonts w:hint="eastAsia" w:ascii="宋体" w:hAnsi="宋体" w:eastAsia="宋体" w:cs="Times New Roman"/>
          <w:color w:val="000000"/>
          <w:sz w:val="24"/>
          <w:szCs w:val="24"/>
        </w:rPr>
      </w:r>
      <w:r/>
    </w:p>
    <w:p>
      <w:pPr>
        <w:pStyle w:val="869"/>
        <w:ind w:firstLine="480"/>
        <w:spacing w:line="252"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联系电话：025-83105006 </w:t>
      </w:r>
      <w:bookmarkStart w:id="6" w:name="_Toc28359009"/>
      <w:r/>
      <w:bookmarkStart w:id="7" w:name="_Toc28359086"/>
      <w:r>
        <w:rPr>
          <w:rFonts w:hint="eastAsia" w:ascii="宋体" w:hAnsi="宋体" w:eastAsia="宋体" w:cs="Times New Roman"/>
          <w:color w:val="000000"/>
          <w:sz w:val="24"/>
          <w:szCs w:val="24"/>
        </w:rPr>
      </w:r>
      <w:r/>
    </w:p>
    <w:p>
      <w:pPr>
        <w:pStyle w:val="869"/>
        <w:ind w:firstLine="480"/>
        <w:spacing w:line="252" w:lineRule="auto"/>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69"/>
        <w:ind w:firstLine="480"/>
        <w:spacing w:line="252" w:lineRule="auto"/>
        <w:rPr>
          <w:rFonts w:hint="eastAsia"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w:t>
      </w:r>
      <w:r>
        <w:rPr>
          <w:rFonts w:hint="eastAsia" w:ascii="宋体" w:hAnsi="宋体" w:cs="宋体"/>
          <w:color w:val="000000"/>
          <w:sz w:val="24"/>
          <w:szCs w:val="24"/>
        </w:rPr>
        <w:t xml:space="preserve">南京市</w:t>
      </w:r>
      <w:r>
        <w:rPr>
          <w:rFonts w:hint="eastAsia" w:ascii="宋体" w:hAnsi="宋体"/>
          <w:color w:val="000000"/>
          <w:sz w:val="24"/>
          <w:szCs w:val="24"/>
          <w:lang w:val="en-US" w:eastAsia="zh-CN"/>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马女士</w:t>
      </w:r>
      <w:r>
        <w:rPr>
          <w:rFonts w:hint="eastAsia" w:ascii="宋体" w:hAnsi="宋体"/>
          <w:color w:val="000000"/>
          <w:sz w:val="24"/>
          <w:szCs w:val="24"/>
        </w:rPr>
        <w:t xml:space="preserve"> </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68505961</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9"/>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513029203"/>
      <w:r/>
      <w:bookmarkStart w:id="9" w:name="_Toc120614214"/>
      <w:r/>
      <w:bookmarkStart w:id="10" w:name="_Toc16938519"/>
      <w:r/>
      <w:bookmarkStart w:id="11" w:name="_Toc20823275"/>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9"/>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×50%；</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低于采购项目最高限价45%的，即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&lt;采购项目最高限价×45%；</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3"/>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3"/>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9"/>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磋商</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11"/>
        <w:keepLines w:val="0"/>
        <w:keepNext w:val="0"/>
        <w:pageBreakBefore w:val="0"/>
        <w:spacing w:before="0" w:after="0" w:line="264"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系统开发完成并验收合格后，甲方支付合同总价款的70%。</w:t>
      </w:r>
      <w:r>
        <w:rPr>
          <w:rFonts w:hint="eastAsia"/>
          <w:color w:val="000000"/>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3</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11"/>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 0.01% 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甲方无故逾期验收和办理支付手续的，应按逾期付款总额每日  0.01%  向乙方支付违约金。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乙方逾期提供服务的，应按逾期提供服务合同总额每日 0.1% 向甲方支付违约金，由甲方从待付合同款中扣除。逾期超过约定日期10个工作日不能提供服务的，甲方可解除本合同。乙方因逾期提供服务或因其他违约行为导致甲方解除合同的，应向甲方支付合同总额 5% 的违约金。</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rPr>
        <w:t xml:space="preserve">11.5 甲乙双方任何一方违反本合同约定的，除应承担上述违约责任外，违约方还应当赔偿因</w:t>
      </w:r>
      <w:r>
        <w:rPr>
          <w:rFonts w:hint="eastAsia" w:ascii="宋体" w:hAnsi="宋体" w:cs="Courier New"/>
          <w:color w:val="000000"/>
          <w:sz w:val="24"/>
          <w:szCs w:val="24"/>
        </w:rPr>
        <w:t xml:space="preserve">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1"/>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1"/>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1"/>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1"/>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1"/>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16938590"/>
      <w:r/>
      <w:bookmarkStart w:id="14" w:name="_Toc120614244"/>
      <w:r/>
      <w:bookmarkStart w:id="15" w:name="_Toc20823346"/>
      <w:r/>
      <w:bookmarkStart w:id="16" w:name="_Hlt16619350"/>
      <w:r/>
      <w:bookmarkStart w:id="17" w:name="_Toc462564139"/>
      <w:r/>
      <w:bookmarkStart w:id="18" w:name="_Toc479757211"/>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（一）项目背景</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提升南京鼓楼医院各科室医疗质量与安全管理水平，拟采购一套科室医疗质量安全管理系统，该系统支持B/S架构、能够与医院现有业务管理系统无缝融合，通过质控台账管理、质控指标管理、数据检索、统计分析等功能模块，建立覆盖组织架构、QC人员职责、制度与规范、计划与总结、指标监测、质量考核、数据分析等全流程的闭环质控体系，实现科室质控工作的标准化、数字化、闭环化管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（二）项目总体要求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1.系统采用B/S架构设计，支持浏览器直接登录访问，无需安装客户端软件，可无缝适配医院现有网络环境。</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2.系统支持Windows Server 2016及以上版本、Linux（CentOS 7.0及以上）等主流操作系统；支持Chrome、Edge、Firefox等主流浏览器，全面适配医院现有终端设备，无需额外升级硬件。</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3.系统支持MySQL 8.0及以上、PGSQL 17、SQL Server 2019及以上、Oracle 19c及以上主流数据库，以满足医院对数据库的不同需求。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根据目前院内医疗质量安全管理系统管理模式，为避免造成采购人资产流失，并符合采购人信息系统互联互通标准的要求，可与医院现有科务管理系统无缝融合，实现跨科室、跨院区数据互联互通，全面适配医院多院区一体化管理需求。</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（三）项目建设遵循标准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遵循国家、行业及地方现行的规范和标准。</w:t>
      </w:r>
      <w:r>
        <w:rPr>
          <w:rFonts w:hint="eastAsia" w:ascii="宋体" w:hAnsi="宋体" w:eastAsia="宋体" w:cs="宋体"/>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7"/>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1"/>
        <w:gridCol w:w="1361"/>
        <w:gridCol w:w="756"/>
        <w:gridCol w:w="718"/>
        <w:gridCol w:w="1055"/>
        <w:gridCol w:w="1067"/>
        <w:gridCol w:w="1327"/>
        <w:gridCol w:w="1097"/>
        <w:gridCol w:w="1131"/>
        <w:gridCol w:w="1009"/>
      </w:tblGrid>
      <w:tr>
        <w:trPr>
          <w:trHeight w:val="470"/>
        </w:trPr>
        <w:tc>
          <w:tcPr>
            <w:tcW w:w="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5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5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56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c>
          <w:tcPr>
            <w:tcW w:w="5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政府强制采购节能产品</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如有</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r>
      <w:tr>
        <w:trPr>
          <w:trHeight w:val="597"/>
        </w:trPr>
        <w:tc>
          <w:tcPr>
            <w:tcW w:w="27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675"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科室医疗质量安全管理系统</w:t>
            </w:r>
            <w:r>
              <w:rPr>
                <w:rFonts w:hint="eastAsia" w:ascii="宋体" w:hAnsi="宋体" w:eastAsia="宋体" w:cs="Times New Roman"/>
                <w:bCs/>
                <w:color w:val="000000"/>
                <w:sz w:val="24"/>
                <w:szCs w:val="24"/>
                <w:lang w:val="en-US" w:eastAsia="zh-CN"/>
              </w:rPr>
            </w:r>
            <w:r/>
          </w:p>
        </w:tc>
        <w:tc>
          <w:tcPr>
            <w:tcW w:w="37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w:t>
            </w:r>
            <w:r>
              <w:rPr>
                <w:rFonts w:hint="eastAsia" w:ascii="宋体" w:hAnsi="宋体" w:eastAsia="宋体" w:cs="Times New Roman"/>
                <w:bCs/>
                <w:color w:val="000000"/>
                <w:sz w:val="24"/>
                <w:szCs w:val="24"/>
                <w:lang w:val="en-US" w:eastAsia="zh-CN"/>
              </w:rPr>
            </w:r>
            <w:r/>
          </w:p>
        </w:tc>
        <w:tc>
          <w:tcPr>
            <w:tcW w:w="35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w:t>
            </w:r>
            <w:r>
              <w:rPr>
                <w:rFonts w:hint="eastAsia" w:ascii="宋体" w:hAnsi="宋体" w:eastAsia="宋体" w:cs="Times New Roman"/>
                <w:bCs/>
                <w:color w:val="000000"/>
                <w:sz w:val="24"/>
                <w:szCs w:val="24"/>
                <w:lang w:val="en-US" w:eastAsia="zh-CN"/>
              </w:rPr>
            </w:r>
            <w:r/>
          </w:p>
        </w:tc>
        <w:tc>
          <w:tcPr>
            <w:tcW w:w="52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主要产品</w:t>
            </w:r>
            <w:r>
              <w:rPr>
                <w:rFonts w:hint="eastAsia" w:ascii="宋体" w:hAnsi="宋体" w:eastAsia="宋体" w:cs="Times New Roman"/>
                <w:bCs/>
                <w:color w:val="000000"/>
                <w:sz w:val="24"/>
                <w:szCs w:val="24"/>
                <w:lang w:val="en-US" w:eastAsia="zh-CN"/>
              </w:rPr>
            </w:r>
            <w:r/>
          </w:p>
        </w:tc>
        <w:tc>
          <w:tcPr>
            <w:tcW w:w="52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tc>
        <w:tc>
          <w:tcPr>
            <w:tcW w:w="658"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rPr>
            </w:r>
            <w:r/>
          </w:p>
        </w:tc>
        <w:tc>
          <w:tcPr>
            <w:tcW w:w="54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服务</w:t>
            </w:r>
            <w:r>
              <w:rPr>
                <w:rFonts w:hint="eastAsia" w:ascii="宋体" w:hAnsi="宋体" w:eastAsia="宋体" w:cs="Times New Roman"/>
                <w:bCs/>
                <w:color w:val="000000"/>
                <w:sz w:val="24"/>
                <w:szCs w:val="24"/>
                <w:lang w:val="en-US" w:eastAsia="zh-CN"/>
              </w:rPr>
            </w:r>
            <w:r/>
          </w:p>
        </w:tc>
        <w:tc>
          <w:tcPr>
            <w:tcW w:w="56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rPr>
            </w:r>
            <w:r/>
          </w:p>
        </w:tc>
        <w:tc>
          <w:tcPr>
            <w:tcW w:w="5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否</w:t>
            </w:r>
            <w:r>
              <w:rPr>
                <w:rFonts w:hint="eastAsia" w:ascii="宋体" w:hAnsi="宋体" w:eastAsia="宋体" w:cs="Times New Roman"/>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bookmarkStart w:id="21" w:name="_Toc120614281"/>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0" w:type="auto"/>
        <w:jc w:val="center"/>
        <w:tblInd w:w="-4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706"/>
        <w:gridCol w:w="7269"/>
      </w:tblGrid>
      <w:tr>
        <w:trPr>
          <w:trHeight w:val="20"/>
        </w:trPr>
        <w:tc>
          <w:tcPr>
            <w:tcW w:w="727" w:type="dxa"/>
            <w:vAlign w:val="center"/>
            <w:textDirection w:val="lrTb"/>
            <w:noWrap w:val="false"/>
          </w:tcPr>
          <w:p>
            <w:pPr>
              <w:pStyle w:val="869"/>
              <w:jc w:val="center"/>
              <w:spacing w:line="280" w:lineRule="exact"/>
              <w:rPr>
                <w:rFonts w:ascii="宋体" w:hAnsi="宋体"/>
                <w:b/>
                <w:bCs/>
              </w:rPr>
            </w:pPr>
            <w:r>
              <w:rPr>
                <w:rFonts w:hint="eastAsia" w:ascii="宋体" w:hAnsi="宋体"/>
                <w:b/>
                <w:bCs/>
              </w:rPr>
              <w:t xml:space="preserve">序号</w:t>
            </w:r>
            <w:r>
              <w:rPr>
                <w:rFonts w:ascii="宋体" w:hAnsi="宋体"/>
                <w:b/>
                <w:bCs/>
              </w:rPr>
            </w:r>
            <w:r/>
          </w:p>
        </w:tc>
        <w:tc>
          <w:tcPr>
            <w:tcW w:w="1706" w:type="dxa"/>
            <w:vAlign w:val="center"/>
            <w:textDirection w:val="lrTb"/>
            <w:noWrap w:val="false"/>
          </w:tcPr>
          <w:p>
            <w:pPr>
              <w:pStyle w:val="869"/>
              <w:jc w:val="center"/>
              <w:spacing w:line="280" w:lineRule="exact"/>
              <w:rPr>
                <w:rFonts w:ascii="宋体" w:hAnsi="宋体"/>
                <w:b/>
                <w:bCs/>
              </w:rPr>
            </w:pPr>
            <w:r>
              <w:rPr>
                <w:rFonts w:hint="eastAsia" w:ascii="宋体" w:hAnsi="宋体"/>
                <w:b/>
                <w:bCs/>
              </w:rPr>
              <w:t xml:space="preserve">功能模块</w:t>
            </w:r>
            <w:r>
              <w:rPr>
                <w:rFonts w:ascii="宋体" w:hAnsi="宋体"/>
                <w:b/>
                <w:bCs/>
              </w:rPr>
            </w:r>
            <w:r/>
          </w:p>
        </w:tc>
        <w:tc>
          <w:tcPr>
            <w:tcW w:w="7269" w:type="dxa"/>
            <w:vAlign w:val="center"/>
            <w:textDirection w:val="lrTb"/>
            <w:noWrap w:val="false"/>
          </w:tcPr>
          <w:p>
            <w:pPr>
              <w:pStyle w:val="869"/>
              <w:jc w:val="center"/>
              <w:spacing w:line="280" w:lineRule="exact"/>
              <w:rPr>
                <w:rFonts w:ascii="宋体" w:hAnsi="宋体" w:eastAsia="宋体"/>
                <w:b/>
                <w:bCs/>
                <w:lang w:val="en-US" w:eastAsia="zh-CN"/>
              </w:rPr>
            </w:pPr>
            <w:r>
              <w:rPr>
                <w:rFonts w:hint="eastAsia" w:ascii="宋体" w:hAnsi="宋体"/>
                <w:b/>
                <w:bCs/>
              </w:rPr>
              <w:t xml:space="preserve">具体</w:t>
            </w:r>
            <w:r>
              <w:rPr>
                <w:rFonts w:hint="eastAsia" w:ascii="宋体" w:hAnsi="宋体"/>
                <w:b/>
                <w:bCs/>
                <w:lang w:val="en-US" w:eastAsia="zh-CN"/>
              </w:rPr>
              <w:t xml:space="preserve">技术参数不低于以下要求</w:t>
            </w:r>
            <w:r>
              <w:rPr>
                <w:rFonts w:ascii="宋体" w:hAnsi="宋体" w:eastAsia="宋体"/>
                <w:b/>
                <w:bCs/>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1</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基础信息管理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1.科室组织架构：支持搭建与医院实际组织架构一致的科室体系（分院、专业系统、一级/二级科室），可维护基本信息、岗位设置、人员编制，并实现批量导入与修改。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2.科室人员档案：实现科室人员档案全生命周期管理，涵盖基本信息、资质证书、执业注册、培训考核及绩效考核等内容，可与HRP等系统无缝对接，确保信息实时同步。</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3.权限管理：</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（1）分级权限管理：按院级、科室级、个人级分配权限，细化至功能模块与操作按钮，实现“一人一权限”，确保数据安全与操作规范，符合医疗数据分级管理要求。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▲（2）权限与日志管理：支持权限批量分配、修改、回收以及自定义角色配置权限；全面记录登录与操作日志，实现用户行为追溯，便于审计与责任认定。</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2</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质控台账管理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 台账模板管理：支持自定义模板，模板可编辑、复制、删除，支持Excel、Word、PDF格式导入导出，满足科室个性化需求。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2.台账录入与编辑：支持手动录入，具备富文本编辑功能（可插入图片、表格、附件，单个≤100M，支持多附件）。内容实时自动保存，支持版本回溯，可查看历史修改记录，确保数据可追溯。</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3.台账审核与归档：支持多级审核流程（如科室负责人→质控专员→院级质控部门），审核意见全程追溯。审核通过后自动归档，归档后不可修改，支持快速查询与导出，满足规范化管理要求。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4.台账查询：支持多条件组合查询（科室、类型、时间、录入人、审核状态等），提供模糊与精准查询模式，结果可排序、导出。 </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3</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质控台账工作手册</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1.科室医疗质量管理(QC)组织结构图：支持组织架构及成员的新增、删除、导出和打印；支持排序规则设置和自定义列操作。</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2.科室QC小组成员名单及分工表：支持成员名单、职责要求的新增、删除、打印、查询；支持历史数据导入。</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3.科室QC小组工作职责：支持工作职责的新增、编辑、文件上传、查看浏览、查询和打印。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4.科室质控员职责：支持质控员职责的新增、删除、文件上传、导出和打印；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5.科室质量管理工作制度：支持制度文件目录添加、文件上传、版本管理、权限设置、在线阅读、日志审计、文档废止/取消废止以及资料查询。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6.科室技术规范、诊疗常规及指南：支持规范/指南文件目录添加、文件上传、版本管理、权限设置、在线阅读、日志审计、资料废止/取消废止以及资料查询。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7.科室本年度质量管理工作目标与计划：支持目标计划的新增、编辑、删除、打印及文件上传。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8.科室本年度医疗质量学习培训计划：支持培训计划的新增、编辑、删除、打印及文件上传。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9.科室上年度质量管理工作总结：支持工作总结的新增、编辑、删除、打印及文件上传。</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10.科室质量检查标准：支持检查标准的上传、提交、打印及导出。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▲11. 科室质控指标监测与质量持续改进:支持专科质量指标的定义、指标文件管理以及专科质控指标每月监测；</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12.每月QC会议记录：内置会议记录模板，可快速填写参会人员、上月质量问题整改反馈、本月质量问题（医院检查和科室自查）、原因分析、整改措施等内容。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13.月度科室质量与安全自查表：支持自查表的新增、文件上传、文件预览、查询及打印。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▲14. 每年度的PDCA质量与安全持续改进案例：实现问题分类归档，建立整改台账，明确责任人及期限，跟踪进度并复核，形成“检查-发现-整改-复核-归档”闭环；支持鱼骨图等工具进行原因分析。</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15.月度医院基础管理考核表和质量管理简报：支持考核表、简报的文件上传、文件预览、查询及打印。</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16.VTE相关数据分析：支持VTE数据的Excel导入、导出；支持科室数据与全院数据对比，以及指标数据年度同比、环比对比。</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17.临床科室CMI值年度一览表：支持各科室CMI数据Excel导入、导出；支持科室指标数据年度同比、环比对比。</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▲18. 医务处指标-数据反馈表：支持各科室医务处考核数据Excel导入、导出；涵盖出院人数、平均住院日、手术人员、日间手术人数、抢救次数、MDT病例数等25项核心指标。</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19.医务指标-检查反馈表：支持各科室医务处检查数据Excel导入、导出；涵盖三级查房、值班和交接班制度、会诊制度、疑难病例讨论制度、危重患者抢救制度、术前讨论制度等14项核心指标。</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4</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质控资料库</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建立质控电子文库，支持资料库文档目录添加、文件上传、版本管理、权限设置、在线阅读、日志审计、文档资料废止和取消废止、以及资料查询。</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5</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质控指标管理</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▲建立指标库管理，支持指标分类管理，支持指标的信息维护，包括新增、编辑、删除、导入、导出操作，支持Excel模板批量导入指标，支持指标的查询与维护，支持指标的查看权限控制。</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6</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统计分析</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1.QC完成情况统计：自动统计台账完成率、审核通过率、问题整改率、质量指标达成情况等数据，支持日/周/月/季/年度统计，结果以柱状图、折线图、饼图等形式可视化展示并支持导出。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2.科室QC台账完成进度统计：自动统计各科室QC台账的完成情况，支持统计结果的查询、打印和导出。</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 报表生成：支持自定义模板，自动生成科室质量年报及以及质控检查报告、整改报告、单病种上报报表等所需报表；支持导出Excel、PDF。</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数据分发模块：提供10余个关键指标报表派发功能，具体而言每个指标的全院报表由职能部门上传，系统自动“派发给各个科室”，实现“数据找人，而非人找数据”功能，帮助科室主任和质控员高效掌握质量数据，提高管理效能。</w:t>
            </w:r>
            <w:r>
              <w:rPr>
                <w:rFonts w:hint="eastAsia" w:ascii="宋体" w:hAnsi="宋体" w:eastAsia="宋体" w:cs="Times New Roman"/>
                <w:bCs/>
                <w:color w:val="000000"/>
                <w:sz w:val="24"/>
                <w:szCs w:val="24"/>
                <w:lang w:val="en-US" w:eastAsia="zh-CN"/>
              </w:rPr>
            </w:r>
            <w:r/>
          </w:p>
        </w:tc>
      </w:tr>
      <w:tr>
        <w:trPr>
          <w:trHeight w:val="20"/>
        </w:trPr>
        <w:tc>
          <w:tcPr>
            <w:tcW w:w="727" w:type="dxa"/>
            <w:vAlign w:val="center"/>
            <w:textDirection w:val="lrTb"/>
            <w:noWrap w:val="false"/>
          </w:tcPr>
          <w:p>
            <w:pPr>
              <w:pStyle w:val="869"/>
              <w:jc w:val="center"/>
              <w:spacing w:line="280" w:lineRule="exact"/>
              <w:rPr>
                <w:rFonts w:ascii="宋体" w:hAnsi="宋体"/>
              </w:rPr>
            </w:pPr>
            <w:r>
              <w:rPr>
                <w:rFonts w:hint="eastAsia" w:ascii="宋体" w:hAnsi="宋体"/>
              </w:rPr>
              <w:t xml:space="preserve">7</w:t>
            </w:r>
            <w:r>
              <w:rPr>
                <w:rFonts w:ascii="宋体" w:hAnsi="宋体"/>
              </w:rPr>
            </w:r>
            <w:r/>
          </w:p>
        </w:tc>
        <w:tc>
          <w:tcPr>
            <w:tcW w:w="1706"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检索功能</w:t>
            </w:r>
            <w:r>
              <w:rPr>
                <w:rFonts w:hint="eastAsia" w:ascii="宋体" w:hAnsi="宋体" w:eastAsia="宋体" w:cs="Times New Roman"/>
                <w:bCs/>
                <w:color w:val="000000"/>
                <w:sz w:val="24"/>
                <w:szCs w:val="24"/>
                <w:lang w:val="en-US" w:eastAsia="zh-CN"/>
              </w:rPr>
            </w:r>
            <w:r/>
          </w:p>
        </w:tc>
        <w:tc>
          <w:tcPr>
            <w:tcW w:w="726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1.多维度检索：支持对系统内核心数据进行检索，涵盖质控台账、质控资料库、QC会议记录模块内容，实现一站式检索。</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2.检索方式：支持关键词模糊检索、精准检索，支持多条件组合检索（可按科室、时间范围、文件类型、检索内容类型、审核状态等条件组合），满足不同检索场景需求。</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3.检索优化：支持检索结果排序（按匹配度、时间、科室等维度），可快速定位目标内容。</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4.结果处理：检索结果支持预览、下载，可直接跳转至对应模块的具体内容页面，无需二次查找；支持检索历史记录保存，可快速复用过往检索条件。</w:t>
            </w:r>
            <w:r>
              <w:rPr>
                <w:rFonts w:hint="eastAsia" w:ascii="宋体" w:hAnsi="宋体" w:eastAsia="宋体" w:cs="Times New Roman"/>
                <w:bCs/>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5.权限控制：检索结果严格遵循分级权限管理要求，用户仅能检索到自身权限范围内的内容，杜绝未授权数据泄露，符合医疗数据安全规范。</w:t>
            </w:r>
            <w:r>
              <w:rPr>
                <w:rFonts w:hint="eastAsia" w:ascii="宋体" w:hAnsi="宋体" w:eastAsia="宋体" w:cs="Times New Roman"/>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报价应包含</w:t>
      </w:r>
      <w:r>
        <w:rPr>
          <w:rFonts w:hint="eastAsia" w:ascii="宋体" w:hAnsi="宋体" w:eastAsia="宋体" w:cs="宋体"/>
          <w:sz w:val="24"/>
          <w:szCs w:val="24"/>
        </w:rPr>
        <w:t xml:space="preserve">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2.实施要求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（1）总体要求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（2）安全要求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数据安全：支持传输加密和存储加密，对敏感信息进行脱敏处理，防止数据泄露；支持精细化权限控制，严防未授权访问，符合医疗隐私保护要求。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系统安全：定期提供漏洞扫描与修复；支持操作日志审计，所有行为全程可追溯，确保系统全流程安全。</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数据存储：支持结构化与非结构化数据（图片、附件等）混合存储，采用压缩与分区存储技术，满足医疗数据长期留存（至少10年）要求。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数据备份：支持自动与手动备份，备份数据异地存储，备份恢复时间≤30分钟；确保数据不丢失、快速恢复，符合数据安全规范。</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应急处理：建立故障应急响应机制，提供专业故障排查与快速恢复方案，最大限度减少业务中断；支持数据异常恢复，可恢复至任意历史备份节点，保障数据安全。</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（3）验收要求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（4）运维要求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运维期：供应商应确保本次采购所有项目的安全稳定的运行，并提供5年运维服务（自验收报告签字确认日起，开始进入运维期，相关费用包含在本次报价中）。运维期内，本合同项目所有技术和服务发生任何非人为故障，由供应商负责系统恢复。</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运维期内，对采购人提出的合理服务要求，供应商必须即时进行电话、邮件及远程网络支持，并在2小时内到场服务，小型故障恢复时间为4个小时内，严重故障恢复时间为24小时内，并及时有效的提供解决方案。如不到场，采购人有权自行处理，相关费用由供应商负责。</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③供应商须提供定期回访服务，对采购人提出的合理优化建议应提供升级服务。</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⑤本项目运维期满后每年的维护费不超过合同总金额的5%。</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⑥运维期内供应商提供的系统软件升级，保证采购人使用最新版本软件。质保期满后软件版本内终身升级，相关费用包含在本次报价中。</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（5）人员要求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①项目经理：1人。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②开发实施人员：不少于3人。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③项目组所有人员必须为供应商正式工作人员，不得兼任其他项目工作，未经采购人同意，人员不得更换。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（6）知识产权及保密要求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③供应商须按照与采购人签订的《信息安全保密承诺书》的约定严格履行各项保密义务。</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④采购人与供应商都拥有本项目定制开发部分的知识产权。交付项应包括但不限于如下内容：</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满足采购人需求的、完整的、可最终良好运行的系统。</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提供项目的最终版本部署包及产品永久授权。</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（7）建设成果要求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供应商在项目建设的各个阶段及时提交建设成果，主要包括但不限于以下内容：</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①项目启动阶段：项目实施方案。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②业务需求分析阶段：需求调研方案、需求分析说明书。</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③系统设计、开发阶段：需求规格说明书、概要设计说明书、详细设计说明书、数据库设计说明书、系统接口说明书。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⑤项目验收阶段：测试报告、项目验收方案、系统运行报告、项目验收报告。 </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⑥运行维护阶段：系统维护方案、系统维护手册、系统运行维护记录。</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（8）信创适配要求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项目涉及的软件、硬件产品满足信创要求。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（9）网络安全等级保护测评要求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供应商配合采购人，做好系统通过等保测评相关准备工作。</w:t>
      </w:r>
      <w:r>
        <w:rPr>
          <w:rFonts w:hint="eastAsia" w:ascii="宋体" w:hAnsi="宋体" w:eastAsia="宋体" w:cs="宋体"/>
          <w:bCs w:val="0"/>
          <w:color w:val="000000"/>
          <w:sz w:val="24"/>
          <w:szCs w:val="24"/>
          <w:highlight w:val="none"/>
          <w:lang w:val="en-US" w:eastAsia="zh-CN"/>
        </w:rPr>
      </w:r>
      <w:r/>
    </w:p>
    <w:p>
      <w:pPr>
        <w:pStyle w:val="869"/>
        <w:ind w:firstLine="480"/>
        <w:jc w:val="left"/>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（10）系统对接要求</w:t>
      </w:r>
      <w:r>
        <w:rPr>
          <w:rFonts w:hint="eastAsia" w:ascii="宋体" w:hAnsi="宋体" w:eastAsia="宋体" w:cs="宋体"/>
          <w:bCs w:val="0"/>
          <w:color w:val="000000"/>
          <w:sz w:val="24"/>
          <w:szCs w:val="24"/>
          <w:highlight w:val="none"/>
          <w:lang w:val="en-US" w:eastAsia="zh-CN"/>
        </w:rPr>
        <w:br w:type="textWrapping" w:clear="all"/>
      </w:r>
      <w:r>
        <w:rPr>
          <w:rFonts w:hint="eastAsia" w:ascii="宋体" w:hAnsi="宋体" w:eastAsia="宋体" w:cs="宋体"/>
          <w:bCs w:val="0"/>
          <w:color w:val="000000"/>
          <w:sz w:val="24"/>
          <w:szCs w:val="24"/>
          <w:highlight w:val="none"/>
          <w:lang w:val="en-US" w:eastAsia="zh-CN"/>
        </w:rPr>
        <w:t xml:space="preserve">    供应商在提供定制软件开发服务时，需满足以下对接要求：</w:t>
      </w:r>
      <w:r>
        <w:rPr>
          <w:rFonts w:hint="eastAsia" w:ascii="宋体" w:hAnsi="宋体" w:eastAsia="宋体" w:cs="宋体"/>
          <w:bCs w:val="0"/>
          <w:color w:val="000000"/>
          <w:sz w:val="24"/>
          <w:szCs w:val="24"/>
          <w:highlight w:val="none"/>
          <w:lang w:val="en-US" w:eastAsia="zh-CN"/>
        </w:rPr>
        <w:br w:type="textWrapping" w:clear="all"/>
      </w:r>
      <w:r>
        <w:rPr>
          <w:rFonts w:hint="eastAsia" w:ascii="宋体" w:hAnsi="宋体" w:eastAsia="宋体" w:cs="宋体"/>
          <w:bCs w:val="0"/>
          <w:color w:val="000000"/>
          <w:sz w:val="24"/>
          <w:szCs w:val="24"/>
          <w:highlight w:val="none"/>
          <w:lang w:val="en-US" w:eastAsia="zh-CN"/>
        </w:rPr>
        <w:t xml:space="preserve">    ①供</w:t>
      </w:r>
      <w:r>
        <w:rPr>
          <w:rFonts w:hint="eastAsia" w:ascii="宋体" w:hAnsi="宋体" w:eastAsia="宋体" w:cs="宋体"/>
          <w:bCs w:val="0"/>
          <w:color w:val="000000"/>
          <w:sz w:val="24"/>
          <w:szCs w:val="24"/>
          <w:highlight w:val="none"/>
          <w:lang w:val="en-US" w:eastAsia="zh-CN"/>
        </w:rPr>
        <w:t xml:space="preserve">应商提供的系统能够根据采购人实际需求与医院各院区所有信息系统、集成平台做对接及集成：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对接工作联系人：秦工，联系电话：025-83106666转60622。</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（11）网络安全和数据安全要求，外包网络安全管理要求</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符合网络安全和密码应用要求，符合国家安全可靠应用政策规定。</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（12）系统接口要求：支持HL7、FHIR等国际标准及RESTful API，接口可定制、易扩展，满足医院信息化升级及新增系统对接需求；支持与处方流转监管平台对接，实现数据实时上传（按需配置）。</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（13）培训要求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cs="宋体"/>
          <w:sz w:val="24"/>
          <w:szCs w:val="24"/>
        </w:rPr>
        <w:t xml:space="preserve">供应商应负责对采购人相关人员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包括但不限于使用科室、项目主管科室等至少50人）</w:t>
      </w:r>
      <w:r>
        <w:rPr>
          <w:rFonts w:hint="eastAsia" w:ascii="宋体" w:hAnsi="宋体" w:eastAsia="宋体" w:cs="宋体"/>
          <w:sz w:val="24"/>
          <w:szCs w:val="24"/>
        </w:rPr>
        <w:t xml:space="preserve">进行</w:t>
      </w:r>
      <w:r>
        <w:rPr>
          <w:rFonts w:hint="eastAsia" w:ascii="宋体" w:hAnsi="宋体" w:cs="宋体"/>
          <w:sz w:val="24"/>
          <w:szCs w:val="24"/>
        </w:rPr>
        <w:t xml:space="preserve">全面培训，使受训者能够独立、熟练地完成系统操作，实现系统的目标和功能。培训应达到以下目标：操作人员能熟练使用系统各项功能，完成日常工作；能全面了解系统运行模式，熟知业务流程，能判断一般故障；全面掌握系统安装、设置和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60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2"/>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48"/>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881"/>
        <w:rPr>
          <w:rFonts w:hint="eastAsia"/>
          <w:lang w:val="en-US" w:eastAsia="zh-CN"/>
        </w:rPr>
      </w:pPr>
      <w:r>
        <w:rPr>
          <w:rFonts w:hint="eastAsia"/>
          <w:lang w:val="en-US" w:eastAsia="zh-CN"/>
        </w:rPr>
      </w:r>
      <w:r/>
    </w:p>
    <w:p>
      <w:pPr>
        <w:pStyle w:val="99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w:t>
      </w:r>
      <w:r>
        <w:rPr>
          <w:rFonts w:hint="eastAsia" w:ascii="宋体" w:hAnsi="宋体"/>
          <w:sz w:val="24"/>
          <w:szCs w:val="24"/>
          <w:lang w:val="en-US" w:eastAsia="zh-CN"/>
        </w:rPr>
        <w:t xml:space="preserve">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7"/>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9"/>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Times New Roman" w:hAnsi="Times New Roman" w:eastAsia="宋体" w:cs="Times New Roman"/>
                <w:color w:val="000000"/>
                <w:lang w:val="en-US" w:eastAsia="zh-CN"/>
              </w:rPr>
              <w:t xml:space="preserve">产品技术参数</w:t>
            </w:r>
            <w:r>
              <w:rPr>
                <w:rFonts w:hint="eastAsia" w:ascii="宋体" w:hAnsi="宋体" w:eastAsia="宋体" w:cs="宋体"/>
                <w:color w:val="000000"/>
                <w:spacing w:val="-2"/>
                <w:lang w:eastAsia="zh-CN"/>
              </w:rPr>
            </w:r>
            <w:r/>
          </w:p>
        </w:tc>
        <w:tc>
          <w:tcPr>
            <w:tcW w:w="6330" w:type="dxa"/>
            <w:vAlign w:val="center"/>
            <w:textDirection w:val="lrTb"/>
            <w:noWrap w:val="false"/>
          </w:tcPr>
          <w:p>
            <w:pPr>
              <w:pStyle w:val="869"/>
              <w:jc w:val="left"/>
              <w:keepLines w:val="0"/>
              <w:keepNext w:val="0"/>
              <w:pageBreakBefore w:val="0"/>
              <w:spacing w:line="264" w:lineRule="auto"/>
              <w:widowControl/>
              <w:rPr>
                <w:color w:val="000000"/>
              </w:rPr>
            </w:pPr>
            <w:r>
              <w:rPr>
                <w:rFonts w:hint="eastAsia" w:ascii="宋体" w:hAnsi="宋体" w:eastAsia="宋体" w:cs="宋体"/>
                <w:color w:val="000000"/>
                <w:lang w:val="en-US" w:eastAsia="zh-CN"/>
              </w:rPr>
              <w:t xml:space="preserve">产品</w:t>
            </w:r>
            <w:r>
              <w:rPr>
                <w:rFonts w:ascii="宋体" w:hAnsi="宋体" w:eastAsia="宋体" w:cs="宋体"/>
                <w:color w:val="000000"/>
                <w:lang w:val="en-US" w:eastAsia="zh-CN"/>
              </w:rPr>
              <w:t xml:space="preserve">技术参数全部满足</w:t>
            </w:r>
            <w:r>
              <w:rPr>
                <w:rFonts w:hint="eastAsia" w:ascii="宋体" w:hAnsi="宋体" w:eastAsia="宋体" w:cs="宋体"/>
                <w:color w:val="000000"/>
                <w:lang w:val="en-US" w:eastAsia="zh-CN"/>
              </w:rPr>
              <w:t xml:space="preserve">磋商文件</w:t>
            </w:r>
            <w:r>
              <w:rPr>
                <w:rFonts w:ascii="宋体" w:hAnsi="宋体" w:eastAsia="宋体" w:cs="宋体"/>
                <w:color w:val="000000"/>
                <w:lang w:val="en-US" w:eastAsia="zh-CN"/>
              </w:rPr>
              <w:t xml:space="preserve">要求的得满分</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打★指标为必须满足项，如有负偏离将作为无效</w:t>
            </w:r>
            <w:r>
              <w:rPr>
                <w:rFonts w:hint="eastAsia" w:ascii="宋体" w:hAnsi="宋体" w:eastAsia="宋体" w:cs="宋体"/>
                <w:color w:val="000000"/>
                <w:lang w:val="en-US" w:eastAsia="zh-CN"/>
              </w:rPr>
              <w:t xml:space="preserve">响应，</w:t>
            </w:r>
            <w:r>
              <w:rPr>
                <w:rFonts w:ascii="宋体" w:hAnsi="宋体" w:eastAsia="宋体" w:cs="宋体"/>
                <w:color w:val="000000"/>
                <w:lang w:val="en-US" w:eastAsia="zh-CN"/>
              </w:rPr>
              <w:t xml:space="preserve">打▲指标</w:t>
            </w:r>
            <w:r>
              <w:rPr>
                <w:rFonts w:hint="eastAsia" w:ascii="宋体" w:hAnsi="宋体" w:eastAsia="宋体" w:cs="宋体"/>
                <w:color w:val="000000"/>
                <w:lang w:val="en-US" w:eastAsia="zh-CN"/>
              </w:rPr>
              <w:t xml:space="preserve">（7项）</w:t>
            </w:r>
            <w:r>
              <w:rPr>
                <w:rFonts w:ascii="宋体" w:hAnsi="宋体" w:eastAsia="宋体" w:cs="宋体"/>
                <w:color w:val="000000"/>
                <w:lang w:val="en-US" w:eastAsia="zh-CN"/>
              </w:rPr>
              <w:t xml:space="preserve">为重要指标，</w:t>
            </w:r>
            <w:r>
              <w:rPr>
                <w:rFonts w:hint="eastAsia" w:ascii="宋体" w:hAnsi="宋体" w:eastAsia="宋体" w:cs="宋体"/>
                <w:color w:val="000000"/>
                <w:sz w:val="21"/>
                <w:szCs w:val="21"/>
                <w:lang w:val="en-US" w:eastAsia="zh-CN"/>
              </w:rPr>
              <w:t xml:space="preserve">有1项负偏离扣1分，其余指标有1项负偏离扣0.5分。</w:t>
            </w:r>
            <w:r>
              <w:rPr>
                <w:color w:val="000000"/>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22</w:t>
            </w:r>
            <w:r>
              <w:rPr>
                <w:rFonts w:ascii="宋体" w:hAnsi="宋体" w:eastAsia="宋体" w:cs="宋体"/>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w:t>
            </w:r>
            <w:r>
              <w:rPr>
                <w:rFonts w:hint="eastAsia"/>
                <w:color w:val="000000"/>
                <w:sz w:val="21"/>
                <w:szCs w:val="21"/>
                <w:lang w:val="en-US" w:eastAsia="zh-CN" w:bidi="ar-SA"/>
              </w:rPr>
              <w:t xml:space="preserve">材料</w:t>
            </w:r>
            <w:r>
              <w:rPr>
                <w:rFonts w:hint="eastAsia"/>
                <w:color w:val="000000"/>
                <w:sz w:val="21"/>
                <w:szCs w:val="21"/>
                <w:lang w:val="en-US" w:bidi="ar-SA"/>
              </w:rPr>
              <w:t xml:space="preserve">，内容包含</w:t>
            </w:r>
            <w:r>
              <w:rPr>
                <w:rFonts w:hint="eastAsia"/>
                <w:color w:val="000000"/>
                <w:sz w:val="21"/>
                <w:szCs w:val="21"/>
                <w:lang w:val="en-US" w:bidi="ar-SA"/>
              </w:rPr>
              <w:t xml:space="preserve">：</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建设依据、必要性</w:t>
            </w:r>
            <w:r>
              <w:rPr>
                <w:rFonts w:hint="eastAsia" w:ascii="宋体" w:hAnsi="宋体" w:cs="宋体"/>
                <w:color w:val="000000"/>
              </w:rPr>
              <w:t xml:space="preserve">分析；4.</w:t>
            </w:r>
            <w:r>
              <w:rPr>
                <w:rFonts w:ascii="宋体" w:hAnsi="宋体" w:cs="宋体"/>
                <w:color w:val="000000"/>
              </w:rPr>
              <w:t xml:space="preserve">重点难点</w:t>
            </w:r>
            <w:r>
              <w:rPr>
                <w:rFonts w:hint="eastAsia" w:ascii="宋体" w:hAnsi="宋体" w:cs="宋体"/>
                <w:color w:val="000000"/>
              </w:rPr>
              <w:t xml:space="preserve">分析。</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color w:val="000000"/>
                <w:lang w:val="en-US"/>
              </w:rPr>
            </w:pPr>
            <w:r>
              <w:rPr>
                <w:rFonts w:hint="eastAsia"/>
                <w:color w:val="000000"/>
              </w:rPr>
              <w:t xml:space="preserve">方案内容对项目工作内容及要求了解透彻，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color w:val="000000"/>
                <w:lang w:val="en-US"/>
              </w:rPr>
            </w:r>
            <w:r/>
          </w:p>
          <w:p>
            <w:pPr>
              <w:pStyle w:val="869"/>
              <w:rPr>
                <w:rFonts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eastAsia="zh-CN"/>
              </w:rPr>
              <w:t xml:space="preserve">2</w:t>
            </w:r>
            <w:r>
              <w:rPr>
                <w:color w:val="000000"/>
                <w:lang w:val="en-US"/>
              </w:rPr>
              <w:t xml:space="preserve">分；部分符合得</w:t>
            </w:r>
            <w:r>
              <w:rPr>
                <w:rFonts w:hint="eastAsia"/>
                <w:color w:val="000000"/>
                <w:lang w:val="en-US" w:eastAsia="zh-CN"/>
              </w:rPr>
              <w:t xml:space="preserve">1</w:t>
            </w:r>
            <w:r>
              <w:rPr>
                <w:color w:val="000000"/>
                <w:lang w:val="en-US"/>
              </w:rPr>
              <w:t xml:space="preserve">分；不符合或不提供不得分。</w:t>
            </w:r>
            <w:r>
              <w:rPr>
                <w:rFonts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sz w:val="21"/>
                <w:szCs w:val="22"/>
                <w:lang w:val="en-US" w:eastAsia="zh-CN" w:bidi="ar-SA"/>
              </w:rPr>
            </w:pPr>
            <w:r>
              <w:rPr>
                <w:rFonts w:hint="eastAsia" w:ascii="宋体" w:hAnsi="宋体" w:cs="宋体"/>
                <w:color w:val="000000"/>
              </w:rPr>
              <w:t xml:space="preserve">8</w:t>
            </w:r>
            <w:r>
              <w:rPr>
                <w:rFonts w:ascii="宋体" w:hAnsi="宋体" w:eastAsia="宋体" w:cs="宋体"/>
                <w:sz w:val="21"/>
                <w:szCs w:val="22"/>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ascii="宋体" w:hAnsi="宋体" w:eastAsia="宋体" w:cs="宋体"/>
                <w:color w:val="000000"/>
                <w:sz w:val="21"/>
                <w:szCs w:val="21"/>
                <w:lang w:val="en-US" w:eastAsia="zh-CN"/>
              </w:rPr>
              <w:t xml:space="preserve">1.</w:t>
            </w:r>
            <w:r>
              <w:rPr>
                <w:rFonts w:ascii="Times New Roman" w:hAnsi="Times New Roman" w:eastAsia="宋体" w:cs="Times New Roman"/>
                <w:color w:val="000000"/>
                <w:sz w:val="21"/>
                <w:szCs w:val="21"/>
              </w:rPr>
              <w:t xml:space="preserve">总体设计</w:t>
            </w:r>
            <w:r>
              <w:rPr>
                <w:rFonts w:hint="eastAsia" w:ascii="Times New Roman" w:hAnsi="Times New Roman" w:eastAsia="宋体" w:cs="Times New Roman"/>
                <w:color w:val="000000"/>
                <w:sz w:val="21"/>
                <w:szCs w:val="21"/>
                <w:lang w:val="en-US" w:eastAsia="zh-CN"/>
              </w:rPr>
              <w:t xml:space="preserve">及</w:t>
            </w:r>
            <w:r>
              <w:rPr>
                <w:rFonts w:ascii="Times New Roman" w:hAnsi="Times New Roman" w:eastAsia="宋体" w:cs="Times New Roman"/>
                <w:color w:val="000000"/>
                <w:sz w:val="21"/>
                <w:szCs w:val="21"/>
              </w:rPr>
              <w:t xml:space="preserve">架构设计</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关键技术描述和说明</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安全解决方案</w:t>
            </w:r>
            <w:r>
              <w:rPr>
                <w:rFonts w:hint="eastAsia" w:ascii="宋体" w:hAnsi="宋体" w:eastAsia="宋体" w:cs="宋体"/>
                <w:color w:val="000000"/>
                <w:sz w:val="21"/>
                <w:szCs w:val="21"/>
                <w:lang w:val="en-US"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color w:val="000000"/>
                <w:lang w:val="en-US"/>
              </w:rPr>
            </w:pPr>
            <w:r>
              <w:rPr>
                <w:color w:val="000000"/>
                <w:lang w:val="en-US"/>
              </w:rPr>
              <w:t xml:space="preserve">方案内容</w:t>
            </w:r>
            <w:r>
              <w:rPr>
                <w:rFonts w:ascii="宋体" w:hAnsi="宋体" w:eastAsia="宋体" w:cs="宋体"/>
                <w:color w:val="000000"/>
                <w:sz w:val="21"/>
                <w:szCs w:val="21"/>
                <w:lang w:val="en-US" w:eastAsia="zh-CN"/>
              </w:rPr>
              <w:t xml:space="preserve">设计思路科学、前瞻性、技术可行</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869"/>
              <w:rPr>
                <w:rFonts w:hint="eastAsia" w:ascii="宋体" w:hAnsi="宋体" w:eastAsia="宋体" w:cs="宋体"/>
                <w:color w:val="000000"/>
                <w:spacing w:val="1"/>
                <w:sz w:val="21"/>
                <w:szCs w:val="21"/>
                <w:lang w:val="en-US"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hint="eastAsia" w:ascii="宋体" w:hAnsi="宋体" w:eastAsia="宋体" w:cs="宋体"/>
                <w:color w:val="000000"/>
                <w:spacing w:val="1"/>
                <w:sz w:val="21"/>
                <w:szCs w:val="21"/>
                <w:lang w:val="en-US" w:eastAsia="zh-CN" w:bidi="ar-SA"/>
              </w:rPr>
            </w:r>
            <w:r/>
          </w:p>
        </w:tc>
        <w:tc>
          <w:tcPr>
            <w:tcW w:w="647" w:type="dxa"/>
            <w:vAlign w:val="center"/>
            <w:textDirection w:val="lrTb"/>
            <w:noWrap w:val="false"/>
          </w:tcPr>
          <w:p>
            <w:pPr>
              <w:pStyle w:val="869"/>
              <w:jc w:val="center"/>
              <w:spacing w:before="68" w:line="264" w:lineRule="auto"/>
              <w:rPr>
                <w:rFonts w:hint="eastAsia" w:ascii="宋体" w:hAnsi="宋体" w:eastAsia="宋体" w:cs="宋体"/>
                <w:sz w:val="21"/>
                <w:szCs w:val="21"/>
                <w:lang w:val="en-US" w:eastAsia="zh-CN" w:bidi="ar-SA"/>
              </w:rPr>
            </w:pPr>
            <w:r>
              <w:rPr>
                <w:rFonts w:hint="eastAsia" w:ascii="宋体" w:hAnsi="宋体" w:eastAsia="宋体" w:cs="宋体"/>
                <w:color w:val="000000"/>
                <w:lang w:val="en-US" w:eastAsia="zh-CN"/>
              </w:rPr>
              <w:t xml:space="preserve">6</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2.4</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69"/>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项目</w:t>
            </w:r>
            <w:r>
              <w:rPr>
                <w:rFonts w:hint="eastAsia" w:ascii="宋体" w:hAnsi="宋体" w:cs="宋体"/>
                <w:color w:val="000000"/>
                <w:spacing w:val="-2"/>
              </w:rPr>
              <w:t xml:space="preserve">实施方案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编制方案，内容包含：</w:t>
            </w:r>
            <w:r>
              <w:rPr>
                <w:rFonts w:hint="eastAsia"/>
                <w:color w:val="000000"/>
                <w:sz w:val="21"/>
                <w:szCs w:val="21"/>
                <w:lang w:val="en-US" w:eastAsia="zh-CN" w:bidi="ar-SA"/>
              </w:rPr>
              <w:t xml:space="preserve">1.</w:t>
            </w:r>
            <w:r>
              <w:rPr>
                <w:rFonts w:hint="eastAsia" w:ascii="宋体" w:hAnsi="宋体" w:eastAsia="宋体" w:cs="宋体"/>
                <w:color w:val="000000"/>
                <w:sz w:val="21"/>
                <w:szCs w:val="21"/>
              </w:rPr>
              <w:t xml:space="preserve">项目实施方案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调试测试方案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项目管理方案</w:t>
            </w:r>
            <w:r>
              <w:rPr>
                <w:rFonts w:hint="eastAsia" w:ascii="Times New Roman" w:hAnsi="Times New Roman" w:eastAsia="宋体" w:cs="Times New Roman"/>
                <w:color w:val="000000"/>
                <w:sz w:val="21"/>
                <w:szCs w:val="21"/>
                <w:lang w:val="en-US" w:bidi="ar-SA"/>
              </w:rPr>
              <w:t xml:space="preserve">。以上每项</w:t>
            </w:r>
            <w:r>
              <w:rPr>
                <w:rFonts w:hint="eastAsia"/>
                <w:color w:val="000000"/>
                <w:sz w:val="21"/>
                <w:szCs w:val="21"/>
                <w:lang w:val="en-US" w:bidi="ar-SA"/>
              </w:rPr>
              <w:t xml:space="preserve">内容逐项评分：</w:t>
            </w:r>
            <w:r>
              <w:rPr>
                <w:color w:val="000000"/>
                <w:sz w:val="21"/>
                <w:szCs w:val="21"/>
                <w:lang w:val="en-US" w:bidi="ar-SA"/>
              </w:rPr>
            </w:r>
            <w:r/>
          </w:p>
          <w:p>
            <w:pPr>
              <w:pStyle w:val="869"/>
              <w:rPr>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完整深刻、可行性强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视为部分符合；方案内容非专门针对本项目</w:t>
            </w:r>
            <w:r>
              <w:rPr>
                <w:rFonts w:hint="eastAsia"/>
                <w:color w:val="000000"/>
                <w:lang w:val="en-US" w:eastAsia="zh-CN"/>
              </w:rPr>
              <w:t xml:space="preserve">，脱离</w:t>
            </w:r>
            <w:r>
              <w:rPr>
                <w:color w:val="000000"/>
                <w:lang w:val="en-US"/>
              </w:rPr>
              <w:t xml:space="preserve">采购需求视为不符合。</w:t>
            </w:r>
            <w:r>
              <w:rPr>
                <w:color w:val="000000"/>
                <w:lang w:val="en-US"/>
              </w:rPr>
            </w:r>
            <w:r/>
          </w:p>
          <w:p>
            <w:pPr>
              <w:pStyle w:val="901"/>
              <w:ind w:left="0" w:right="0"/>
              <w:rPr>
                <w:rFonts w:ascii="宋体" w:hAnsi="宋体" w:eastAsia="宋体" w:cs="宋体"/>
                <w:color w:val="000000"/>
                <w:spacing w:val="1"/>
                <w:sz w:val="21"/>
                <w:szCs w:val="21"/>
                <w:lang w:val="zh-CN" w:eastAsia="zh-CN" w:bidi="ar-SA"/>
              </w:rPr>
            </w:pPr>
            <w:r>
              <w:rPr>
                <w:rFonts w:hint="eastAsia"/>
                <w:color w:val="000000"/>
                <w:lang w:val="en-US"/>
              </w:rPr>
              <w:t xml:space="preserve">上述每项内容</w:t>
            </w:r>
            <w:r>
              <w:rPr>
                <w:color w:val="000000"/>
                <w:lang w:val="en-US"/>
              </w:rPr>
              <w:t xml:space="preserve">符合得</w:t>
            </w:r>
            <w:r>
              <w:rPr>
                <w:rFonts w:hint="eastAsia"/>
                <w:color w:val="000000"/>
                <w:lang w:val="en-US"/>
              </w:rPr>
              <w:t xml:space="preserve">2</w:t>
            </w:r>
            <w:r>
              <w:rPr>
                <w:color w:val="000000"/>
                <w:lang w:val="en-US"/>
              </w:rPr>
              <w:t xml:space="preserve">分；部分符合得</w:t>
            </w:r>
            <w:r>
              <w:rPr>
                <w:rFonts w:hint="eastAsia"/>
                <w:color w:val="000000"/>
                <w:lang w:val="en-US"/>
              </w:rPr>
              <w:t xml:space="preserve">1</w:t>
            </w:r>
            <w:r>
              <w:rPr>
                <w:color w:val="000000"/>
                <w:lang w:val="en-US"/>
              </w:rPr>
              <w:t xml:space="preserve">分；不符合或不提供不得分。</w:t>
            </w:r>
            <w:r>
              <w:rPr>
                <w:rFonts w:ascii="宋体" w:hAnsi="宋体" w:eastAsia="宋体" w:cs="宋体"/>
                <w:color w:val="000000"/>
                <w:spacing w:val="1"/>
                <w:sz w:val="21"/>
                <w:szCs w:val="21"/>
                <w:lang w:val="zh-CN"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sz w:val="21"/>
                <w:szCs w:val="21"/>
                <w:lang w:val="en-US" w:eastAsia="zh-CN" w:bidi="ar-SA"/>
              </w:rPr>
            </w:pPr>
            <w:r>
              <w:rPr>
                <w:rFonts w:hint="eastAsia" w:ascii="宋体" w:hAnsi="宋体" w:cs="宋体"/>
                <w:sz w:val="21"/>
                <w:szCs w:val="21"/>
                <w:lang w:val="en-US" w:eastAsia="zh-CN" w:bidi="ar-SA"/>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sz w:val="21"/>
                <w:szCs w:val="22"/>
                <w:lang w:val="en-US" w:eastAsia="zh-CN" w:bidi="ar-SA"/>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2"/>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rPr>
                <w:rFonts w:ascii="Times New Roman" w:hAnsi="Times New Roman" w:eastAsia="宋体" w:cs="Times New Roman"/>
                <w:color w:val="000000"/>
                <w:sz w:val="21"/>
                <w:szCs w:val="21"/>
                <w:lang w:val="en-US" w:eastAsia="zh-CN" w:bidi="ar-SA"/>
              </w:rPr>
            </w:pPr>
            <w:r>
              <w:rPr>
                <w:rFonts w:hint="eastAsia"/>
                <w:color w:val="000000"/>
                <w:sz w:val="21"/>
                <w:szCs w:val="21"/>
                <w:lang w:val="en-US" w:bidi="ar-SA"/>
              </w:rPr>
              <w:t xml:space="preserve">根据本项目采购需求</w:t>
            </w:r>
            <w:r>
              <w:rPr>
                <w:rFonts w:hint="eastAsia"/>
                <w:color w:val="000000"/>
                <w:sz w:val="21"/>
                <w:szCs w:val="21"/>
                <w:lang w:val="en-US" w:eastAsia="zh-CN" w:bidi="ar-SA"/>
              </w:rPr>
              <w:t xml:space="preserve">及相关要求</w:t>
            </w:r>
            <w:r>
              <w:rPr>
                <w:rFonts w:hint="eastAsia"/>
                <w:color w:val="000000"/>
                <w:sz w:val="21"/>
                <w:szCs w:val="21"/>
                <w:lang w:val="en-US" w:bidi="ar-SA"/>
              </w:rPr>
              <w:t xml:space="preserve">编制方案，内</w:t>
            </w:r>
            <w:r>
              <w:rPr>
                <w:rFonts w:hint="eastAsia"/>
                <w:color w:val="000000"/>
                <w:sz w:val="21"/>
                <w:szCs w:val="21"/>
                <w:lang w:val="en-US" w:bidi="ar-SA"/>
              </w:rPr>
              <w:t xml:space="preserve">容</w:t>
            </w:r>
            <w:r>
              <w:rPr>
                <w:rFonts w:ascii="宋体" w:hAnsi="宋体" w:eastAsia="宋体" w:cs="宋体"/>
                <w:color w:val="000000"/>
                <w:lang w:val="en-US" w:eastAsia="zh-CN"/>
              </w:rPr>
              <w:t xml:space="preserve">包括</w:t>
            </w:r>
            <w:r>
              <w:rPr>
                <w:rFonts w:hint="eastAsia" w:ascii="Times New Roman" w:hAnsi="Times New Roman" w:eastAsia="宋体" w:cs="Times New Roman"/>
                <w:color w:val="000000"/>
                <w:sz w:val="21"/>
                <w:szCs w:val="21"/>
                <w:lang w:val="en-US" w:eastAsia="zh-CN" w:bidi="ar-SA"/>
              </w:rPr>
              <w:t xml:space="preserve">：</w:t>
            </w:r>
            <w:r>
              <w:rPr>
                <w:rFonts w:hint="eastAsia" w:ascii="宋体" w:hAnsi="宋体" w:eastAsia="宋体" w:cs="宋体"/>
                <w:color w:val="000000"/>
                <w:sz w:val="21"/>
                <w:szCs w:val="21"/>
              </w:rPr>
              <w:t xml:space="preserve">1.服务保障体系；2.服务内容；3.故障解决方案；</w:t>
            </w:r>
            <w:r>
              <w:rPr>
                <w:rFonts w:hint="eastAsia" w:ascii="Times New Roman" w:hAnsi="Times New Roman" w:eastAsia="宋体" w:cs="Times New Roman"/>
                <w:color w:val="000000"/>
                <w:sz w:val="21"/>
                <w:szCs w:val="21"/>
                <w:lang w:val="en-US" w:eastAsia="zh-CN" w:bidi="ar-SA"/>
              </w:rPr>
              <w:t xml:space="preserve">以上每项内容逐条</w:t>
            </w:r>
            <w:r>
              <w:rPr>
                <w:rFonts w:hint="eastAsia" w:ascii="Times New Roman" w:hAnsi="Times New Roman" w:eastAsia="宋体" w:cs="Times New Roman"/>
                <w:color w:val="000000"/>
                <w:sz w:val="21"/>
                <w:szCs w:val="21"/>
                <w:lang w:val="en-US" w:eastAsia="zh-CN" w:bidi="ar-SA"/>
              </w:rPr>
              <w:t xml:space="preserve">阐述。</w:t>
            </w:r>
            <w:r>
              <w:rPr>
                <w:rFonts w:ascii="Times New Roman" w:hAnsi="Times New Roman" w:eastAsia="宋体" w:cs="Times New Roman"/>
                <w:color w:val="000000"/>
                <w:sz w:val="21"/>
                <w:szCs w:val="21"/>
                <w:lang w:val="en-US" w:eastAsia="zh-CN" w:bidi="ar-SA"/>
              </w:rPr>
              <w:t xml:space="preserve"> </w:t>
            </w:r>
            <w:r>
              <w:rPr>
                <w:rFonts w:ascii="Times New Roman" w:hAnsi="Times New Roman" w:eastAsia="宋体" w:cs="Times New Roman"/>
                <w:color w:val="000000"/>
                <w:sz w:val="21"/>
                <w:szCs w:val="21"/>
                <w:lang w:val="en-US" w:eastAsia="zh-CN" w:bidi="ar-SA"/>
              </w:rPr>
            </w:r>
            <w:r/>
          </w:p>
          <w:p>
            <w:pPr>
              <w:pStyle w:val="869"/>
              <w:rPr>
                <w:rFonts w:ascii="Times New Roman" w:hAnsi="Times New Roman" w:eastAsia="宋体" w:cs="Times New Roman"/>
                <w:color w:val="000000"/>
                <w:lang w:val="en-US"/>
              </w:rPr>
            </w:pPr>
            <w:r>
              <w:rPr>
                <w:color w:val="000000"/>
                <w:lang w:val="en-US"/>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rPr>
              <w:t xml:space="preserve">，且</w:t>
            </w:r>
            <w:r>
              <w:rPr>
                <w:rFonts w:ascii="Times New Roman" w:hAnsi="Times New Roman" w:eastAsia="宋体" w:cs="Times New Roman"/>
                <w:color w:val="000000"/>
                <w:lang w:val="en-US"/>
              </w:rPr>
              <w:t xml:space="preserve">专门针对本项目，</w:t>
            </w:r>
            <w:r>
              <w:rPr>
                <w:rFonts w:hint="eastAsia" w:ascii="Times New Roman" w:hAnsi="Times New Roman" w:eastAsia="宋体" w:cs="Times New Roman"/>
                <w:color w:val="000000"/>
                <w:lang w:val="en-US" w:eastAsia="zh-CN"/>
              </w:rPr>
              <w:t xml:space="preserve">契合</w:t>
            </w:r>
            <w:r>
              <w:rPr>
                <w:rFonts w:ascii="Times New Roman" w:hAnsi="Times New Roman" w:eastAsia="宋体" w:cs="Times New Roman"/>
                <w:color w:val="000000"/>
                <w:lang w:val="en-US"/>
              </w:rPr>
              <w:t xml:space="preserve">采购需求视为符合；方案内容属于通用类，非专</w:t>
            </w:r>
            <w:r>
              <w:rPr>
                <w:color w:val="000000"/>
                <w:lang w:val="en-US"/>
              </w:rPr>
              <w:t xml:space="preserve">门针对本项目，部分</w:t>
            </w:r>
            <w:r>
              <w:rPr>
                <w:rFonts w:hint="eastAsia"/>
                <w:color w:val="000000"/>
                <w:lang w:val="en-US" w:eastAsia="zh-CN"/>
              </w:rPr>
              <w:t xml:space="preserve">契合采购需求</w:t>
            </w:r>
            <w:r>
              <w:rPr>
                <w:color w:val="000000"/>
                <w:lang w:val="en-US"/>
              </w:rPr>
              <w:t xml:space="preserve">视为部分符合；方案内容</w:t>
            </w:r>
            <w:r>
              <w:rPr>
                <w:rFonts w:ascii="Times New Roman" w:hAnsi="Times New Roman" w:eastAsia="宋体" w:cs="Times New Roman"/>
                <w:color w:val="000000"/>
                <w:lang w:val="en-US"/>
              </w:rPr>
              <w:t xml:space="preserve">非专门针对本项目</w:t>
            </w:r>
            <w:r>
              <w:rPr>
                <w:rFonts w:hint="eastAsia" w:ascii="Times New Roman" w:hAnsi="Times New Roman" w:eastAsia="宋体" w:cs="Times New Roman"/>
                <w:color w:val="000000"/>
                <w:lang w:val="en-US" w:eastAsia="zh-CN"/>
              </w:rPr>
              <w:t xml:space="preserve">，脱离</w:t>
            </w:r>
            <w:r>
              <w:rPr>
                <w:rFonts w:ascii="Times New Roman" w:hAnsi="Times New Roman" w:eastAsia="宋体" w:cs="Times New Roman"/>
                <w:color w:val="000000"/>
                <w:lang w:val="en-US"/>
              </w:rPr>
              <w:t xml:space="preserve">采购需求视为不符合。</w:t>
            </w:r>
            <w:r>
              <w:rPr>
                <w:rFonts w:ascii="Times New Roman" w:hAnsi="Times New Roman" w:eastAsia="宋体" w:cs="Times New Roman"/>
                <w:color w:val="000000"/>
                <w:lang w:val="en-US"/>
              </w:rPr>
            </w:r>
            <w:r/>
          </w:p>
          <w:p>
            <w:pPr>
              <w:pStyle w:val="869"/>
              <w:rPr>
                <w:rFonts w:ascii="Calibri" w:hAnsi="Calibri" w:eastAsia="Calibri" w:cs="宋体"/>
                <w:color w:val="000000"/>
                <w:sz w:val="20"/>
                <w:szCs w:val="21"/>
                <w:lang w:val="zh-CN" w:eastAsia="zh-CN" w:bidi="ar-SA"/>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ascii="宋体" w:hAnsi="宋体" w:eastAsia="宋体" w:cs="宋体"/>
                <w:sz w:val="21"/>
                <w:szCs w:val="22"/>
                <w:lang w:val="en-US" w:eastAsia="zh-CN" w:bidi="ar-SA"/>
              </w:rPr>
            </w:pPr>
            <w:r>
              <w:rPr>
                <w:rFonts w:hint="eastAsia" w:ascii="宋体" w:hAnsi="宋体" w:cs="宋体"/>
                <w:lang w:val="en-US" w:eastAsia="zh-CN"/>
              </w:rPr>
              <w:t xml:space="preserve">主观分</w:t>
            </w:r>
            <w:r>
              <w:rPr>
                <w:rFonts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培训方案</w:t>
            </w:r>
            <w:r>
              <w:rPr>
                <w:rFonts w:ascii="Times New Roman" w:hAnsi="Times New Roman" w:eastAsia="宋体" w:cs="Times New Roman"/>
                <w:color w:val="000000"/>
                <w:lang w:val="en-US" w:eastAsia="zh-CN"/>
              </w:rPr>
            </w:r>
            <w:r/>
          </w:p>
        </w:tc>
        <w:tc>
          <w:tcPr>
            <w:tcW w:w="6330" w:type="dxa"/>
            <w:vAlign w:val="center"/>
            <w:textDirection w:val="lrTb"/>
            <w:noWrap w:val="false"/>
          </w:tcPr>
          <w:p>
            <w:pPr>
              <w:pStyle w:val="869"/>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根据本项目采购需求及相关要求编制方案，内容</w:t>
            </w:r>
            <w:r>
              <w:rPr>
                <w:rFonts w:ascii="Times New Roman" w:hAnsi="Times New Roman" w:eastAsia="宋体" w:cs="Times New Roman"/>
                <w:color w:val="000000"/>
                <w:lang w:val="en-US" w:eastAsia="zh-CN"/>
              </w:rPr>
              <w:t xml:space="preserve">包括</w:t>
            </w:r>
            <w:r>
              <w:rPr>
                <w:rFonts w:hint="eastAsia" w:ascii="Times New Roman" w:hAnsi="Times New Roman" w:eastAsia="宋体" w:cs="Times New Roman"/>
                <w:color w:val="000000"/>
                <w:lang w:val="en-US" w:eastAsia="zh-CN"/>
              </w:rPr>
              <w:t xml:space="preserve">：1.培训计划；2.培训内容；3.培训质量保障措施。以上每项内容逐条阐述。</w:t>
            </w:r>
            <w:r>
              <w:rPr>
                <w:rFonts w:ascii="Times New Roman" w:hAnsi="Times New Roman" w:eastAsia="宋体" w:cs="Times New Roman"/>
                <w:color w:val="000000"/>
                <w:lang w:val="en-US" w:eastAsia="zh-CN"/>
              </w:rPr>
              <w:t xml:space="preserve"> </w:t>
            </w:r>
            <w:r>
              <w:rPr>
                <w:rFonts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方案内容</w:t>
            </w:r>
            <w:r>
              <w:rPr>
                <w:rFonts w:ascii="Times New Roman" w:hAnsi="Times New Roman" w:eastAsia="宋体" w:cs="Times New Roman"/>
                <w:color w:val="000000"/>
                <w:lang w:val="en-US" w:eastAsia="zh-CN"/>
              </w:rPr>
              <w:t xml:space="preserve">完整、合理性、操作性强</w:t>
            </w:r>
            <w:r>
              <w:rPr>
                <w:rFonts w:hint="eastAsia" w:ascii="Times New Roman" w:hAnsi="Times New Roman" w:eastAsia="宋体" w:cs="Times New Roman"/>
                <w:color w:val="000000"/>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lang w:val="en-US" w:eastAsia="zh-CN"/>
              </w:rPr>
            </w:r>
            <w:r/>
          </w:p>
          <w:p>
            <w:pPr>
              <w:pStyle w:val="869"/>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rPr>
              <w:t xml:space="preserve">上述每项内容</w:t>
            </w:r>
            <w:r>
              <w:rPr>
                <w:rFonts w:ascii="Times New Roman" w:hAnsi="Times New Roman" w:eastAsia="宋体" w:cs="Times New Roman"/>
                <w:color w:val="000000"/>
                <w:lang w:val="en-US"/>
              </w:rPr>
              <w:t xml:space="preserve">符合得</w:t>
            </w:r>
            <w:r>
              <w:rPr>
                <w:rFonts w:hint="eastAsia" w:ascii="Times New Roman" w:hAnsi="Times New Roman" w:eastAsia="宋体" w:cs="Times New Roman"/>
                <w:color w:val="000000"/>
                <w:lang w:val="en-US" w:eastAsia="zh-CN"/>
              </w:rPr>
              <w:t xml:space="preserve">1</w:t>
            </w:r>
            <w:r>
              <w:rPr>
                <w:rFonts w:ascii="Times New Roman" w:hAnsi="Times New Roman" w:eastAsia="宋体" w:cs="Times New Roman"/>
                <w:color w:val="000000"/>
                <w:lang w:val="en-US"/>
              </w:rPr>
              <w:t xml:space="preserve">分；部分符合得</w:t>
            </w:r>
            <w:r>
              <w:rPr>
                <w:rFonts w:hint="eastAsia" w:ascii="Times New Roman" w:hAnsi="Times New Roman" w:eastAsia="宋体" w:cs="Times New Roman"/>
                <w:color w:val="000000"/>
                <w:lang w:val="en-US" w:eastAsia="zh-CN"/>
              </w:rPr>
              <w:t xml:space="preserve">0.5</w:t>
            </w:r>
            <w:r>
              <w:rPr>
                <w:rFonts w:ascii="Times New Roman" w:hAnsi="Times New Roman" w:eastAsia="宋体" w:cs="Times New Roman"/>
                <w:color w:val="000000"/>
                <w:lang w:val="en-US"/>
              </w:rPr>
              <w:t xml:space="preserve">分；不符合或不提供</w:t>
            </w:r>
            <w:r>
              <w:rPr>
                <w:color w:val="000000"/>
                <w:lang w:val="en-US"/>
              </w:rPr>
              <w:t xml:space="preserve">不得分。</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69"/>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z w:val="21"/>
                <w:szCs w:val="22"/>
                <w:lang w:val="en-US" w:eastAsia="zh-CN" w:bidi="ar-SA"/>
              </w:rPr>
            </w:pPr>
            <w:r>
              <w:rPr>
                <w:rFonts w:hint="eastAsia" w:ascii="宋体" w:hAnsi="宋体" w:cs="宋体"/>
                <w:color w:val="000000"/>
                <w:lang w:val="en-US" w:eastAsia="zh-CN"/>
              </w:rPr>
              <w:t xml:space="preserve">主观分</w:t>
            </w:r>
            <w:r>
              <w:rPr>
                <w:rFonts w:hint="eastAsia" w:ascii="宋体" w:hAnsi="宋体" w:eastAsia="宋体" w:cs="宋体"/>
                <w:color w:val="000000"/>
                <w:sz w:val="21"/>
                <w:szCs w:val="22"/>
                <w:lang w:val="en-US" w:eastAsia="zh-CN" w:bidi="ar-SA"/>
              </w:rPr>
            </w:r>
            <w:r/>
          </w:p>
        </w:tc>
      </w:tr>
      <w:tr>
        <w:trPr>
          <w:trHeight w:val="90"/>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highlight w:val="none"/>
                <w:lang w:val="en-US" w:eastAsia="zh-CN"/>
              </w:rPr>
              <w:t xml:space="preserve">本地化服务能力</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lang w:val="en-US" w:eastAsia="zh-CN"/>
              </w:rPr>
              <w:t xml:space="preserve">供应商具有本地化服务能力的得</w:t>
            </w:r>
            <w:r>
              <w:rPr>
                <w:rFonts w:ascii="宋体" w:hAnsi="宋体" w:eastAsia="宋体" w:cs="宋体"/>
                <w:color w:val="000000"/>
                <w:lang w:val="en-US" w:eastAsia="zh-CN"/>
              </w:rPr>
              <w:t xml:space="preserve">1</w:t>
            </w:r>
            <w:r>
              <w:rPr>
                <w:rFonts w:hint="eastAsia" w:ascii="宋体" w:hAnsi="宋体" w:eastAsia="宋体" w:cs="宋体"/>
                <w:color w:val="000000"/>
                <w:lang w:val="en-US" w:eastAsia="zh-CN"/>
              </w:rPr>
              <w:t xml:space="preserve">分。（提供承诺书或有效证明材料）</w:t>
            </w:r>
            <w:r>
              <w:rPr>
                <w:rFonts w:hint="eastAsia" w:ascii="宋体" w:hAnsi="宋体" w:eastAsia="宋体" w:cs="宋体"/>
                <w:color w:val="000000"/>
                <w:spacing w:val="-2"/>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1</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lang w:val="en-US" w:eastAsia="zh-CN"/>
              </w:rPr>
              <w:t xml:space="preserve">客观分</w:t>
            </w:r>
            <w:r>
              <w:rPr>
                <w:rFonts w:hint="eastAsia" w:ascii="宋体" w:hAnsi="宋体" w:eastAsia="宋体" w:cs="宋体"/>
                <w:color w:val="000000"/>
                <w:spacing w:val="-6"/>
                <w:sz w:val="21"/>
                <w:szCs w:val="21"/>
                <w:lang w:val="en-US" w:eastAsia="zh-CN" w:bidi="ar-SA"/>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lang w:val="en-US" w:eastAsia="zh-CN"/>
              </w:rPr>
              <w:t xml:space="preserve">供应商提</w:t>
            </w:r>
            <w:r>
              <w:rPr>
                <w:rFonts w:hint="eastAsia" w:ascii="宋体" w:hAnsi="宋体" w:eastAsia="宋体" w:cs="宋体"/>
                <w:color w:val="000000"/>
                <w:lang w:val="en-US" w:eastAsia="zh-CN"/>
              </w:rPr>
              <w:t xml:space="preserve">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w:t>
            </w:r>
            <w:r>
              <w:rPr>
                <w:rFonts w:ascii="宋体" w:hAnsi="宋体" w:eastAsia="宋体" w:cs="宋体"/>
                <w:lang w:val="en-US" w:eastAsia="zh-CN"/>
              </w:rPr>
              <w:t xml:space="preserve">含）以来类似项</w:t>
            </w:r>
            <w:r>
              <w:rPr>
                <w:rFonts w:ascii="宋体" w:hAnsi="宋体" w:eastAsia="宋体" w:cs="宋体"/>
                <w:color w:val="000000"/>
                <w:lang w:val="en-US" w:eastAsia="zh-CN"/>
              </w:rPr>
              <w:t xml:space="preserve">目业绩</w:t>
            </w:r>
            <w:r>
              <w:rPr>
                <w:rFonts w:hint="eastAsia" w:ascii="宋体" w:hAnsi="宋体" w:eastAsia="宋体" w:cs="宋体"/>
                <w:color w:val="000000"/>
                <w:sz w:val="21"/>
                <w:szCs w:val="21"/>
              </w:rPr>
              <w:t xml:space="preserve">（至少包含质量安全管理类或质量管理类）</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lang w:val="en-US" w:eastAsia="zh-CN"/>
              </w:rPr>
              <w:t xml:space="preserve">，最多得6分，为提高不得分</w:t>
            </w:r>
            <w:r>
              <w:rPr>
                <w:rFonts w:ascii="宋体" w:hAnsi="宋体" w:eastAsia="宋体" w:cs="宋体"/>
                <w:color w:val="000000"/>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w:t>
            </w:r>
            <w:r>
              <w:rPr>
                <w:rFonts w:ascii="宋体" w:hAnsi="宋体" w:eastAsia="宋体" w:cs="宋体"/>
                <w:lang w:val="en-US" w:eastAsia="zh-CN"/>
              </w:rPr>
              <w:t xml:space="preserve">清晰可见相应内容</w:t>
            </w:r>
            <w:r>
              <w:rPr>
                <w:rFonts w:ascii="宋体" w:hAnsi="宋体" w:eastAsia="宋体" w:cs="宋体"/>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935"/>
              <w:ind w:left="0" w:right="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val="en-US" w:eastAsia="zh-CN"/>
              </w:rPr>
              <w:t xml:space="preserve">供应商拟投入本项目的项目经理：</w:t>
            </w:r>
            <w:r>
              <w:rPr>
                <w:rFonts w:hint="eastAsia" w:ascii="宋体" w:hAnsi="宋体" w:eastAsia="宋体" w:cs="宋体"/>
                <w:color w:val="000000"/>
                <w:sz w:val="21"/>
                <w:szCs w:val="21"/>
                <w:lang w:val="en-US" w:eastAsia="zh-CN"/>
              </w:rPr>
            </w:r>
            <w:r/>
          </w:p>
          <w:p>
            <w:pPr>
              <w:pStyle w:val="935"/>
              <w:numPr>
                <w:ilvl w:val="0"/>
                <w:numId w:val="5"/>
              </w:numPr>
              <w:ind w:left="0" w:right="0"/>
              <w:jc w:val="both"/>
              <w:keepLines w:val="0"/>
              <w:keepNext w:val="0"/>
              <w:spacing w:before="0" w:beforeAutospacing="0" w:after="0" w:afterAutospacing="0" w:line="264" w:lineRule="auto"/>
              <w:widowControl w:val="off"/>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具有工信部和人社部颁发的</w:t>
            </w:r>
            <w:bookmarkStart w:id="23" w:name="_GoBack"/>
            <w:r>
              <w:rPr>
                <w:rFonts w:hint="eastAsia" w:ascii="宋体" w:hAnsi="宋体" w:eastAsia="宋体" w:cs="宋体"/>
                <w:color w:val="000000"/>
                <w:sz w:val="21"/>
                <w:szCs w:val="21"/>
              </w:rPr>
              <w:t xml:space="preserve">高级工程师</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电子信息</w:t>
            </w:r>
            <w:r>
              <w:rPr>
                <w:rFonts w:hint="eastAsia" w:ascii="宋体" w:hAnsi="宋体" w:eastAsia="宋体" w:cs="宋体"/>
                <w:color w:val="000000"/>
                <w:sz w:val="21"/>
                <w:szCs w:val="21"/>
                <w:lang w:val="en-US" w:eastAsia="zh-CN"/>
              </w:rPr>
              <w:t xml:space="preserve">类</w:t>
            </w:r>
            <w:r>
              <w:rPr>
                <w:rFonts w:hint="eastAsia" w:ascii="宋体" w:hAnsi="宋体" w:eastAsia="宋体" w:cs="宋体"/>
                <w:color w:val="000000"/>
                <w:sz w:val="21"/>
                <w:szCs w:val="21"/>
                <w:lang w:val="en-US" w:eastAsia="zh-CN"/>
              </w:rPr>
              <w:t xml:space="preserve">或</w:t>
            </w:r>
            <w:r>
              <w:rPr>
                <w:rFonts w:hint="eastAsia" w:ascii="宋体" w:hAnsi="宋体" w:eastAsia="宋体" w:cs="宋体"/>
                <w:color w:val="000000"/>
                <w:sz w:val="21"/>
                <w:szCs w:val="21"/>
                <w:lang w:val="en-US" w:eastAsia="zh-CN"/>
              </w:rPr>
              <w:t xml:space="preserve">数字经济类）</w:t>
            </w:r>
            <w:r>
              <w:rPr>
                <w:rFonts w:hint="eastAsia" w:ascii="宋体" w:hAnsi="宋体" w:eastAsia="宋体" w:cs="宋体"/>
                <w:color w:val="000000"/>
                <w:sz w:val="21"/>
                <w:szCs w:val="21"/>
              </w:rPr>
              <w:t xml:space="preserve">得3分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935"/>
              <w:numPr>
                <w:ilvl w:val="0"/>
                <w:numId w:val="0"/>
              </w:numPr>
              <w:ind w:right="0"/>
              <w:jc w:val="both"/>
              <w:keepLines w:val="0"/>
              <w:keepNext w:val="0"/>
              <w:spacing w:before="0" w:beforeAutospacing="0" w:after="0" w:afterAutospacing="0" w:line="264" w:lineRule="auto"/>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具有</w:t>
            </w:r>
            <w:r>
              <w:rPr>
                <w:rFonts w:hint="eastAsia" w:ascii="宋体" w:hAnsi="宋体" w:eastAsia="宋体" w:cs="宋体"/>
                <w:color w:val="000000"/>
                <w:sz w:val="21"/>
                <w:szCs w:val="21"/>
                <w:lang w:val="en-US" w:eastAsia="zh-CN"/>
              </w:rPr>
              <w:t xml:space="preserve">工</w:t>
            </w:r>
            <w:r>
              <w:rPr>
                <w:rFonts w:hint="eastAsia"/>
                <w:sz w:val="21"/>
                <w:szCs w:val="21"/>
              </w:rPr>
              <w:t xml:space="preserve">信部和人社部颁发的信息安全工程师证书</w:t>
            </w:r>
            <w:r>
              <w:rPr>
                <w:rFonts w:hint="eastAsia" w:ascii="宋体" w:hAnsi="宋体" w:eastAsia="宋体" w:cs="宋体"/>
                <w:color w:val="000000"/>
                <w:sz w:val="21"/>
                <w:szCs w:val="21"/>
              </w:rPr>
              <w:t xml:space="preserve">得2分。</w:t>
            </w:r>
            <w:r>
              <w:rPr>
                <w:color w:val="000000"/>
              </w:rPr>
            </w:r>
            <w:r/>
          </w:p>
          <w:p>
            <w:pPr>
              <w:pStyle w:val="935"/>
              <w:jc w:val="both"/>
              <w:keepLines w:val="0"/>
              <w:keepNext w:val="0"/>
              <w:spacing w:before="0" w:beforeAutospacing="0" w:after="0" w:afterAutospacing="0" w:line="264" w:lineRule="auto"/>
              <w:widowControl w:val="off"/>
              <w:rPr>
                <w:rFonts w:ascii="Times New Roman" w:hAnsi="Times New Roman" w:eastAsia="宋体" w:cs="Times New Roman"/>
                <w:color w:val="000000"/>
                <w:sz w:val="21"/>
                <w:szCs w:val="21"/>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（提供人员证书</w:t>
            </w:r>
            <w:r>
              <w:rPr>
                <w:rFonts w:hint="eastAsia" w:ascii="宋体" w:hAnsi="宋体" w:eastAsia="宋体" w:cs="宋体"/>
                <w:color w:val="000000"/>
                <w:sz w:val="21"/>
                <w:szCs w:val="21"/>
                <w:lang w:val="en-US" w:eastAsia="zh-CN"/>
              </w:rPr>
              <w:t xml:space="preserve">及供应商</w:t>
            </w:r>
            <w:r>
              <w:rPr>
                <w:rFonts w:hint="eastAsia" w:ascii="宋体" w:hAnsi="宋体" w:eastAsia="宋体" w:cs="宋体"/>
                <w:color w:val="000000"/>
                <w:sz w:val="21"/>
                <w:szCs w:val="21"/>
              </w:rPr>
              <w:t xml:space="preserve">为其缴纳的2026年1月以来任意一个月的社保证明材料，缺一不可）</w:t>
            </w:r>
            <w:bookmarkEnd w:id="23"/>
            <w:r>
              <w:rPr>
                <w:rFonts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供应商拟投入本项目的项目实施团队能力（不含项目经理）：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（1）具有</w:t>
            </w:r>
            <w:r>
              <w:rPr>
                <w:rFonts w:hint="eastAsia" w:ascii="宋体" w:hAnsi="宋体" w:eastAsia="宋体" w:cs="宋体"/>
                <w:color w:val="000000"/>
                <w:sz w:val="21"/>
                <w:szCs w:val="21"/>
              </w:rPr>
              <w:t xml:space="preserve">工信部和人社部颁发的信息系统项目管理师证书（高级）得3分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r>
            <w:r/>
          </w:p>
          <w:p>
            <w:pPr>
              <w:pStyle w:val="869"/>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（2）具有</w:t>
            </w:r>
            <w:r>
              <w:rPr>
                <w:rFonts w:hint="eastAsia" w:ascii="宋体" w:hAnsi="宋体" w:eastAsia="宋体" w:cs="宋体"/>
                <w:color w:val="000000"/>
                <w:sz w:val="21"/>
                <w:szCs w:val="21"/>
              </w:rPr>
              <w:t xml:space="preserve">软件设计师证书得2分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869"/>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3）具有</w:t>
            </w:r>
            <w:r>
              <w:rPr>
                <w:rFonts w:hint="eastAsia" w:ascii="宋体" w:hAnsi="宋体" w:eastAsia="宋体" w:cs="宋体"/>
                <w:color w:val="000000"/>
                <w:sz w:val="21"/>
                <w:szCs w:val="21"/>
              </w:rPr>
              <w:t xml:space="preserve">计算机程序设计员证书</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五级及以上）</w:t>
            </w:r>
            <w:r>
              <w:rPr>
                <w:rFonts w:hint="eastAsia" w:ascii="宋体" w:hAnsi="宋体" w:eastAsia="宋体" w:cs="宋体"/>
                <w:color w:val="000000"/>
                <w:sz w:val="21"/>
                <w:szCs w:val="21"/>
              </w:rPr>
              <w:t xml:space="preserve">得1分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bidi="ar-SA"/>
              </w:rPr>
            </w:r>
            <w:r/>
          </w:p>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（多人一证、一人多证不重复计分，</w:t>
            </w:r>
            <w:r>
              <w:rPr>
                <w:rFonts w:hint="eastAsia" w:ascii="宋体" w:hAnsi="宋体" w:eastAsia="宋体" w:cs="宋体"/>
                <w:color w:val="000000"/>
                <w:sz w:val="21"/>
                <w:szCs w:val="21"/>
              </w:rPr>
              <w:t xml:space="preserve">提供人员证书</w:t>
            </w:r>
            <w:r>
              <w:rPr>
                <w:rFonts w:hint="eastAsia" w:ascii="宋体" w:hAnsi="宋体" w:eastAsia="宋体" w:cs="宋体"/>
                <w:color w:val="000000"/>
                <w:sz w:val="21"/>
                <w:szCs w:val="21"/>
                <w:lang w:val="en-US" w:eastAsia="zh-CN"/>
              </w:rPr>
              <w:t xml:space="preserve">及供应商</w:t>
            </w:r>
            <w:r>
              <w:rPr>
                <w:rFonts w:hint="eastAsia" w:ascii="宋体" w:hAnsi="宋体" w:eastAsia="宋体" w:cs="宋体"/>
                <w:color w:val="000000"/>
                <w:sz w:val="21"/>
                <w:szCs w:val="21"/>
              </w:rPr>
              <w:t xml:space="preserve">为其缴纳的2026年1月以来任意一个月的社保证明材料，缺一不可</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5.3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供应商具有本项目相关的软件著作权证书，包括</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质量管理类或医疗管理类</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等，每提供1个证书得2分，最多得4分，为提高不得分。 </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88" w:lineRule="auto"/>
        <w:widowControl w:val="off"/>
        <w:rPr>
          <w:rFonts w:hint="eastAsia"/>
        </w:rPr>
      </w:pPr>
      <w:r>
        <w:rPr>
          <w:rFonts w:hint="eastAsia"/>
        </w:rPr>
      </w:r>
      <w:r/>
    </w:p>
    <w:p>
      <w:pPr>
        <w:pStyle w:val="948"/>
        <w:keepLines w:val="0"/>
        <w:keepNext w:val="0"/>
        <w:pageBreakBefore w:val="0"/>
        <w:spacing w:line="288" w:lineRule="auto"/>
        <w:widowControl w:val="off"/>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szCs w:val="21"/>
        </w:rPr>
      </w:pPr>
      <w:r/>
      <w:bookmarkStart w:id="24" w:name="_Hlt26671244"/>
      <w:r/>
      <w:bookmarkEnd w:id="24"/>
      <w:r/>
      <w:bookmarkStart w:id="25" w:name="_Hlt26955039"/>
      <w:r/>
      <w:bookmarkEnd w:id="25"/>
      <w:r/>
      <w:bookmarkStart w:id="26" w:name="_Toc49090576"/>
      <w:r/>
      <w:bookmarkStart w:id="27" w:name="_Toc120614282"/>
      <w:r/>
      <w:bookmarkStart w:id="28" w:name="_Toc26554094"/>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72"/>
          <w:szCs w:val="21"/>
        </w:rPr>
      </w:pPr>
      <w:r>
        <w:rPr>
          <w:rFonts w:hint="eastAsia" w:ascii="宋体" w:hAnsi="宋体"/>
          <w:b/>
          <w:sz w:val="72"/>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jc w:val="center"/>
        <w:rPr>
          <w:rFonts w:hint="eastAsia" w:ascii="宋体" w:hAnsi="宋体"/>
          <w:b/>
          <w:sz w:val="36"/>
          <w:szCs w:val="21"/>
        </w:rPr>
      </w:pPr>
      <w:r>
        <w:rPr>
          <w:rFonts w:hint="eastAsia" w:ascii="宋体" w:hAnsi="宋体"/>
          <w:b/>
          <w:sz w:val="36"/>
          <w:szCs w:val="21"/>
        </w:rPr>
      </w:r>
      <w:r/>
    </w:p>
    <w:p>
      <w:pPr>
        <w:pStyle w:val="869"/>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9"/>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szCs w:val="21"/>
        </w:rPr>
      </w:pPr>
      <w:r>
        <w:rPr>
          <w:rFonts w:ascii="宋体" w:hAnsi="宋体"/>
          <w:szCs w:val="21"/>
        </w:rPr>
      </w:r>
      <w:r/>
    </w:p>
    <w:p>
      <w:pPr>
        <w:pStyle w:val="869"/>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本项目无需提供</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81"/>
        <w:rPr>
          <w:rFonts w:hint="eastAsia"/>
          <w:lang w:val="en-US" w:eastAsia="zh-CN"/>
        </w:rPr>
      </w:pPr>
      <w:r>
        <w:rPr>
          <w:rFonts w:hint="eastAsia"/>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ind w:firstLine="480"/>
        <w:spacing w:line="440" w:lineRule="exact"/>
        <w:rPr>
          <w:rFonts w:ascii="宋体" w:hAnsi="宋体"/>
          <w:sz w:val="24"/>
          <w:szCs w:val="21"/>
        </w:rPr>
      </w:pPr>
      <w:r>
        <w:rPr>
          <w:rFonts w:ascii="宋体" w:hAnsi="宋体"/>
          <w:sz w:val="24"/>
          <w:szCs w:val="21"/>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948"/>
        <w:rPr>
          <w:rFonts w:hint="eastAsia"/>
        </w:rPr>
      </w:pPr>
      <w:r>
        <w:rPr>
          <w:rFonts w:hint="eastAsia"/>
        </w:rPr>
      </w:r>
      <w:r/>
    </w:p>
    <w:p>
      <w:pPr>
        <w:pStyle w:val="869"/>
        <w:rPr>
          <w:rFonts w:hint="eastAsia" w:ascii="黑体" w:hAnsi="黑体" w:eastAsia="黑体" w:cs="Times New Roman"/>
          <w:i w:val="0"/>
          <w:color w:val="000000"/>
          <w:sz w:val="32"/>
          <w:szCs w:val="32"/>
          <w:u w:val="none"/>
          <w:lang w:val="en-US" w:eastAsia="zh-CN"/>
        </w:rPr>
      </w:pPr>
      <w:r/>
      <w:bookmarkEnd w:id="26"/>
      <w:r/>
      <w:bookmarkEnd w:id="27"/>
      <w:r/>
      <w:bookmarkEnd w:id="28"/>
      <w:r/>
      <w:bookmarkStart w:id="29"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9"/>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9"/>
        <w:spacing w:line="460" w:lineRule="exact"/>
        <w:rPr>
          <w:rFonts w:hint="eastAsia" w:ascii="宋体" w:hAnsi="宋体"/>
          <w:bCs/>
          <w:sz w:val="24"/>
          <w:szCs w:val="21"/>
        </w:rPr>
      </w:pPr>
      <w:r>
        <w:rPr>
          <w:rFonts w:hint="eastAsia" w:ascii="宋体" w:hAnsi="宋体"/>
          <w:bCs/>
          <w:sz w:val="24"/>
          <w:szCs w:val="21"/>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9"/>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9"/>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0" w:name="_Hlt26955070"/>
      <w:r/>
      <w:bookmarkEnd w:id="30"/>
      <w:r/>
      <w:bookmarkStart w:id="31" w:name="_Hlt26671380"/>
      <w:r/>
      <w:bookmarkEnd w:id="31"/>
      <w:r/>
      <w:bookmarkStart w:id="32" w:name="_格式3__银行出具的资信证明"/>
      <w:r/>
      <w:bookmarkEnd w:id="32"/>
      <w:r>
        <w:rPr>
          <w:rFonts w:hint="eastAsia"/>
          <w:sz w:val="24"/>
          <w:szCs w:val="24"/>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9"/>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61"/>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我</w:t>
      </w:r>
      <w:r>
        <w:rPr>
          <w:rFonts w:hint="eastAsia" w:ascii="宋体" w:hAnsi="宋体" w:eastAsia="宋体" w:cs="Times New Roman"/>
          <w:sz w:val="24"/>
          <w:szCs w:val="21"/>
          <w:lang w:eastAsia="zh-CN"/>
        </w:rPr>
        <w:t xml:space="preserve">方</w:t>
      </w:r>
      <w:r>
        <w:rPr>
          <w:rFonts w:hint="eastAsia" w:ascii="宋体" w:hAnsi="宋体" w:eastAsia="宋体" w:cs="Times New Roman"/>
          <w:sz w:val="24"/>
          <w:szCs w:val="21"/>
        </w:rPr>
        <w:t xml:space="preserve">为</w:t>
      </w:r>
      <w:r>
        <w:rPr>
          <w:rFonts w:hint="eastAsia" w:ascii="宋体" w:hAnsi="宋体" w:eastAsia="宋体" w:cs="Times New Roman"/>
          <w:sz w:val="24"/>
          <w:szCs w:val="21"/>
          <w:lang w:eastAsia="zh-CN"/>
        </w:rPr>
        <w:t xml:space="preserve">：</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大型企业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中型企业</w:t>
      </w:r>
      <w:r>
        <w:rPr>
          <w:rFonts w:hint="eastAsia" w:ascii="宋体" w:hAnsi="宋体" w:eastAsia="宋体" w:cs="Times New Roman"/>
          <w:sz w:val="24"/>
          <w:szCs w:val="21"/>
          <w:lang w:val="en-US" w:eastAsia="zh-CN"/>
        </w:rPr>
        <w:t xml:space="preserve">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小型企业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微型企业（在对应</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内</w:t>
      </w:r>
      <w:r>
        <w:rPr>
          <w:rFonts w:hint="eastAsia" w:ascii="宋体" w:hAnsi="宋体" w:eastAsia="宋体" w:cs="Times New Roman"/>
          <w:sz w:val="24"/>
          <w:szCs w:val="21"/>
          <w:lang w:val="zh-CN" w:eastAsia="zh-CN"/>
        </w:rPr>
        <w:t xml:space="preserve">打</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rPr>
      </w:r>
      <w:r/>
    </w:p>
    <w:p>
      <w:pPr>
        <w:pStyle w:val="869"/>
        <w:ind w:firstLine="480"/>
        <w:jc w:val="left"/>
        <w:keepLines w:val="0"/>
        <w:keepNext w:val="0"/>
        <w:pageBreakBefore w:val="0"/>
        <w:spacing w:line="360" w:lineRule="auto"/>
        <w:widowControl w:val="off"/>
        <w:rPr>
          <w:rFonts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8.我方为：</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非民营企业 </w:t>
      </w:r>
      <w:r>
        <w:rPr>
          <w:rFonts w:ascii="Wingdings" w:hAnsi="Wingdings" w:eastAsia="Wingdings" w:cs="Wingdings"/>
          <w:sz w:val="24"/>
          <w:szCs w:val="21"/>
        </w:rPr>
        <w:t xml:space="preserve">¨</w:t>
      </w:r>
      <w:r>
        <w:rPr>
          <w:rFonts w:hint="eastAsia" w:ascii="宋体" w:hAnsi="宋体" w:eastAsia="宋体" w:cs="Times New Roman"/>
          <w:sz w:val="24"/>
          <w:szCs w:val="21"/>
          <w:lang w:val="en-US" w:eastAsia="zh-CN"/>
        </w:rPr>
        <w:t xml:space="preserve">其他</w:t>
      </w:r>
      <w:r>
        <w:rPr>
          <w:rFonts w:hint="eastAsia" w:ascii="宋体" w:hAnsi="宋体" w:eastAsia="宋体" w:cs="Times New Roman"/>
          <w:sz w:val="24"/>
          <w:szCs w:val="21"/>
        </w:rPr>
        <w:t xml:space="preserve">（在对应</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内</w:t>
      </w:r>
      <w:r>
        <w:rPr>
          <w:rFonts w:hint="eastAsia" w:ascii="宋体" w:hAnsi="宋体" w:eastAsia="宋体" w:cs="Times New Roman"/>
          <w:sz w:val="24"/>
          <w:szCs w:val="21"/>
          <w:lang w:val="zh-CN"/>
        </w:rPr>
        <w:t xml:space="preserve">打“√”</w:t>
      </w: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               </w:t>
      </w:r>
      <w:r>
        <w:rPr>
          <w:rFonts w:ascii="宋体" w:hAnsi="宋体" w:eastAsia="宋体" w:cs="Times New Roman"/>
          <w:sz w:val="24"/>
          <w:szCs w:val="21"/>
          <w:lang w:val="en-US" w:eastAsia="zh-CN"/>
        </w:rPr>
      </w:r>
      <w:r/>
    </w:p>
    <w:p>
      <w:pPr>
        <w:pStyle w:val="869"/>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9</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rPr>
          <w:rFonts w:hint="eastAsia" w:ascii="宋体" w:hAnsi="宋体"/>
          <w:szCs w:val="21"/>
        </w:rPr>
      </w:pPr>
      <w:r>
        <w:rPr>
          <w:rFonts w:hint="eastAsia" w:ascii="宋体" w:hAnsi="宋体"/>
          <w:szCs w:val="21"/>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9"/>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81"/>
        <w:ind w:firstLine="0"/>
        <w:rPr>
          <w:rFonts w:hint="eastAsia"/>
        </w:rPr>
      </w:pPr>
      <w:r>
        <w:rPr>
          <w:rFonts w:hint="eastAsia"/>
        </w:rPr>
      </w:r>
      <w:r/>
    </w:p>
    <w:p>
      <w:pPr>
        <w:pStyle w:val="948"/>
        <w:rPr>
          <w:rFonts w:hint="eastAsia" w:ascii="黑体" w:hAnsi="黑体" w:eastAsia="黑体"/>
          <w:b/>
          <w:i/>
          <w:sz w:val="32"/>
          <w:szCs w:val="32"/>
          <w:u w:val="single"/>
        </w:rPr>
      </w:pPr>
      <w:r>
        <w:rPr>
          <w:rFonts w:hint="eastAsia" w:ascii="黑体" w:hAnsi="黑体" w:eastAsia="黑体"/>
          <w:b/>
          <w:i/>
          <w:sz w:val="32"/>
          <w:szCs w:val="32"/>
          <w:u w:val="single"/>
        </w:rPr>
      </w:r>
      <w:r/>
    </w:p>
    <w:p>
      <w:pPr>
        <w:pStyle w:val="869"/>
        <w:rPr>
          <w:rFonts w:hint="eastAsia"/>
        </w:rPr>
      </w:pPr>
      <w:r>
        <w:rPr>
          <w:rFonts w:hint="eastAsia"/>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4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9"/>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618" w:type="dxa"/>
            <w:vAlign w:val="center"/>
            <w:textDirection w:val="lrTb"/>
            <w:noWrap w:val="false"/>
          </w:tcPr>
          <w:p>
            <w:pPr>
              <w:pStyle w:val="869"/>
              <w:jc w:val="left"/>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5"/>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
      <w:r/>
      <w:bookmarkEnd w:id="18"/>
      <w:r/>
      <w:bookmarkEnd w:id="29"/>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9"/>
        <w:rPr>
          <w:rFonts w:hint="eastAsia" w:ascii="黑体" w:hAnsi="黑体" w:eastAsia="黑体" w:cs="Times New Roman"/>
          <w:i w:val="0"/>
          <w:iCs/>
          <w:color w:val="000000"/>
          <w:sz w:val="32"/>
          <w:szCs w:val="32"/>
          <w:u w:val="none"/>
          <w:lang w:val="en-US" w:eastAsia="zh-CN"/>
        </w:rPr>
      </w:pPr>
      <w:r/>
      <w:bookmarkStart w:id="33" w:name="_Hlt26955054"/>
      <w:r/>
      <w:bookmarkEnd w:id="33"/>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34" w:name="_Hlt26955056"/>
            <w:r/>
            <w:bookmarkEnd w:id="34"/>
            <w:r/>
            <w:bookmarkStart w:id="35" w:name="_Hlt24879081"/>
            <w:r/>
            <w:bookmarkEnd w:id="35"/>
            <w:r/>
            <w:bookmarkStart w:id="36" w:name="_Hlt26955064"/>
            <w:r/>
            <w:bookmarkEnd w:id="36"/>
            <w:r/>
            <w:bookmarkStart w:id="37" w:name="_Hlt26580838"/>
            <w:r/>
            <w:bookmarkEnd w:id="37"/>
            <w:r/>
            <w:bookmarkStart w:id="38" w:name="_Hlt26782999"/>
            <w:r/>
            <w:bookmarkEnd w:id="38"/>
            <w:r/>
            <w:bookmarkStart w:id="39" w:name="_Hlt26671372"/>
            <w:r/>
            <w:bookmarkEnd w:id="39"/>
            <w:r/>
            <w:bookmarkStart w:id="40" w:name="_Hlt26609391"/>
            <w:r/>
            <w:bookmarkEnd w:id="40"/>
            <w:r/>
            <w:bookmarkStart w:id="41" w:name="_Hlt26671343"/>
            <w:r/>
            <w:bookmarkEnd w:id="4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5"/>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pPr>
      <w:r/>
      <w:r/>
    </w:p>
    <w:p>
      <w:pPr>
        <w:pStyle w:val="881"/>
      </w:pPr>
      <w:r/>
      <w:r/>
    </w:p>
    <w:p>
      <w:pPr>
        <w:pStyle w:val="869"/>
      </w:pPr>
      <w:r/>
      <w:r/>
    </w:p>
    <w:p>
      <w:pPr>
        <w:pStyle w:val="881"/>
      </w:pPr>
      <w:r/>
      <w:r/>
    </w:p>
    <w:p>
      <w:pPr>
        <w:pStyle w:val="869"/>
        <w:jc w:val="center"/>
        <w:rPr>
          <w:rFonts w:hint="eastAsia" w:ascii="宋体" w:hAnsi="宋体" w:cs="仿宋"/>
          <w:b/>
          <w:bCs/>
          <w:sz w:val="32"/>
          <w:szCs w:val="32"/>
        </w:rPr>
      </w:pPr>
      <w:r>
        <w:rPr>
          <w:rFonts w:hint="eastAsia" w:ascii="宋体" w:hAnsi="宋体" w:cs="仿宋"/>
          <w:b/>
          <w:bCs/>
          <w:sz w:val="32"/>
          <w:szCs w:val="32"/>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69"/>
    <w:next w:val="869"/>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69"/>
    <w:next w:val="869"/>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69"/>
    <w:next w:val="869"/>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69"/>
    <w:next w:val="869"/>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69"/>
    <w:next w:val="869"/>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69"/>
    <w:next w:val="869"/>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69"/>
    <w:next w:val="869"/>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69"/>
    <w:next w:val="869"/>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69"/>
    <w:next w:val="869"/>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rFonts w:ascii="Times New Roman" w:hAnsi="Times New Roman" w:eastAsia="宋体" w:cs="Times New Roman"/>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8"/>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8"/>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qFormat/>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qFormat/>
    <w:pPr>
      <w:ind w:left="420"/>
      <w:spacing w:after="120"/>
    </w:pPr>
  </w:style>
  <w:style w:type="character" w:styleId="883">
    <w:name w:val="正文文本缩进 Char"/>
    <w:basedOn w:val="879"/>
    <w:next w:val="883"/>
    <w:link w:val="882"/>
    <w:uiPriority w:val="99"/>
    <w:semiHidden/>
    <w:qFormat/>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qFormat/>
    <w:rPr>
      <w:rFonts w:ascii="Arial" w:hAnsi="Arial" w:eastAsia="幼圆" w:cs="Arial"/>
      <w:b/>
      <w:bCs/>
      <w:sz w:val="44"/>
      <w:szCs w:val="44"/>
    </w:rPr>
  </w:style>
  <w:style w:type="paragraph" w:styleId="888">
    <w:name w:val="正文缩进"/>
    <w:basedOn w:val="869"/>
    <w:next w:val="888"/>
    <w:link w:val="889"/>
    <w:qFormat/>
    <w:pPr>
      <w:ind w:firstLine="420"/>
    </w:pPr>
    <w:rPr>
      <w:szCs w:val="21"/>
    </w:rPr>
  </w:style>
  <w:style w:type="character" w:styleId="889">
    <w:name w:val="正文缩进 Char"/>
    <w:next w:val="889"/>
    <w:link w:val="888"/>
    <w:qFormat/>
    <w:rPr>
      <w:szCs w:val="21"/>
    </w:rPr>
  </w:style>
  <w:style w:type="character" w:styleId="890">
    <w:name w:val="标题 3 Char"/>
    <w:next w:val="890"/>
    <w:link w:val="872"/>
    <w:qFormat/>
    <w:rPr>
      <w:rFonts w:ascii="Times New Roman" w:hAnsi="Times New Roman" w:eastAsia="宋体" w:cs="Times New Roman"/>
      <w:b/>
      <w:bCs/>
      <w:sz w:val="32"/>
      <w:szCs w:val="32"/>
    </w:rPr>
  </w:style>
  <w:style w:type="character" w:styleId="891">
    <w:name w:val="标题 4 Char"/>
    <w:next w:val="891"/>
    <w:link w:val="873"/>
    <w:qFormat/>
    <w:rPr>
      <w:rFonts w:ascii="Arial" w:hAnsi="Arial" w:eastAsia="黑体" w:cs="Arial"/>
      <w:b/>
      <w:bCs/>
      <w:sz w:val="28"/>
      <w:szCs w:val="28"/>
    </w:rPr>
  </w:style>
  <w:style w:type="character" w:styleId="892">
    <w:name w:val="标题 5 Char"/>
    <w:next w:val="892"/>
    <w:link w:val="874"/>
    <w:qFormat/>
    <w:rPr>
      <w:rFonts w:ascii="宋体" w:hAnsi="Times New Roman" w:eastAsia="宋体" w:cs="Times New Roman"/>
      <w:color w:val="000000"/>
      <w:sz w:val="28"/>
      <w:szCs w:val="28"/>
    </w:rPr>
  </w:style>
  <w:style w:type="character" w:styleId="893">
    <w:name w:val="标题 6 Char"/>
    <w:next w:val="893"/>
    <w:link w:val="875"/>
    <w:qFormat/>
    <w:rPr>
      <w:rFonts w:ascii="Arial" w:hAnsi="Arial" w:eastAsia="黑体" w:cs="Times New Roman"/>
      <w:b/>
      <w:bCs/>
      <w:sz w:val="24"/>
      <w:szCs w:val="24"/>
    </w:rPr>
  </w:style>
  <w:style w:type="character" w:styleId="894">
    <w:name w:val="标题 7 Char"/>
    <w:next w:val="894"/>
    <w:link w:val="876"/>
    <w:qFormat/>
    <w:rPr>
      <w:rFonts w:ascii="Times New Roman" w:hAnsi="Times New Roman" w:eastAsia="宋体" w:cs="Times New Roman"/>
      <w:b/>
      <w:bCs/>
      <w:sz w:val="24"/>
      <w:szCs w:val="24"/>
    </w:rPr>
  </w:style>
  <w:style w:type="character" w:styleId="895">
    <w:name w:val="标题 8 Char"/>
    <w:next w:val="895"/>
    <w:link w:val="877"/>
    <w:qFormat/>
    <w:rPr>
      <w:rFonts w:ascii="Arial" w:hAnsi="Arial" w:eastAsia="黑体" w:cs="Times New Roman"/>
      <w:sz w:val="24"/>
      <w:szCs w:val="24"/>
    </w:rPr>
  </w:style>
  <w:style w:type="character" w:styleId="896">
    <w:name w:val="标题 9 Char"/>
    <w:next w:val="896"/>
    <w:link w:val="878"/>
    <w:qFormat/>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qFormat/>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02">
    <w:name w:val="批注文字 Char"/>
    <w:basedOn w:val="879"/>
    <w:next w:val="902"/>
    <w:link w:val="901"/>
    <w:uiPriority w:val="99"/>
    <w:semiHidden/>
    <w:qFormat/>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qFormat/>
    <w:rPr>
      <w:rFonts w:ascii="仿宋_GB2312" w:hAnsi="Arial" w:eastAsia="仿宋_GB2312" w:cs="Times New Roman"/>
      <w:sz w:val="32"/>
      <w:szCs w:val="32"/>
    </w:rPr>
  </w:style>
  <w:style w:type="paragraph" w:styleId="905">
    <w:name w:val="正文文本"/>
    <w:basedOn w:val="869"/>
    <w:next w:val="905"/>
    <w:link w:val="906"/>
    <w:qFormat/>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qFormat/>
    <w:pPr>
      <w:ind w:left="100" w:hanging="200"/>
    </w:pPr>
    <w:rPr>
      <w:rFonts w:ascii="Times New Roman" w:hAnsi="Times New Roman" w:eastAsia="宋体" w:cs="Times New Roman"/>
      <w:szCs w:val="21"/>
    </w:rPr>
  </w:style>
  <w:style w:type="paragraph" w:styleId="908">
    <w:name w:val="索引 4"/>
    <w:basedOn w:val="869"/>
    <w:next w:val="869"/>
    <w:link w:val="869"/>
    <w:semiHidden/>
    <w:qFormat/>
    <w:pPr>
      <w:ind w:left="1260"/>
    </w:pPr>
    <w:rPr>
      <w:rFonts w:ascii="Calibri" w:hAnsi="Calibri" w:eastAsia="Calibri" w:cs="宋体"/>
      <w:sz w:val="20"/>
      <w:lang w:val="zh-CN"/>
    </w:rPr>
  </w:style>
  <w:style w:type="paragraph" w:styleId="909">
    <w:name w:val="目录 5"/>
    <w:basedOn w:val="869"/>
    <w:next w:val="869"/>
    <w:link w:val="869"/>
    <w:semiHidden/>
    <w:qFormat/>
    <w:pPr>
      <w:ind w:left="840"/>
      <w:jc w:val="left"/>
    </w:pPr>
    <w:rPr>
      <w:rFonts w:ascii="Times New Roman" w:hAnsi="Times New Roman" w:eastAsia="宋体" w:cs="Times New Roman"/>
      <w:szCs w:val="21"/>
    </w:rPr>
  </w:style>
  <w:style w:type="paragraph" w:styleId="910">
    <w:name w:val="目录 3"/>
    <w:basedOn w:val="869"/>
    <w:next w:val="869"/>
    <w:link w:val="869"/>
    <w:semiHidden/>
    <w:qFormat/>
    <w:pPr>
      <w:ind w:left="420"/>
      <w:jc w:val="left"/>
    </w:pPr>
    <w:rPr>
      <w:rFonts w:ascii="Times New Roman" w:hAnsi="Times New Roman" w:eastAsia="宋体" w:cs="Times New Roman"/>
      <w:i/>
      <w:iCs/>
      <w:szCs w:val="24"/>
    </w:rPr>
  </w:style>
  <w:style w:type="paragraph" w:styleId="911">
    <w:name w:val="纯文本"/>
    <w:basedOn w:val="869"/>
    <w:next w:val="911"/>
    <w:link w:val="912"/>
    <w:qFormat/>
    <w:rPr>
      <w:rFonts w:ascii="宋体" w:hAnsi="Courier New" w:eastAsia="宋体" w:cs="Courier New"/>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69"/>
    <w:next w:val="869"/>
    <w:link w:val="869"/>
    <w:semiHidden/>
    <w:qFormat/>
    <w:pPr>
      <w:ind w:left="1470"/>
      <w:jc w:val="left"/>
    </w:pPr>
    <w:rPr>
      <w:rFonts w:ascii="Times New Roman" w:hAnsi="Times New Roman" w:eastAsia="宋体" w:cs="Times New Roman"/>
      <w:szCs w:val="21"/>
    </w:rPr>
  </w:style>
  <w:style w:type="paragraph" w:styleId="914">
    <w:name w:val="日期"/>
    <w:basedOn w:val="869"/>
    <w:next w:val="869"/>
    <w:link w:val="915"/>
    <w:qFormat/>
    <w:rPr>
      <w:rFonts w:ascii="Times New Roman" w:hAnsi="Times New Roman" w:eastAsia="宋体" w:cs="Times New Roman"/>
      <w:sz w:val="24"/>
      <w:szCs w:val="24"/>
    </w:rPr>
  </w:style>
  <w:style w:type="character" w:styleId="915">
    <w:name w:val="日期 Char"/>
    <w:next w:val="915"/>
    <w:link w:val="914"/>
    <w:qFormat/>
    <w:rPr>
      <w:rFonts w:ascii="Times New Roman" w:hAnsi="Times New Roman" w:eastAsia="宋体" w:cs="Times New Roman"/>
      <w:sz w:val="24"/>
      <w:szCs w:val="24"/>
    </w:rPr>
  </w:style>
  <w:style w:type="paragraph" w:styleId="916">
    <w:name w:val="正文文本缩进 2"/>
    <w:basedOn w:val="869"/>
    <w:next w:val="916"/>
    <w:link w:val="917"/>
    <w:qFormat/>
    <w:pPr>
      <w:ind w:left="630" w:firstLine="645"/>
    </w:pPr>
    <w:rPr>
      <w:rFonts w:ascii="Arial" w:hAnsi="Arial" w:eastAsia="仿宋_GB2312" w:cs="Arial"/>
      <w:sz w:val="32"/>
      <w:szCs w:val="32"/>
    </w:rPr>
  </w:style>
  <w:style w:type="character" w:styleId="917">
    <w:name w:val="正文文本缩进 2 Char"/>
    <w:next w:val="917"/>
    <w:link w:val="916"/>
    <w:qFormat/>
    <w:rPr>
      <w:rFonts w:ascii="Arial" w:hAnsi="Arial" w:eastAsia="仿宋_GB2312" w:cs="Arial"/>
      <w:sz w:val="32"/>
      <w:szCs w:val="32"/>
    </w:rPr>
  </w:style>
  <w:style w:type="paragraph" w:styleId="918">
    <w:name w:val="批注框文本"/>
    <w:basedOn w:val="869"/>
    <w:next w:val="918"/>
    <w:link w:val="919"/>
    <w:semiHidden/>
    <w:rPr>
      <w:rFonts w:ascii="Times New Roman" w:hAnsi="Times New Roman" w:eastAsia="宋体" w:cs="Times New Roman"/>
      <w:sz w:val="18"/>
      <w:szCs w:val="18"/>
    </w:rPr>
  </w:style>
  <w:style w:type="character" w:styleId="919">
    <w:name w:val="批注框文本 Char"/>
    <w:next w:val="919"/>
    <w:link w:val="918"/>
    <w:semiHidden/>
    <w:qFormat/>
    <w:rPr>
      <w:rFonts w:ascii="Times New Roman" w:hAnsi="Times New Roman" w:eastAsia="宋体" w:cs="Times New Roman"/>
      <w:sz w:val="18"/>
      <w:szCs w:val="18"/>
    </w:rPr>
  </w:style>
  <w:style w:type="paragraph" w:styleId="920">
    <w:name w:val="页脚"/>
    <w:basedOn w:val="869"/>
    <w:next w:val="920"/>
    <w:link w:val="921"/>
    <w:qFormat/>
    <w:pPr>
      <w:jc w:val="left"/>
      <w:tabs>
        <w:tab w:val="center" w:pos="4153" w:leader="none"/>
        <w:tab w:val="right" w:pos="8306" w:leader="none"/>
      </w:tabs>
    </w:pPr>
    <w:rPr>
      <w:rFonts w:ascii="Times New Roman" w:hAnsi="Times New Roman" w:eastAsia="宋体" w:cs="Times New Roman"/>
      <w:sz w:val="18"/>
      <w:szCs w:val="18"/>
    </w:rPr>
  </w:style>
  <w:style w:type="character" w:styleId="921">
    <w:name w:val="页脚 Char"/>
    <w:next w:val="921"/>
    <w:link w:val="920"/>
    <w:qFormat/>
    <w:rPr>
      <w:rFonts w:ascii="Times New Roman" w:hAnsi="Times New Roman" w:eastAsia="宋体" w:cs="Times New Roman"/>
      <w:sz w:val="18"/>
      <w:szCs w:val="18"/>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69"/>
    <w:next w:val="869"/>
    <w:link w:val="869"/>
    <w:semiHidden/>
    <w:pPr>
      <w:ind w:left="630"/>
      <w:jc w:val="left"/>
    </w:pPr>
    <w:rPr>
      <w:rFonts w:ascii="Times New Roman" w:hAnsi="Times New Roman" w:eastAsia="宋体" w:cs="Times New Roman"/>
      <w:szCs w:val="21"/>
    </w:rPr>
  </w:style>
  <w:style w:type="paragraph" w:styleId="926">
    <w:name w:val="列表"/>
    <w:basedOn w:val="869"/>
    <w:next w:val="926"/>
    <w:link w:val="869"/>
    <w:qFormat/>
    <w:pPr>
      <w:ind w:left="200" w:hanging="200"/>
    </w:pPr>
    <w:rPr>
      <w:rFonts w:ascii="Times New Roman" w:hAnsi="Times New Roman" w:eastAsia="宋体" w:cs="Times New Roman"/>
      <w:szCs w:val="21"/>
    </w:rPr>
  </w:style>
  <w:style w:type="paragraph" w:styleId="927">
    <w:name w:val="目录 6"/>
    <w:basedOn w:val="869"/>
    <w:next w:val="869"/>
    <w:link w:val="869"/>
    <w:semiHidden/>
    <w:qFormat/>
    <w:pPr>
      <w:ind w:left="1050"/>
      <w:jc w:val="left"/>
    </w:pPr>
    <w:rPr>
      <w:rFonts w:ascii="Times New Roman" w:hAnsi="Times New Roman" w:eastAsia="宋体" w:cs="Times New Roman"/>
      <w:szCs w:val="21"/>
    </w:rPr>
  </w:style>
  <w:style w:type="paragraph" w:styleId="928">
    <w:name w:val="正文文本缩进 3"/>
    <w:basedOn w:val="869"/>
    <w:next w:val="928"/>
    <w:link w:val="929"/>
    <w:pPr>
      <w:ind w:left="645" w:firstLine="645"/>
    </w:pPr>
    <w:rPr>
      <w:rFonts w:ascii="Arial" w:hAnsi="Arial" w:eastAsia="仿宋_GB2312" w:cs="Arial"/>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69"/>
    <w:next w:val="869"/>
    <w:link w:val="869"/>
    <w:semiHidden/>
    <w:qFormat/>
    <w:pPr>
      <w:ind w:left="840" w:hanging="420"/>
    </w:pPr>
    <w:rPr>
      <w:rFonts w:ascii="Times New Roman" w:hAnsi="Times New Roman" w:eastAsia="宋体" w:cs="Times New Roman"/>
      <w:szCs w:val="21"/>
    </w:rPr>
  </w:style>
  <w:style w:type="paragraph" w:styleId="931">
    <w:name w:val="目录 2"/>
    <w:basedOn w:val="869"/>
    <w:next w:val="869"/>
    <w:link w:val="869"/>
    <w:semiHidden/>
    <w:pPr>
      <w:ind w:left="210"/>
      <w:jc w:val="left"/>
    </w:pPr>
    <w:rPr>
      <w:rFonts w:ascii="Times New Roman" w:hAnsi="Times New Roman" w:eastAsia="宋体" w:cs="Times New Roman"/>
      <w:smallCaps/>
      <w:szCs w:val="24"/>
    </w:rPr>
  </w:style>
  <w:style w:type="paragraph" w:styleId="932">
    <w:name w:val="目录 9"/>
    <w:basedOn w:val="869"/>
    <w:next w:val="869"/>
    <w:link w:val="869"/>
    <w:semiHidden/>
    <w:pPr>
      <w:ind w:left="1680"/>
      <w:jc w:val="left"/>
    </w:pPr>
    <w:rPr>
      <w:rFonts w:ascii="Times New Roman" w:hAnsi="Times New Roman" w:eastAsia="宋体" w:cs="Times New Roman"/>
      <w:szCs w:val="21"/>
    </w:rPr>
  </w:style>
  <w:style w:type="paragraph" w:styleId="933">
    <w:name w:val="正文文本 2"/>
    <w:basedOn w:val="869"/>
    <w:next w:val="933"/>
    <w:link w:val="934"/>
    <w:qFormat/>
    <w:pPr>
      <w:jc w:val="center"/>
      <w:widowControl/>
    </w:pPr>
    <w:rPr>
      <w:rFonts w:ascii="楷体_GB2312" w:hAnsi="Times New Roman" w:eastAsia="楷体_GB2312" w:cs="Times New Roman"/>
      <w:sz w:val="28"/>
      <w:szCs w:val="28"/>
    </w:rPr>
  </w:style>
  <w:style w:type="character" w:styleId="934">
    <w:name w:val="正文文本 2 Char"/>
    <w:next w:val="934"/>
    <w:link w:val="933"/>
    <w:qFormat/>
    <w:rPr>
      <w:rFonts w:ascii="楷体_GB2312" w:hAnsi="Times New Roman" w:eastAsia="楷体_GB2312" w:cs="Times New Roman"/>
      <w:sz w:val="28"/>
      <w:szCs w:val="28"/>
    </w:rPr>
  </w:style>
  <w:style w:type="paragraph" w:styleId="935">
    <w:name w:val="普通(网站)"/>
    <w:basedOn w:val="869"/>
    <w:next w:val="935"/>
    <w:link w:val="869"/>
    <w:uiPriority w:val="99"/>
    <w:qFormat/>
    <w:pPr>
      <w:jc w:val="left"/>
      <w:spacing w:before="100" w:beforeAutospacing="1" w:after="100" w:afterAutospacing="1"/>
      <w:widowControl/>
    </w:pPr>
    <w:rPr>
      <w:rFonts w:ascii="宋体" w:hAnsi="宋体" w:eastAsia="宋体" w:cs="宋体"/>
      <w:sz w:val="24"/>
      <w:szCs w:val="24"/>
    </w:rPr>
  </w:style>
  <w:style w:type="paragraph" w:styleId="936">
    <w:name w:val="索引 1"/>
    <w:basedOn w:val="869"/>
    <w:next w:val="869"/>
    <w:link w:val="869"/>
    <w:semiHidden/>
    <w:pPr>
      <w:spacing w:line="240" w:lineRule="atLeast"/>
    </w:pPr>
    <w:rPr>
      <w:rFonts w:ascii="Times New Roman" w:hAnsi="Times New Roman" w:eastAsia="宋体" w:cs="Times New Roman"/>
      <w:b/>
      <w:bCs/>
      <w:szCs w:val="21"/>
    </w:rPr>
  </w:style>
  <w:style w:type="paragraph" w:styleId="937">
    <w:name w:val="批注主题"/>
    <w:basedOn w:val="901"/>
    <w:next w:val="901"/>
    <w:link w:val="938"/>
    <w:semiHidden/>
    <w:qFormat/>
    <w:rPr>
      <w:rFonts w:ascii="Times New Roman" w:hAnsi="Times New Roman" w:eastAsia="宋体" w:cs="Times New Roman"/>
      <w:b/>
      <w:bCs/>
      <w:szCs w:val="21"/>
    </w:rPr>
  </w:style>
  <w:style w:type="character" w:styleId="938">
    <w:name w:val="批注主题 Char"/>
    <w:next w:val="938"/>
    <w:link w:val="937"/>
    <w:semiHidden/>
    <w:qFormat/>
    <w:rPr>
      <w:rFonts w:ascii="Times New Roman" w:hAnsi="Times New Roman" w:eastAsia="宋体" w:cs="Times New Roman"/>
      <w:b/>
      <w:bCs/>
      <w:szCs w:val="21"/>
    </w:rPr>
  </w:style>
  <w:style w:type="paragraph" w:styleId="939">
    <w:name w:val="正文首行缩进"/>
    <w:basedOn w:val="869"/>
    <w:next w:val="939"/>
    <w:link w:val="940"/>
    <w:pPr>
      <w:ind w:firstLine="200"/>
      <w:spacing w:line="360" w:lineRule="auto"/>
    </w:pPr>
    <w:rPr>
      <w:rFonts w:ascii="仿宋_GB2312" w:hAnsi="Times New Roman" w:eastAsia="仿宋_GB2312" w:cs="Times New Roman"/>
      <w:sz w:val="30"/>
      <w:szCs w:val="30"/>
    </w:rPr>
  </w:style>
  <w:style w:type="character" w:styleId="940">
    <w:name w:val="正文首行缩进 Char"/>
    <w:next w:val="940"/>
    <w:link w:val="939"/>
    <w:qFormat/>
    <w:rPr>
      <w:rFonts w:ascii="仿宋_GB2312" w:hAnsi="Times New Roman" w:eastAsia="仿宋_GB2312" w:cs="Times New Roman"/>
      <w:sz w:val="30"/>
      <w:szCs w:val="30"/>
    </w:rPr>
  </w:style>
  <w:style w:type="table" w:styleId="941">
    <w:name w:val="网格型"/>
    <w:basedOn w:val="880"/>
    <w:next w:val="941"/>
    <w:link w:val="869"/>
    <w:qFormat/>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qFormat/>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qFormat/>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文本缩进1"/>
    <w:basedOn w:val="869"/>
    <w:next w:val="950"/>
    <w:link w:val="869"/>
    <w:unhideWhenUsed/>
    <w:qFormat/>
    <w:pPr>
      <w:ind w:left="420"/>
      <w:spacing w:after="120"/>
    </w:pPr>
  </w:style>
  <w:style w:type="paragraph" w:styleId="950">
    <w:name w:val="正文文本首行缩进 2"/>
    <w:basedOn w:val="949"/>
    <w:next w:val="950"/>
    <w:link w:val="869"/>
    <w:qFormat/>
    <w:pPr>
      <w:ind w:left="0" w:firstLine="420"/>
      <w:spacing w:after="0" w:line="360" w:lineRule="auto"/>
    </w:pPr>
    <w:rPr>
      <w:rFonts w:ascii="宋体" w:hAnsi="宋体"/>
      <w:sz w:val="20"/>
      <w:szCs w:val="20"/>
      <w:lang w:val="en-US" w:eastAsia="en-US"/>
    </w:rPr>
  </w:style>
  <w:style w:type="character" w:styleId="951">
    <w:name w:val="font5 Char"/>
    <w:next w:val="951"/>
    <w:link w:val="869"/>
    <w:rPr>
      <w:rFonts w:ascii="宋体" w:hAnsi="宋体" w:eastAsia="宋体"/>
      <w:sz w:val="28"/>
      <w:szCs w:val="28"/>
      <w:lang w:val="en-US" w:eastAsia="zh-CN" w:bidi="ar-SA"/>
    </w:rPr>
  </w:style>
  <w:style w:type="character" w:styleId="952">
    <w:name w:val="二级目录 Char"/>
    <w:next w:val="952"/>
    <w:link w:val="953"/>
    <w:qFormat/>
    <w:rPr>
      <w:b/>
      <w:sz w:val="30"/>
      <w:szCs w:val="28"/>
    </w:rPr>
  </w:style>
  <w:style w:type="paragraph" w:styleId="953">
    <w:name w:val="二级目录"/>
    <w:next w:val="869"/>
    <w:link w:val="952"/>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4">
    <w:name w:val="列出段落 Char"/>
    <w:next w:val="954"/>
    <w:link w:val="955"/>
    <w:qFormat/>
    <w:rPr>
      <w:rFonts w:ascii="Calibri" w:hAnsi="Calibri"/>
      <w:sz w:val="24"/>
      <w:szCs w:val="24"/>
      <w:lang w:eastAsia="en-US" w:bidi="en-US"/>
    </w:rPr>
  </w:style>
  <w:style w:type="paragraph" w:styleId="955">
    <w:name w:val="列出段落1"/>
    <w:basedOn w:val="869"/>
    <w:next w:val="955"/>
    <w:link w:val="954"/>
    <w:qFormat/>
    <w:pPr>
      <w:contextualSpacing/>
      <w:ind w:left="720"/>
      <w:jc w:val="left"/>
      <w:widowControl/>
    </w:pPr>
    <w:rPr>
      <w:rFonts w:ascii="Calibri" w:hAnsi="Calibri"/>
      <w:sz w:val="24"/>
      <w:szCs w:val="24"/>
      <w:lang w:eastAsia="en-US" w:bidi="en-US"/>
    </w:rPr>
  </w:style>
  <w:style w:type="paragraph" w:styleId="956">
    <w:name w:val="Body Text(ch)"/>
    <w:basedOn w:val="869"/>
    <w:next w:val="905"/>
    <w:link w:val="869"/>
    <w:qFormat/>
    <w:pPr>
      <w:spacing w:after="120"/>
    </w:pPr>
    <w:rPr>
      <w:rFonts w:ascii="宋体" w:hAnsi="Arial" w:eastAsia="宋体" w:cs="Times New Roman"/>
      <w:bCs/>
      <w:iCs/>
      <w:szCs w:val="24"/>
    </w:rPr>
  </w:style>
  <w:style w:type="paragraph" w:styleId="957">
    <w:name w:val="xl27"/>
    <w:basedOn w:val="869"/>
    <w:next w:val="957"/>
    <w:link w:val="86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xl26"/>
    <w:basedOn w:val="869"/>
    <w:next w:val="95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Char"/>
    <w:basedOn w:val="869"/>
    <w:next w:val="959"/>
    <w:link w:val="869"/>
    <w:pPr>
      <w:ind w:firstLine="200"/>
      <w:tabs>
        <w:tab w:val="left" w:pos="360" w:leader="none"/>
      </w:tabs>
    </w:pPr>
    <w:rPr>
      <w:rFonts w:ascii="Times New Roman" w:hAnsi="Times New Roman" w:eastAsia="宋体" w:cs="Times New Roman"/>
      <w:sz w:val="28"/>
      <w:szCs w:val="30"/>
    </w:rPr>
  </w:style>
  <w:style w:type="paragraph" w:styleId="960">
    <w:name w:val=" Char"/>
    <w:basedOn w:val="899"/>
    <w:next w:val="960"/>
    <w:link w:val="869"/>
    <w:rPr>
      <w:rFonts w:ascii="Tahoma" w:hAnsi="Tahoma"/>
      <w:sz w:val="24"/>
      <w:szCs w:val="24"/>
    </w:rPr>
  </w:style>
  <w:style w:type="paragraph" w:styleId="961">
    <w:name w:val="普通正文"/>
    <w:basedOn w:val="869"/>
    <w:next w:val="961"/>
    <w:link w:val="869"/>
    <w:qFormat/>
    <w:pPr>
      <w:ind w:firstLine="480"/>
      <w:jc w:val="left"/>
      <w:spacing w:before="120" w:after="120" w:line="360" w:lineRule="auto"/>
    </w:pPr>
    <w:rPr>
      <w:rFonts w:ascii="Arial" w:hAnsi="Arial" w:eastAsia="宋体" w:cs="Times New Roman"/>
      <w:sz w:val="24"/>
      <w:szCs w:val="24"/>
    </w:rPr>
  </w:style>
  <w:style w:type="paragraph" w:styleId="962">
    <w:name w:val="table_lines"/>
    <w:basedOn w:val="869"/>
    <w:next w:val="962"/>
    <w:link w:val="869"/>
    <w:qFormat/>
    <w:pPr>
      <w:jc w:val="left"/>
      <w:widowControl/>
    </w:pPr>
    <w:rPr>
      <w:rFonts w:ascii="Times New Roman" w:hAnsi="Times New Roman" w:eastAsia="宋体" w:cs="Times New Roman"/>
      <w:sz w:val="20"/>
      <w:szCs w:val="20"/>
      <w:lang w:val="de-DE" w:eastAsia="de-DE"/>
    </w:rPr>
  </w:style>
  <w:style w:type="paragraph" w:styleId="963">
    <w:name w:val="附录1"/>
    <w:next w:val="963"/>
    <w:link w:val="869"/>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4">
    <w:name w:val="font7"/>
    <w:basedOn w:val="869"/>
    <w:next w:val="964"/>
    <w:link w:val="869"/>
    <w:pPr>
      <w:jc w:val="left"/>
      <w:spacing w:before="100" w:beforeAutospacing="1" w:after="100" w:afterAutospacing="1"/>
      <w:widowControl/>
    </w:pPr>
    <w:rPr>
      <w:rFonts w:hint="eastAsia" w:ascii="宋体" w:hAnsi="宋体" w:eastAsia="宋体" w:cs="Times New Roman"/>
      <w:sz w:val="18"/>
      <w:szCs w:val="18"/>
    </w:rPr>
  </w:style>
  <w:style w:type="paragraph" w:styleId="965">
    <w:name w:val=" Char Char Char Char"/>
    <w:basedOn w:val="899"/>
    <w:next w:val="965"/>
    <w:link w:val="869"/>
    <w:pPr>
      <w:spacing w:line="360" w:lineRule="auto"/>
    </w:pPr>
    <w:rPr>
      <w:rFonts w:ascii="Tahoma" w:hAnsi="Tahoma"/>
      <w:sz w:val="24"/>
      <w:szCs w:val="24"/>
    </w:rPr>
  </w:style>
  <w:style w:type="paragraph" w:styleId="966">
    <w:name w:val="List Paragraph"/>
    <w:basedOn w:val="869"/>
    <w:next w:val="966"/>
    <w:link w:val="869"/>
    <w:qFormat/>
    <w:pPr>
      <w:contextualSpacing/>
      <w:ind w:left="720"/>
      <w:jc w:val="left"/>
      <w:widowControl/>
    </w:pPr>
    <w:rPr>
      <w:rFonts w:ascii="Calibri" w:hAnsi="Calibri" w:eastAsia="宋体" w:cs="Times New Roman"/>
      <w:sz w:val="24"/>
      <w:szCs w:val="24"/>
      <w:lang w:eastAsia="en-US" w:bidi="en-US"/>
    </w:rPr>
  </w:style>
  <w:style w:type="paragraph" w:styleId="967">
    <w:name w:val="4"/>
    <w:basedOn w:val="869"/>
    <w:next w:val="928"/>
    <w:link w:val="869"/>
    <w:qFormat/>
    <w:pPr>
      <w:ind w:firstLine="420"/>
      <w:spacing w:line="360" w:lineRule="auto"/>
    </w:pPr>
    <w:rPr>
      <w:rFonts w:ascii="Times New Roman" w:hAnsi="Times New Roman" w:eastAsia="宋体" w:cs="Times New Roman"/>
      <w:color w:val="ff0000"/>
      <w:sz w:val="24"/>
      <w:szCs w:val="24"/>
    </w:rPr>
  </w:style>
  <w:style w:type="paragraph" w:styleId="968">
    <w:name w:val="普通 (Web)"/>
    <w:basedOn w:val="869"/>
    <w:next w:val="968"/>
    <w:link w:val="869"/>
    <w:pPr>
      <w:jc w:val="left"/>
      <w:spacing w:before="100" w:beforeAutospacing="1" w:after="100" w:afterAutospacing="1"/>
      <w:widowControl/>
    </w:pPr>
    <w:rPr>
      <w:rFonts w:ascii="宋体" w:hAnsi="宋体" w:eastAsia="宋体" w:cs="Times New Roman"/>
      <w:sz w:val="24"/>
      <w:szCs w:val="24"/>
    </w:rPr>
  </w:style>
  <w:style w:type="paragraph" w:styleId="969">
    <w:name w:val=" Char Char Char Char Char Char Char Char Char Char"/>
    <w:basedOn w:val="869"/>
    <w:next w:val="969"/>
    <w:link w:val="869"/>
    <w:qFormat/>
    <w:pPr>
      <w:spacing w:line="360" w:lineRule="auto"/>
    </w:pPr>
    <w:rPr>
      <w:rFonts w:ascii="Times New Roman" w:hAnsi="Times New Roman" w:eastAsia="宋体" w:cs="Times New Roman"/>
      <w:sz w:val="24"/>
      <w:szCs w:val="20"/>
    </w:rPr>
  </w:style>
  <w:style w:type="paragraph" w:styleId="970">
    <w:name w:val="样式1"/>
    <w:basedOn w:val="869"/>
    <w:next w:val="970"/>
    <w:link w:val="869"/>
    <w:pPr>
      <w:numPr>
        <w:ilvl w:val="0"/>
        <w:numId w:val="3"/>
      </w:numPr>
      <w:tabs>
        <w:tab w:val="left" w:pos="709" w:leader="none"/>
      </w:tabs>
    </w:pPr>
    <w:rPr>
      <w:rFonts w:ascii="宋体" w:hAnsi="宋体" w:eastAsia="宋体" w:cs="Times New Roman"/>
      <w:szCs w:val="21"/>
    </w:rPr>
  </w:style>
  <w:style w:type="paragraph" w:styleId="971">
    <w:name w:val="font6"/>
    <w:basedOn w:val="869"/>
    <w:next w:val="971"/>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xl25"/>
    <w:basedOn w:val="869"/>
    <w:next w:val="972"/>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5">
    <w:name w:val="xl24"/>
    <w:basedOn w:val="869"/>
    <w:next w:val="97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9"/>
    <w:basedOn w:val="869"/>
    <w:next w:val="976"/>
    <w:link w:val="86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7">
    <w:name w:val="Char Char Char Char Char Char Char Char"/>
    <w:basedOn w:val="869"/>
    <w:next w:val="977"/>
    <w:link w:val="869"/>
    <w:qFormat/>
    <w:pPr>
      <w:jc w:val="left"/>
      <w:spacing w:after="160" w:line="240" w:lineRule="exact"/>
      <w:widowControl/>
    </w:pPr>
    <w:rPr>
      <w:rFonts w:ascii="Verdana" w:hAnsi="Verdana" w:eastAsia="宋体" w:cs="Times New Roman"/>
      <w:sz w:val="20"/>
      <w:szCs w:val="20"/>
      <w:lang w:eastAsia="en-US"/>
    </w:rPr>
  </w:style>
  <w:style w:type="paragraph" w:styleId="978">
    <w:name w:val="xl28"/>
    <w:basedOn w:val="869"/>
    <w:next w:val="97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9">
    <w:name w:val=" Char Char Char Char Char Char Char Char"/>
    <w:basedOn w:val="869"/>
    <w:next w:val="979"/>
    <w:link w:val="869"/>
    <w:qFormat/>
    <w:pPr>
      <w:jc w:val="left"/>
      <w:spacing w:after="160" w:line="240" w:lineRule="exact"/>
      <w:widowControl/>
    </w:pPr>
    <w:rPr>
      <w:rFonts w:ascii="Verdana" w:hAnsi="Verdana" w:eastAsia="宋体" w:cs="Times New Roman"/>
      <w:sz w:val="20"/>
      <w:szCs w:val="20"/>
      <w:lang w:eastAsia="en-US"/>
    </w:rPr>
  </w:style>
  <w:style w:type="paragraph" w:styleId="980">
    <w:name w:val="xl30"/>
    <w:basedOn w:val="869"/>
    <w:next w:val="980"/>
    <w:link w:val="869"/>
    <w:qFormat/>
    <w:pPr>
      <w:jc w:val="center"/>
      <w:spacing w:before="100" w:beforeAutospacing="1" w:after="100" w:afterAutospacing="1"/>
      <w:widowControl/>
    </w:pPr>
    <w:rPr>
      <w:rFonts w:ascii="宋体" w:hAnsi="宋体" w:eastAsia="宋体" w:cs="Times New Roman"/>
      <w:b/>
      <w:bCs/>
      <w:sz w:val="36"/>
      <w:szCs w:val="36"/>
    </w:rPr>
  </w:style>
  <w:style w:type="paragraph" w:styleId="981">
    <w:name w:val="Char Char Char Char"/>
    <w:basedOn w:val="899"/>
    <w:next w:val="981"/>
    <w:link w:val="869"/>
    <w:pPr>
      <w:spacing w:line="360" w:lineRule="auto"/>
    </w:pPr>
    <w:rPr>
      <w:rFonts w:ascii="Tahoma" w:hAnsi="Tahoma"/>
      <w:sz w:val="24"/>
      <w:szCs w:val="24"/>
    </w:rPr>
  </w:style>
  <w:style w:type="paragraph" w:styleId="982">
    <w:name w:val="table_1stline"/>
    <w:basedOn w:val="869"/>
    <w:next w:val="982"/>
    <w:link w:val="869"/>
    <w:pPr>
      <w:jc w:val="left"/>
      <w:spacing w:before="120"/>
      <w:widowControl/>
    </w:pPr>
    <w:rPr>
      <w:rFonts w:ascii="Times New Roman" w:hAnsi="Times New Roman" w:eastAsia="宋体" w:cs="Times New Roman"/>
      <w:bCs/>
      <w:sz w:val="20"/>
      <w:szCs w:val="20"/>
      <w:lang w:val="de-DE" w:eastAsia="de-DE"/>
    </w:rPr>
  </w:style>
  <w:style w:type="paragraph" w:styleId="983">
    <w:name w:val="font5"/>
    <w:basedOn w:val="869"/>
    <w:next w:val="983"/>
    <w:link w:val="869"/>
    <w:pPr>
      <w:jc w:val="left"/>
      <w:spacing w:before="100" w:beforeAutospacing="1" w:after="100" w:afterAutospacing="1"/>
      <w:widowControl/>
    </w:pPr>
    <w:rPr>
      <w:rFonts w:hint="eastAsia" w:ascii="宋体" w:hAnsi="宋体" w:eastAsia="宋体" w:cs="Times New Roman"/>
      <w:sz w:val="28"/>
      <w:szCs w:val="28"/>
    </w:rPr>
  </w:style>
  <w:style w:type="paragraph" w:styleId="984">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name w:val="_Style 112"/>
    <w:next w:val="985"/>
    <w:link w:val="869"/>
    <w:uiPriority w:val="99"/>
    <w:semiHidden/>
    <w:rPr>
      <w:rFonts w:ascii="Times New Roman" w:hAnsi="Times New Roman" w:eastAsia="宋体" w:cs="Times New Roman"/>
      <w:sz w:val="21"/>
      <w:szCs w:val="21"/>
      <w:lang w:val="en-US" w:eastAsia="zh-CN" w:bidi="ar-SA"/>
    </w:rPr>
  </w:style>
  <w:style w:type="paragraph" w:styleId="986">
    <w:name w:val="No Spacing"/>
    <w:next w:val="986"/>
    <w:link w:val="869"/>
    <w:uiPriority w:val="99"/>
    <w:qFormat/>
    <w:pPr>
      <w:jc w:val="both"/>
      <w:widowControl w:val="off"/>
    </w:pPr>
    <w:rPr>
      <w:rFonts w:ascii="Times New Roman" w:hAnsi="Times New Roman" w:eastAsia="宋体" w:cs="Times New Roman"/>
      <w:sz w:val="21"/>
      <w:szCs w:val="21"/>
      <w:lang w:val="en-US" w:eastAsia="zh-CN" w:bidi="ar-SA"/>
    </w:rPr>
  </w:style>
  <w:style w:type="table" w:styleId="987">
    <w:name w:val="Table Normal"/>
    <w:next w:val="987"/>
    <w:link w:val="869"/>
    <w:qFormat/>
    <w:tblPr/>
  </w:style>
  <w:style w:type="paragraph" w:styleId="988">
    <w:name w:val="正文文本 211"/>
    <w:basedOn w:val="869"/>
    <w:next w:val="988"/>
    <w:link w:val="869"/>
    <w:uiPriority w:val="99"/>
    <w:qFormat/>
    <w:pPr>
      <w:jc w:val="center"/>
    </w:pPr>
    <w:rPr>
      <w:b/>
      <w:bCs/>
      <w:sz w:val="20"/>
      <w:szCs w:val="20"/>
    </w:rPr>
  </w:style>
  <w:style w:type="paragraph" w:styleId="989">
    <w:name w:val="正文文本1"/>
    <w:basedOn w:val="869"/>
    <w:next w:val="869"/>
    <w:link w:val="869"/>
    <w:semiHidden/>
    <w:qFormat/>
    <w:rPr>
      <w:rFonts w:ascii="Arial" w:hAnsi="Arial" w:eastAsia="Arial" w:cs="Arial"/>
      <w:sz w:val="21"/>
      <w:szCs w:val="21"/>
      <w:lang w:val="en-US" w:eastAsia="en-US" w:bidi="ar-SA"/>
    </w:rPr>
  </w:style>
  <w:style w:type="paragraph" w:styleId="990">
    <w:name w:val="正文文本12"/>
    <w:basedOn w:val="869"/>
    <w:next w:val="990"/>
    <w:link w:val="869"/>
    <w:uiPriority w:val="1"/>
    <w:qFormat/>
    <w:pPr>
      <w:ind w:left="120"/>
    </w:pPr>
    <w:rPr>
      <w:rFonts w:ascii="宋体" w:hAnsi="宋体" w:eastAsia="宋体" w:cs="宋体"/>
      <w:sz w:val="21"/>
      <w:szCs w:val="21"/>
      <w:lang w:val="zh-CN" w:eastAsia="zh-CN" w:bidi="zh-CN"/>
    </w:rPr>
  </w:style>
  <w:style w:type="paragraph" w:styleId="991">
    <w:name w:val="纯文本1"/>
    <w:basedOn w:val="869"/>
    <w:next w:val="991"/>
    <w:link w:val="869"/>
    <w:qFormat/>
    <w:rPr>
      <w:rFonts w:ascii="宋体" w:hAnsi="Courier New" w:cs="Courier New"/>
    </w:rPr>
  </w:style>
  <w:style w:type="table" w:styleId="992">
    <w:name w:val="网格型1"/>
    <w:basedOn w:val="993"/>
    <w:next w:val="992"/>
    <w:link w:val="869"/>
    <w:qFormat/>
    <w:pPr>
      <w:jc w:val="both"/>
      <w:widowControl w:val="off"/>
    </w:pPr>
    <w:tblPr/>
  </w:style>
  <w:style w:type="table" w:styleId="993">
    <w:name w:val="普通表格1"/>
    <w:next w:val="993"/>
    <w:link w:val="869"/>
    <w:uiPriority w:val="99"/>
    <w:unhideWhenUsed/>
    <w:qFormat/>
    <w:tblPr/>
  </w:style>
  <w:style w:type="character" w:styleId="994">
    <w:name w:val="15"/>
    <w:basedOn w:val="879"/>
    <w:next w:val="994"/>
    <w:link w:val="869"/>
    <w:rPr>
      <w:rFonts w:ascii="Times New Roman" w:hAnsi="Times New Roman" w:cs="Times New Roman"/>
    </w:r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2023-03-27T07:28:00Z</dcterms:created>
  <dcterms:modified xsi:type="dcterms:W3CDTF">2026-07-29T06:33:27Z</dcterms:modified>
</cp:coreProperties>
</file>