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5"/>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85"/>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rPr>
          <w:rFonts w:hint="eastAsia" w:ascii="黑体" w:hAnsi="华文中宋" w:eastAsia="黑体"/>
          <w:bCs/>
          <w:color w:val="000000"/>
          <w:spacing w:val="20"/>
          <w:sz w:val="84"/>
          <w:szCs w:val="84"/>
          <w:highlight w:val="none"/>
        </w:rPr>
      </w:r>
      <w:r/>
    </w:p>
    <w:p>
      <w:pPr>
        <w:pStyle w:val="1085"/>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8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8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85"/>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99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JSZC-320214-JZCG-G2026-0068</w:t>
      </w:r>
      <w:r>
        <w:rPr>
          <w:rFonts w:hint="eastAsia" w:ascii="黑体" w:hAnsi="华文中宋" w:eastAsia="黑体"/>
          <w:bCs/>
          <w:color w:val="000000"/>
          <w:sz w:val="32"/>
          <w:szCs w:val="32"/>
          <w:highlight w:val="none"/>
          <w:lang w:eastAsia="zh-CN"/>
        </w:rPr>
      </w:r>
      <w:r/>
    </w:p>
    <w:p>
      <w:pPr>
        <w:pStyle w:val="99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2026-2028年度无锡市新安中心幼儿园物业管理服务项目</w:t>
      </w:r>
      <w:r>
        <w:rPr>
          <w:rFonts w:hint="eastAsia" w:ascii="黑体" w:hAnsi="华文中宋" w:eastAsia="黑体"/>
          <w:bCs/>
          <w:color w:val="000000"/>
          <w:sz w:val="32"/>
          <w:szCs w:val="32"/>
          <w:highlight w:val="none"/>
          <w:lang w:eastAsia="zh-CN"/>
        </w:rPr>
      </w:r>
      <w:r/>
    </w:p>
    <w:p>
      <w:pPr>
        <w:pStyle w:val="996"/>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无锡市新安中心幼儿园</w:t>
      </w:r>
      <w:r>
        <w:rPr>
          <w:rFonts w:hint="eastAsia" w:ascii="黑体" w:hAnsi="华文中宋" w:eastAsia="黑体"/>
          <w:bCs/>
          <w:color w:val="000000"/>
          <w:sz w:val="32"/>
          <w:szCs w:val="32"/>
          <w:highlight w:val="none"/>
          <w:lang w:eastAsia="zh-CN"/>
        </w:rPr>
      </w:r>
      <w:r/>
    </w:p>
    <w:p>
      <w:pPr>
        <w:pStyle w:val="996"/>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8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8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85"/>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85"/>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无锡市公共资源交易中心新吴分中心</w:t>
      </w:r>
      <w:r>
        <w:rPr>
          <w:rFonts w:hint="eastAsia" w:ascii="宋体" w:hAnsi="宋体" w:eastAsia="黑体"/>
          <w:color w:val="000000"/>
          <w:sz w:val="32"/>
          <w:szCs w:val="32"/>
          <w:highlight w:val="none"/>
          <w:shd w:val="clear" w:color="ffffff" w:fill="d9d9d9"/>
          <w:lang w:eastAsia="zh-CN"/>
        </w:rPr>
      </w:r>
      <w:r/>
    </w:p>
    <w:p>
      <w:pPr>
        <w:pStyle w:val="1085"/>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 </w:t>
      </w:r>
      <w:r>
        <w:rPr>
          <w:rFonts w:hint="eastAsia" w:ascii="黑体" w:hAnsi="华文中宋" w:eastAsia="黑体"/>
          <w:bCs/>
          <w:color w:val="000000"/>
          <w:sz w:val="32"/>
          <w:szCs w:val="32"/>
          <w:highlight w:val="none"/>
        </w:rPr>
        <w:t xml:space="preserve">七</w:t>
      </w:r>
      <w:r>
        <w:rPr>
          <w:rFonts w:hint="eastAsia" w:ascii="黑体" w:hAnsi="华文中宋" w:eastAsia="黑体"/>
          <w:bCs/>
          <w:color w:val="000000"/>
          <w:sz w:val="32"/>
          <w:szCs w:val="32"/>
          <w:highlight w:val="none"/>
        </w:rPr>
        <w:t xml:space="preserve"> 月</w:t>
      </w:r>
      <w:r>
        <w:rPr>
          <w:rFonts w:ascii="黑体" w:hAnsi="华文中宋" w:eastAsia="黑体"/>
          <w:bCs/>
          <w:color w:val="000000"/>
          <w:sz w:val="32"/>
          <w:szCs w:val="32"/>
          <w:highlight w:val="none"/>
        </w:rPr>
      </w:r>
      <w:r/>
    </w:p>
    <w:p>
      <w:pPr>
        <w:pStyle w:val="1085"/>
        <w:ind w:firstLine="0"/>
        <w:jc w:val="center"/>
        <w:rPr>
          <w:rFonts w:hint="eastAsia" w:ascii="黑体" w:hAnsi="黑体" w:eastAsia="黑体"/>
          <w:color w:val="000000"/>
          <w:sz w:val="36"/>
          <w:szCs w:val="36"/>
          <w:highlight w:val="none"/>
        </w:rPr>
        <w:sectPr>
          <w:footnotePr/>
          <w:endnotePr/>
          <w:type w:val="nextPage"/>
          <w:pgSz w:w="11906" w:h="16838" w:orient="portrait"/>
          <w:pgMar w:top="1440" w:right="1800" w:bottom="1440" w:left="1800" w:header="851" w:footer="992" w:gutter="0"/>
          <w:pgNumType w:start="0"/>
          <w:cols w:num="1" w:sep="0" w:space="1701" w:equalWidth="1"/>
          <w:docGrid w:linePitch="360"/>
          <w:titlePg/>
        </w:sectPr>
      </w:pPr>
      <w:r/>
      <w:bookmarkStart w:id="0" w:name="_Toc120614210"/>
      <w:r/>
      <w:bookmarkStart w:id="1" w:name="_Toc513029200"/>
      <w:r/>
      <w:bookmarkStart w:id="2" w:name="_Toc20823272"/>
      <w:r/>
      <w:bookmarkStart w:id="3" w:name="_Toc16938516"/>
      <w:r/>
      <w:bookmarkStart w:id="4" w:name="_Toc479757206"/>
      <w:r/>
      <w:bookmarkStart w:id="5" w:name="_Toc523127445"/>
      <w:r>
        <w:rPr>
          <w:rFonts w:hint="eastAsia" w:ascii="黑体" w:hAnsi="黑体" w:eastAsia="黑体"/>
          <w:color w:val="000000"/>
          <w:sz w:val="36"/>
          <w:szCs w:val="36"/>
          <w:highlight w:val="none"/>
        </w:rPr>
      </w:r>
      <w:r/>
    </w:p>
    <w:p>
      <w:pPr>
        <w:pStyle w:val="1085"/>
        <w:ind w:firstLine="0"/>
        <w:jc w:val="center"/>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rPr>
          <w:rFonts w:hint="eastAsia" w:ascii="黑体" w:hAnsi="黑体" w:eastAsia="黑体"/>
          <w:color w:val="000000"/>
          <w:sz w:val="36"/>
          <w:szCs w:val="36"/>
          <w:highlight w:val="none"/>
        </w:rPr>
      </w:r>
      <w:r/>
    </w:p>
    <w:p>
      <w:pPr>
        <w:pStyle w:val="996"/>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6</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21</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26</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42</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lang w:val="en-US" w:eastAsia="zh-CN"/>
        </w:rPr>
        <w:t xml:space="preserve">49</w:t>
      </w:r>
      <w:r>
        <w:rPr>
          <w:rFonts w:hint="eastAsia" w:ascii="宋体" w:hAnsi="宋体"/>
          <w:color w:val="000000"/>
          <w:sz w:val="30"/>
          <w:szCs w:val="30"/>
          <w:highlight w:val="none"/>
          <w:lang w:eastAsia="zh-CN"/>
        </w:rPr>
        <w:t xml:space="preserve">）</w:t>
      </w:r>
      <w:r>
        <w:rPr>
          <w:rFonts w:hint="eastAsia" w:ascii="宋体" w:hAnsi="宋体"/>
          <w:color w:val="000000"/>
          <w:sz w:val="30"/>
          <w:szCs w:val="30"/>
          <w:highlight w:val="none"/>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r>
        <w:rPr>
          <w:rFonts w:hint="eastAsia" w:ascii="黑体" w:hAnsi="黑体" w:eastAsia="黑体"/>
          <w:color w:val="000000"/>
          <w:sz w:val="36"/>
          <w:szCs w:val="36"/>
          <w:highlight w:val="none"/>
        </w:rPr>
      </w:r>
      <w:r/>
    </w:p>
    <w:p>
      <w:pPr>
        <w:pStyle w:val="996"/>
        <w:ind w:firstLine="480"/>
        <w:spacing w:line="500" w:lineRule="exact"/>
        <w:rPr>
          <w:rFonts w:ascii="宋体" w:hAnsi="宋体"/>
          <w:color w:val="000000"/>
          <w:sz w:val="24"/>
          <w:szCs w:val="24"/>
          <w:highlight w:val="none"/>
          <w:shd w:val="clear" w:color="ffffff" w:fill="d9d9d9"/>
        </w:rPr>
      </w:pPr>
      <w:r/>
      <w:bookmarkEnd w:id="0"/>
      <w:r>
        <w:rPr>
          <w:rFonts w:hint="eastAsia" w:ascii="宋体" w:hAnsi="宋体" w:eastAsia="宋体" w:cs="Times New Roman"/>
          <w:color w:val="000000"/>
          <w:sz w:val="24"/>
          <w:szCs w:val="24"/>
          <w:highlight w:val="none"/>
          <w:lang w:eastAsia="zh-CN"/>
        </w:rPr>
        <w:t xml:space="preserve">受无锡市新安中心幼儿园的委托，无锡市公共资源交易中心新吴分中心就2026-2028年度无锡市新安中心幼儿园物业管理</w:t>
      </w:r>
      <w:r>
        <w:rPr>
          <w:rFonts w:hint="eastAsia" w:ascii="宋体" w:hAnsi="宋体" w:eastAsia="宋体" w:cs="Times New Roman"/>
          <w:color w:val="000000"/>
          <w:sz w:val="24"/>
          <w:szCs w:val="24"/>
          <w:highlight w:val="none"/>
          <w:lang w:val="en-US" w:eastAsia="zh-CN"/>
        </w:rPr>
        <w:t xml:space="preserve">服务</w:t>
      </w:r>
      <w:r>
        <w:rPr>
          <w:rFonts w:hint="eastAsia" w:ascii="宋体" w:hAnsi="宋体" w:eastAsia="宋体" w:cs="Times New Roman"/>
          <w:color w:val="000000"/>
          <w:sz w:val="24"/>
          <w:szCs w:val="24"/>
          <w:highlight w:val="none"/>
          <w:lang w:eastAsia="zh-CN"/>
        </w:rPr>
        <w:t xml:space="preserve">项目（JSZC-320214-JZCG-G2026-0068）进行公开招标采购，欢迎符合条件的供应商投标</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99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shd w:val="clear" w:color="ffffff" w:fill="d9d9d9"/>
        </w:rPr>
      </w:r>
      <w:r/>
    </w:p>
    <w:p>
      <w:pPr>
        <w:pStyle w:val="996"/>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2026-2028年度无锡市新安中心幼儿园物业管理服务项目</w:t>
      </w:r>
      <w:r>
        <w:rPr>
          <w:rFonts w:hint="eastAsia" w:ascii="宋体" w:hAnsi="宋体"/>
          <w:color w:val="000000"/>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color w:val="000000"/>
          <w:sz w:val="24"/>
          <w:szCs w:val="24"/>
          <w:highlight w:val="yellow"/>
        </w:rPr>
        <w:t xml:space="preserve">202</w:t>
      </w:r>
      <w:r>
        <w:rPr>
          <w:rFonts w:hint="eastAsia" w:ascii="宋体" w:hAnsi="宋体"/>
          <w:color w:val="000000"/>
          <w:sz w:val="24"/>
          <w:szCs w:val="24"/>
          <w:highlight w:val="yellow"/>
          <w:lang w:val="en-US" w:eastAsia="zh-CN"/>
        </w:rPr>
        <w:t xml:space="preserve">6</w:t>
      </w:r>
      <w:r>
        <w:rPr>
          <w:rFonts w:hint="eastAsia" w:ascii="宋体" w:hAnsi="宋体"/>
          <w:color w:val="000000"/>
          <w:sz w:val="24"/>
          <w:szCs w:val="24"/>
          <w:highlight w:val="yellow"/>
        </w:rPr>
        <w:t xml:space="preserve">年8月12日09点30分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999"/>
        <w:ind w:firstLine="452"/>
        <w:keepLines w:val="0"/>
        <w:keepNext w:val="0"/>
        <w:spacing w:before="0" w:after="0" w:line="500" w:lineRule="exact"/>
        <w:rPr>
          <w:color w:val="000000"/>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Pr>
          <w:color w:val="000000"/>
          <w:sz w:val="30"/>
          <w:szCs w:val="30"/>
          <w:highlight w:val="none"/>
        </w:rPr>
      </w:r>
      <w:r/>
    </w:p>
    <w:p>
      <w:pPr>
        <w:pStyle w:val="99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JSZC-320214-JZCG-G2026-0068</w:t>
      </w:r>
      <w:r>
        <w:rPr>
          <w:rFonts w:hint="eastAsia" w:ascii="宋体" w:hAnsi="宋体" w:eastAsia="宋体"/>
          <w:color w:val="000000"/>
          <w:sz w:val="24"/>
          <w:szCs w:val="24"/>
          <w:highlight w:val="none"/>
          <w:lang w:eastAsia="zh-CN"/>
        </w:rPr>
      </w:r>
      <w:r/>
    </w:p>
    <w:p>
      <w:pPr>
        <w:pStyle w:val="996"/>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2026-2028年度无锡市新安中心幼儿园物业管理服务项目</w:t>
      </w:r>
      <w:r>
        <w:rPr>
          <w:rFonts w:hint="eastAsia" w:ascii="宋体" w:hAnsi="宋体" w:eastAsia="宋体"/>
          <w:color w:val="000000"/>
          <w:sz w:val="24"/>
          <w:szCs w:val="24"/>
          <w:highlight w:val="none"/>
          <w:lang w:eastAsia="zh-CN"/>
        </w:rPr>
      </w:r>
      <w:r/>
    </w:p>
    <w:p>
      <w:pPr>
        <w:pStyle w:val="996"/>
        <w:ind w:firstLine="480"/>
        <w:spacing w:line="500" w:lineRule="exact"/>
        <w:rPr>
          <w:rFonts w:hint="eastAsia" w:ascii="宋体" w:hAnsi="宋体" w:eastAsia="宋体" w:cs="Times New Roman"/>
          <w:color w:val="000000"/>
          <w:sz w:val="24"/>
          <w:szCs w:val="24"/>
          <w:highlight w:val="none"/>
        </w:rPr>
      </w:pPr>
      <w:r/>
      <w:bookmarkEnd w:id="11"/>
      <w:r>
        <w:rPr>
          <w:rFonts w:hint="eastAsia" w:ascii="宋体" w:hAnsi="宋体"/>
          <w:color w:val="000000"/>
          <w:sz w:val="24"/>
          <w:szCs w:val="24"/>
          <w:highlight w:val="none"/>
        </w:rPr>
        <w:t xml:space="preserve">3.项目预算金额：</w:t>
      </w:r>
      <w:r>
        <w:rPr>
          <w:rFonts w:hint="eastAsia" w:ascii="宋体" w:hAnsi="宋体" w:eastAsia="宋体" w:cs="Times New Roman"/>
          <w:color w:val="000000"/>
          <w:sz w:val="24"/>
          <w:szCs w:val="24"/>
          <w:highlight w:val="none"/>
        </w:rPr>
        <w:t xml:space="preserve">125.405175万元</w:t>
      </w:r>
      <w:r>
        <w:rPr>
          <w:rFonts w:hint="eastAsia" w:ascii="宋体" w:hAnsi="宋体" w:eastAsia="宋体" w:cs="Times New Roman"/>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eastAsia="宋体" w:cs="Times New Roman"/>
          <w:color w:val="000000"/>
          <w:sz w:val="24"/>
          <w:szCs w:val="24"/>
          <w:highlight w:val="none"/>
        </w:rPr>
        <w:t xml:space="preserve">4.项目最高限价：125.405175万元</w:t>
      </w:r>
      <w:r>
        <w:rPr>
          <w:rFonts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rPr>
          <w:rFonts w:hint="eastAsia" w:ascii="宋体" w:hAnsi="宋体"/>
          <w:color w:val="000000"/>
          <w:sz w:val="24"/>
          <w:szCs w:val="24"/>
          <w:highlight w:val="none"/>
        </w:rPr>
      </w:r>
      <w:r/>
    </w:p>
    <w:p>
      <w:pPr>
        <w:pStyle w:val="996"/>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rPr>
          <w:rFonts w:hint="eastAsia" w:ascii="宋体" w:hAnsi="宋体" w:cs="宋体"/>
          <w:color w:val="000000"/>
          <w:sz w:val="24"/>
          <w:szCs w:val="24"/>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rPr>
          <w:rFonts w:ascii="宋体" w:hAnsi="宋体" w:cs="宋体"/>
          <w:color w:val="000000"/>
          <w:sz w:val="24"/>
          <w:szCs w:val="24"/>
          <w:highlight w:val="none"/>
        </w:rPr>
      </w:r>
      <w:r/>
    </w:p>
    <w:p>
      <w:pPr>
        <w:pStyle w:val="999"/>
        <w:ind w:firstLine="452"/>
        <w:keepLines w:val="0"/>
        <w:keepNext w:val="0"/>
        <w:spacing w:before="0" w:after="0" w:line="500" w:lineRule="exact"/>
        <w:rPr>
          <w:color w:val="000000"/>
          <w:sz w:val="30"/>
          <w:szCs w:val="30"/>
          <w:highlight w:val="none"/>
        </w:rPr>
      </w:pPr>
      <w:r/>
      <w:bookmarkStart w:id="12" w:name="_Toc28359080"/>
      <w:r/>
      <w:bookmarkStart w:id="13" w:name="_Toc38985264"/>
      <w:r/>
      <w:bookmarkStart w:id="14" w:name="_Toc28359003"/>
      <w:r/>
      <w:bookmarkStart w:id="15" w:name="_Toc35393791"/>
      <w:r/>
      <w:bookmarkStart w:id="16" w:name="_Toc35393622"/>
      <w:r>
        <w:rPr>
          <w:rFonts w:hint="eastAsia"/>
          <w:color w:val="000000"/>
          <w:sz w:val="30"/>
          <w:szCs w:val="30"/>
          <w:highlight w:val="none"/>
        </w:rPr>
        <w:t xml:space="preserve">二、申请人的资格要求</w:t>
      </w:r>
      <w:bookmarkEnd w:id="12"/>
      <w:r/>
      <w:bookmarkEnd w:id="13"/>
      <w:r/>
      <w:bookmarkEnd w:id="14"/>
      <w:r/>
      <w:bookmarkEnd w:id="15"/>
      <w:r/>
      <w:bookmarkEnd w:id="16"/>
      <w:r>
        <w:rPr>
          <w:color w:val="000000"/>
          <w:sz w:val="30"/>
          <w:szCs w:val="30"/>
          <w:highlight w:val="none"/>
        </w:rPr>
      </w:r>
      <w:r/>
    </w:p>
    <w:p>
      <w:pPr>
        <w:pStyle w:val="996"/>
        <w:ind w:firstLine="480"/>
        <w:spacing w:line="500" w:lineRule="exact"/>
        <w:rPr>
          <w:rFonts w:ascii="宋体" w:hAnsi="宋体"/>
          <w:color w:val="000000"/>
          <w:sz w:val="24"/>
          <w:szCs w:val="24"/>
          <w:highlight w:val="none"/>
        </w:rPr>
      </w:pPr>
      <w:r/>
      <w:bookmarkStart w:id="17" w:name="_Toc35393792"/>
      <w:r/>
      <w:bookmarkStart w:id="18" w:name="_Toc28359081"/>
      <w:r/>
      <w:bookmarkStart w:id="19" w:name="_Toc28359004"/>
      <w:r/>
      <w:bookmarkStart w:id="20" w:name="_Toc38985265"/>
      <w:r/>
      <w:bookmarkStart w:id="21" w:name="_Toc35393623"/>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rPr>
          <w:rFonts w:ascii="宋体" w:hAnsi="宋体" w:cs="宋体"/>
          <w:color w:val="000000"/>
          <w:sz w:val="24"/>
          <w:szCs w:val="24"/>
          <w:highlight w:val="none"/>
        </w:rPr>
      </w:r>
      <w:r/>
    </w:p>
    <w:p>
      <w:pPr>
        <w:pStyle w:val="99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Pr>
          <w:color w:val="000000"/>
          <w:sz w:val="30"/>
          <w:szCs w:val="30"/>
          <w:highlight w:val="none"/>
        </w:rPr>
      </w:r>
      <w:r/>
    </w:p>
    <w:p>
      <w:pPr>
        <w:pStyle w:val="996"/>
        <w:ind w:firstLine="540"/>
        <w:spacing w:line="500" w:lineRule="exact"/>
        <w:rPr>
          <w:rFonts w:hint="eastAsia" w:ascii="宋体" w:hAnsi="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rPr>
          <w:rFonts w:hint="eastAsia" w:ascii="宋体" w:hAnsi="宋体"/>
          <w:color w:val="000000"/>
          <w:sz w:val="24"/>
          <w:szCs w:val="24"/>
          <w:highlight w:val="none"/>
        </w:rPr>
      </w:r>
      <w:r/>
    </w:p>
    <w:p>
      <w:pPr>
        <w:pStyle w:val="996"/>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r>
      <w:r/>
    </w:p>
    <w:p>
      <w:pPr>
        <w:pStyle w:val="996"/>
        <w:ind w:firstLine="540"/>
        <w:spacing w:line="500" w:lineRule="exact"/>
        <w:rPr>
          <w:rStyle w:val="1072"/>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highlight w:val="none"/>
        </w:rPr>
        <w:t xml:space="preserve">）获取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1072"/>
          <w:color w:val="000000"/>
          <w:highlight w:val="none"/>
        </w:rPr>
      </w:r>
      <w:r/>
    </w:p>
    <w:p>
      <w:pPr>
        <w:pStyle w:val="996"/>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99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Cs/>
          <w:color w:val="000000"/>
          <w:sz w:val="24"/>
          <w:szCs w:val="24"/>
          <w:highlight w:val="yellow"/>
        </w:rPr>
        <w:t xml:space="preserve">202</w:t>
      </w:r>
      <w:r>
        <w:rPr>
          <w:rFonts w:hint="eastAsia" w:ascii="宋体" w:hAnsi="宋体"/>
          <w:bCs/>
          <w:color w:val="000000"/>
          <w:sz w:val="24"/>
          <w:szCs w:val="24"/>
          <w:highlight w:val="yellow"/>
          <w:lang w:val="en-US" w:eastAsia="zh-CN"/>
        </w:rPr>
        <w:t xml:space="preserve">6</w:t>
      </w:r>
      <w:r>
        <w:rPr>
          <w:rFonts w:hint="eastAsia" w:ascii="宋体" w:hAnsi="宋体"/>
          <w:bCs/>
          <w:color w:val="000000"/>
          <w:sz w:val="24"/>
          <w:szCs w:val="24"/>
          <w:highlight w:val="yellow"/>
        </w:rPr>
        <w:t xml:space="preserve">年8月12日09点30分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99"/>
        <w:ind w:firstLine="452"/>
        <w:keepLines w:val="0"/>
        <w:keepNext w:val="0"/>
        <w:spacing w:before="0" w:after="0" w:line="500" w:lineRule="exact"/>
        <w:rPr>
          <w:color w:val="000000"/>
          <w:sz w:val="30"/>
          <w:szCs w:val="30"/>
          <w:highlight w:val="none"/>
        </w:rPr>
      </w:pPr>
      <w:r/>
      <w:bookmarkStart w:id="27" w:name="_Toc38985267"/>
      <w:r/>
      <w:bookmarkStart w:id="28" w:name="_Toc35393794"/>
      <w:r/>
      <w:bookmarkStart w:id="29" w:name="_Toc28359007"/>
      <w:r/>
      <w:bookmarkStart w:id="30" w:name="_Toc28359084"/>
      <w:r/>
      <w:bookmarkStart w:id="31" w:name="_Toc35393625"/>
      <w:r>
        <w:rPr>
          <w:rFonts w:hint="eastAsia"/>
          <w:color w:val="000000"/>
          <w:sz w:val="30"/>
          <w:szCs w:val="30"/>
          <w:highlight w:val="none"/>
        </w:rPr>
        <w:t xml:space="preserve">五、公告期限</w:t>
      </w:r>
      <w:bookmarkEnd w:id="27"/>
      <w:r/>
      <w:bookmarkEnd w:id="28"/>
      <w:r/>
      <w:bookmarkEnd w:id="29"/>
      <w:r/>
      <w:bookmarkEnd w:id="30"/>
      <w:r/>
      <w:bookmarkEnd w:id="31"/>
      <w:r>
        <w:rPr>
          <w:color w:val="000000"/>
          <w:sz w:val="30"/>
          <w:szCs w:val="30"/>
          <w:highlight w:val="none"/>
        </w:rPr>
      </w:r>
      <w:r/>
    </w:p>
    <w:p>
      <w:pPr>
        <w:pStyle w:val="996"/>
        <w:ind w:firstLine="480"/>
        <w:spacing w:line="50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（招标公告及招标文件公告期限）自本公告发布之日起5个工作日。</w:t>
      </w:r>
      <w:r>
        <w:rPr>
          <w:rFonts w:ascii="宋体" w:hAnsi="宋体" w:cs="宋体"/>
          <w:color w:val="000000"/>
          <w:sz w:val="24"/>
          <w:szCs w:val="24"/>
          <w:highlight w:val="none"/>
        </w:rPr>
      </w:r>
      <w:r/>
    </w:p>
    <w:p>
      <w:pPr>
        <w:pStyle w:val="99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Pr>
          <w:color w:val="000000"/>
          <w:sz w:val="30"/>
          <w:szCs w:val="30"/>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rFonts w:ascii="宋体" w:hAnsi="宋体" w:cs="宋体"/>
          <w:color w:val="000000"/>
          <w:sz w:val="24"/>
          <w:szCs w:val="24"/>
          <w:highlight w:val="none"/>
        </w:rPr>
      </w:r>
      <w:r/>
    </w:p>
    <w:p>
      <w:pPr>
        <w:pStyle w:val="999"/>
        <w:ind w:firstLine="452"/>
        <w:keepLines w:val="0"/>
        <w:keepNext w:val="0"/>
        <w:spacing w:before="0" w:after="0" w:line="500" w:lineRule="exact"/>
        <w:rPr>
          <w:color w:val="000000"/>
          <w:sz w:val="30"/>
          <w:szCs w:val="30"/>
          <w:highlight w:val="none"/>
        </w:rPr>
      </w:pPr>
      <w:r/>
      <w:bookmarkStart w:id="35" w:name="_Toc38985269"/>
      <w:r/>
      <w:bookmarkStart w:id="36" w:name="_Toc28359008"/>
      <w:r/>
      <w:bookmarkStart w:id="37" w:name="_Toc28359085"/>
      <w:r/>
      <w:bookmarkStart w:id="38" w:name="_Toc35393627"/>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Pr>
          <w:color w:val="000000"/>
          <w:sz w:val="30"/>
          <w:szCs w:val="30"/>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99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无锡市新安中心幼儿园</w:t>
      </w:r>
      <w:r>
        <w:rPr>
          <w:rFonts w:hint="eastAsia" w:ascii="宋体" w:hAnsi="宋体" w:eastAsia="宋体" w:cs="宋体"/>
          <w:color w:val="000000"/>
          <w:sz w:val="24"/>
          <w:szCs w:val="24"/>
          <w:highlight w:val="none"/>
          <w:lang w:eastAsia="zh-CN"/>
        </w:rPr>
      </w:r>
      <w:r/>
    </w:p>
    <w:p>
      <w:pPr>
        <w:pStyle w:val="996"/>
        <w:ind w:firstLine="480"/>
        <w:spacing w:line="5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地    址：</w:t>
      </w:r>
      <w:r>
        <w:rPr>
          <w:rFonts w:hint="eastAsia" w:ascii="宋体" w:hAnsi="宋体" w:eastAsia="宋体" w:cs="宋体"/>
          <w:color w:val="000000"/>
          <w:sz w:val="24"/>
          <w:szCs w:val="24"/>
          <w:highlight w:val="none"/>
        </w:rPr>
        <w:t xml:space="preserve">无锡市新吴区新安街道新湖路62号</w:t>
      </w:r>
      <w:r>
        <w:rPr>
          <w:rFonts w:hint="eastAsia" w:ascii="宋体" w:hAnsi="宋体" w:eastAsia="宋体" w:cs="宋体"/>
          <w:color w:val="000000"/>
          <w:sz w:val="24"/>
          <w:szCs w:val="24"/>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86"/>
      <w:r/>
      <w:bookmarkStart w:id="41" w:name="_Toc28359009"/>
      <w:r>
        <w:rPr>
          <w:rFonts w:hint="eastAsia" w:ascii="宋体" w:hAnsi="宋体" w:cs="宋体"/>
          <w:color w:val="000000"/>
          <w:sz w:val="24"/>
          <w:szCs w:val="24"/>
          <w:highlight w:val="none"/>
        </w:rPr>
        <w:t xml:space="preserve">见“项目联系方式”</w:t>
      </w:r>
      <w:r>
        <w:rPr>
          <w:rFonts w:ascii="宋体" w:hAnsi="宋体" w:cs="宋体"/>
          <w:color w:val="000000"/>
          <w:sz w:val="24"/>
          <w:szCs w:val="24"/>
          <w:highlight w:val="none"/>
        </w:rPr>
      </w:r>
      <w:r/>
    </w:p>
    <w:p>
      <w:pPr>
        <w:pStyle w:val="996"/>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rPr>
          <w:rFonts w:ascii="宋体" w:hAnsi="宋体" w:cs="宋体"/>
          <w:color w:val="000000"/>
          <w:sz w:val="24"/>
          <w:szCs w:val="24"/>
          <w:highlight w:val="none"/>
        </w:rPr>
      </w:r>
      <w:r/>
    </w:p>
    <w:p>
      <w:pPr>
        <w:pStyle w:val="996"/>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无锡市公共资源交易中心新吴分中心</w:t>
      </w:r>
      <w:r>
        <w:rPr>
          <w:rFonts w:hint="eastAsia" w:ascii="宋体" w:hAnsi="宋体" w:eastAsia="宋体" w:cs="宋体"/>
          <w:color w:val="000000"/>
          <w:sz w:val="24"/>
          <w:szCs w:val="24"/>
          <w:highlight w:val="none"/>
          <w:lang w:eastAsia="zh-CN"/>
        </w:rPr>
      </w:r>
      <w:r/>
    </w:p>
    <w:p>
      <w:pPr>
        <w:pStyle w:val="99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地    址：无锡市</w:t>
      </w:r>
      <w:r>
        <w:rPr>
          <w:rFonts w:hint="eastAsia" w:ascii="宋体" w:hAnsi="宋体" w:cs="宋体"/>
          <w:color w:val="000000"/>
          <w:sz w:val="24"/>
          <w:szCs w:val="24"/>
          <w:highlight w:val="none"/>
          <w:lang w:val="en-US" w:eastAsia="zh-CN"/>
        </w:rPr>
        <w:t xml:space="preserve">新吴</w:t>
      </w:r>
      <w:r>
        <w:rPr>
          <w:rFonts w:hint="eastAsia" w:ascii="宋体" w:hAnsi="宋体" w:cs="宋体"/>
          <w:color w:val="000000"/>
          <w:sz w:val="24"/>
          <w:szCs w:val="24"/>
          <w:highlight w:val="none"/>
        </w:rPr>
        <w:t xml:space="preserve">区</w:t>
      </w:r>
      <w:r>
        <w:rPr>
          <w:rFonts w:hint="eastAsia" w:ascii="宋体" w:hAnsi="宋体" w:cs="宋体"/>
          <w:color w:val="000000"/>
          <w:sz w:val="24"/>
          <w:szCs w:val="24"/>
          <w:highlight w:val="none"/>
          <w:lang w:val="en-US" w:eastAsia="zh-CN"/>
        </w:rPr>
        <w:t xml:space="preserve">清晏</w:t>
      </w:r>
      <w:r>
        <w:rPr>
          <w:rFonts w:hint="eastAsia" w:ascii="宋体" w:hAnsi="宋体" w:cs="宋体"/>
          <w:color w:val="000000"/>
          <w:sz w:val="24"/>
          <w:szCs w:val="24"/>
          <w:highlight w:val="none"/>
        </w:rPr>
        <w:t xml:space="preserve">路</w:t>
      </w:r>
      <w:r>
        <w:rPr>
          <w:rFonts w:hint="eastAsia" w:ascii="宋体" w:hAnsi="宋体" w:cs="宋体"/>
          <w:color w:val="000000"/>
          <w:sz w:val="24"/>
          <w:szCs w:val="24"/>
          <w:highlight w:val="none"/>
          <w:lang w:val="en-US" w:eastAsia="zh-CN"/>
        </w:rPr>
        <w:t xml:space="preserve">30号</w:t>
      </w:r>
      <w:r>
        <w:rPr>
          <w:rFonts w:ascii="宋体" w:hAnsi="宋体" w:eastAsia="宋体" w:cs="宋体"/>
          <w:color w:val="000000"/>
          <w:sz w:val="24"/>
          <w:szCs w:val="24"/>
          <w:highlight w:val="none"/>
          <w:lang w:val="en-US" w:eastAsia="zh-CN"/>
        </w:rPr>
      </w:r>
      <w:r/>
    </w:p>
    <w:p>
      <w:pPr>
        <w:pStyle w:val="99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rPr>
          <w:rFonts w:hint="eastAsia" w:ascii="宋体" w:hAnsi="宋体" w:cs="宋体"/>
          <w:color w:val="000000"/>
          <w:sz w:val="24"/>
          <w:szCs w:val="24"/>
          <w:highlight w:val="none"/>
        </w:rPr>
      </w:r>
      <w:r/>
    </w:p>
    <w:p>
      <w:pPr>
        <w:pStyle w:val="996"/>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996"/>
        <w:ind w:firstLine="480"/>
        <w:spacing w:line="500" w:lineRule="exac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rPr>
        <w:t xml:space="preserve">方芳；电话：15261515765</w:t>
      </w:r>
      <w:r>
        <w:rPr>
          <w:rFonts w:hint="eastAsia" w:ascii="宋体" w:hAnsi="宋体" w:eastAsia="宋体" w:cs="宋体"/>
          <w:color w:val="000000"/>
          <w:sz w:val="24"/>
          <w:szCs w:val="24"/>
          <w:highlight w:val="none"/>
        </w:rPr>
      </w:r>
      <w:r/>
    </w:p>
    <w:p>
      <w:pPr>
        <w:pStyle w:val="99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采购人质疑受理联系人：方芳；电话：15261515765</w:t>
      </w:r>
      <w:r>
        <w:rPr>
          <w:rFonts w:hint="eastAsia" w:ascii="宋体" w:hAnsi="宋体" w:eastAsia="宋体" w:cs="宋体"/>
          <w:color w:val="000000"/>
          <w:sz w:val="24"/>
          <w:szCs w:val="24"/>
          <w:highlight w:val="none"/>
        </w:rPr>
      </w:r>
      <w:r/>
    </w:p>
    <w:p>
      <w:pPr>
        <w:pStyle w:val="996"/>
        <w:ind w:firstLine="480"/>
        <w:spacing w:line="50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交易中心项目联系人：</w:t>
      </w:r>
      <w:r>
        <w:rPr>
          <w:rFonts w:hint="eastAsia" w:ascii="宋体" w:hAnsi="宋体" w:cs="宋体"/>
          <w:color w:val="000000"/>
          <w:sz w:val="24"/>
          <w:szCs w:val="24"/>
          <w:highlight w:val="none"/>
          <w:lang w:val="en-US" w:eastAsia="zh-CN"/>
        </w:rPr>
        <w:t xml:space="preserve">王丽娜</w:t>
      </w:r>
      <w:r>
        <w:rPr>
          <w:rFonts w:hint="eastAsia" w:ascii="宋体" w:hAnsi="宋体" w:cs="宋体"/>
          <w:color w:val="000000"/>
          <w:sz w:val="24"/>
          <w:szCs w:val="24"/>
          <w:highlight w:val="none"/>
        </w:rPr>
        <w:t xml:space="preserve">；电话：0510-</w:t>
      </w:r>
      <w:r>
        <w:rPr>
          <w:rFonts w:hint="eastAsia" w:ascii="宋体" w:hAnsi="宋体" w:cs="宋体"/>
          <w:color w:val="000000"/>
          <w:sz w:val="24"/>
          <w:szCs w:val="24"/>
          <w:highlight w:val="none"/>
          <w:lang w:val="en-US" w:eastAsia="zh-CN"/>
        </w:rPr>
        <w:t xml:space="preserve">80595969</w:t>
      </w:r>
      <w:r>
        <w:rPr>
          <w:rFonts w:ascii="宋体" w:hAnsi="宋体" w:eastAsia="宋体" w:cs="宋体"/>
          <w:color w:val="000000"/>
          <w:sz w:val="24"/>
          <w:szCs w:val="24"/>
          <w:highlight w:val="none"/>
          <w:lang w:val="en-US" w:eastAsia="zh-CN"/>
        </w:rPr>
      </w:r>
      <w:r/>
    </w:p>
    <w:p>
      <w:pPr>
        <w:pStyle w:val="999"/>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rPr>
          <w:color w:val="000000"/>
          <w:sz w:val="30"/>
          <w:szCs w:val="30"/>
          <w:highlight w:val="none"/>
        </w:rPr>
      </w:r>
      <w:r/>
    </w:p>
    <w:p>
      <w:pPr>
        <w:pStyle w:val="99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rFonts w:ascii="宋体" w:hAnsi="宋体" w:cs="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rPr>
          <w:rFonts w:ascii="宋体" w:hAnsi="宋体"/>
          <w:color w:val="000000"/>
          <w:sz w:val="24"/>
          <w:szCs w:val="24"/>
          <w:highlight w:val="none"/>
        </w:rPr>
      </w:r>
      <w:r/>
    </w:p>
    <w:p>
      <w:pPr>
        <w:pStyle w:val="996"/>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rPr>
          <w:rFonts w:ascii="宋体" w:hAnsi="宋体" w:cs="宋体"/>
          <w:color w:val="000000"/>
          <w:sz w:val="24"/>
          <w:szCs w:val="24"/>
          <w:highlight w:val="none"/>
        </w:rPr>
      </w:r>
      <w:r/>
    </w:p>
    <w:p>
      <w:pPr>
        <w:pStyle w:val="996"/>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rPr>
          <w:rFonts w:ascii="宋体" w:hAnsi="宋体"/>
          <w:color w:val="000000"/>
          <w:sz w:val="24"/>
          <w:szCs w:val="24"/>
          <w:highlight w:val="none"/>
        </w:rPr>
      </w:r>
      <w:r/>
    </w:p>
    <w:p>
      <w:pPr>
        <w:pStyle w:val="996"/>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在“江苏政府采购网”发布的更正公告。</w:t>
      </w:r>
      <w:r>
        <w:rPr>
          <w:rFonts w:hint="eastAsia" w:ascii="宋体" w:hAnsi="宋体"/>
          <w:bCs/>
          <w:color w:val="000000"/>
          <w:sz w:val="24"/>
          <w:szCs w:val="24"/>
          <w:highlight w:val="none"/>
        </w:rPr>
      </w:r>
      <w:r/>
    </w:p>
    <w:p>
      <w:pPr>
        <w:pStyle w:val="996"/>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rPr>
          <w:rFonts w:hint="eastAsia" w:ascii="宋体" w:hAnsi="宋体"/>
          <w:bCs/>
          <w:color w:val="000000"/>
          <w:sz w:val="24"/>
          <w:szCs w:val="24"/>
          <w:highlight w:val="none"/>
        </w:rPr>
      </w:r>
      <w:r/>
    </w:p>
    <w:p>
      <w:pPr>
        <w:pStyle w:val="996"/>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sz w:val="24"/>
          <w:szCs w:val="24"/>
          <w:highlight w:val="none"/>
          <w:shd w:val="clear" w:color="ffffff" w:fill="d9d9d9"/>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sz w:val="36"/>
          <w:szCs w:val="36"/>
          <w:highlight w:val="none"/>
        </w:rPr>
        <w:t xml:space="preserve">投标人须知</w:t>
      </w:r>
      <w:bookmarkEnd w:id="43"/>
      <w:r/>
      <w:bookmarkEnd w:id="44"/>
      <w:r/>
      <w:bookmarkEnd w:id="45"/>
      <w:r/>
      <w:bookmarkEnd w:id="46"/>
      <w:r>
        <w:rPr>
          <w:rFonts w:hint="eastAsia" w:ascii="黑体" w:hAnsi="黑体" w:eastAsia="黑体"/>
          <w:color w:val="000000"/>
          <w:sz w:val="36"/>
          <w:szCs w:val="36"/>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47" w:name="_Toc120614214"/>
      <w:r/>
      <w:bookmarkStart w:id="48" w:name="_Toc20823275"/>
      <w:r/>
      <w:bookmarkStart w:id="49" w:name="_Toc16938519"/>
      <w:r/>
      <w:bookmarkStart w:id="50" w:name="_Toc513029203"/>
      <w:r>
        <w:rPr>
          <w:rFonts w:hint="eastAsia"/>
          <w:color w:val="000000"/>
          <w:sz w:val="30"/>
          <w:szCs w:val="30"/>
          <w:highlight w:val="none"/>
        </w:rPr>
        <w:t xml:space="preserve">一、总则</w:t>
      </w:r>
      <w:bookmarkEnd w:id="47"/>
      <w:r/>
      <w:bookmarkEnd w:id="48"/>
      <w:r/>
      <w:bookmarkEnd w:id="49"/>
      <w:r/>
      <w:bookmarkEnd w:id="50"/>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highlight w:val="none"/>
        </w:rPr>
        <w:t xml:space="preserve">1.招标方式</w:t>
      </w:r>
      <w:bookmarkEnd w:id="52"/>
      <w:r/>
      <w:bookmarkEnd w:id="53"/>
      <w:r/>
      <w:bookmarkEnd w:id="54"/>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55" w:name="_Toc16938521"/>
      <w:r/>
      <w:bookmarkStart w:id="56" w:name="_Toc20823277"/>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58" w:name="_Toc16938522"/>
      <w:r/>
      <w:bookmarkStart w:id="59" w:name="_Toc513029206"/>
      <w:r/>
      <w:bookmarkStart w:id="60" w:name="_Toc20823278"/>
      <w:r>
        <w:rPr>
          <w:rFonts w:hint="eastAsia" w:ascii="宋体" w:hAnsi="宋体" w:eastAsia="宋体"/>
          <w:bCs w:val="0"/>
          <w:color w:val="000000"/>
          <w:highlight w:val="none"/>
        </w:rPr>
        <w:t xml:space="preserve">3.适用法律</w:t>
      </w:r>
      <w:bookmarkEnd w:id="58"/>
      <w:r/>
      <w:bookmarkEnd w:id="59"/>
      <w:r/>
      <w:bookmarkEnd w:id="60"/>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61" w:name="_Toc16938523"/>
      <w:r/>
      <w:bookmarkStart w:id="62" w:name="_Toc513029207"/>
      <w:r/>
      <w:bookmarkStart w:id="63" w:name="_Toc462564067"/>
      <w:r/>
      <w:bookmarkStart w:id="64" w:name="_Toc20823279"/>
      <w:r>
        <w:rPr>
          <w:rFonts w:hint="eastAsia" w:ascii="宋体" w:hAnsi="宋体" w:eastAsia="宋体"/>
          <w:bCs w:val="0"/>
          <w:color w:val="000000"/>
          <w:highlight w:val="none"/>
        </w:rPr>
        <w:t xml:space="preserve">4.投标费用</w:t>
      </w:r>
      <w:bookmarkEnd w:id="61"/>
      <w:r/>
      <w:bookmarkEnd w:id="62"/>
      <w:r/>
      <w:bookmarkEnd w:id="63"/>
      <w:r/>
      <w:bookmarkEnd w:id="64"/>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无锡市公共资源交易中心新吴分中心</w:t>
      </w:r>
      <w:r>
        <w:rPr>
          <w:rFonts w:hint="eastAsia" w:ascii="宋体" w:hAnsi="宋体"/>
          <w:color w:val="000000"/>
          <w:sz w:val="24"/>
          <w:highlight w:val="none"/>
        </w:rPr>
        <w:t xml:space="preserve">（以下简称交易中心）在任何情况下均无义务和责任承担这些费用。</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65" w:name="_Toc20823281"/>
      <w:r/>
      <w:bookmarkStart w:id="66" w:name="_Toc120614215"/>
      <w:r/>
      <w:bookmarkStart w:id="67" w:name="_Toc513029209"/>
      <w:r/>
      <w:bookmarkStart w:id="68" w:name="_Toc16938525"/>
      <w:r>
        <w:rPr>
          <w:rFonts w:hint="eastAsia"/>
          <w:color w:val="000000"/>
          <w:sz w:val="30"/>
          <w:szCs w:val="30"/>
          <w:highlight w:val="none"/>
        </w:rPr>
        <w:t xml:space="preserve">二、招标文件</w:t>
      </w:r>
      <w:bookmarkEnd w:id="65"/>
      <w:r/>
      <w:bookmarkEnd w:id="66"/>
      <w:r/>
      <w:bookmarkEnd w:id="67"/>
      <w:r/>
      <w:bookmarkEnd w:id="68"/>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69" w:name="_Toc513029210"/>
      <w:r/>
      <w:bookmarkStart w:id="70" w:name="_Toc20823282"/>
      <w:r/>
      <w:bookmarkStart w:id="71" w:name="_Toc16938526"/>
      <w:r>
        <w:rPr>
          <w:rFonts w:hint="eastAsia" w:ascii="宋体" w:hAnsi="宋体" w:eastAsia="宋体"/>
          <w:bCs w:val="0"/>
          <w:color w:val="000000"/>
          <w:highlight w:val="none"/>
        </w:rPr>
        <w:t xml:space="preserve">6.招标文件构成</w:t>
      </w:r>
      <w:bookmarkEnd w:id="69"/>
      <w:r/>
      <w:bookmarkEnd w:id="70"/>
      <w:r/>
      <w:bookmarkEnd w:id="71"/>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996"/>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20823283"/>
      <w:r/>
      <w:bookmarkStart w:id="74" w:name="_Toc513029211"/>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76" w:name="_Toc20823284"/>
      <w:r/>
      <w:bookmarkStart w:id="77" w:name="_Toc513029212"/>
      <w:r/>
      <w:bookmarkStart w:id="78" w:name="_Toc16938528"/>
      <w:r/>
      <w:bookmarkStart w:id="79" w:name="_Toc462564071"/>
      <w:r>
        <w:rPr>
          <w:rFonts w:hint="eastAsia" w:ascii="宋体" w:hAnsi="宋体" w:eastAsia="宋体"/>
          <w:bCs w:val="0"/>
          <w:color w:val="000000"/>
          <w:highlight w:val="none"/>
        </w:rPr>
        <w:t xml:space="preserve">8.招标文件的修改</w:t>
      </w:r>
      <w:bookmarkEnd w:id="76"/>
      <w:r/>
      <w:bookmarkEnd w:id="77"/>
      <w:r/>
      <w:bookmarkEnd w:id="78"/>
      <w:r/>
      <w:bookmarkEnd w:id="79"/>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sz w:val="24"/>
          <w:szCs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80" w:name="_Toc513029213"/>
      <w:r/>
      <w:bookmarkStart w:id="81" w:name="_Toc16938529"/>
      <w:r/>
      <w:bookmarkStart w:id="82" w:name="_Toc120614216"/>
      <w:r/>
      <w:bookmarkStart w:id="83" w:name="_Toc20823285"/>
      <w:r/>
      <w:bookmarkStart w:id="84" w:name="_Toc462564072"/>
      <w:r>
        <w:rPr>
          <w:rFonts w:hint="eastAsia"/>
          <w:color w:val="000000"/>
          <w:sz w:val="30"/>
          <w:szCs w:val="30"/>
          <w:highlight w:val="none"/>
        </w:rPr>
        <w:t xml:space="preserve">三、投标文件的编制</w:t>
      </w:r>
      <w:bookmarkEnd w:id="80"/>
      <w:r/>
      <w:bookmarkEnd w:id="81"/>
      <w:r/>
      <w:bookmarkEnd w:id="82"/>
      <w:r/>
      <w:bookmarkEnd w:id="83"/>
      <w:r/>
      <w:bookmarkEnd w:id="84"/>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85" w:name="_Toc462564073"/>
      <w:r/>
      <w:bookmarkStart w:id="86" w:name="_Toc513029214"/>
      <w:r/>
      <w:bookmarkStart w:id="87" w:name="_Toc16938530"/>
      <w:r/>
      <w:bookmarkStart w:id="88" w:name="_Toc20823286"/>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89" w:name="_Toc16938531"/>
      <w:r/>
      <w:bookmarkStart w:id="90" w:name="_Toc20823287"/>
      <w:r/>
      <w:bookmarkStart w:id="91" w:name="_Toc462564074"/>
      <w:r/>
      <w:bookmarkStart w:id="92" w:name="_Toc513029215"/>
      <w:r>
        <w:rPr>
          <w:rFonts w:hint="eastAsia" w:ascii="宋体" w:hAnsi="宋体" w:eastAsia="宋体"/>
          <w:bCs w:val="0"/>
          <w:color w:val="000000"/>
          <w:highlight w:val="none"/>
        </w:rPr>
        <w:t xml:space="preserve">10.投标文件构成</w:t>
      </w:r>
      <w:bookmarkEnd w:id="89"/>
      <w:r/>
      <w:bookmarkEnd w:id="90"/>
      <w:r/>
      <w:bookmarkEnd w:id="91"/>
      <w:r/>
      <w:bookmarkEnd w:id="92"/>
      <w:r>
        <w:rPr>
          <w:rFonts w:hint="eastAsia" w:ascii="宋体" w:hAnsi="宋体" w:eastAsia="宋体"/>
          <w:bCs w:val="0"/>
          <w:color w:val="000000"/>
          <w:highlight w:val="none"/>
        </w:rPr>
      </w:r>
      <w:r/>
    </w:p>
    <w:p>
      <w:pPr>
        <w:pStyle w:val="99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rPr>
          <w:rFonts w:hint="eastAsia"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bookmarkEnd w:id="99"/>
      <w:r/>
      <w:bookmarkEnd w:id="100"/>
      <w:r/>
      <w:bookmarkEnd w:id="101"/>
      <w:r/>
      <w:bookmarkStart w:id="102" w:name="_Toc49090508"/>
      <w:r/>
      <w:bookmarkStart w:id="103"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11.1投标人应按照法律、法规、规章和规范性文件以及招标文件要求提交证明文件，证明其及投标标的符合招标文件规定。</w:t>
      </w:r>
      <w:r>
        <w:rPr>
          <w:rFonts w:hint="eastAsia" w:ascii="宋体" w:hAnsi="宋体"/>
          <w:bCs/>
          <w:color w:val="000000"/>
          <w:sz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End w:id="104"/>
      <w:r/>
      <w:bookmarkEnd w:id="105"/>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08" w:name="_Hlt26954842"/>
      <w:r/>
      <w:bookmarkEnd w:id="108"/>
      <w:r/>
      <w:bookmarkStart w:id="109" w:name="_Hlt26954846"/>
      <w:r/>
      <w:bookmarkEnd w:id="109"/>
      <w:r/>
      <w:bookmarkStart w:id="110" w:name="_Hlt26954848"/>
      <w:r/>
      <w:bookmarkEnd w:id="110"/>
      <w:r/>
      <w:bookmarkStart w:id="111" w:name="_Hlt26670425"/>
      <w:r/>
      <w:bookmarkEnd w:id="111"/>
      <w:r/>
      <w:bookmarkStart w:id="112" w:name="_Hlt26954844"/>
      <w:r/>
      <w:bookmarkEnd w:id="112"/>
      <w:r/>
      <w:bookmarkStart w:id="113" w:name="_Hlt26670482"/>
      <w:r/>
      <w:bookmarkEnd w:id="113"/>
      <w:r/>
      <w:bookmarkStart w:id="114" w:name="_Hlt26668983"/>
      <w:r/>
      <w:bookmarkEnd w:id="114"/>
      <w:r/>
      <w:bookmarkStart w:id="115" w:name="_Hlt26670403"/>
      <w:r/>
      <w:bookmarkEnd w:id="115"/>
      <w:r/>
      <w:bookmarkStart w:id="116" w:name="_Hlt26954731"/>
      <w:r/>
      <w:bookmarkEnd w:id="116"/>
      <w:r/>
      <w:bookmarkStart w:id="117" w:name="_Hlt26670486"/>
      <w:r/>
      <w:bookmarkEnd w:id="117"/>
      <w:r>
        <w:rPr>
          <w:rFonts w:hint="eastAsia" w:ascii="宋体" w:hAnsi="宋体" w:eastAsia="宋体"/>
          <w:bCs w:val="0"/>
          <w:color w:val="000000"/>
          <w:highlight w:val="none"/>
        </w:rPr>
        <w:t xml:space="preserve">14.投标偏离表</w:t>
      </w:r>
      <w:r>
        <w:rPr>
          <w:rFonts w:hint="eastAsia" w:ascii="宋体" w:hAnsi="宋体" w:eastAsia="宋体"/>
          <w:bCs w:val="0"/>
          <w:color w:val="000000"/>
          <w:highlight w:val="none"/>
        </w:rPr>
      </w:r>
      <w:r/>
    </w:p>
    <w:p>
      <w:pPr>
        <w:pStyle w:val="996"/>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rPr>
          <w:rFonts w:ascii="宋体" w:hAnsi="Arial" w:cs="宋体"/>
          <w:color w:val="000000"/>
          <w:sz w:val="24"/>
          <w:highlight w:val="none"/>
          <w:lang w:val="zh-CN"/>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16938540"/>
      <w:r/>
      <w:bookmarkStart w:id="126" w:name="_Toc513029224"/>
      <w:r/>
      <w:bookmarkStart w:id="127" w:name="_Toc20823296"/>
      <w:r/>
      <w:bookmarkStart w:id="128" w:name="_Toc120614217"/>
      <w:r>
        <w:rPr>
          <w:rFonts w:hint="eastAsia"/>
          <w:color w:val="000000"/>
          <w:sz w:val="30"/>
          <w:szCs w:val="30"/>
          <w:highlight w:val="none"/>
        </w:rPr>
        <w:t xml:space="preserve">四、投标文件的递交</w:t>
      </w:r>
      <w:bookmarkEnd w:id="125"/>
      <w:r/>
      <w:bookmarkEnd w:id="126"/>
      <w:r/>
      <w:bookmarkEnd w:id="127"/>
      <w:r/>
      <w:bookmarkEnd w:id="128"/>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29" w:name="_Toc20823297"/>
      <w:r/>
      <w:bookmarkStart w:id="130" w:name="_Toc462564084"/>
      <w:r/>
      <w:bookmarkStart w:id="131" w:name="_Toc513029225"/>
      <w:r/>
      <w:bookmarkStart w:id="132" w:name="_Toc16938541"/>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rPr>
          <w:rFonts w:hint="eastAsia" w:ascii="宋体" w:hAnsi="宋体"/>
          <w:bCs/>
          <w:color w:val="000000"/>
          <w:sz w:val="24"/>
          <w:highlight w:val="none"/>
        </w:rPr>
      </w:r>
      <w:r/>
    </w:p>
    <w:p>
      <w:pPr>
        <w:pStyle w:val="1110"/>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16938542"/>
      <w:r/>
      <w:bookmarkStart w:id="134" w:name="_Toc513029226"/>
      <w:r/>
      <w:bookmarkStart w:id="135" w:name="_Toc20823298"/>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36" w:name="_Toc16938543"/>
      <w:r/>
      <w:bookmarkStart w:id="137" w:name="_Toc20823299"/>
      <w:r/>
      <w:bookmarkStart w:id="138" w:name="_Toc513029227"/>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rPr>
          <w:rFonts w:hint="eastAsia" w:ascii="宋体" w:hAnsi="宋体"/>
          <w:bCs/>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39" w:name="_Toc513029228"/>
      <w:r/>
      <w:bookmarkStart w:id="140" w:name="_Toc16938544"/>
      <w:r/>
      <w:bookmarkStart w:id="141" w:name="_Toc20823300"/>
      <w:r>
        <w:rPr>
          <w:rFonts w:hint="eastAsia" w:ascii="宋体" w:hAnsi="宋体" w:eastAsia="宋体"/>
          <w:bCs w:val="0"/>
          <w:color w:val="000000"/>
          <w:highlight w:val="none"/>
        </w:rPr>
        <w:t xml:space="preserve">20.投标文件的撤回和修改</w:t>
      </w:r>
      <w:bookmarkEnd w:id="139"/>
      <w:r/>
      <w:bookmarkEnd w:id="140"/>
      <w:r/>
      <w:bookmarkEnd w:id="141"/>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rPr>
          <w:rFonts w:hint="eastAsia" w:ascii="宋体" w:hAnsi="宋体"/>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rPr>
          <w:rFonts w:hint="eastAsia" w:ascii="宋体" w:hAnsi="宋体"/>
          <w:bCs/>
          <w:color w:val="000000"/>
          <w:sz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142" w:name="_Toc16938545"/>
      <w:r/>
      <w:bookmarkStart w:id="143" w:name="_Toc20823301"/>
      <w:r/>
      <w:bookmarkStart w:id="144" w:name="_Toc513029229"/>
      <w:r/>
      <w:bookmarkStart w:id="145" w:name="_Toc120614218"/>
      <w:r>
        <w:rPr>
          <w:rFonts w:hint="eastAsia"/>
          <w:color w:val="000000"/>
          <w:sz w:val="30"/>
          <w:szCs w:val="30"/>
          <w:highlight w:val="none"/>
        </w:rPr>
        <w:t xml:space="preserve">五、开标与评标</w:t>
      </w:r>
      <w:bookmarkEnd w:id="142"/>
      <w:r/>
      <w:bookmarkEnd w:id="143"/>
      <w:r/>
      <w:bookmarkEnd w:id="144"/>
      <w:r/>
      <w:bookmarkEnd w:id="145"/>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46" w:name="_Toc20823302"/>
      <w:r/>
      <w:bookmarkStart w:id="147" w:name="_Toc16938546"/>
      <w:r/>
      <w:bookmarkStart w:id="148" w:name="_Toc513029230"/>
      <w:r>
        <w:rPr>
          <w:rFonts w:hint="eastAsia" w:ascii="宋体" w:hAnsi="宋体" w:eastAsia="宋体"/>
          <w:bCs w:val="0"/>
          <w:color w:val="000000"/>
          <w:highlight w:val="none"/>
        </w:rPr>
        <w:t xml:space="preserve">21.开标</w:t>
      </w:r>
      <w:bookmarkEnd w:id="146"/>
      <w:r/>
      <w:bookmarkEnd w:id="147"/>
      <w:r/>
      <w:bookmarkEnd w:id="148"/>
      <w:r>
        <w:rPr>
          <w:rFonts w:hint="eastAsia" w:ascii="宋体" w:hAnsi="宋体" w:eastAsia="宋体"/>
          <w:bCs w:val="0"/>
          <w:color w:val="000000"/>
          <w:highlight w:val="none"/>
        </w:rPr>
      </w:r>
      <w:r/>
    </w:p>
    <w:p>
      <w:pPr>
        <w:pStyle w:val="996"/>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rPr>
          <w:rFonts w:hint="eastAsia"/>
          <w:color w:val="000000"/>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rPr>
          <w:rFonts w:hint="eastAsia" w:ascii="宋体" w:hAnsi="宋体"/>
          <w:color w:val="000000"/>
          <w:sz w:val="24"/>
          <w:highlight w:val="none"/>
        </w:rPr>
      </w:r>
      <w:r/>
    </w:p>
    <w:p>
      <w:pPr>
        <w:pStyle w:val="99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rPr>
          <w:rFonts w:ascii="宋体" w:hAnsi="宋体"/>
          <w:color w:val="000000"/>
          <w:sz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49" w:name="_Toc513029231"/>
      <w:r/>
      <w:bookmarkStart w:id="150" w:name="_Toc16938547"/>
      <w:r/>
      <w:bookmarkStart w:id="151" w:name="_Toc20823303"/>
      <w:r>
        <w:rPr>
          <w:rFonts w:hint="eastAsia" w:ascii="宋体" w:hAnsi="宋体" w:eastAsia="宋体"/>
          <w:bCs w:val="0"/>
          <w:color w:val="000000"/>
          <w:highlight w:val="none"/>
        </w:rPr>
        <w:t xml:space="preserve">22.评标委员会</w:t>
      </w:r>
      <w:r>
        <w:rPr>
          <w:rFonts w:hint="eastAsia" w:ascii="宋体" w:hAnsi="宋体" w:eastAsia="宋体"/>
          <w:bCs w:val="0"/>
          <w:color w:val="000000"/>
          <w:highlight w:val="none"/>
        </w:rPr>
      </w:r>
      <w:r/>
    </w:p>
    <w:p>
      <w:pPr>
        <w:pStyle w:val="996"/>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rPr>
          <w:rFonts w:hint="eastAsia" w:ascii="宋体" w:hAnsi="宋体"/>
          <w:b/>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bookmarkEnd w:id="149"/>
      <w:r/>
      <w:bookmarkEnd w:id="150"/>
      <w:r/>
      <w:bookmarkEnd w:id="151"/>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52" w:name="_Toc16938548"/>
      <w:r/>
      <w:bookmarkStart w:id="153" w:name="_Toc513029232"/>
      <w:r/>
      <w:bookmarkStart w:id="154" w:name="_Toc20823304"/>
      <w:r>
        <w:rPr>
          <w:rFonts w:hint="eastAsia" w:ascii="宋体" w:hAnsi="宋体" w:eastAsia="宋体"/>
          <w:bCs w:val="0"/>
          <w:color w:val="000000"/>
          <w:highlight w:val="none"/>
        </w:rPr>
        <w:t xml:space="preserve">24.投标文件的澄清</w:t>
      </w:r>
      <w:bookmarkEnd w:id="152"/>
      <w:r/>
      <w:bookmarkEnd w:id="153"/>
      <w:r/>
      <w:bookmarkEnd w:id="154"/>
      <w:r>
        <w:rPr>
          <w:rFonts w:hint="eastAsia" w:ascii="宋体" w:hAnsi="宋体" w:eastAsia="宋体"/>
          <w:bCs w:val="0"/>
          <w:color w:val="000000"/>
          <w:highlight w:val="none"/>
        </w:rPr>
      </w:r>
      <w:r/>
    </w:p>
    <w:p>
      <w:pPr>
        <w:pStyle w:val="996"/>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55" w:name="_Toc16938549"/>
      <w:r/>
      <w:bookmarkStart w:id="156" w:name="_Toc20823305"/>
      <w:r/>
      <w:bookmarkStart w:id="157" w:name="_Toc513029233"/>
      <w:r>
        <w:rPr>
          <w:rFonts w:hint="eastAsia" w:ascii="宋体" w:hAnsi="宋体" w:eastAsia="宋体"/>
          <w:bCs w:val="0"/>
          <w:color w:val="000000"/>
          <w:highlight w:val="none"/>
        </w:rPr>
        <w:t xml:space="preserve">25.对投标文件的初审</w:t>
      </w:r>
      <w:bookmarkEnd w:id="155"/>
      <w:r/>
      <w:bookmarkEnd w:id="156"/>
      <w:r/>
      <w:bookmarkEnd w:id="157"/>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rPr>
          <w:rFonts w:hint="eastAsia" w:ascii="宋体" w:hAnsi="宋体"/>
          <w:bCs/>
          <w:color w:val="000000"/>
          <w:sz w:val="24"/>
          <w:highlight w:val="none"/>
        </w:rPr>
      </w:r>
      <w:r/>
    </w:p>
    <w:p>
      <w:pPr>
        <w:pStyle w:val="996"/>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rPr>
          <w:rFonts w:hint="eastAsia" w:ascii="宋体" w:hAnsi="宋体" w:cs="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rFonts w:hint="eastAsia" w:ascii="宋体" w:hAnsi="宋体"/>
          <w:bCs/>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99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highlight w:val="none"/>
        </w:rPr>
      </w:r>
      <w:r/>
    </w:p>
    <w:p>
      <w:pPr>
        <w:pStyle w:val="99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highlight w:val="none"/>
        </w:rPr>
      </w:r>
      <w:r/>
    </w:p>
    <w:p>
      <w:pPr>
        <w:pStyle w:val="99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rPr>
          <w:rFonts w:ascii="宋体" w:hAnsi="宋体"/>
          <w:bCs/>
          <w:color w:val="000000"/>
          <w:sz w:val="24"/>
          <w:highlight w:val="none"/>
        </w:rPr>
      </w:r>
      <w:r/>
    </w:p>
    <w:p>
      <w:pPr>
        <w:pStyle w:val="99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rFonts w:ascii="宋体" w:hAnsi="宋体"/>
          <w:bCs/>
          <w:color w:val="000000"/>
          <w:sz w:val="24"/>
          <w:highlight w:val="none"/>
        </w:rPr>
      </w:r>
      <w:r/>
    </w:p>
    <w:p>
      <w:pPr>
        <w:pStyle w:val="996"/>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rPr>
          <w:rFonts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rFonts w:hint="eastAsia" w:ascii="宋体" w:hAnsi="宋体"/>
          <w:bCs/>
          <w:color w:val="000000"/>
          <w:sz w:val="24"/>
          <w:highlight w:val="none"/>
        </w:rPr>
      </w:r>
      <w:r/>
    </w:p>
    <w:p>
      <w:pPr>
        <w:pStyle w:val="996"/>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rPr>
          <w:rFonts w:ascii="宋体" w:hAnsi="宋体"/>
          <w:bCs/>
          <w:color w:val="000000"/>
          <w:sz w:val="24"/>
          <w:highlight w:val="none"/>
        </w:rPr>
      </w:r>
      <w:r/>
    </w:p>
    <w:p>
      <w:pPr>
        <w:pStyle w:val="996"/>
        <w:ind w:firstLine="420"/>
        <w:spacing w:line="500" w:lineRule="exact"/>
        <w:rPr>
          <w:rFonts w:hint="eastAsia" w:ascii="宋体" w:hAnsi="宋体"/>
          <w:color w:val="000000"/>
          <w:sz w:val="24"/>
          <w:highlight w:val="none"/>
        </w:rPr>
      </w:pPr>
      <w:r/>
      <w:bookmarkStart w:id="158" w:name="_Toc513029234"/>
      <w:r/>
      <w:bookmarkStart w:id="159" w:name="_Toc16938550"/>
      <w:r/>
      <w:bookmarkStart w:id="160"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none"/>
        </w:rPr>
      </w:r>
      <w:r/>
    </w:p>
    <w:p>
      <w:pPr>
        <w:pStyle w:val="996"/>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p>
      <w:pPr>
        <w:pStyle w:val="1074"/>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rPr>
          <w:rFonts w:hint="eastAsia" w:ascii="宋体" w:hAnsi="宋体" w:eastAsia="宋体" w:cs="Times New Roman"/>
          <w:color w:val="000000"/>
          <w:sz w:val="24"/>
          <w:szCs w:val="21"/>
          <w:highlight w:val="none"/>
          <w:lang w:val="en-US" w:eastAsia="zh-CN" w:bidi="ar-SA"/>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rPr>
          <w:rFonts w:hint="eastAsia" w:ascii="宋体" w:hAnsi="宋体" w:eastAsia="宋体"/>
          <w:bCs w:val="0"/>
          <w:color w:val="000000"/>
          <w:highlight w:val="none"/>
        </w:rPr>
      </w:r>
      <w:r/>
    </w:p>
    <w:p>
      <w:pPr>
        <w:pStyle w:val="996"/>
        <w:ind w:left="479"/>
        <w:spacing w:line="500" w:lineRule="exact"/>
        <w:rPr>
          <w:rFonts w:hint="eastAsia" w:ascii="宋体" w:hAnsi="宋体"/>
          <w:bCs/>
          <w:color w:val="000000"/>
          <w:sz w:val="24"/>
          <w:highlight w:val="none"/>
        </w:rPr>
      </w:pPr>
      <w:r/>
      <w:bookmarkStart w:id="161" w:name="_Toc20823307"/>
      <w:r/>
      <w:bookmarkStart w:id="162" w:name="_Toc16938551"/>
      <w:r/>
      <w:bookmarkStart w:id="163" w:name="_Toc513029235"/>
      <w:r>
        <w:rPr>
          <w:rFonts w:hint="eastAsia" w:ascii="宋体" w:hAnsi="宋体"/>
          <w:bCs/>
          <w:color w:val="000000"/>
          <w:sz w:val="24"/>
          <w:highlight w:val="none"/>
        </w:rPr>
        <w:t xml:space="preserve">26.1无效投标条款</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hint="eastAsia" w:ascii="宋体" w:hAnsi="宋体"/>
          <w:bCs/>
          <w:color w:val="000000"/>
          <w:sz w:val="24"/>
          <w:highlight w:val="none"/>
        </w:rPr>
      </w:r>
      <w:r/>
    </w:p>
    <w:p>
      <w:pPr>
        <w:pStyle w:val="996"/>
        <w:ind w:firstLine="480"/>
        <w:jc w:val="left"/>
        <w:keepLines w:val="0"/>
        <w:keepNext w:val="0"/>
        <w:widowControl/>
        <w:rPr>
          <w:rFonts w:hint="eastAsia" w:ascii="宋体" w:hAnsi="宋体"/>
          <w:bCs/>
          <w:color w:val="000000"/>
          <w:sz w:val="24"/>
          <w:szCs w:val="24"/>
          <w:highlight w:val="none"/>
        </w:rPr>
        <w:suppressLineNumbers w:val="0"/>
      </w:pPr>
      <w:r>
        <w:rPr>
          <w:rFonts w:hint="eastAsia" w:ascii="宋体" w:hAnsi="宋体"/>
          <w:bCs/>
          <w:color w:val="000000"/>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rPr>
          <w:rFonts w:hint="eastAsia"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rPr>
          <w:rFonts w:hint="eastAsia"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rPr>
          <w:rFonts w:hint="eastAsia" w:ascii="宋体" w:hAnsi="宋体"/>
          <w:bCs/>
          <w:color w:val="000000"/>
          <w:sz w:val="24"/>
          <w:highlight w:val="none"/>
        </w:rPr>
      </w:r>
      <w:r/>
    </w:p>
    <w:p>
      <w:pPr>
        <w:pStyle w:val="996"/>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rPr>
          <w:rFonts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rPr>
          <w:rFonts w:hint="eastAsia"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rPr>
          <w:rFonts w:hint="eastAsia" w:ascii="宋体" w:hAnsi="宋体"/>
          <w:bCs/>
          <w:color w:val="000000"/>
          <w:sz w:val="24"/>
          <w:highlight w:val="none"/>
        </w:rPr>
      </w:r>
      <w:r/>
    </w:p>
    <w:p>
      <w:pPr>
        <w:pStyle w:val="996"/>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16938554"/>
      <w:r/>
      <w:bookmarkStart w:id="167" w:name="_Toc20823310"/>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rPr>
          <w:rFonts w:hint="eastAsia" w:ascii="宋体" w:hAnsi="宋体" w:eastAsia="宋体"/>
          <w:bCs w:val="0"/>
          <w:color w:val="000000"/>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sz w:val="24"/>
          <w:highlight w:val="none"/>
        </w:rPr>
      </w:r>
      <w:r/>
    </w:p>
    <w:p>
      <w:pPr>
        <w:pStyle w:val="996"/>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sz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rPr>
          <w:rFonts w:hint="eastAsia"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996"/>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highlight w:val="none"/>
          <w:shd w:val="clear" w:color="ffffff" w:fill="d9d9d9"/>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rPr>
          <w:rFonts w:hint="eastAsia" w:ascii="宋体" w:hAnsi="宋体"/>
          <w:color w:val="000000"/>
          <w:sz w:val="24"/>
          <w:szCs w:val="24"/>
          <w:highlight w:val="none"/>
        </w:rPr>
      </w:r>
      <w:r/>
    </w:p>
    <w:p>
      <w:pPr>
        <w:pStyle w:val="996"/>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highlight w:val="none"/>
        </w:rPr>
      </w:r>
      <w:r/>
    </w:p>
    <w:p>
      <w:pPr>
        <w:pStyle w:val="999"/>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513029236"/>
      <w:r/>
      <w:bookmarkStart w:id="171" w:name="_Toc16938552"/>
      <w:r/>
      <w:bookmarkStart w:id="172" w:name="_Toc20823308"/>
      <w:r>
        <w:rPr>
          <w:rFonts w:hint="eastAsia"/>
          <w:color w:val="000000"/>
          <w:sz w:val="30"/>
          <w:szCs w:val="30"/>
          <w:highlight w:val="none"/>
        </w:rPr>
        <w:t xml:space="preserve">七、授予合同</w:t>
      </w:r>
      <w:bookmarkEnd w:id="169"/>
      <w:r>
        <w:rPr>
          <w:rFonts w:hint="eastAsia"/>
          <w:color w:val="000000"/>
          <w:sz w:val="30"/>
          <w:szCs w:val="30"/>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bookmarkEnd w:id="170"/>
      <w:r/>
      <w:bookmarkEnd w:id="171"/>
      <w:r/>
      <w:bookmarkEnd w:id="172"/>
      <w:r/>
      <w:bookmarkStart w:id="173" w:name="_Toc16938553"/>
      <w:r/>
      <w:bookmarkStart w:id="174" w:name="_Toc20823309"/>
      <w:r/>
      <w:bookmarkStart w:id="175" w:name="_Toc513029237"/>
      <w:r>
        <w:rPr>
          <w:rFonts w:hint="eastAsia" w:ascii="宋体" w:hAnsi="宋体" w:eastAsia="宋体"/>
          <w:bCs w:val="0"/>
          <w:color w:val="000000"/>
          <w:highlight w:val="none"/>
        </w:rPr>
        <w:t xml:space="preserve">30.签订合同</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sz w:val="24"/>
          <w:szCs w:val="24"/>
          <w:highlight w:val="none"/>
        </w:rPr>
      </w:r>
      <w:r/>
    </w:p>
    <w:p>
      <w:pPr>
        <w:pStyle w:val="996"/>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sz w:val="24"/>
          <w:szCs w:val="24"/>
          <w:highlight w:val="none"/>
        </w:rPr>
      </w:r>
      <w:r/>
    </w:p>
    <w:p>
      <w:pPr>
        <w:pStyle w:val="1000"/>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rPr>
          <w:rFonts w:hint="eastAsia" w:ascii="宋体" w:hAnsi="宋体" w:eastAsia="宋体"/>
          <w:bCs w:val="0"/>
          <w:color w:val="000000"/>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highlight w:val="none"/>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bookmarkEnd w:id="173"/>
      <w:r/>
      <w:bookmarkEnd w:id="174"/>
      <w:r/>
      <w:bookmarkEnd w:id="175"/>
      <w:r/>
      <w:bookmarkStart w:id="176" w:name="_Toc479757207"/>
      <w:r/>
      <w:bookmarkStart w:id="177" w:name="_Toc20823314"/>
      <w:r/>
      <w:bookmarkStart w:id="178" w:name="_Toc513029242"/>
      <w:r/>
      <w:bookmarkStart w:id="179" w:name="_Toc120614221"/>
      <w:r/>
      <w:bookmarkStart w:id="180" w:name="_Toc16938558"/>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合同</w:t>
      </w:r>
      <w:bookmarkEnd w:id="176"/>
      <w:r/>
      <w:bookmarkEnd w:id="177"/>
      <w:r/>
      <w:bookmarkEnd w:id="178"/>
      <w:r/>
      <w:bookmarkEnd w:id="179"/>
      <w:r/>
      <w:bookmarkEnd w:id="180"/>
      <w:r>
        <w:rPr>
          <w:rFonts w:hint="eastAsia" w:ascii="黑体" w:hAnsi="黑体" w:eastAsia="黑体"/>
          <w:color w:val="000000"/>
          <w:sz w:val="36"/>
          <w:szCs w:val="36"/>
          <w:highlight w:val="none"/>
        </w:rPr>
        <w:t xml:space="preserve">文本</w:t>
      </w:r>
      <w:r>
        <w:rPr>
          <w:rFonts w:hint="eastAsia" w:ascii="黑体" w:hAnsi="黑体" w:eastAsia="黑体"/>
          <w:color w:val="000000"/>
          <w:sz w:val="36"/>
          <w:szCs w:val="36"/>
          <w:highlight w:val="none"/>
        </w:rPr>
      </w:r>
      <w:r/>
    </w:p>
    <w:p>
      <w:pPr>
        <w:pStyle w:val="996"/>
        <w:ind w:firstLine="480"/>
        <w:spacing w:line="400" w:lineRule="exact"/>
        <w:rPr>
          <w:rFonts w:hint="eastAsia" w:ascii="宋体" w:hAnsi="宋体"/>
          <w:bCs/>
          <w:color w:val="000000"/>
          <w:sz w:val="24"/>
          <w:highlight w:val="none"/>
        </w:rPr>
      </w:pPr>
      <w:r/>
      <w:bookmarkStart w:id="181" w:name="_Toc16938559"/>
      <w:r/>
      <w:bookmarkStart w:id="182" w:name="_Toc513029243"/>
      <w:r/>
      <w:bookmarkStart w:id="183" w:name="_Toc20823315"/>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996"/>
        <w:ind w:firstLine="1205"/>
        <w:spacing w:line="400" w:lineRule="exact"/>
        <w:rPr>
          <w:rFonts w:ascii="宋体" w:hAnsi="宋体"/>
          <w:b/>
          <w:bCs/>
          <w:color w:val="000000"/>
          <w:sz w:val="30"/>
          <w:szCs w:val="20"/>
          <w:highlight w:val="none"/>
        </w:rPr>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1034"/>
        <w:spacing w:line="400" w:lineRule="exact"/>
        <w:rPr>
          <w:rFonts w:hAnsi="宋体"/>
          <w:color w:val="000000"/>
          <w:sz w:val="24"/>
          <w:szCs w:val="24"/>
          <w:highlight w:val="none"/>
        </w:rPr>
      </w:pPr>
      <w:r>
        <w:rPr>
          <w:rFonts w:hAnsi="宋体"/>
          <w:color w:val="000000"/>
          <w:sz w:val="24"/>
          <w:szCs w:val="24"/>
          <w:highlight w:val="none"/>
        </w:rPr>
        <w:t xml:space="preserve">项目名称：                                       项目编号：</w:t>
      </w:r>
      <w:r>
        <w:rPr>
          <w:rFonts w:hAnsi="宋体"/>
          <w:color w:val="000000"/>
          <w:sz w:val="24"/>
          <w:szCs w:val="24"/>
          <w:highlight w:val="none"/>
        </w:rPr>
      </w:r>
      <w:r/>
    </w:p>
    <w:p>
      <w:pPr>
        <w:pStyle w:val="1034"/>
        <w:spacing w:line="400" w:lineRule="exact"/>
        <w:rPr>
          <w:rFonts w:hAnsi="宋体"/>
          <w:color w:val="000000"/>
          <w:sz w:val="24"/>
          <w:szCs w:val="24"/>
          <w:highlight w:val="none"/>
        </w:rPr>
      </w:pPr>
      <w:r>
        <w:rPr>
          <w:rFonts w:hAnsi="宋体"/>
          <w:color w:val="000000"/>
          <w:sz w:val="24"/>
          <w:szCs w:val="24"/>
          <w:highlight w:val="none"/>
        </w:rPr>
        <w:t xml:space="preserve">甲方：（买方、需方、采购人）_________</w:t>
      </w:r>
      <w:r>
        <w:rPr>
          <w:rFonts w:hAnsi="宋体"/>
          <w:color w:val="000000"/>
          <w:sz w:val="24"/>
          <w:szCs w:val="24"/>
          <w:highlight w:val="none"/>
        </w:rPr>
      </w:r>
      <w:r/>
    </w:p>
    <w:p>
      <w:pPr>
        <w:pStyle w:val="1034"/>
        <w:spacing w:line="400" w:lineRule="exact"/>
        <w:rPr>
          <w:rFonts w:hint="eastAsia" w:hAnsi="宋体"/>
          <w:color w:val="000000"/>
          <w:sz w:val="24"/>
          <w:szCs w:val="24"/>
          <w:highlight w:val="none"/>
        </w:rPr>
      </w:pPr>
      <w:r>
        <w:rPr>
          <w:rFonts w:hAnsi="宋体"/>
          <w:color w:val="000000"/>
          <w:sz w:val="24"/>
          <w:szCs w:val="24"/>
          <w:highlight w:val="none"/>
        </w:rPr>
        <w:t xml:space="preserve">乙方：（卖方、供方、供应商）_________</w:t>
      </w:r>
      <w:r>
        <w:rPr>
          <w:rFonts w:hint="eastAsia" w:hAnsi="宋体"/>
          <w:color w:val="000000"/>
          <w:sz w:val="24"/>
          <w:szCs w:val="24"/>
          <w:highlight w:val="none"/>
        </w:rPr>
      </w:r>
      <w:r/>
    </w:p>
    <w:p>
      <w:pPr>
        <w:pStyle w:val="1034"/>
        <w:spacing w:line="40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eastAsia="zh-CN"/>
        </w:rPr>
        <w:t xml:space="preserve">无锡市公共资源交易中心新吴分中心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第一条 合同标的</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一、项目名称：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二、项目坐落位置：</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olor w:val="000000"/>
          <w:sz w:val="24"/>
          <w:szCs w:val="24"/>
          <w:highlight w:val="none"/>
        </w:rPr>
        <w:t xml:space="preserve">项目总建筑面积：</w:t>
      </w:r>
      <w:r>
        <w:rPr>
          <w:rFonts w:hint="eastAsia" w:ascii="宋体" w:hAnsi="宋体"/>
          <w:color w:val="000000"/>
          <w:sz w:val="24"/>
          <w:szCs w:val="24"/>
          <w:highlight w:val="none"/>
          <w:u w:val="single"/>
        </w:rPr>
        <w:t xml:space="preserve">        </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三、物业管理服务期限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年。本合同期限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第二条 委托管理事项</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委托物业管理服务内容：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第三条 合同总价款</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一、本合同总价款（含税）为人民币 大写：</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rPr>
        <w:t xml:space="preserve">（RMB</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元/年）。</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二、本合同执行期间总价不变。</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三、履约保证金的缴纳和退付</w:t>
      </w:r>
      <w:r>
        <w:rPr>
          <w:rFonts w:hint="eastAsia" w:ascii="宋体" w:hAnsi="宋体" w:cs="宋体"/>
          <w:color w:val="000000"/>
          <w:sz w:val="24"/>
          <w:highlight w:val="none"/>
        </w:rPr>
      </w:r>
      <w:r/>
    </w:p>
    <w:p>
      <w:pPr>
        <w:pStyle w:val="996"/>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本项目是/否向采购人缴纳履约保证金：</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r>
      <w:r/>
    </w:p>
    <w:p>
      <w:pPr>
        <w:pStyle w:val="996"/>
        <w:ind w:firstLine="480"/>
        <w:spacing w:line="400" w:lineRule="exact"/>
        <w:tabs>
          <w:tab w:val="left" w:pos="945" w:leader="none"/>
          <w:tab w:val="left" w:pos="21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履约保证金缴纳金额：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元。</w:t>
      </w:r>
      <w:r>
        <w:rPr>
          <w:rFonts w:ascii="宋体" w:hAnsi="宋体"/>
          <w:bCs/>
          <w:color w:val="000000"/>
          <w:sz w:val="24"/>
          <w:szCs w:val="24"/>
          <w:highlight w:val="none"/>
        </w:rPr>
      </w:r>
      <w:r/>
    </w:p>
    <w:p>
      <w:pPr>
        <w:pStyle w:val="99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履约保证金的缴纳时间：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，缴纳形式：</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9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szCs w:val="24"/>
          <w:highlight w:val="none"/>
        </w:rPr>
        <w:t xml:space="preserve">履约保证金的退付时间：</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，退付办法：</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96"/>
        <w:ind w:firstLine="480"/>
        <w:spacing w:line="400" w:lineRule="exact"/>
        <w:tabs>
          <w:tab w:val="left" w:pos="945" w:leader="none"/>
          <w:tab w:val="left" w:pos="2100" w:leader="none"/>
        </w:tabs>
        <w:rPr>
          <w:rFonts w:ascii="宋体" w:hAnsi="宋体"/>
          <w:bCs/>
          <w:color w:val="000000"/>
          <w:sz w:val="24"/>
          <w:highlight w:val="none"/>
        </w:rPr>
      </w:pPr>
      <w:r>
        <w:rPr>
          <w:rFonts w:hint="eastAsia" w:ascii="宋体" w:hAnsi="宋体"/>
          <w:bCs/>
          <w:color w:val="000000"/>
          <w:sz w:val="24"/>
          <w:highlight w:val="none"/>
        </w:rPr>
        <w:t xml:space="preserve">履约保证金不予退还的情形：</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Cs/>
          <w:color w:val="000000"/>
          <w:sz w:val="24"/>
          <w:highlight w:val="none"/>
        </w:rPr>
      </w:r>
      <w:r/>
    </w:p>
    <w:p>
      <w:pPr>
        <w:pStyle w:val="996"/>
        <w:ind w:firstLine="480"/>
        <w:spacing w:line="400" w:lineRule="exact"/>
        <w:tabs>
          <w:tab w:val="left" w:pos="945" w:leader="none"/>
          <w:tab w:val="left" w:pos="2100" w:leader="none"/>
        </w:tabs>
        <w:rPr>
          <w:rFonts w:ascii="宋体" w:hAnsi="宋体"/>
          <w:b/>
          <w:color w:val="000000"/>
          <w:sz w:val="24"/>
          <w:szCs w:val="24"/>
          <w:highlight w:val="none"/>
        </w:rPr>
      </w:pPr>
      <w:r>
        <w:rPr>
          <w:rFonts w:hint="eastAsia" w:ascii="宋体" w:hAnsi="宋体"/>
          <w:bCs/>
          <w:color w:val="000000"/>
          <w:sz w:val="24"/>
          <w:highlight w:val="none"/>
        </w:rPr>
        <w:t xml:space="preserve">逾期退还履约保证金的违约责任：</w:t>
      </w:r>
      <w:r>
        <w:rPr>
          <w:rFonts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ascii="宋体" w:hAnsi="宋体"/>
          <w:b/>
          <w:color w:val="000000"/>
          <w:sz w:val="24"/>
          <w:szCs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第四条 组成本合同的有关文件</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下列关于采购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一、乙方提供的投标文件和报价表；</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二、中标通知书；</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三、甲乙双方商定的其他文件。</w:t>
      </w:r>
      <w:r>
        <w:rPr>
          <w:rFonts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第五条 双方权利义务</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一、甲方权利义务</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u w:val="single"/>
        </w:rPr>
      </w:pPr>
      <w:r>
        <w:rPr>
          <w:rFonts w:hint="eastAsia" w:ascii="宋体" w:hAnsi="宋体" w:cs="宋体"/>
          <w:color w:val="000000"/>
          <w:sz w:val="24"/>
          <w:highlight w:val="none"/>
        </w:rPr>
        <w:t xml:space="preserve">（二）审议、修改物业管理区域共用部位和共用设施设备使用、公共秩序和环境卫生、绿化维护等方面的规章制度。</w:t>
      </w:r>
      <w:r>
        <w:rPr>
          <w:rFonts w:ascii="宋体" w:hAnsi="宋体" w:cs="宋体"/>
          <w:color w:val="000000"/>
          <w:sz w:val="24"/>
          <w:highlight w:val="none"/>
          <w:u w:val="singl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（三）对物业管理服务质量进行监督检查，对不符合质量标准的管理服务要求乙方整改落实。</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（四）为乙方的管理服务提供必要的工作场所以及</w:t>
      </w:r>
      <w:r>
        <w:rPr>
          <w:rFonts w:hint="eastAsia" w:ascii="宋体" w:hAnsi="宋体"/>
          <w:color w:val="000000"/>
          <w:sz w:val="24"/>
          <w:szCs w:val="24"/>
          <w:highlight w:val="none"/>
        </w:rPr>
        <w:t xml:space="preserve">物业管理服务所必需的水、电供应</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（五）对乙方的节能工作进行指导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提高用能设施设备的能源利用效率。</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（六）根据有关部门的要求，指导</w:t>
      </w:r>
      <w:r>
        <w:rPr>
          <w:rFonts w:ascii="宋体" w:hAnsi="宋体" w:cs="宋体"/>
          <w:color w:val="000000"/>
          <w:sz w:val="24"/>
          <w:highlight w:val="none"/>
        </w:rPr>
        <w:t xml:space="preserve">和监督</w:t>
      </w:r>
      <w:r>
        <w:rPr>
          <w:rFonts w:hint="eastAsia" w:ascii="宋体" w:hAnsi="宋体" w:cs="宋体"/>
          <w:color w:val="000000"/>
          <w:sz w:val="24"/>
          <w:highlight w:val="none"/>
        </w:rPr>
        <w:t xml:space="preserve">乙方做好控烟、爱国卫生等工作。</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highlight w:val="none"/>
        </w:rPr>
        <w:t xml:space="preserve">协助乙方做好物业服务管理工作</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（八）按照合同约定，及时支付</w:t>
      </w:r>
      <w:r>
        <w:rPr>
          <w:rFonts w:ascii="宋体" w:hAnsi="宋体" w:cs="宋体"/>
          <w:color w:val="000000"/>
          <w:sz w:val="24"/>
          <w:highlight w:val="none"/>
        </w:rPr>
        <w:t xml:space="preserve">合同款项。</w:t>
      </w: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（九）法规、政策规定由甲方承担的其他责任。</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二、乙方权利义务</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（五）对有违反或影响本合同执行，包括影响机关正常办公秩序的行为，乙方应及时整改。</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（六）协助甲方做好物业管理区域内各项节能管理工作，对物业管理服务人员进行节能管理专业培训，加大节能管理力度。</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（九）投保物业公众责任险。</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（十一）法规、政策规定由乙方承担的其他责任。</w:t>
      </w:r>
      <w:r>
        <w:rPr>
          <w:rFonts w:ascii="宋体" w:hAnsi="宋体" w:cs="宋体"/>
          <w:color w:val="000000"/>
          <w:sz w:val="24"/>
          <w:highlight w:val="none"/>
        </w:rPr>
      </w:r>
      <w:r/>
    </w:p>
    <w:p>
      <w:pPr>
        <w:pStyle w:val="996"/>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t xml:space="preserve">   </w:t>
      </w:r>
      <w:r>
        <w:rPr>
          <w:rFonts w:hint="eastAsia" w:ascii="宋体" w:hAnsi="宋体" w:cs="宋体"/>
          <w:color w:val="000000"/>
          <w:sz w:val="24"/>
          <w:highlight w:val="none"/>
        </w:rPr>
        <w:t xml:space="preserve">三、在管理过程中，因下列因素所致的损害构成乙方的免责事由，乙方均不负赔偿之责：</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（一）天灾、地震等不可抗力的事由所致的损害；</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（二）暴动、持械抢劫、破坏、爆炸、火灾、刑事犯罪等违法行为等事由所致的损害；</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（三）因甲方或第三者之故意、重大过失所致的损害；</w:t>
      </w:r>
      <w:r>
        <w:rPr>
          <w:rFonts w:hint="eastAsia" w:ascii="宋体" w:hAnsi="宋体" w:cs="宋体"/>
          <w:color w:val="000000"/>
          <w:sz w:val="24"/>
          <w:highlight w:val="none"/>
        </w:rPr>
      </w:r>
      <w:r/>
    </w:p>
    <w:p>
      <w:pPr>
        <w:pStyle w:val="996"/>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（四）因乙方书面建议甲方改善或改进物业管理措施，而甲方未采纳</w:t>
      </w:r>
      <w:r>
        <w:rPr>
          <w:rFonts w:ascii="宋体" w:hAnsi="宋体"/>
          <w:color w:val="000000"/>
          <w:sz w:val="24"/>
          <w:szCs w:val="24"/>
          <w:highlight w:val="none"/>
        </w:rPr>
        <w:t xml:space="preserve">所致的损害</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（五）本合同标的物之共用部分（含共用部位、共用设备设施）自然或非乙方人为的任何损坏。</w:t>
      </w: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olor w:val="000000"/>
          <w:sz w:val="24"/>
          <w:szCs w:val="24"/>
          <w:highlight w:val="none"/>
        </w:rPr>
        <w:t xml:space="preserve">（六）除上述各款外，其他不可归责于乙方之事由的。</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ascii="宋体" w:hAnsi="宋体" w:cs="宋体"/>
          <w:color w:val="000000"/>
          <w:sz w:val="24"/>
          <w:highlight w:val="none"/>
        </w:rPr>
        <w:t xml:space="preserve">以上所有事项</w:t>
      </w:r>
      <w:r>
        <w:rPr>
          <w:rFonts w:hint="eastAsia" w:ascii="宋体" w:hAnsi="宋体" w:cs="宋体"/>
          <w:color w:val="000000"/>
          <w:sz w:val="24"/>
          <w:highlight w:val="none"/>
        </w:rPr>
        <w:t xml:space="preserve">因乙方故意或过失所致，或未尽到物业管理职责的，不在此限；</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第六条 质量保证</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一、建立质量管理体系并有效运行，管理服务能够接受质量审核。</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二、管理服务逐步达到接受创优评审条件。</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三、各项承诺指标及所采取的措施详见“招标文件”及投标文件。</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四、其他管理服务质量要求按无锡市有关标准执行。</w:t>
      </w:r>
      <w:r>
        <w:rPr>
          <w:rFonts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第七条 款项支付</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一、本合同项下所有款项均以人民币支付。</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二、甲方在收到乙方开具相应的增值税发票后按约定支付物业服务费；乙方未提供发票的</w:t>
      </w:r>
      <w:r>
        <w:rPr>
          <w:rFonts w:ascii="宋体" w:hAnsi="宋体" w:cs="宋体"/>
          <w:color w:val="000000"/>
          <w:sz w:val="24"/>
          <w:highlight w:val="none"/>
        </w:rPr>
        <w:t xml:space="preserve">，甲方有权迟延支付款项</w:t>
      </w:r>
      <w:r>
        <w:rPr>
          <w:rFonts w:hint="eastAsia" w:ascii="宋体" w:hAnsi="宋体" w:cs="宋体"/>
          <w:color w:val="000000"/>
          <w:sz w:val="24"/>
          <w:highlight w:val="none"/>
        </w:rPr>
        <w:t xml:space="preserve">且</w:t>
      </w:r>
      <w:r>
        <w:rPr>
          <w:rFonts w:ascii="宋体" w:hAnsi="宋体" w:cs="宋体"/>
          <w:color w:val="000000"/>
          <w:sz w:val="24"/>
          <w:highlight w:val="none"/>
        </w:rPr>
        <w:t xml:space="preserve">不承担违约责任，乙方仍应继续履行本合同项下的全部义务</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三、付款方式及进度安排及履约评价考核机制按招标文件执行。</w:t>
      </w:r>
      <w:r>
        <w:rPr>
          <w:rFonts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第八条 违约责任</w:t>
      </w:r>
      <w:r>
        <w:rPr>
          <w:rFonts w:ascii="宋体" w:hAnsi="宋体" w:cs="宋体"/>
          <w:b/>
          <w:bCs/>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olor w:val="000000"/>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highlight w:val="none"/>
        </w:rPr>
        <w:t xml:space="preserve"> 或依照法律程序解除部分或全部合同。</w:t>
      </w: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二、甲方未按合同约定向乙方支付款项的，每逾期1天甲方向乙方偿付欠款总额的5‰违约金，但累计违约金总额不超过欠款总额的5%。</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四、乙方无正当理由，违反本合同约定，擅自收费或擅自提高收费标准的，对擅自收费部分或超出标准的部分，甲方有权</w:t>
      </w:r>
      <w:r>
        <w:rPr>
          <w:rFonts w:ascii="宋体" w:hAnsi="宋体" w:cs="宋体"/>
          <w:color w:val="000000"/>
          <w:sz w:val="24"/>
          <w:highlight w:val="none"/>
        </w:rPr>
        <w:t xml:space="preserve">拒绝付款</w:t>
      </w:r>
      <w:r>
        <w:rPr>
          <w:rFonts w:hint="eastAsia" w:ascii="宋体" w:hAnsi="宋体" w:cs="宋体"/>
          <w:color w:val="000000"/>
          <w:sz w:val="24"/>
          <w:highlight w:val="none"/>
        </w:rPr>
        <w:t xml:space="preserve">；</w:t>
      </w:r>
      <w:r>
        <w:rPr>
          <w:rFonts w:ascii="宋体" w:hAnsi="宋体" w:cs="宋体"/>
          <w:color w:val="000000"/>
          <w:sz w:val="24"/>
          <w:highlight w:val="none"/>
        </w:rPr>
        <w:t xml:space="preserve">已经支付的，</w:t>
      </w:r>
      <w:r>
        <w:rPr>
          <w:rFonts w:hint="eastAsia" w:ascii="宋体" w:hAnsi="宋体" w:cs="宋体"/>
          <w:color w:val="000000"/>
          <w:sz w:val="24"/>
          <w:highlight w:val="none"/>
        </w:rPr>
        <w:t xml:space="preserve">有权要求乙方双倍返还；造成甲方经济损失的，乙方应予赔偿。</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五、因乙方原因导致重大火灾、失窃、泄密等事件的，甲方有权解除合同，并要求乙方赔偿相关损失。</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highlight w:val="none"/>
        </w:rPr>
        <w:t xml:space="preserve">3</w:t>
      </w:r>
      <w:r>
        <w:rPr>
          <w:rFonts w:hint="eastAsia" w:ascii="宋体" w:hAnsi="宋体" w:cs="宋体"/>
          <w:color w:val="000000"/>
          <w:sz w:val="24"/>
          <w:highlight w:val="none"/>
        </w:rPr>
        <w:t xml:space="preserve">0%作为违约金；造成的损失超出前述违约金的，甲方有权要求乙方按照实际损失予以赔偿。</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第九条 合同的生效、变更和终止</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highlight w:val="none"/>
        </w:rPr>
      </w:r>
      <w:r/>
    </w:p>
    <w:p>
      <w:pPr>
        <w:pStyle w:val="996"/>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三、合同中未有约定的按照有关的法律法规以及国家行业标准或技术文件规定予以解决。</w:t>
      </w:r>
      <w:r>
        <w:rPr>
          <w:rFonts w:hint="eastAsia" w:ascii="宋体" w:hAnsi="宋体"/>
          <w:color w:val="000000"/>
          <w:sz w:val="24"/>
          <w:szCs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bCs/>
          <w:color w:val="000000"/>
          <w:sz w:val="24"/>
          <w:szCs w:val="24"/>
          <w:highlight w:val="none"/>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highlight w:val="none"/>
        </w:rPr>
      </w:r>
      <w:r/>
    </w:p>
    <w:p>
      <w:pPr>
        <w:pStyle w:val="996"/>
        <w:ind w:firstLine="482"/>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第十条 争议的解决</w:t>
      </w:r>
      <w:r>
        <w:rPr>
          <w:rFonts w:ascii="宋体" w:hAnsi="宋体" w:cs="宋体"/>
          <w:color w:val="000000"/>
          <w:sz w:val="24"/>
          <w:highlight w:val="none"/>
        </w:rPr>
      </w:r>
      <w:r/>
    </w:p>
    <w:p>
      <w:pPr>
        <w:pStyle w:val="996"/>
        <w:ind w:firstLine="480"/>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合同签订后</w:t>
      </w:r>
      <w:r>
        <w:rPr>
          <w:rFonts w:hint="eastAsia" w:ascii="宋体" w:hAnsi="宋体"/>
          <w:color w:val="000000"/>
          <w:sz w:val="24"/>
          <w:szCs w:val="24"/>
          <w:highlight w:val="none"/>
        </w:rPr>
        <w:t xml:space="preserve">甲乙</w:t>
      </w:r>
      <w:r>
        <w:rPr>
          <w:rFonts w:hint="eastAsia" w:ascii="宋体" w:hAnsi="宋体"/>
          <w:bCs/>
          <w:color w:val="000000"/>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highlight w:val="none"/>
        </w:rPr>
        <w:t xml:space="preserve">由甲乙双方协商处理，若协商不成，</w:t>
      </w:r>
      <w:r>
        <w:rPr>
          <w:rFonts w:hint="eastAsia" w:ascii="宋体" w:hAnsi="宋体"/>
          <w:bCs/>
          <w:color w:val="000000"/>
          <w:sz w:val="24"/>
          <w:szCs w:val="24"/>
          <w:highlight w:val="none"/>
        </w:rPr>
        <w:t xml:space="preserve">可选择以下</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方式处理：</w:t>
      </w:r>
      <w:r>
        <w:rPr>
          <w:rFonts w:hint="eastAsia" w:ascii="宋体" w:hAnsi="宋体"/>
          <w:bCs/>
          <w:color w:val="000000"/>
          <w:sz w:val="24"/>
          <w:szCs w:val="24"/>
          <w:highlight w:val="none"/>
        </w:rPr>
      </w:r>
      <w:r/>
    </w:p>
    <w:p>
      <w:pPr>
        <w:pStyle w:val="996"/>
        <w:spacing w:line="400" w:lineRule="exact"/>
        <w:tabs>
          <w:tab w:val="left" w:pos="525" w:leader="none"/>
          <w:tab w:val="left" w:pos="94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一、向无锡仲裁委员会申请仲裁。</w:t>
      </w:r>
      <w:r>
        <w:rPr>
          <w:rFonts w:hint="eastAsia" w:ascii="宋体" w:hAnsi="宋体"/>
          <w:color w:val="000000"/>
          <w:sz w:val="24"/>
          <w:szCs w:val="24"/>
          <w:highlight w:val="none"/>
        </w:rPr>
      </w:r>
      <w:r/>
    </w:p>
    <w:p>
      <w:pPr>
        <w:pStyle w:val="996"/>
        <w:spacing w:line="400" w:lineRule="exact"/>
        <w:tabs>
          <w:tab w:val="left" w:pos="0" w:leader="none"/>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二、向甲方所在地法院提起诉讼。</w:t>
      </w:r>
      <w:r>
        <w:rPr>
          <w:rFonts w:hint="eastAsia" w:ascii="宋体" w:hAnsi="宋体"/>
          <w:bCs/>
          <w:color w:val="000000"/>
          <w:sz w:val="24"/>
          <w:szCs w:val="24"/>
          <w:highlight w:val="none"/>
        </w:rPr>
      </w:r>
      <w:r/>
    </w:p>
    <w:p>
      <w:pPr>
        <w:pStyle w:val="996"/>
        <w:ind w:firstLine="482"/>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第十一条 诚实信用及其他</w:t>
      </w:r>
      <w:r>
        <w:rPr>
          <w:rFonts w:ascii="宋体" w:hAnsi="宋体" w:cs="宋体"/>
          <w:b/>
          <w:bCs/>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一、乙方应诚实信用，严格按照招标投标文件要求和承诺履行合同，严禁向甲方进行商业贿赂或者提供不正当利益。 </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二、本合同应按照中华人民共和国的现行法律进行解释。</w:t>
      </w: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甲方（采购人）：（盖章）         乙方（供应商）：（盖章） </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代表人：                       代表人： </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电话：                         电话： </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账号：                         账号： </w:t>
      </w:r>
      <w:r>
        <w:rPr>
          <w:rFonts w:ascii="宋体" w:hAnsi="宋体" w:cs="宋体"/>
          <w:color w:val="000000"/>
          <w:sz w:val="24"/>
          <w:highlight w:val="none"/>
        </w:rPr>
      </w:r>
      <w:r/>
    </w:p>
    <w:p>
      <w:pPr>
        <w:pStyle w:val="996"/>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签订日期：    年    月    日</w:t>
      </w:r>
      <w:r>
        <w:rPr>
          <w:rFonts w:ascii="宋体" w:hAnsi="宋体" w:cs="宋体"/>
          <w:color w:val="000000"/>
          <w:sz w:val="24"/>
          <w:highlight w:val="none"/>
        </w:rPr>
      </w:r>
      <w:r/>
    </w:p>
    <w:p>
      <w:pPr>
        <w:pStyle w:val="996"/>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color w:val="000000"/>
          <w:sz w:val="36"/>
          <w:szCs w:val="36"/>
          <w:highlight w:val="none"/>
        </w:rPr>
        <w:t xml:space="preserve">第</w:t>
      </w:r>
      <w:bookmarkEnd w:id="185"/>
      <w:r>
        <w:rPr>
          <w:rFonts w:hint="eastAsia" w:ascii="黑体" w:hAnsi="黑体" w:eastAsia="黑体"/>
          <w:color w:val="000000"/>
          <w:sz w:val="36"/>
          <w:szCs w:val="36"/>
          <w:highlight w:val="none"/>
        </w:rPr>
        <w:t xml:space="preserve">四章 采购需求</w:t>
      </w:r>
      <w:bookmarkEnd w:id="186"/>
      <w:r/>
      <w:bookmarkEnd w:id="187"/>
      <w:r/>
      <w:bookmarkEnd w:id="188"/>
      <w:r>
        <w:rPr>
          <w:rFonts w:hint="eastAsia" w:ascii="黑体" w:hAnsi="黑体" w:eastAsia="黑体"/>
          <w:color w:val="000000"/>
          <w:sz w:val="36"/>
          <w:szCs w:val="36"/>
          <w:highlight w:val="none"/>
        </w:rPr>
      </w:r>
      <w:r/>
    </w:p>
    <w:p>
      <w:pPr>
        <w:pStyle w:val="996"/>
        <w:ind w:firstLine="600"/>
        <w:jc w:val="left"/>
        <w:spacing w:line="360" w:lineRule="auto"/>
        <w:rPr>
          <w:rFonts w:hint="eastAsia" w:ascii="黑体" w:hAnsi="黑体" w:eastAsia="黑体"/>
          <w:color w:val="000000"/>
          <w:sz w:val="30"/>
          <w:szCs w:val="30"/>
          <w:highlight w:val="none"/>
        </w:rPr>
      </w:pPr>
      <w:r/>
      <w:bookmarkStart w:id="191" w:name="_Toc26554093"/>
      <w:r/>
      <w:bookmarkStart w:id="192" w:name="_Toc49090575"/>
      <w:r>
        <w:rPr>
          <w:rFonts w:hint="eastAsia" w:ascii="黑体" w:hAnsi="黑体" w:eastAsia="黑体"/>
          <w:color w:val="000000"/>
          <w:sz w:val="30"/>
          <w:szCs w:val="30"/>
          <w:highlight w:val="none"/>
        </w:rPr>
        <w:t xml:space="preserve">本项目属性：服务类项目</w:t>
      </w:r>
      <w:r>
        <w:rPr>
          <w:rFonts w:hint="eastAsia" w:ascii="黑体" w:hAnsi="黑体" w:eastAsia="黑体"/>
          <w:color w:val="000000"/>
          <w:sz w:val="30"/>
          <w:szCs w:val="30"/>
          <w:highlight w:val="none"/>
        </w:rPr>
      </w:r>
      <w:r/>
    </w:p>
    <w:p>
      <w:pPr>
        <w:pStyle w:val="99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996"/>
        <w:ind w:firstLine="480"/>
        <w:spacing w:line="360" w:lineRule="auto"/>
        <w:rPr>
          <w:color w:val="000000"/>
          <w:highlight w:val="none"/>
        </w:rPr>
      </w:pPr>
      <w:r>
        <w:rPr>
          <w:rFonts w:hint="eastAsia" w:ascii="宋体" w:hAnsi="宋体"/>
          <w:bCs/>
          <w:color w:val="000000"/>
          <w:sz w:val="24"/>
          <w:szCs w:val="24"/>
          <w:highlight w:val="none"/>
        </w:rPr>
        <w:t xml:space="preserve">本项目标的物所属行业：物业管理</w:t>
      </w:r>
      <w:r>
        <w:rPr>
          <w:color w:val="000000"/>
          <w:highlight w:val="none"/>
        </w:rPr>
      </w:r>
      <w:r/>
    </w:p>
    <w:p>
      <w:pPr>
        <w:pStyle w:val="996"/>
        <w:numPr>
          <w:ilvl w:val="0"/>
          <w:numId w:val="5"/>
        </w:num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 项目技术要求</w:t>
      </w:r>
      <w:r>
        <w:rPr>
          <w:rFonts w:hint="eastAsia" w:ascii="宋体" w:hAnsi="宋体"/>
          <w:b/>
          <w:color w:val="000000"/>
          <w:sz w:val="30"/>
          <w:szCs w:val="30"/>
          <w:highlight w:val="none"/>
        </w:rPr>
      </w:r>
      <w:r/>
    </w:p>
    <w:p>
      <w:pPr>
        <w:pStyle w:val="99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1.项目基本情况</w:t>
      </w:r>
      <w:r>
        <w:rPr>
          <w:rFonts w:ascii="宋体" w:hAnsi="宋体"/>
          <w:b/>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1.1物业情况</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【物业的项目概述，地址名称信息等】</w:t>
      </w:r>
      <w:r>
        <w:rPr>
          <w:rFonts w:ascii="宋体" w:hAnsi="宋体"/>
          <w:color w:val="000000"/>
          <w:sz w:val="24"/>
          <w:highlight w:val="none"/>
        </w:rPr>
      </w:r>
      <w:r/>
    </w:p>
    <w:p>
      <w:pPr>
        <w:pStyle w:val="1113"/>
        <w:rPr>
          <w:color w:val="000000"/>
          <w:highlight w:val="none"/>
        </w:rPr>
      </w:pPr>
      <w:r>
        <w:rPr>
          <w:rFonts w:hint="eastAsia" w:ascii="宋体" w:hAnsi="宋体" w:eastAsia="宋体" w:cs="宋体"/>
          <w:bCs/>
          <w:color w:val="000000"/>
          <w:sz w:val="24"/>
          <w:highlight w:val="none"/>
        </w:rPr>
        <w:t xml:space="preserve">项目规模：</w:t>
      </w:r>
      <w:r>
        <w:rPr>
          <w:rFonts w:hint="eastAsia" w:ascii="宋体" w:hAnsi="宋体" w:eastAsia="宋体" w:cs="宋体"/>
          <w:bCs/>
          <w:color w:val="000000"/>
          <w:sz w:val="24"/>
          <w:highlight w:val="none"/>
          <w:lang w:eastAsia="zh-TW"/>
        </w:rPr>
        <w:t xml:space="preserve">无锡市新安中心幼儿园</w:t>
      </w:r>
      <w:r>
        <w:rPr>
          <w:rFonts w:hint="eastAsia" w:ascii="宋体" w:hAnsi="宋体" w:eastAsia="宋体" w:cs="宋体"/>
          <w:bCs/>
          <w:color w:val="000000"/>
          <w:sz w:val="24"/>
          <w:highlight w:val="none"/>
          <w:lang w:val="zh-TW" w:eastAsia="zh-TW"/>
        </w:rPr>
        <w:t xml:space="preserve">总建筑面积</w:t>
      </w:r>
      <w:r>
        <w:rPr>
          <w:rFonts w:hint="eastAsia" w:ascii="宋体" w:hAnsi="宋体" w:eastAsia="宋体" w:cs="宋体"/>
          <w:color w:val="000000"/>
          <w:sz w:val="24"/>
          <w:highlight w:val="none"/>
        </w:rPr>
        <w:t xml:space="preserve">6165.79</w:t>
      </w:r>
      <w:r>
        <w:rPr>
          <w:rFonts w:hint="eastAsia" w:ascii="宋体" w:hAnsi="宋体" w:eastAsia="宋体" w:cs="宋体"/>
          <w:bCs/>
          <w:color w:val="000000"/>
          <w:sz w:val="24"/>
          <w:highlight w:val="none"/>
          <w:lang w:val="zh-TW" w:eastAsia="zh-TW"/>
        </w:rPr>
        <w:t xml:space="preserve">平方米。</w:t>
      </w:r>
      <w:r>
        <w:rPr>
          <w:color w:val="000000"/>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 采购人提供供应商使用的场地、设施、设备、材料等。</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【如采购人拥有与物业管理服务有关的且可以无偿提供给供应商在本项目中使用的设施、设备、材料、场地等，可在此列明】</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（1）采购人可提供的办公室</w:t>
      </w:r>
      <w:r>
        <w:rPr>
          <w:rFonts w:ascii="宋体" w:hAnsi="宋体"/>
          <w:color w:val="000000"/>
          <w:sz w:val="24"/>
          <w:highlight w:val="none"/>
        </w:rPr>
      </w:r>
      <w:r/>
    </w:p>
    <w:tbl>
      <w:tblPr>
        <w:tblStyle w:val="1114"/>
        <w:tblW w:w="852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ascii="微软雅黑" w:hAnsi="微软雅黑" w:eastAsia="微软雅黑" w:cs="微软雅黑"/>
                <w:color w:val="000000"/>
                <w:spacing w:val="-1"/>
                <w:szCs w:val="21"/>
                <w:highlight w:val="none"/>
              </w:rPr>
            </w:r>
            <w:r/>
          </w:p>
        </w:tc>
        <w:tc>
          <w:tcPr>
            <w:tcW w:w="1395"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ascii="微软雅黑" w:hAnsi="微软雅黑" w:eastAsia="微软雅黑" w:cs="微软雅黑"/>
                <w:color w:val="000000"/>
                <w:spacing w:val="-1"/>
                <w:szCs w:val="21"/>
                <w:highlight w:val="none"/>
              </w:rPr>
            </w:r>
            <w:r/>
          </w:p>
        </w:tc>
        <w:tc>
          <w:tcPr>
            <w:tcW w:w="1425"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面积</w:t>
            </w:r>
            <w:r>
              <w:rPr>
                <w:rFonts w:hint="eastAsia" w:ascii="宋体" w:hAnsi="宋体" w:cs="宋体"/>
                <w:color w:val="000000"/>
                <w:spacing w:val="-1"/>
                <w:szCs w:val="21"/>
                <w:highlight w:val="none"/>
              </w:rPr>
              <w:t xml:space="preserve">㎡</w:t>
            </w:r>
            <w:r>
              <w:rPr>
                <w:rFonts w:ascii="微软雅黑" w:hAnsi="微软雅黑" w:eastAsia="微软雅黑" w:cs="微软雅黑"/>
                <w:color w:val="000000"/>
                <w:spacing w:val="-1"/>
                <w:szCs w:val="21"/>
                <w:highlight w:val="none"/>
              </w:rPr>
            </w:r>
            <w:r/>
          </w:p>
        </w:tc>
        <w:tc>
          <w:tcPr>
            <w:tcW w:w="475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办公室内可用设施设备清单</w:t>
            </w:r>
            <w:r>
              <w:rPr>
                <w:rFonts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rPr>
            </w:r>
            <w:r/>
          </w:p>
        </w:tc>
        <w:tc>
          <w:tcPr>
            <w:tcW w:w="1395"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ascii="微软雅黑" w:hAnsi="微软雅黑" w:eastAsia="微软雅黑" w:cs="微软雅黑"/>
                <w:color w:val="000000"/>
                <w:spacing w:val="-1"/>
                <w:szCs w:val="21"/>
                <w:highlight w:val="none"/>
              </w:rPr>
            </w:r>
            <w:r/>
          </w:p>
        </w:tc>
        <w:tc>
          <w:tcPr>
            <w:tcW w:w="1425"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w:t>
            </w:r>
            <w:r>
              <w:rPr>
                <w:rFonts w:ascii="微软雅黑" w:hAnsi="微软雅黑" w:eastAsia="微软雅黑" w:cs="微软雅黑"/>
                <w:color w:val="000000"/>
                <w:spacing w:val="-1"/>
                <w:szCs w:val="21"/>
                <w:highlight w:val="none"/>
              </w:rPr>
            </w:r>
            <w:r/>
          </w:p>
        </w:tc>
        <w:tc>
          <w:tcPr>
            <w:tcW w:w="475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物业用房</w:t>
            </w:r>
            <w:r>
              <w:rPr>
                <w:rFonts w:ascii="微软雅黑" w:hAnsi="微软雅黑" w:eastAsia="微软雅黑" w:cs="微软雅黑"/>
                <w:color w:val="000000"/>
                <w:spacing w:val="-1"/>
                <w:szCs w:val="21"/>
                <w:highlight w:val="none"/>
              </w:rPr>
            </w:r>
            <w:r/>
          </w:p>
        </w:tc>
      </w:tr>
      <w:tr>
        <w:trPr/>
        <w:tc>
          <w:tcPr>
            <w:tcW w:w="948"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rPr>
            </w:r>
            <w:r/>
          </w:p>
        </w:tc>
        <w:tc>
          <w:tcPr>
            <w:tcW w:w="139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48"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39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c>
          <w:tcPr>
            <w:tcW w:w="142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c>
          <w:tcPr>
            <w:tcW w:w="475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（2）采购人可提供的物业管理服务设备</w:t>
      </w:r>
      <w:r>
        <w:rPr>
          <w:rFonts w:ascii="宋体" w:hAnsi="宋体"/>
          <w:color w:val="000000"/>
          <w:sz w:val="24"/>
          <w:highlight w:val="none"/>
        </w:rPr>
      </w:r>
      <w:r/>
    </w:p>
    <w:tbl>
      <w:tblPr>
        <w:tblStyle w:val="1114"/>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ascii="微软雅黑" w:hAnsi="微软雅黑" w:eastAsia="微软雅黑" w:cs="微软雅黑"/>
                <w:color w:val="000000"/>
                <w:spacing w:val="-1"/>
                <w:szCs w:val="21"/>
                <w:highlight w:val="none"/>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ascii="微软雅黑" w:hAnsi="微软雅黑" w:eastAsia="微软雅黑" w:cs="微软雅黑"/>
                <w:color w:val="000000"/>
                <w:spacing w:val="-1"/>
                <w:szCs w:val="21"/>
                <w:highlight w:val="none"/>
              </w:rPr>
            </w:r>
            <w:r/>
          </w:p>
        </w:tc>
        <w:tc>
          <w:tcPr>
            <w:tcW w:w="2135"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ascii="微软雅黑" w:hAnsi="微软雅黑" w:eastAsia="微软雅黑" w:cs="微软雅黑"/>
                <w:color w:val="000000"/>
                <w:spacing w:val="-1"/>
                <w:szCs w:val="21"/>
                <w:highlight w:val="none"/>
              </w:rPr>
            </w:r>
            <w:r/>
          </w:p>
        </w:tc>
        <w:tc>
          <w:tcPr>
            <w:tcW w:w="3051"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主要技术指标</w:t>
            </w:r>
            <w:r>
              <w:rPr>
                <w:rFonts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c>
          <w:tcPr>
            <w:tcW w:w="213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c>
          <w:tcPr>
            <w:tcW w:w="213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c>
          <w:tcPr>
            <w:tcW w:w="3051"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w:t>
            </w:r>
            <w:r>
              <w:rPr>
                <w:rFonts w:ascii="微软雅黑" w:hAnsi="微软雅黑" w:eastAsia="微软雅黑" w:cs="微软雅黑"/>
                <w:color w:val="000000"/>
                <w:spacing w:val="-1"/>
                <w:szCs w:val="21"/>
                <w:highlight w:val="none"/>
                <w:lang w:eastAsia="en-US"/>
              </w:rPr>
            </w:r>
            <w:r/>
          </w:p>
        </w:tc>
      </w:tr>
    </w:tbl>
    <w:p>
      <w:pPr>
        <w:pStyle w:val="996"/>
        <w:numPr>
          <w:ilvl w:val="0"/>
          <w:numId w:val="6"/>
        </w:num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采购人可提供的零星维修材料、低值易耗品</w:t>
      </w:r>
      <w:r>
        <w:rPr>
          <w:rFonts w:ascii="宋体" w:hAnsi="宋体"/>
          <w:color w:val="000000"/>
          <w:sz w:val="24"/>
          <w:highlight w:val="none"/>
        </w:rPr>
      </w:r>
      <w:r/>
    </w:p>
    <w:tbl>
      <w:tblPr>
        <w:tblStyle w:val="1114"/>
        <w:tblW w:w="85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零星维修材料</w:t>
            </w:r>
            <w:r>
              <w:rPr>
                <w:rFonts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ascii="微软雅黑" w:hAnsi="微软雅黑" w:eastAsia="微软雅黑" w:cs="微软雅黑"/>
                <w:color w:val="000000"/>
                <w:spacing w:val="-1"/>
                <w:szCs w:val="21"/>
                <w:highlight w:val="none"/>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ascii="微软雅黑" w:hAnsi="微软雅黑" w:eastAsia="微软雅黑" w:cs="微软雅黑"/>
                <w:color w:val="000000"/>
                <w:spacing w:val="-1"/>
                <w:szCs w:val="21"/>
                <w:highlight w:val="none"/>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left"/>
              <w:rPr>
                <w:rFonts w:ascii="微软雅黑" w:hAnsi="微软雅黑" w:eastAsia="微软雅黑" w:cs="微软雅黑"/>
                <w:b/>
                <w:bCs/>
                <w:color w:val="000000"/>
                <w:spacing w:val="-1"/>
                <w:szCs w:val="21"/>
                <w:highlight w:val="none"/>
                <w:lang w:eastAsia="en-US"/>
              </w:rPr>
            </w:pPr>
            <w:r>
              <w:rPr>
                <w:rFonts w:ascii="微软雅黑" w:hAnsi="微软雅黑" w:eastAsia="微软雅黑" w:cs="微软雅黑"/>
                <w:b/>
                <w:bCs/>
                <w:color w:val="000000"/>
                <w:spacing w:val="-1"/>
                <w:szCs w:val="21"/>
                <w:highlight w:val="none"/>
                <w:lang w:eastAsia="en-US"/>
              </w:rPr>
            </w:r>
            <w:r/>
          </w:p>
        </w:tc>
        <w:tc>
          <w:tcPr>
            <w:tcW w:w="1140"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r>
      <w:tr>
        <w:trPr/>
        <w:tc>
          <w:tcPr>
            <w:gridSpan w:val="4"/>
            <w:tcW w:w="8519" w:type="dxa"/>
            <w:vAlign w:val="top"/>
            <w:textDirection w:val="lrTb"/>
            <w:noWrap w:val="false"/>
          </w:tcPr>
          <w:p>
            <w:pPr>
              <w:pStyle w:val="996"/>
              <w:jc w:val="left"/>
              <w:rPr>
                <w:rFonts w:ascii="微软雅黑" w:hAnsi="微软雅黑" w:eastAsia="微软雅黑" w:cs="微软雅黑"/>
                <w:b/>
                <w:bCs/>
                <w:color w:val="000000"/>
                <w:spacing w:val="-1"/>
                <w:szCs w:val="21"/>
                <w:highlight w:val="none"/>
              </w:rPr>
            </w:pPr>
            <w:r>
              <w:rPr>
                <w:rFonts w:hint="eastAsia" w:ascii="微软雅黑" w:hAnsi="微软雅黑" w:eastAsia="微软雅黑" w:cs="微软雅黑"/>
                <w:b/>
                <w:bCs/>
                <w:color w:val="000000"/>
                <w:spacing w:val="-1"/>
                <w:szCs w:val="21"/>
                <w:highlight w:val="none"/>
              </w:rPr>
              <w:t xml:space="preserve">低值易耗品</w:t>
            </w:r>
            <w:r>
              <w:rPr>
                <w:rFonts w:ascii="微软雅黑" w:hAnsi="微软雅黑" w:eastAsia="微软雅黑" w:cs="微软雅黑"/>
                <w:b/>
                <w:bCs/>
                <w:color w:val="000000"/>
                <w:spacing w:val="-1"/>
                <w:szCs w:val="21"/>
                <w:highlight w:val="none"/>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序号</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名称</w:t>
            </w:r>
            <w:r>
              <w:rPr>
                <w:rFonts w:ascii="微软雅黑" w:hAnsi="微软雅黑" w:eastAsia="微软雅黑" w:cs="微软雅黑"/>
                <w:color w:val="000000"/>
                <w:spacing w:val="-1"/>
                <w:szCs w:val="21"/>
                <w:highlight w:val="none"/>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数量</w:t>
            </w:r>
            <w:r>
              <w:rPr>
                <w:rFonts w:ascii="微软雅黑" w:hAnsi="微软雅黑" w:eastAsia="微软雅黑" w:cs="微软雅黑"/>
                <w:color w:val="000000"/>
                <w:spacing w:val="-1"/>
                <w:szCs w:val="21"/>
                <w:highlight w:val="none"/>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用途</w:t>
            </w:r>
            <w:r>
              <w:rPr>
                <w:rFonts w:ascii="微软雅黑" w:hAnsi="微软雅黑" w:eastAsia="微软雅黑" w:cs="微软雅黑"/>
                <w:color w:val="000000"/>
                <w:spacing w:val="-1"/>
                <w:szCs w:val="21"/>
                <w:highlight w:val="none"/>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w:t>
            </w: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c>
          <w:tcPr>
            <w:tcW w:w="5186"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r>
            <w:r/>
          </w:p>
        </w:tc>
      </w:tr>
      <w:tr>
        <w:trPr/>
        <w:tc>
          <w:tcPr>
            <w:tcW w:w="963" w:type="dxa"/>
            <w:vAlign w:val="top"/>
            <w:textDirection w:val="lrTb"/>
            <w:noWrap w:val="false"/>
          </w:tcPr>
          <w:p>
            <w:pPr>
              <w:pStyle w:val="996"/>
              <w:jc w:val="center"/>
              <w:rPr>
                <w:rFonts w:ascii="微软雅黑" w:hAnsi="微软雅黑" w:eastAsia="微软雅黑" w:cs="微软雅黑"/>
                <w:color w:val="000000"/>
                <w:spacing w:val="-1"/>
                <w:szCs w:val="21"/>
                <w:highlight w:val="none"/>
              </w:rPr>
            </w:pPr>
            <w:r>
              <w:rPr>
                <w:rFonts w:ascii="微软雅黑" w:hAnsi="微软雅黑" w:eastAsia="微软雅黑" w:cs="微软雅黑"/>
                <w:color w:val="000000"/>
                <w:spacing w:val="-1"/>
                <w:szCs w:val="21"/>
                <w:highlight w:val="none"/>
              </w:rPr>
            </w:r>
            <w:r/>
          </w:p>
        </w:tc>
        <w:tc>
          <w:tcPr>
            <w:tcW w:w="1140"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c>
          <w:tcPr>
            <w:tcW w:w="1230"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c>
          <w:tcPr>
            <w:tcW w:w="5186" w:type="dxa"/>
            <w:vAlign w:val="top"/>
            <w:textDirection w:val="lrTb"/>
            <w:noWrap w:val="false"/>
          </w:tcPr>
          <w:p>
            <w:pPr>
              <w:pStyle w:val="996"/>
              <w:jc w:val="center"/>
              <w:rPr>
                <w:rFonts w:ascii="微软雅黑" w:hAnsi="微软雅黑" w:eastAsia="微软雅黑" w:cs="微软雅黑"/>
                <w:b/>
                <w:bCs/>
                <w:color w:val="000000"/>
                <w:spacing w:val="-1"/>
                <w:szCs w:val="21"/>
                <w:highlight w:val="none"/>
                <w:lang w:eastAsia="en-US"/>
              </w:rPr>
            </w:pPr>
            <w:r>
              <w:rPr>
                <w:rFonts w:hint="eastAsia" w:ascii="微软雅黑" w:hAnsi="微软雅黑" w:eastAsia="微软雅黑" w:cs="微软雅黑"/>
                <w:b/>
                <w:bCs/>
                <w:color w:val="000000"/>
                <w:spacing w:val="-1"/>
                <w:szCs w:val="21"/>
                <w:highlight w:val="none"/>
                <w:lang w:eastAsia="en-US"/>
              </w:rPr>
              <w:t xml:space="preserve">……</w:t>
            </w:r>
            <w:r>
              <w:rPr>
                <w:rFonts w:ascii="微软雅黑" w:hAnsi="微软雅黑" w:eastAsia="微软雅黑" w:cs="微软雅黑"/>
                <w:b/>
                <w:bCs/>
                <w:color w:val="000000"/>
                <w:spacing w:val="-1"/>
                <w:szCs w:val="21"/>
                <w:highlight w:val="none"/>
                <w:lang w:eastAsia="en-US"/>
              </w:rPr>
            </w:r>
            <w:r/>
          </w:p>
        </w:tc>
      </w:tr>
    </w:tbl>
    <w:p>
      <w:pPr>
        <w:pStyle w:val="996"/>
        <w:spacing w:line="360" w:lineRule="auto"/>
        <w:rPr>
          <w:rFonts w:ascii="宋体" w:hAnsi="宋体" w:eastAsia="微软雅黑"/>
          <w:color w:val="000000"/>
          <w:sz w:val="24"/>
          <w:highlight w:val="none"/>
        </w:rPr>
      </w:pPr>
      <w:r>
        <w:rPr>
          <w:rFonts w:hint="eastAsia" w:ascii="微软雅黑" w:hAnsi="微软雅黑" w:eastAsia="微软雅黑" w:cs="微软雅黑"/>
          <w:b/>
          <w:bCs/>
          <w:color w:val="000000"/>
          <w:spacing w:val="-1"/>
          <w:szCs w:val="21"/>
          <w:highlight w:val="none"/>
          <w:lang w:eastAsia="en-US"/>
        </w:rPr>
        <w:t xml:space="preserve">……</w:t>
      </w:r>
      <w:r>
        <w:rPr>
          <w:rFonts w:ascii="宋体" w:hAnsi="宋体" w:eastAsia="微软雅黑"/>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除</w:t>
      </w:r>
      <w:r>
        <w:rPr>
          <w:rFonts w:ascii="宋体" w:hAnsi="宋体"/>
          <w:color w:val="000000"/>
          <w:sz w:val="24"/>
          <w:highlight w:val="none"/>
        </w:rPr>
        <w:t xml:space="preserve">以上所列场地、设施、设备、材料外，与物业管理服务有关的其他场地、设施、设备、材料均由供应商承担。</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ascii="宋体" w:hAnsi="宋体"/>
          <w:color w:val="000000"/>
          <w:sz w:val="24"/>
          <w:highlight w:val="none"/>
        </w:rPr>
      </w:r>
      <w:r/>
    </w:p>
    <w:p>
      <w:pPr>
        <w:pStyle w:val="996"/>
        <w:numPr>
          <w:ilvl w:val="0"/>
          <w:numId w:val="7"/>
        </w:numPr>
        <w:ind w:firstLine="482"/>
        <w:spacing w:line="360" w:lineRule="auto"/>
        <w:tabs>
          <w:tab w:val="left" w:pos="312" w:leader="none"/>
        </w:tabs>
        <w:rPr>
          <w:rFonts w:ascii="宋体" w:hAnsi="宋体"/>
          <w:b/>
          <w:color w:val="000000"/>
          <w:sz w:val="24"/>
          <w:highlight w:val="none"/>
        </w:rPr>
      </w:pPr>
      <w:r>
        <w:rPr>
          <w:rFonts w:hint="eastAsia" w:ascii="宋体" w:hAnsi="宋体"/>
          <w:b/>
          <w:color w:val="000000"/>
          <w:sz w:val="24"/>
          <w:highlight w:val="none"/>
        </w:rPr>
        <w:t xml:space="preserve">物业服务范围</w:t>
      </w:r>
      <w:r>
        <w:rPr>
          <w:rFonts w:ascii="宋体" w:hAnsi="宋体"/>
          <w:b/>
          <w:color w:val="000000"/>
          <w:sz w:val="24"/>
          <w:highlight w:val="none"/>
        </w:rPr>
      </w:r>
      <w:r/>
    </w:p>
    <w:p>
      <w:pPr>
        <w:pStyle w:val="996"/>
        <w:spacing w:line="360" w:lineRule="auto"/>
        <w:rPr>
          <w:rFonts w:ascii="宋体" w:hAnsi="宋体"/>
          <w:b/>
          <w:color w:val="000000"/>
          <w:sz w:val="24"/>
          <w:highlight w:val="none"/>
        </w:rPr>
      </w:pPr>
      <w:r>
        <w:rPr>
          <w:rFonts w:hint="eastAsia" w:ascii="宋体" w:hAnsi="宋体"/>
          <w:b/>
          <w:color w:val="000000"/>
          <w:sz w:val="24"/>
          <w:highlight w:val="none"/>
        </w:rPr>
        <w:t xml:space="preserve">（1）物业管理（建筑物）</w:t>
      </w:r>
      <w:r>
        <w:rPr>
          <w:rFonts w:ascii="宋体" w:hAnsi="宋体"/>
          <w:b/>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11"/>
        <w:gridCol w:w="2929"/>
        <w:gridCol w:w="3382"/>
      </w:tblGrid>
      <w:tr>
        <w:trPr/>
        <w:tc>
          <w:tcPr>
            <w:tcW w:w="2211"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名称</w:t>
            </w:r>
            <w:r>
              <w:rPr>
                <w:rFonts w:ascii="宋体" w:hAnsi="宋体"/>
                <w:color w:val="000000"/>
                <w:sz w:val="24"/>
                <w:highlight w:val="none"/>
              </w:rPr>
            </w:r>
            <w:r/>
          </w:p>
        </w:tc>
        <w:tc>
          <w:tcPr>
            <w:tcW w:w="2929"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明细</w:t>
            </w:r>
            <w:r>
              <w:rPr>
                <w:rFonts w:ascii="宋体" w:hAnsi="宋体"/>
                <w:color w:val="000000"/>
                <w:sz w:val="24"/>
                <w:highlight w:val="none"/>
              </w:rPr>
            </w:r>
            <w:r/>
          </w:p>
        </w:tc>
        <w:tc>
          <w:tcPr>
            <w:tcW w:w="3382"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服务内容及标准</w:t>
            </w:r>
            <w:r>
              <w:rPr>
                <w:rFonts w:ascii="宋体" w:hAnsi="宋体"/>
                <w:color w:val="000000"/>
                <w:sz w:val="24"/>
                <w:highlight w:val="none"/>
              </w:rPr>
            </w:r>
            <w:r/>
          </w:p>
        </w:tc>
      </w:tr>
      <w:tr>
        <w:trPr/>
        <w:tc>
          <w:tcPr>
            <w:tcW w:w="2211" w:type="dxa"/>
            <w:vAlign w:val="top"/>
            <w:textDirection w:val="lrTb"/>
            <w:noWrap w:val="false"/>
          </w:tcPr>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无锡市新安中心幼儿园</w:t>
            </w:r>
            <w:r>
              <w:rPr>
                <w:rFonts w:ascii="宋体" w:hAnsi="宋体"/>
                <w:color w:val="000000"/>
                <w:sz w:val="24"/>
                <w:highlight w:val="none"/>
              </w:rPr>
            </w:r>
            <w:r/>
          </w:p>
        </w:tc>
        <w:tc>
          <w:tcPr>
            <w:tcW w:w="2929" w:type="dxa"/>
            <w:vAlign w:val="top"/>
            <w:textDirection w:val="lrTb"/>
            <w:noWrap w:val="false"/>
          </w:tcPr>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项目规模：</w:t>
            </w:r>
            <w:r>
              <w:rPr>
                <w:rFonts w:hint="eastAsia" w:ascii="宋体" w:hAnsi="宋体" w:cs="宋体"/>
                <w:bCs/>
                <w:color w:val="000000"/>
                <w:sz w:val="24"/>
                <w:highlight w:val="none"/>
                <w:lang w:eastAsia="zh-TW"/>
              </w:rPr>
              <w:t xml:space="preserve">无锡市新安中心幼儿园</w:t>
            </w:r>
            <w:r>
              <w:rPr>
                <w:rFonts w:hint="eastAsia" w:ascii="宋体" w:hAnsi="宋体" w:cs="宋体"/>
                <w:bCs/>
                <w:color w:val="000000"/>
                <w:sz w:val="24"/>
                <w:highlight w:val="none"/>
                <w:lang w:val="zh-TW" w:eastAsia="zh-TW"/>
              </w:rPr>
              <w:t xml:space="preserve">总建筑面积</w:t>
            </w:r>
            <w:r>
              <w:rPr>
                <w:rFonts w:hint="eastAsia" w:ascii="宋体" w:hAnsi="宋体" w:cs="宋体"/>
                <w:bCs/>
                <w:color w:val="000000"/>
                <w:sz w:val="24"/>
                <w:highlight w:val="none"/>
              </w:rPr>
              <w:t xml:space="preserve">6165.79</w:t>
            </w:r>
            <w:r>
              <w:rPr>
                <w:rFonts w:hint="eastAsia" w:ascii="宋体" w:hAnsi="宋体" w:cs="宋体"/>
                <w:bCs/>
                <w:color w:val="000000"/>
                <w:sz w:val="24"/>
                <w:highlight w:val="none"/>
                <w:lang w:val="zh-TW" w:eastAsia="zh-TW"/>
              </w:rPr>
              <w:t xml:space="preserve">平方米。</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保洁服务取费面积： 6165.79 ㎡。</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秩序维护服务（地上）门岗数：1。</w:t>
            </w:r>
            <w:r>
              <w:rPr>
                <w:rFonts w:ascii="宋体" w:hAnsi="宋体" w:cs="宋体"/>
                <w:bCs/>
                <w:color w:val="000000"/>
                <w:sz w:val="24"/>
                <w:highlight w:val="none"/>
              </w:rPr>
            </w:r>
            <w:r/>
          </w:p>
          <w:p>
            <w:pPr>
              <w:pStyle w:val="996"/>
              <w:rPr>
                <w:color w:val="000000"/>
                <w:highlight w:val="none"/>
              </w:rPr>
            </w:pPr>
            <w:r>
              <w:rPr>
                <w:rFonts w:hint="eastAsia" w:ascii="宋体" w:hAnsi="宋体" w:cs="宋体"/>
                <w:bCs/>
                <w:color w:val="000000"/>
                <w:sz w:val="24"/>
                <w:highlight w:val="none"/>
              </w:rPr>
              <w:t xml:space="preserve">消控服务人数：2人。</w:t>
            </w:r>
            <w:r>
              <w:rPr>
                <w:color w:val="000000"/>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绿化服务取费面积： 1588 ㎡。</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给排水系统管理维护取费面积：6165.79㎡。</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强弱电系统管理维护取费面积：6165.79㎡。</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空调系统管理维护取费面积：6165.79㎡。</w:t>
            </w:r>
            <w:r>
              <w:rPr>
                <w:rFonts w:ascii="宋体" w:hAnsi="宋体" w:cs="宋体"/>
                <w:bCs/>
                <w:color w:val="000000"/>
                <w:sz w:val="24"/>
                <w:highlight w:val="none"/>
              </w:rPr>
            </w:r>
            <w:r/>
          </w:p>
          <w:p>
            <w:pPr>
              <w:pStyle w:val="996"/>
              <w:rPr>
                <w:rFonts w:ascii="宋体" w:hAnsi="宋体" w:cs="宋体"/>
                <w:bCs/>
                <w:color w:val="000000"/>
                <w:sz w:val="24"/>
                <w:highlight w:val="none"/>
              </w:rPr>
            </w:pPr>
            <w:r>
              <w:rPr>
                <w:rFonts w:hint="eastAsia" w:ascii="宋体" w:hAnsi="宋体" w:cs="宋体"/>
                <w:bCs/>
                <w:color w:val="000000"/>
                <w:sz w:val="24"/>
                <w:highlight w:val="none"/>
              </w:rPr>
              <w:t xml:space="preserve">电梯系统管理维护取费：1台。</w:t>
            </w:r>
            <w:r>
              <w:rPr>
                <w:rFonts w:ascii="宋体" w:hAnsi="宋体" w:cs="宋体"/>
                <w:bCs/>
                <w:color w:val="000000"/>
                <w:sz w:val="24"/>
                <w:highlight w:val="none"/>
              </w:rPr>
            </w:r>
            <w:r/>
          </w:p>
          <w:p>
            <w:pPr>
              <w:pStyle w:val="996"/>
              <w:spacing w:line="360" w:lineRule="auto"/>
              <w:rPr>
                <w:rFonts w:ascii="宋体" w:hAnsi="宋体"/>
                <w:color w:val="000000"/>
                <w:sz w:val="24"/>
                <w:highlight w:val="none"/>
              </w:rPr>
            </w:pPr>
            <w:r>
              <w:rPr>
                <w:rFonts w:hint="eastAsia" w:ascii="宋体" w:hAnsi="宋体" w:cs="宋体"/>
                <w:bCs/>
                <w:color w:val="000000"/>
                <w:sz w:val="24"/>
                <w:highlight w:val="none"/>
              </w:rPr>
              <w:t xml:space="preserve">消防系统维护取费面积： 6165.79㎡。</w:t>
            </w:r>
            <w:r>
              <w:rPr>
                <w:rFonts w:ascii="宋体" w:hAnsi="宋体"/>
                <w:color w:val="000000"/>
                <w:sz w:val="24"/>
                <w:highlight w:val="none"/>
              </w:rPr>
            </w:r>
            <w:r/>
          </w:p>
        </w:tc>
        <w:tc>
          <w:tcPr>
            <w:tcW w:w="3382" w:type="dxa"/>
            <w:vAlign w:val="top"/>
            <w:textDirection w:val="lrTb"/>
            <w:noWrap w:val="false"/>
          </w:tcPr>
          <w:p>
            <w:pPr>
              <w:pStyle w:val="996"/>
              <w:jc w:val="left"/>
              <w:rPr>
                <w:rFonts w:ascii="宋体" w:hAnsi="宋体" w:cs="宋体"/>
                <w:bCs/>
                <w:color w:val="000000"/>
                <w:sz w:val="24"/>
                <w:highlight w:val="none"/>
                <w:lang w:val="zh-TW"/>
              </w:rPr>
            </w:pPr>
            <w:r>
              <w:rPr>
                <w:rFonts w:hint="eastAsia" w:ascii="宋体" w:hAnsi="宋体" w:cs="宋体"/>
                <w:bCs/>
                <w:color w:val="000000"/>
                <w:sz w:val="24"/>
                <w:highlight w:val="none"/>
                <w:lang w:val="zh-TW" w:eastAsia="zh-TW"/>
              </w:rPr>
              <w:t xml:space="preserve">1.保洁服务内容包含：四害消杀，白蚁防治，地面、玻璃门窗清洁，开水</w:t>
            </w:r>
            <w:r>
              <w:rPr>
                <w:rFonts w:hint="eastAsia" w:ascii="宋体" w:hAnsi="宋体" w:cs="宋体"/>
                <w:bCs/>
                <w:color w:val="000000"/>
                <w:sz w:val="24"/>
                <w:highlight w:val="none"/>
              </w:rPr>
              <w:t xml:space="preserve">器</w:t>
            </w:r>
            <w:r>
              <w:rPr>
                <w:rFonts w:hint="eastAsia" w:ascii="宋体" w:hAnsi="宋体" w:cs="宋体"/>
                <w:bCs/>
                <w:color w:val="000000"/>
                <w:sz w:val="24"/>
                <w:highlight w:val="none"/>
                <w:lang w:val="zh-TW" w:eastAsia="zh-TW"/>
              </w:rPr>
              <w:t xml:space="preserve">清洗，油烟机灶具清洗，冰箱、冰柜、洗衣机、风扇清洗</w:t>
            </w:r>
            <w:r>
              <w:rPr>
                <w:rFonts w:hint="eastAsia" w:ascii="宋体" w:hAnsi="宋体" w:cs="宋体"/>
                <w:bCs/>
                <w:color w:val="000000"/>
                <w:sz w:val="24"/>
                <w:highlight w:val="none"/>
                <w:lang w:val="zh-TW"/>
              </w:rPr>
              <w:t xml:space="preserve">。</w:t>
            </w:r>
            <w:r>
              <w:rPr>
                <w:rFonts w:ascii="宋体" w:hAnsi="宋体" w:cs="宋体"/>
                <w:bCs/>
                <w:color w:val="000000"/>
                <w:sz w:val="24"/>
                <w:highlight w:val="none"/>
                <w:lang w:val="zh-TW"/>
              </w:rPr>
            </w:r>
            <w:r/>
          </w:p>
          <w:p>
            <w:pPr>
              <w:pStyle w:val="996"/>
              <w:jc w:val="left"/>
              <w:rPr>
                <w:rFonts w:ascii="宋体" w:hAnsi="宋体" w:cs="宋体"/>
                <w:bCs/>
                <w:color w:val="000000"/>
                <w:sz w:val="24"/>
                <w:highlight w:val="none"/>
                <w:lang w:val="zh-TW" w:eastAsia="zh-TW"/>
              </w:rPr>
            </w:pPr>
            <w:r>
              <w:rPr>
                <w:rFonts w:hint="eastAsia" w:ascii="宋体" w:hAnsi="宋体" w:cs="宋体"/>
                <w:bCs/>
                <w:color w:val="000000"/>
                <w:sz w:val="24"/>
                <w:highlight w:val="none"/>
                <w:lang w:val="zh-TW" w:eastAsia="zh-TW"/>
              </w:rPr>
              <w:t xml:space="preserve">2.</w:t>
            </w:r>
            <w:r>
              <w:rPr>
                <w:rFonts w:hint="eastAsia" w:ascii="宋体" w:hAnsi="宋体" w:cs="宋体"/>
                <w:bCs/>
                <w:color w:val="000000"/>
                <w:sz w:val="24"/>
                <w:highlight w:val="none"/>
              </w:rPr>
              <w:t xml:space="preserve">秩序维护服务</w:t>
            </w:r>
            <w:r>
              <w:rPr>
                <w:rFonts w:hint="eastAsia" w:ascii="宋体" w:hAnsi="宋体" w:cs="宋体"/>
                <w:bCs/>
                <w:color w:val="000000"/>
                <w:sz w:val="24"/>
                <w:highlight w:val="none"/>
                <w:lang w:val="zh-TW" w:eastAsia="zh-TW"/>
              </w:rPr>
              <w:t xml:space="preserve">：建立严格管理制度，控制闲杂人员进入办公楼内；出门车辆凭有效证件进出停车场；遇突发事件按紧急预案处置；值班岗位有值班记录随时查阅；监控资料随时查看；配合业主方进行安全生产管理，定期进行安全检查、设备房检查等。</w:t>
            </w:r>
            <w:r>
              <w:rPr>
                <w:rFonts w:ascii="宋体" w:hAnsi="宋体" w:cs="宋体"/>
                <w:bCs/>
                <w:color w:val="000000"/>
                <w:sz w:val="24"/>
                <w:highlight w:val="none"/>
                <w:lang w:val="zh-TW" w:eastAsia="zh-TW"/>
              </w:rPr>
            </w:r>
            <w:r/>
          </w:p>
          <w:p>
            <w:pPr>
              <w:pStyle w:val="1113"/>
              <w:ind w:firstLine="0"/>
              <w:rPr>
                <w:rFonts w:eastAsia="宋体"/>
                <w:color w:val="000000"/>
                <w:highlight w:val="none"/>
              </w:rPr>
            </w:pPr>
            <w:r>
              <w:rPr>
                <w:rFonts w:hint="eastAsia" w:ascii="宋体" w:hAnsi="宋体" w:eastAsia="宋体" w:cs="宋体"/>
                <w:bCs/>
                <w:color w:val="000000"/>
                <w:sz w:val="24"/>
                <w:highlight w:val="none"/>
              </w:rPr>
              <w:t xml:space="preserve">3.消控服务。</w:t>
            </w:r>
            <w:r>
              <w:rPr>
                <w:rFonts w:eastAsia="宋体"/>
                <w:color w:val="000000"/>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4.绿化养护。</w:t>
            </w:r>
            <w:r>
              <w:rPr>
                <w:rFonts w:ascii="宋体" w:hAnsi="宋体" w:cs="宋体"/>
                <w:bCs/>
                <w:color w:val="000000"/>
                <w:sz w:val="24"/>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5.给排水系统管理维护。</w:t>
            </w:r>
            <w:r>
              <w:rPr>
                <w:rFonts w:ascii="宋体" w:hAnsi="宋体" w:cs="宋体"/>
                <w:bCs/>
                <w:color w:val="000000"/>
                <w:sz w:val="24"/>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6.强弱电系统管理维护。</w:t>
            </w:r>
            <w:r>
              <w:rPr>
                <w:rFonts w:ascii="宋体" w:hAnsi="宋体" w:cs="宋体"/>
                <w:bCs/>
                <w:color w:val="000000"/>
                <w:sz w:val="24"/>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7.空调系统管理维护。</w:t>
            </w:r>
            <w:r>
              <w:rPr>
                <w:rFonts w:ascii="宋体" w:hAnsi="宋体" w:cs="宋体"/>
                <w:bCs/>
                <w:color w:val="000000"/>
                <w:sz w:val="24"/>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8.电梯系统管理维护。</w:t>
            </w:r>
            <w:r>
              <w:rPr>
                <w:rFonts w:ascii="宋体" w:hAnsi="宋体" w:cs="宋体"/>
                <w:bCs/>
                <w:color w:val="000000"/>
                <w:sz w:val="24"/>
                <w:highlight w:val="none"/>
              </w:rPr>
            </w:r>
            <w:r/>
          </w:p>
          <w:p>
            <w:pPr>
              <w:pStyle w:val="996"/>
              <w:jc w:val="left"/>
              <w:rPr>
                <w:rFonts w:ascii="宋体" w:hAnsi="宋体" w:cs="宋体"/>
                <w:bCs/>
                <w:color w:val="000000"/>
                <w:sz w:val="24"/>
                <w:highlight w:val="none"/>
              </w:rPr>
            </w:pPr>
            <w:r>
              <w:rPr>
                <w:rFonts w:hint="eastAsia" w:ascii="宋体" w:hAnsi="宋体" w:cs="宋体"/>
                <w:bCs/>
                <w:color w:val="000000"/>
                <w:sz w:val="24"/>
                <w:highlight w:val="none"/>
              </w:rPr>
              <w:t xml:space="preserve">9.消防系统管理维护。</w:t>
            </w:r>
            <w:r>
              <w:rPr>
                <w:rFonts w:ascii="宋体" w:hAnsi="宋体" w:cs="宋体"/>
                <w:bCs/>
                <w:color w:val="000000"/>
                <w:sz w:val="24"/>
                <w:highlight w:val="none"/>
              </w:rPr>
            </w:r>
            <w:r/>
          </w:p>
          <w:p>
            <w:pPr>
              <w:pStyle w:val="996"/>
              <w:jc w:val="left"/>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10</w:t>
            </w:r>
            <w:r>
              <w:rPr>
                <w:rFonts w:hint="eastAsia" w:ascii="宋体" w:hAnsi="宋体" w:cs="宋体"/>
                <w:bCs/>
                <w:color w:val="000000"/>
                <w:sz w:val="24"/>
                <w:highlight w:val="none"/>
                <w:lang w:val="zh-TW" w:eastAsia="zh-TW"/>
              </w:rPr>
              <w:t xml:space="preserve">.熟悉办公楼内的各项设施规划，全方面配合招标人做好接待任务。</w:t>
            </w:r>
            <w:r>
              <w:rPr>
                <w:rFonts w:ascii="宋体" w:hAnsi="宋体" w:cs="宋体"/>
                <w:bCs/>
                <w:color w:val="000000"/>
                <w:sz w:val="24"/>
                <w:highlight w:val="none"/>
                <w:lang w:val="zh-TW" w:eastAsia="zh-TW"/>
              </w:rPr>
            </w:r>
            <w:r/>
          </w:p>
          <w:p>
            <w:pPr>
              <w:pStyle w:val="996"/>
              <w:jc w:val="left"/>
              <w:rPr>
                <w:rFonts w:ascii="宋体" w:hAnsi="宋体" w:cs="宋体"/>
                <w:bCs/>
                <w:color w:val="000000"/>
                <w:sz w:val="24"/>
                <w:highlight w:val="none"/>
                <w:lang w:val="zh-TW" w:eastAsia="zh-TW"/>
              </w:rPr>
            </w:pPr>
            <w:r>
              <w:rPr>
                <w:rFonts w:hint="eastAsia" w:ascii="宋体" w:hAnsi="宋体" w:cs="宋体"/>
                <w:bCs/>
                <w:color w:val="000000"/>
                <w:sz w:val="24"/>
                <w:highlight w:val="none"/>
              </w:rPr>
              <w:t xml:space="preserve">11</w:t>
            </w:r>
            <w:r>
              <w:rPr>
                <w:rFonts w:hint="eastAsia" w:ascii="宋体" w:hAnsi="宋体" w:cs="宋体"/>
                <w:bCs/>
                <w:color w:val="000000"/>
                <w:sz w:val="24"/>
                <w:highlight w:val="none"/>
                <w:lang w:val="zh-TW" w:eastAsia="zh-TW"/>
              </w:rPr>
              <w:t xml:space="preserve">.安全生产管理</w:t>
            </w:r>
            <w:r>
              <w:rPr>
                <w:rFonts w:ascii="宋体" w:hAnsi="宋体" w:cs="宋体"/>
                <w:bCs/>
                <w:color w:val="000000"/>
                <w:sz w:val="24"/>
                <w:highlight w:val="none"/>
                <w:lang w:val="zh-TW" w:eastAsia="zh-TW"/>
              </w:rPr>
            </w:r>
            <w:r/>
          </w:p>
          <w:p>
            <w:pPr>
              <w:pStyle w:val="996"/>
              <w:jc w:val="left"/>
              <w:rPr>
                <w:rFonts w:ascii="宋体" w:hAnsi="宋体" w:cs="宋体"/>
                <w:bCs/>
                <w:color w:val="000000"/>
                <w:sz w:val="24"/>
                <w:highlight w:val="none"/>
                <w:lang w:val="zh-TW" w:eastAsia="zh-TW"/>
              </w:rPr>
            </w:pPr>
            <w:r>
              <w:rPr>
                <w:rFonts w:hint="eastAsia" w:ascii="宋体" w:hAnsi="宋体" w:cs="宋体"/>
                <w:bCs/>
                <w:color w:val="000000"/>
                <w:sz w:val="24"/>
                <w:highlight w:val="none"/>
                <w:lang w:val="zh-TW" w:eastAsia="zh-TW"/>
              </w:rPr>
              <w:t xml:space="preserve">在招标人的监督和管理下，全面负责物业管理区域设施设备及公共空间的安全管理以及管理区域和服务范畴的安全生产管理工作。</w:t>
            </w:r>
            <w:r>
              <w:rPr>
                <w:rFonts w:ascii="宋体" w:hAnsi="宋体" w:cs="宋体"/>
                <w:bCs/>
                <w:color w:val="000000"/>
                <w:sz w:val="24"/>
                <w:highlight w:val="none"/>
                <w:lang w:val="zh-TW" w:eastAsia="zh-TW"/>
              </w:rPr>
            </w:r>
            <w:r/>
          </w:p>
          <w:p>
            <w:pPr>
              <w:pStyle w:val="996"/>
              <w:spacing w:line="360" w:lineRule="auto"/>
              <w:rPr>
                <w:rFonts w:ascii="宋体" w:hAnsi="宋体"/>
                <w:color w:val="000000"/>
                <w:sz w:val="24"/>
                <w:highlight w:val="none"/>
              </w:rPr>
            </w:pPr>
            <w:r>
              <w:rPr>
                <w:rFonts w:hint="eastAsia" w:ascii="宋体" w:hAnsi="宋体" w:cs="宋体"/>
                <w:bCs/>
                <w:color w:val="000000"/>
                <w:sz w:val="24"/>
                <w:highlight w:val="none"/>
              </w:rPr>
              <w:t xml:space="preserve">12</w:t>
            </w:r>
            <w:r>
              <w:rPr>
                <w:rFonts w:hint="eastAsia" w:ascii="宋体" w:hAnsi="宋体" w:cs="宋体"/>
                <w:bCs/>
                <w:color w:val="000000"/>
                <w:sz w:val="24"/>
                <w:highlight w:val="none"/>
                <w:lang w:val="zh-TW" w:eastAsia="zh-TW"/>
              </w:rPr>
              <w:t xml:space="preserve">.有完善的物业管理方案，设施设备质量管理等健全的制度；确保各类设施设备正常运行，安全无事故。</w:t>
            </w:r>
            <w:r>
              <w:rPr>
                <w:rFonts w:ascii="宋体" w:hAnsi="宋体"/>
                <w:color w:val="000000"/>
                <w:sz w:val="24"/>
                <w:highlight w:val="none"/>
              </w:rPr>
            </w:r>
            <w:r/>
          </w:p>
        </w:tc>
      </w:tr>
    </w:tbl>
    <w:p>
      <w:pPr>
        <w:pStyle w:val="996"/>
        <w:spacing w:line="360" w:lineRule="auto"/>
        <w:rPr>
          <w:rFonts w:ascii="宋体" w:hAnsi="宋体"/>
          <w:b/>
          <w:color w:val="000000"/>
          <w:sz w:val="24"/>
          <w:highlight w:val="none"/>
        </w:rPr>
      </w:pPr>
      <w:r>
        <w:rPr>
          <w:rFonts w:hint="eastAsia" w:ascii="宋体" w:hAnsi="宋体"/>
          <w:b/>
          <w:color w:val="000000"/>
          <w:sz w:val="24"/>
          <w:highlight w:val="none"/>
        </w:rPr>
        <w:t xml:space="preserve">（2）物业管理（室外）</w:t>
      </w:r>
      <w:r>
        <w:rPr>
          <w:rFonts w:ascii="宋体" w:hAnsi="宋体"/>
          <w:b/>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2905"/>
        <w:gridCol w:w="3397"/>
      </w:tblGrid>
      <w:tr>
        <w:trPr/>
        <w:tc>
          <w:tcPr>
            <w:tcW w:w="2220"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名称</w:t>
            </w:r>
            <w:r>
              <w:rPr>
                <w:rFonts w:ascii="宋体" w:hAnsi="宋体"/>
                <w:color w:val="000000"/>
                <w:sz w:val="24"/>
                <w:highlight w:val="none"/>
              </w:rPr>
            </w:r>
            <w:r/>
          </w:p>
        </w:tc>
        <w:tc>
          <w:tcPr>
            <w:tcW w:w="2905"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明细</w:t>
            </w:r>
            <w:r>
              <w:rPr>
                <w:rFonts w:ascii="宋体" w:hAnsi="宋体"/>
                <w:color w:val="000000"/>
                <w:sz w:val="24"/>
                <w:highlight w:val="none"/>
              </w:rPr>
            </w:r>
            <w:r/>
          </w:p>
        </w:tc>
        <w:tc>
          <w:tcPr>
            <w:tcW w:w="3397" w:type="dxa"/>
            <w:vAlign w:val="top"/>
            <w:textDirection w:val="lrTb"/>
            <w:noWrap w:val="false"/>
          </w:tcPr>
          <w:p>
            <w:pPr>
              <w:pStyle w:val="996"/>
              <w:jc w:val="center"/>
              <w:spacing w:line="360" w:lineRule="auto"/>
              <w:rPr>
                <w:rFonts w:ascii="宋体" w:hAnsi="宋体"/>
                <w:color w:val="000000"/>
                <w:sz w:val="24"/>
                <w:highlight w:val="none"/>
              </w:rPr>
            </w:pPr>
            <w:r>
              <w:rPr>
                <w:rFonts w:ascii="宋体" w:hAnsi="宋体"/>
                <w:color w:val="000000"/>
                <w:sz w:val="24"/>
                <w:highlight w:val="none"/>
              </w:rPr>
              <w:t xml:space="preserve">服务内容及标准</w:t>
            </w:r>
            <w:r>
              <w:rPr>
                <w:rFonts w:ascii="宋体" w:hAnsi="宋体"/>
                <w:color w:val="000000"/>
                <w:sz w:val="24"/>
                <w:highlight w:val="none"/>
              </w:rPr>
            </w:r>
            <w:r/>
          </w:p>
        </w:tc>
      </w:tr>
      <w:tr>
        <w:trPr/>
        <w:tc>
          <w:tcPr>
            <w:tcW w:w="2220" w:type="dxa"/>
            <w:vAlign w:val="top"/>
            <w:textDirection w:val="lrTb"/>
            <w:noWrap w:val="false"/>
          </w:tcPr>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2905" w:type="dxa"/>
            <w:vAlign w:val="top"/>
            <w:textDirection w:val="lrTb"/>
            <w:noWrap w:val="false"/>
          </w:tcPr>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c>
          <w:tcPr>
            <w:tcW w:w="3397" w:type="dxa"/>
            <w:vAlign w:val="top"/>
            <w:textDirection w:val="lrTb"/>
            <w:noWrap w:val="false"/>
          </w:tcPr>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r>
    </w:tbl>
    <w:p>
      <w:pPr>
        <w:pStyle w:val="996"/>
        <w:ind w:firstLine="480"/>
        <w:spacing w:line="360" w:lineRule="auto"/>
        <w:rPr>
          <w:rFonts w:ascii="宋体" w:hAnsi="宋体"/>
          <w:color w:val="000000"/>
          <w:sz w:val="24"/>
          <w:highlight w:val="none"/>
        </w:rPr>
      </w:pPr>
      <w:r>
        <w:rPr>
          <w:rFonts w:ascii="宋体" w:hAnsi="宋体"/>
          <w:color w:val="000000"/>
          <w:sz w:val="24"/>
          <w:highlight w:val="none"/>
        </w:rPr>
      </w:r>
      <w:r/>
    </w:p>
    <w:p>
      <w:pPr>
        <w:pStyle w:val="99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3.物业管理服务内容及标准</w:t>
      </w:r>
      <w:r>
        <w:rPr>
          <w:rFonts w:ascii="宋体" w:hAnsi="宋体"/>
          <w:b/>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【物业管理服务包括保洁服务、保安服务（含秩序维护服务、消控服务）、绿化服务、给排水系统管理维护、强弱电系统管理维护、空调系统管理维护、电梯系统管理维护、消防系统维护，及其他</w:t>
      </w:r>
      <w:r>
        <w:rPr>
          <w:rFonts w:hint="eastAsia" w:ascii="宋体" w:hAnsi="宋体"/>
          <w:color w:val="000000"/>
          <w:sz w:val="24"/>
          <w:highlight w:val="none"/>
          <w:lang w:val="zh-TW" w:eastAsia="zh-TW"/>
        </w:rPr>
        <w:t xml:space="preserve">工程维护保</w:t>
      </w:r>
      <w:r>
        <w:rPr>
          <w:rFonts w:hint="eastAsia" w:ascii="宋体" w:hAnsi="宋体"/>
          <w:color w:val="000000"/>
          <w:sz w:val="24"/>
          <w:highlight w:val="none"/>
        </w:rPr>
        <w:t xml:space="preserve">养等。】</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基本服务</w:t>
      </w:r>
      <w:r>
        <w:rPr>
          <w:rFonts w:ascii="宋体" w:hAnsi="宋体"/>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7"/>
        <w:gridCol w:w="2583"/>
        <w:gridCol w:w="4782"/>
      </w:tblGrid>
      <w:tr>
        <w:trPr/>
        <w:tc>
          <w:tcPr>
            <w:tcW w:w="1157"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ascii="微软雅黑" w:hAnsi="微软雅黑" w:eastAsia="微软雅黑" w:cs="微软雅黑"/>
                <w:color w:val="000000"/>
                <w:spacing w:val="-1"/>
                <w:szCs w:val="21"/>
                <w:highlight w:val="none"/>
                <w:lang w:eastAsia="en-US"/>
              </w:rPr>
            </w:r>
            <w:r/>
          </w:p>
        </w:tc>
        <w:tc>
          <w:tcPr>
            <w:tcW w:w="258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ascii="微软雅黑" w:hAnsi="微软雅黑" w:eastAsia="微软雅黑" w:cs="微软雅黑"/>
                <w:color w:val="000000"/>
                <w:spacing w:val="-1"/>
                <w:szCs w:val="21"/>
                <w:highlight w:val="none"/>
                <w:lang w:eastAsia="en-US"/>
              </w:rPr>
            </w:r>
            <w:r/>
          </w:p>
        </w:tc>
        <w:tc>
          <w:tcPr>
            <w:tcW w:w="4782"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ascii="微软雅黑" w:hAnsi="微软雅黑" w:eastAsia="微软雅黑" w:cs="微软雅黑"/>
                <w:color w:val="000000"/>
                <w:spacing w:val="-1"/>
                <w:szCs w:val="21"/>
                <w:highlight w:val="none"/>
                <w:lang w:eastAsia="en-US"/>
              </w:rPr>
            </w:r>
            <w:r/>
          </w:p>
        </w:tc>
      </w:tr>
      <w:tr>
        <w:trPr/>
        <w:tc>
          <w:tcPr>
            <w:tcW w:w="1157"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color w:val="000000"/>
                <w:spacing w:val="-1"/>
                <w:szCs w:val="21"/>
                <w:highlight w:val="none"/>
                <w:lang w:eastAsia="en-US"/>
              </w:rPr>
            </w:r>
            <w:r/>
          </w:p>
        </w:tc>
        <w:tc>
          <w:tcPr>
            <w:tcW w:w="258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物业管理总体目标</w:t>
            </w:r>
            <w:r>
              <w:rPr>
                <w:rFonts w:ascii="微软雅黑" w:hAnsi="微软雅黑" w:eastAsia="微软雅黑" w:cs="微软雅黑"/>
                <w:color w:val="000000"/>
                <w:spacing w:val="-1"/>
                <w:szCs w:val="21"/>
                <w:highlight w:val="none"/>
                <w:lang w:eastAsia="en-US"/>
              </w:rPr>
            </w:r>
            <w:r/>
          </w:p>
        </w:tc>
        <w:tc>
          <w:tcPr>
            <w:tcW w:w="4782" w:type="dxa"/>
            <w:vAlign w:val="top"/>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1.严格按照ISO9001：2008、ISO14001：2004、ISO45001:2018“三合一管理体系标准开展工作，本合同期内符合“三合一”认证标准，按照标准开展并落实各项日常工作；</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2.业主满意率达到90%以上，有效投诉处理率不低于95%；</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3.除因基建质量等特殊原因外，房屋及设备、配套设施完好率95%以上；</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4.管理服务人员必须持有相关的上岗证、资格证、专业培训合格率100%；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5.雨水井、污水井完好率100%；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6.排水管、明暗沟疏通率100%；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7.照明设备完好率100%；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8.机电设备完好率100%；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9.维修质量合格率100%；</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10.运用智慧物业系统对项目进行管理；</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11.落实招标人的各项工作任务，完成达标率100%。</w:t>
            </w:r>
            <w:r>
              <w:rPr>
                <w:rFonts w:ascii="微软雅黑" w:hAnsi="微软雅黑" w:eastAsia="微软雅黑" w:cs="微软雅黑"/>
                <w:color w:val="000000"/>
                <w:spacing w:val="-1"/>
                <w:szCs w:val="21"/>
                <w:highlight w:val="none"/>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3.3  公用设施设备维护服务</w:t>
      </w:r>
      <w:r>
        <w:rPr>
          <w:rFonts w:ascii="宋体" w:hAnsi="宋体"/>
          <w:color w:val="000000"/>
          <w:sz w:val="24"/>
          <w:highlight w:val="none"/>
        </w:rPr>
      </w:r>
      <w:r/>
    </w:p>
    <w:tbl>
      <w:tblPr>
        <w:tblStyle w:val="1114"/>
        <w:tblW w:w="86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2662"/>
        <w:gridCol w:w="4785"/>
      </w:tblGrid>
      <w:tr>
        <w:trPr/>
        <w:tc>
          <w:tcPr>
            <w:tcW w:w="118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ascii="微软雅黑" w:hAnsi="微软雅黑" w:eastAsia="微软雅黑" w:cs="微软雅黑"/>
                <w:color w:val="000000"/>
                <w:spacing w:val="-1"/>
                <w:szCs w:val="21"/>
                <w:highlight w:val="none"/>
                <w:lang w:eastAsia="en-US"/>
              </w:rPr>
            </w:r>
            <w:r/>
          </w:p>
        </w:tc>
        <w:tc>
          <w:tcPr>
            <w:tcW w:w="2662"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ascii="微软雅黑" w:hAnsi="微软雅黑" w:eastAsia="微软雅黑" w:cs="微软雅黑"/>
                <w:color w:val="000000"/>
                <w:spacing w:val="-1"/>
                <w:szCs w:val="21"/>
                <w:highlight w:val="none"/>
                <w:lang w:eastAsia="en-US"/>
              </w:rPr>
            </w:r>
            <w:r/>
          </w:p>
        </w:tc>
        <w:tc>
          <w:tcPr>
            <w:tcW w:w="4785"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ascii="微软雅黑" w:hAnsi="微软雅黑" w:eastAsia="微软雅黑" w:cs="微软雅黑"/>
                <w:color w:val="000000"/>
                <w:spacing w:val="-1"/>
                <w:szCs w:val="21"/>
                <w:highlight w:val="none"/>
                <w:lang w:eastAsia="en-US"/>
              </w:rPr>
            </w:r>
            <w:r/>
          </w:p>
        </w:tc>
      </w:tr>
      <w:tr>
        <w:trPr/>
        <w:tc>
          <w:tcPr>
            <w:tcW w:w="118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color w:val="000000"/>
                <w:spacing w:val="-1"/>
                <w:szCs w:val="21"/>
                <w:highlight w:val="none"/>
                <w:lang w:eastAsia="en-US"/>
              </w:rPr>
            </w:r>
            <w:r/>
          </w:p>
        </w:tc>
        <w:tc>
          <w:tcPr>
            <w:tcW w:w="266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给排水系统管理维护</w:t>
            </w:r>
            <w:r>
              <w:rPr>
                <w:rFonts w:ascii="微软雅黑" w:hAnsi="微软雅黑" w:eastAsia="微软雅黑" w:cs="微软雅黑"/>
                <w:color w:val="000000"/>
                <w:spacing w:val="-1"/>
                <w:szCs w:val="21"/>
                <w:highlight w:val="none"/>
                <w:lang w:eastAsia="en-US"/>
              </w:rPr>
            </w:r>
            <w:r/>
          </w:p>
        </w:tc>
        <w:tc>
          <w:tcPr>
            <w:tcW w:w="4785" w:type="dxa"/>
            <w:vAlign w:val="center"/>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学校房屋内外给排水系统的水质监测，及蓄水池、供水管路、排水管、消火栓、隔油池等设备设施的日常养护维修。（隔油池每年清掏1次，管道疏通另行收费）</w:t>
            </w:r>
            <w:r>
              <w:rPr>
                <w:rFonts w:ascii="微软雅黑" w:hAnsi="微软雅黑" w:eastAsia="微软雅黑" w:cs="微软雅黑"/>
                <w:color w:val="000000"/>
                <w:spacing w:val="-1"/>
                <w:szCs w:val="21"/>
                <w:highlight w:val="none"/>
              </w:rPr>
            </w:r>
            <w:r/>
          </w:p>
        </w:tc>
      </w:tr>
      <w:tr>
        <w:trPr/>
        <w:tc>
          <w:tcPr>
            <w:tcW w:w="118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ascii="微软雅黑" w:hAnsi="微软雅黑" w:eastAsia="微软雅黑" w:cs="微软雅黑"/>
                <w:color w:val="000000"/>
                <w:spacing w:val="-1"/>
                <w:szCs w:val="21"/>
                <w:highlight w:val="none"/>
                <w:lang w:eastAsia="en-US"/>
              </w:rPr>
            </w:r>
            <w:r/>
          </w:p>
        </w:tc>
        <w:tc>
          <w:tcPr>
            <w:tcW w:w="266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强弱电系统管理维护</w:t>
            </w:r>
            <w:r>
              <w:rPr>
                <w:rFonts w:ascii="微软雅黑" w:hAnsi="微软雅黑" w:eastAsia="微软雅黑" w:cs="微软雅黑"/>
                <w:color w:val="000000"/>
                <w:spacing w:val="-1"/>
                <w:szCs w:val="21"/>
                <w:highlight w:val="none"/>
                <w:lang w:eastAsia="en-US"/>
              </w:rPr>
            </w:r>
            <w:r/>
          </w:p>
        </w:tc>
        <w:tc>
          <w:tcPr>
            <w:tcW w:w="4785" w:type="dxa"/>
            <w:vAlign w:val="center"/>
            <w:textDirection w:val="lrTb"/>
            <w:noWrap w:val="false"/>
          </w:tcPr>
          <w:p>
            <w:pPr>
              <w:pStyle w:val="996"/>
              <w:numPr>
                <w:ilvl w:val="0"/>
                <w:numId w:val="8"/>
              </w:numPr>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学校供电系统、高低压电气设备、电线电缆、照明装置等的日常管理和养护维修及避雷检测工作。</w:t>
            </w:r>
            <w:r>
              <w:rPr>
                <w:rFonts w:ascii="微软雅黑" w:hAnsi="微软雅黑" w:eastAsia="微软雅黑" w:cs="微软雅黑"/>
                <w:color w:val="000000"/>
                <w:spacing w:val="-1"/>
                <w:szCs w:val="21"/>
                <w:highlight w:val="none"/>
              </w:rPr>
            </w:r>
            <w:r/>
          </w:p>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2、学校停车系统及监控系统智能化设施设备的维护维修。</w:t>
            </w:r>
            <w:r>
              <w:rPr>
                <w:rFonts w:ascii="微软雅黑" w:hAnsi="微软雅黑" w:eastAsia="微软雅黑" w:cs="微软雅黑"/>
                <w:color w:val="000000"/>
                <w:spacing w:val="-1"/>
                <w:szCs w:val="21"/>
                <w:highlight w:val="none"/>
              </w:rPr>
            </w:r>
            <w:r/>
          </w:p>
        </w:tc>
      </w:tr>
      <w:tr>
        <w:trPr/>
        <w:tc>
          <w:tcPr>
            <w:tcW w:w="1183" w:type="dxa"/>
            <w:vAlign w:val="center"/>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3</w:t>
            </w:r>
            <w:r>
              <w:rPr>
                <w:rFonts w:ascii="微软雅黑" w:hAnsi="微软雅黑" w:eastAsia="微软雅黑" w:cs="微软雅黑"/>
                <w:color w:val="000000"/>
                <w:spacing w:val="-1"/>
                <w:szCs w:val="21"/>
                <w:highlight w:val="none"/>
              </w:rPr>
            </w:r>
            <w:r/>
          </w:p>
        </w:tc>
        <w:tc>
          <w:tcPr>
            <w:tcW w:w="266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空调系统管理维护</w:t>
            </w:r>
            <w:r>
              <w:rPr>
                <w:rFonts w:ascii="微软雅黑" w:hAnsi="微软雅黑" w:eastAsia="微软雅黑" w:cs="微软雅黑"/>
                <w:color w:val="000000"/>
                <w:spacing w:val="-1"/>
                <w:szCs w:val="21"/>
                <w:highlight w:val="none"/>
                <w:lang w:eastAsia="en-US"/>
              </w:rPr>
            </w:r>
            <w:r/>
          </w:p>
        </w:tc>
        <w:tc>
          <w:tcPr>
            <w:tcW w:w="4785" w:type="dxa"/>
            <w:vAlign w:val="center"/>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学校空调系统日常维护（不含维修）、清洗（一年两次）。</w:t>
            </w:r>
            <w:r>
              <w:rPr>
                <w:rFonts w:ascii="微软雅黑" w:hAnsi="微软雅黑" w:eastAsia="微软雅黑" w:cs="微软雅黑"/>
                <w:color w:val="000000"/>
                <w:spacing w:val="-1"/>
                <w:szCs w:val="21"/>
                <w:highlight w:val="none"/>
              </w:rPr>
            </w:r>
            <w:r/>
          </w:p>
        </w:tc>
      </w:tr>
      <w:tr>
        <w:trPr/>
        <w:tc>
          <w:tcPr>
            <w:tcW w:w="1183" w:type="dxa"/>
            <w:vAlign w:val="center"/>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4</w:t>
            </w:r>
            <w:r>
              <w:rPr>
                <w:rFonts w:ascii="微软雅黑" w:hAnsi="微软雅黑" w:eastAsia="微软雅黑" w:cs="微软雅黑"/>
                <w:color w:val="000000"/>
                <w:spacing w:val="-1"/>
                <w:szCs w:val="21"/>
                <w:highlight w:val="none"/>
              </w:rPr>
            </w:r>
            <w:r/>
          </w:p>
        </w:tc>
        <w:tc>
          <w:tcPr>
            <w:tcW w:w="266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电梯系统管理维护</w:t>
            </w:r>
            <w:r>
              <w:rPr>
                <w:rFonts w:ascii="微软雅黑" w:hAnsi="微软雅黑" w:eastAsia="微软雅黑" w:cs="微软雅黑"/>
                <w:color w:val="000000"/>
                <w:spacing w:val="-1"/>
                <w:szCs w:val="21"/>
                <w:highlight w:val="none"/>
                <w:lang w:eastAsia="en-US"/>
              </w:rPr>
            </w:r>
            <w:r/>
          </w:p>
        </w:tc>
        <w:tc>
          <w:tcPr>
            <w:tcW w:w="4785" w:type="dxa"/>
            <w:vAlign w:val="center"/>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学校电梯年检等运行管理，及对机房设备、井道系统、轿厢设备等的日常养护维修。</w:t>
            </w:r>
            <w:r>
              <w:rPr>
                <w:rFonts w:ascii="微软雅黑" w:hAnsi="微软雅黑" w:eastAsia="微软雅黑" w:cs="微软雅黑"/>
                <w:color w:val="000000"/>
                <w:spacing w:val="-1"/>
                <w:szCs w:val="21"/>
                <w:highlight w:val="none"/>
              </w:rPr>
            </w:r>
            <w:r/>
          </w:p>
        </w:tc>
      </w:tr>
      <w:tr>
        <w:trPr/>
        <w:tc>
          <w:tcPr>
            <w:tcW w:w="1183" w:type="dxa"/>
            <w:vAlign w:val="center"/>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5</w:t>
            </w:r>
            <w:r>
              <w:rPr>
                <w:rFonts w:ascii="微软雅黑" w:hAnsi="微软雅黑" w:eastAsia="微软雅黑" w:cs="微软雅黑"/>
                <w:color w:val="000000"/>
                <w:spacing w:val="-1"/>
                <w:szCs w:val="21"/>
                <w:highlight w:val="none"/>
              </w:rPr>
            </w:r>
            <w:r/>
          </w:p>
        </w:tc>
        <w:tc>
          <w:tcPr>
            <w:tcW w:w="266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消防系统维护</w:t>
            </w:r>
            <w:r>
              <w:rPr>
                <w:rFonts w:ascii="微软雅黑" w:hAnsi="微软雅黑" w:eastAsia="微软雅黑" w:cs="微软雅黑"/>
                <w:color w:val="000000"/>
                <w:spacing w:val="-1"/>
                <w:szCs w:val="21"/>
                <w:highlight w:val="none"/>
                <w:lang w:eastAsia="en-US"/>
              </w:rPr>
            </w:r>
            <w:r/>
          </w:p>
        </w:tc>
        <w:tc>
          <w:tcPr>
            <w:tcW w:w="4785" w:type="dxa"/>
            <w:vAlign w:val="center"/>
            <w:textDirection w:val="lrTb"/>
            <w:noWrap w:val="false"/>
          </w:tcPr>
          <w:p>
            <w:pPr>
              <w:pStyle w:val="996"/>
              <w:jc w:val="left"/>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学校灭火器与自动报警系统、自动喷淋系统、安全疏散系统及红外线报警器、安防系统等日常管理养护。</w:t>
            </w:r>
            <w:r>
              <w:rPr>
                <w:rFonts w:ascii="微软雅黑" w:hAnsi="微软雅黑" w:eastAsia="微软雅黑" w:cs="微软雅黑"/>
                <w:color w:val="000000"/>
                <w:spacing w:val="-1"/>
                <w:szCs w:val="21"/>
                <w:highlight w:val="none"/>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3.4  保洁服务</w:t>
      </w:r>
      <w:r>
        <w:rPr>
          <w:rFonts w:ascii="宋体" w:hAnsi="宋体"/>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ascii="微软雅黑" w:hAnsi="微软雅黑" w:eastAsia="微软雅黑" w:cs="微软雅黑"/>
                <w:color w:val="000000"/>
                <w:spacing w:val="-1"/>
                <w:szCs w:val="21"/>
                <w:highlight w:val="none"/>
                <w:lang w:eastAsia="en-US"/>
              </w:rPr>
            </w:r>
            <w:r/>
          </w:p>
        </w:tc>
        <w:tc>
          <w:tcPr>
            <w:tcW w:w="2632"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ascii="微软雅黑" w:hAnsi="微软雅黑" w:eastAsia="微软雅黑" w:cs="微软雅黑"/>
                <w:color w:val="000000"/>
                <w:spacing w:val="-1"/>
                <w:szCs w:val="21"/>
                <w:highlight w:val="none"/>
                <w:lang w:eastAsia="en-US"/>
              </w:rPr>
            </w:r>
            <w:r/>
          </w:p>
        </w:tc>
        <w:tc>
          <w:tcPr>
            <w:tcW w:w="4717"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ascii="微软雅黑" w:hAnsi="微软雅黑" w:eastAsia="微软雅黑" w:cs="微软雅黑"/>
                <w:color w:val="000000"/>
                <w:spacing w:val="-1"/>
                <w:szCs w:val="21"/>
                <w:highlight w:val="none"/>
                <w:lang w:eastAsia="en-US"/>
              </w:rPr>
            </w:r>
            <w:r/>
          </w:p>
        </w:tc>
      </w:tr>
      <w:tr>
        <w:trPr/>
        <w:tc>
          <w:tcPr>
            <w:tcW w:w="117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color w:val="000000"/>
                <w:spacing w:val="-1"/>
                <w:szCs w:val="21"/>
                <w:highlight w:val="none"/>
                <w:lang w:eastAsia="en-US"/>
              </w:rPr>
            </w:r>
            <w:r/>
          </w:p>
        </w:tc>
        <w:tc>
          <w:tcPr>
            <w:tcW w:w="2632" w:type="dxa"/>
            <w:vAlign w:val="center"/>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保洁服务</w:t>
            </w:r>
            <w:r>
              <w:rPr>
                <w:rFonts w:ascii="微软雅黑" w:hAnsi="微软雅黑" w:eastAsia="微软雅黑" w:cs="微软雅黑"/>
                <w:color w:val="000000"/>
                <w:spacing w:val="-1"/>
                <w:szCs w:val="21"/>
                <w:highlight w:val="none"/>
              </w:rPr>
            </w:r>
            <w:r/>
          </w:p>
        </w:tc>
        <w:tc>
          <w:tcPr>
            <w:tcW w:w="4717" w:type="dxa"/>
            <w:vAlign w:val="center"/>
            <w:textDirection w:val="lrTb"/>
            <w:noWrap w:val="false"/>
          </w:tcPr>
          <w:p>
            <w:pPr>
              <w:pStyle w:val="996"/>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四害消杀，白蚁防治，地面、玻璃门窗清洁，开水器清洗，油烟机灶具清洗，冰箱、冰柜、洗衣机、风扇清洗。</w:t>
            </w:r>
            <w:r>
              <w:rPr>
                <w:rFonts w:ascii="微软雅黑" w:hAnsi="微软雅黑" w:eastAsia="微软雅黑" w:cs="微软雅黑"/>
                <w:color w:val="000000"/>
                <w:spacing w:val="-1"/>
                <w:szCs w:val="21"/>
                <w:highlight w:val="none"/>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3.5  绿化服务</w:t>
      </w:r>
      <w:r>
        <w:rPr>
          <w:rFonts w:ascii="宋体" w:hAnsi="宋体"/>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ascii="微软雅黑" w:hAnsi="微软雅黑" w:eastAsia="微软雅黑" w:cs="微软雅黑"/>
                <w:color w:val="000000"/>
                <w:spacing w:val="-1"/>
                <w:szCs w:val="21"/>
                <w:highlight w:val="none"/>
                <w:lang w:eastAsia="en-US"/>
              </w:rPr>
            </w:r>
            <w:r/>
          </w:p>
        </w:tc>
        <w:tc>
          <w:tcPr>
            <w:tcW w:w="2632"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ascii="微软雅黑" w:hAnsi="微软雅黑" w:eastAsia="微软雅黑" w:cs="微软雅黑"/>
                <w:color w:val="000000"/>
                <w:spacing w:val="-1"/>
                <w:szCs w:val="21"/>
                <w:highlight w:val="none"/>
                <w:lang w:eastAsia="en-US"/>
              </w:rPr>
            </w:r>
            <w:r/>
          </w:p>
        </w:tc>
        <w:tc>
          <w:tcPr>
            <w:tcW w:w="4717"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ascii="微软雅黑" w:hAnsi="微软雅黑" w:eastAsia="微软雅黑" w:cs="微软雅黑"/>
                <w:color w:val="000000"/>
                <w:spacing w:val="-1"/>
                <w:szCs w:val="21"/>
                <w:highlight w:val="none"/>
                <w:lang w:eastAsia="en-US"/>
              </w:rPr>
            </w:r>
            <w:r/>
          </w:p>
        </w:tc>
      </w:tr>
      <w:tr>
        <w:trPr/>
        <w:tc>
          <w:tcPr>
            <w:tcW w:w="117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color w:val="000000"/>
                <w:spacing w:val="-1"/>
                <w:szCs w:val="21"/>
                <w:highlight w:val="none"/>
                <w:lang w:eastAsia="en-US"/>
              </w:rPr>
            </w:r>
            <w:r/>
          </w:p>
        </w:tc>
        <w:tc>
          <w:tcPr>
            <w:tcW w:w="2632" w:type="dxa"/>
            <w:vAlign w:val="center"/>
            <w:textDirection w:val="lrTb"/>
            <w:noWrap w:val="false"/>
          </w:tcPr>
          <w:p>
            <w:pPr>
              <w:pStyle w:val="996"/>
              <w:jc w:val="center"/>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绿化服务</w:t>
            </w:r>
            <w:r>
              <w:rPr>
                <w:rFonts w:ascii="微软雅黑" w:hAnsi="微软雅黑" w:eastAsia="微软雅黑" w:cs="微软雅黑"/>
                <w:color w:val="000000"/>
                <w:spacing w:val="-1"/>
                <w:szCs w:val="21"/>
                <w:highlight w:val="none"/>
              </w:rPr>
            </w:r>
            <w:r/>
          </w:p>
        </w:tc>
        <w:tc>
          <w:tcPr>
            <w:tcW w:w="4717" w:type="dxa"/>
            <w:vAlign w:val="center"/>
            <w:textDirection w:val="lrTb"/>
            <w:noWrap w:val="false"/>
          </w:tcPr>
          <w:p>
            <w:pPr>
              <w:pStyle w:val="996"/>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学校室外各类植株进行整形修剪、根据实际情况按需浇水和病虫害综合治理等日常养护，绿化带、盆株的日常清洁和绿化生产垃圾的清运。</w:t>
            </w:r>
            <w:r>
              <w:rPr>
                <w:rFonts w:ascii="微软雅黑" w:hAnsi="微软雅黑" w:eastAsia="微软雅黑" w:cs="微软雅黑"/>
                <w:color w:val="000000"/>
                <w:spacing w:val="-1"/>
                <w:szCs w:val="21"/>
                <w:highlight w:val="none"/>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3.6  保安服务</w:t>
      </w:r>
      <w:r>
        <w:rPr>
          <w:rFonts w:ascii="宋体" w:hAnsi="宋体"/>
          <w:color w:val="000000"/>
          <w:sz w:val="24"/>
          <w:highlight w:val="none"/>
        </w:rPr>
      </w:r>
      <w:r/>
    </w:p>
    <w:tbl>
      <w:tblPr>
        <w:tblStyle w:val="1114"/>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3"/>
        <w:gridCol w:w="2632"/>
        <w:gridCol w:w="4717"/>
      </w:tblGrid>
      <w:tr>
        <w:trPr/>
        <w:tc>
          <w:tcPr>
            <w:tcW w:w="1173"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序号</w:t>
            </w:r>
            <w:r>
              <w:rPr>
                <w:rFonts w:ascii="微软雅黑" w:hAnsi="微软雅黑" w:eastAsia="微软雅黑" w:cs="微软雅黑"/>
                <w:color w:val="000000"/>
                <w:spacing w:val="-1"/>
                <w:szCs w:val="21"/>
                <w:highlight w:val="none"/>
                <w:lang w:eastAsia="en-US"/>
              </w:rPr>
            </w:r>
            <w:r/>
          </w:p>
        </w:tc>
        <w:tc>
          <w:tcPr>
            <w:tcW w:w="2632"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服务内容</w:t>
            </w:r>
            <w:r>
              <w:rPr>
                <w:rFonts w:ascii="微软雅黑" w:hAnsi="微软雅黑" w:eastAsia="微软雅黑" w:cs="微软雅黑"/>
                <w:color w:val="000000"/>
                <w:spacing w:val="-1"/>
                <w:szCs w:val="21"/>
                <w:highlight w:val="none"/>
                <w:lang w:eastAsia="en-US"/>
              </w:rPr>
            </w:r>
            <w:r/>
          </w:p>
        </w:tc>
        <w:tc>
          <w:tcPr>
            <w:tcW w:w="4717" w:type="dxa"/>
            <w:vAlign w:val="top"/>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ascii="微软雅黑" w:hAnsi="微软雅黑" w:eastAsia="微软雅黑" w:cs="微软雅黑"/>
                <w:color w:val="000000"/>
                <w:spacing w:val="-1"/>
                <w:szCs w:val="21"/>
                <w:highlight w:val="none"/>
                <w:lang w:eastAsia="en-US"/>
              </w:rPr>
              <w:t xml:space="preserve">服务标准</w:t>
            </w:r>
            <w:r>
              <w:rPr>
                <w:rFonts w:ascii="微软雅黑" w:hAnsi="微软雅黑" w:eastAsia="微软雅黑" w:cs="微软雅黑"/>
                <w:color w:val="000000"/>
                <w:spacing w:val="-1"/>
                <w:szCs w:val="21"/>
                <w:highlight w:val="none"/>
                <w:lang w:eastAsia="en-US"/>
              </w:rPr>
            </w:r>
            <w:r/>
          </w:p>
        </w:tc>
      </w:tr>
      <w:tr>
        <w:trPr/>
        <w:tc>
          <w:tcPr>
            <w:tcW w:w="117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1</w:t>
            </w:r>
            <w:r>
              <w:rPr>
                <w:rFonts w:ascii="微软雅黑" w:hAnsi="微软雅黑" w:eastAsia="微软雅黑" w:cs="微软雅黑"/>
                <w:color w:val="000000"/>
                <w:spacing w:val="-1"/>
                <w:szCs w:val="21"/>
                <w:highlight w:val="none"/>
                <w:lang w:eastAsia="en-US"/>
              </w:rPr>
            </w:r>
            <w:r/>
          </w:p>
        </w:tc>
        <w:tc>
          <w:tcPr>
            <w:tcW w:w="263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秩序维护服务</w:t>
            </w:r>
            <w:r>
              <w:rPr>
                <w:rFonts w:ascii="微软雅黑" w:hAnsi="微软雅黑" w:eastAsia="微软雅黑" w:cs="微软雅黑"/>
                <w:color w:val="000000"/>
                <w:spacing w:val="-1"/>
                <w:szCs w:val="21"/>
                <w:highlight w:val="none"/>
                <w:lang w:eastAsia="en-US"/>
              </w:rPr>
            </w:r>
            <w:r/>
          </w:p>
        </w:tc>
        <w:tc>
          <w:tcPr>
            <w:tcW w:w="4717" w:type="dxa"/>
            <w:vAlign w:val="center"/>
            <w:textDirection w:val="lrTb"/>
            <w:noWrap w:val="false"/>
          </w:tcPr>
          <w:p>
            <w:pPr>
              <w:pStyle w:val="996"/>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学校门卫和日常巡逻、防盗等管理，车辆、道路及公共秩序维护，防汛、治安及其它突发事件处理等。</w:t>
            </w:r>
            <w:r>
              <w:rPr>
                <w:rFonts w:ascii="微软雅黑" w:hAnsi="微软雅黑" w:eastAsia="微软雅黑" w:cs="微软雅黑"/>
                <w:color w:val="000000"/>
                <w:spacing w:val="-1"/>
                <w:szCs w:val="21"/>
                <w:highlight w:val="none"/>
              </w:rPr>
            </w:r>
            <w:r/>
          </w:p>
        </w:tc>
      </w:tr>
      <w:tr>
        <w:trPr/>
        <w:tc>
          <w:tcPr>
            <w:tcW w:w="1173"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2</w:t>
            </w:r>
            <w:r>
              <w:rPr>
                <w:rFonts w:ascii="微软雅黑" w:hAnsi="微软雅黑" w:eastAsia="微软雅黑" w:cs="微软雅黑"/>
                <w:color w:val="000000"/>
                <w:spacing w:val="-1"/>
                <w:szCs w:val="21"/>
                <w:highlight w:val="none"/>
                <w:lang w:eastAsia="en-US"/>
              </w:rPr>
            </w:r>
            <w:r/>
          </w:p>
        </w:tc>
        <w:tc>
          <w:tcPr>
            <w:tcW w:w="2632" w:type="dxa"/>
            <w:vAlign w:val="center"/>
            <w:textDirection w:val="lrTb"/>
            <w:noWrap w:val="false"/>
          </w:tcPr>
          <w:p>
            <w:pPr>
              <w:pStyle w:val="996"/>
              <w:jc w:val="center"/>
              <w:rPr>
                <w:rFonts w:ascii="微软雅黑" w:hAnsi="微软雅黑" w:eastAsia="微软雅黑" w:cs="微软雅黑"/>
                <w:color w:val="000000"/>
                <w:spacing w:val="-1"/>
                <w:szCs w:val="21"/>
                <w:highlight w:val="none"/>
                <w:lang w:eastAsia="en-US"/>
              </w:rPr>
            </w:pPr>
            <w:r>
              <w:rPr>
                <w:rFonts w:hint="eastAsia" w:ascii="微软雅黑" w:hAnsi="微软雅黑" w:eastAsia="微软雅黑" w:cs="微软雅黑"/>
                <w:color w:val="000000"/>
                <w:spacing w:val="-1"/>
                <w:szCs w:val="21"/>
                <w:highlight w:val="none"/>
                <w:lang w:eastAsia="en-US"/>
              </w:rPr>
              <w:t xml:space="preserve">消控服务</w:t>
            </w:r>
            <w:r>
              <w:rPr>
                <w:rFonts w:ascii="微软雅黑" w:hAnsi="微软雅黑" w:eastAsia="微软雅黑" w:cs="微软雅黑"/>
                <w:color w:val="000000"/>
                <w:spacing w:val="-1"/>
                <w:szCs w:val="21"/>
                <w:highlight w:val="none"/>
                <w:lang w:eastAsia="en-US"/>
              </w:rPr>
            </w:r>
            <w:r/>
          </w:p>
        </w:tc>
        <w:tc>
          <w:tcPr>
            <w:tcW w:w="4717" w:type="dxa"/>
            <w:vAlign w:val="center"/>
            <w:textDirection w:val="lrTb"/>
            <w:noWrap w:val="false"/>
          </w:tcPr>
          <w:p>
            <w:pPr>
              <w:pStyle w:val="996"/>
              <w:rPr>
                <w:rFonts w:ascii="微软雅黑" w:hAnsi="微软雅黑" w:eastAsia="微软雅黑" w:cs="微软雅黑"/>
                <w:color w:val="000000"/>
                <w:spacing w:val="-1"/>
                <w:szCs w:val="21"/>
                <w:highlight w:val="none"/>
              </w:rPr>
            </w:pPr>
            <w:r>
              <w:rPr>
                <w:rFonts w:hint="eastAsia" w:ascii="微软雅黑" w:hAnsi="微软雅黑" w:eastAsia="微软雅黑" w:cs="微软雅黑"/>
                <w:color w:val="000000"/>
                <w:spacing w:val="-1"/>
                <w:szCs w:val="21"/>
                <w:highlight w:val="none"/>
              </w:rPr>
              <w:t xml:space="preserve">负责项目消防安全检查、消防控制室监控、建筑消防设施操作与维护、消防安全管理等工作。</w:t>
            </w:r>
            <w:r>
              <w:rPr>
                <w:rFonts w:ascii="微软雅黑" w:hAnsi="微软雅黑" w:eastAsia="微软雅黑" w:cs="微软雅黑"/>
                <w:color w:val="000000"/>
                <w:spacing w:val="-1"/>
                <w:szCs w:val="21"/>
                <w:highlight w:val="none"/>
              </w:rPr>
            </w:r>
            <w:r/>
          </w:p>
        </w:tc>
      </w:tr>
    </w:tbl>
    <w:p>
      <w:pPr>
        <w:pStyle w:val="996"/>
        <w:spacing w:line="360" w:lineRule="auto"/>
        <w:rPr>
          <w:rFonts w:ascii="宋体" w:hAnsi="宋体"/>
          <w:color w:val="000000"/>
          <w:sz w:val="24"/>
          <w:highlight w:val="none"/>
        </w:rPr>
      </w:pPr>
      <w:r>
        <w:rPr>
          <w:rFonts w:ascii="宋体" w:hAnsi="宋体"/>
          <w:color w:val="000000"/>
          <w:sz w:val="24"/>
          <w:highlight w:val="none"/>
        </w:rPr>
      </w:r>
      <w:r/>
    </w:p>
    <w:p>
      <w:pPr>
        <w:pStyle w:val="99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4.供应商履行合同所需的设备</w:t>
      </w:r>
      <w:r>
        <w:rPr>
          <w:rFonts w:ascii="宋体" w:hAnsi="宋体"/>
          <w:b/>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根据项目实际需求，需要供应商提供作业设备（自有或租赁）用于物业管理服务的，可在下表中列出，举例如下：</w:t>
      </w:r>
      <w:r>
        <w:rPr>
          <w:rFonts w:ascii="宋体" w:hAnsi="宋体"/>
          <w:color w:val="000000"/>
          <w:sz w:val="24"/>
          <w:highlight w:val="none"/>
        </w:rPr>
      </w:r>
      <w:r/>
    </w:p>
    <w:tbl>
      <w:tblPr>
        <w:tblStyle w:val="1116"/>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c>
          <w:tcPr>
            <w:tcW w:w="851" w:type="dxa"/>
            <w:vAlign w:val="top"/>
            <w:textDirection w:val="lrTb"/>
            <w:noWrap w:val="false"/>
          </w:tcPr>
          <w:p>
            <w:pPr>
              <w:pStyle w:val="99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序号</w:t>
            </w:r>
            <w:r>
              <w:rPr>
                <w:rFonts w:ascii="微软雅黑" w:hAnsi="微软雅黑" w:eastAsia="微软雅黑" w:cs="微软雅黑"/>
                <w:color w:val="000000"/>
                <w:szCs w:val="21"/>
                <w:highlight w:val="none"/>
                <w:lang w:eastAsia="en-US"/>
              </w:rPr>
            </w:r>
            <w:r/>
          </w:p>
        </w:tc>
        <w:tc>
          <w:tcPr>
            <w:tcW w:w="2552" w:type="dxa"/>
            <w:vAlign w:val="top"/>
            <w:textDirection w:val="lrTb"/>
            <w:noWrap w:val="false"/>
          </w:tcPr>
          <w:p>
            <w:pPr>
              <w:pStyle w:val="99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用途</w:t>
            </w:r>
            <w:r>
              <w:rPr>
                <w:rFonts w:ascii="微软雅黑" w:hAnsi="微软雅黑" w:eastAsia="微软雅黑" w:cs="微软雅黑"/>
                <w:color w:val="000000"/>
                <w:szCs w:val="21"/>
                <w:highlight w:val="none"/>
                <w:lang w:eastAsia="en-US"/>
              </w:rPr>
            </w:r>
            <w:r/>
          </w:p>
        </w:tc>
        <w:tc>
          <w:tcPr>
            <w:tcW w:w="3848" w:type="dxa"/>
            <w:vAlign w:val="top"/>
            <w:textDirection w:val="lrTb"/>
            <w:noWrap w:val="false"/>
          </w:tcPr>
          <w:p>
            <w:pPr>
              <w:pStyle w:val="996"/>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作业设备名称</w:t>
            </w:r>
            <w:r>
              <w:rPr>
                <w:rFonts w:ascii="微软雅黑" w:hAnsi="微软雅黑" w:eastAsia="微软雅黑" w:cs="微软雅黑"/>
                <w:color w:val="000000"/>
                <w:szCs w:val="21"/>
                <w:highlight w:val="none"/>
                <w:lang w:eastAsia="en-US"/>
              </w:rPr>
            </w:r>
            <w:r/>
          </w:p>
        </w:tc>
        <w:tc>
          <w:tcPr>
            <w:tcW w:w="992" w:type="dxa"/>
            <w:vAlign w:val="top"/>
            <w:textDirection w:val="lrTb"/>
            <w:noWrap w:val="false"/>
          </w:tcPr>
          <w:p>
            <w:pPr>
              <w:pStyle w:val="99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zCs w:val="21"/>
                <w:highlight w:val="none"/>
                <w:lang w:eastAsia="en-US"/>
              </w:rPr>
              <w:t xml:space="preserve">数量</w:t>
            </w:r>
            <w:r>
              <w:rPr>
                <w:rFonts w:ascii="微软雅黑" w:hAnsi="微软雅黑" w:eastAsia="微软雅黑" w:cs="微软雅黑"/>
                <w:color w:val="000000"/>
                <w:szCs w:val="21"/>
                <w:highlight w:val="none"/>
                <w:lang w:eastAsia="en-US"/>
              </w:rPr>
            </w:r>
            <w:r/>
          </w:p>
        </w:tc>
        <w:tc>
          <w:tcPr>
            <w:tcW w:w="993" w:type="dxa"/>
            <w:vAlign w:val="top"/>
            <w:textDirection w:val="lrTb"/>
            <w:noWrap w:val="false"/>
          </w:tcPr>
          <w:p>
            <w:pPr>
              <w:pStyle w:val="996"/>
              <w:jc w:val="center"/>
              <w:rPr>
                <w:rFonts w:ascii="微软雅黑" w:hAnsi="微软雅黑" w:eastAsia="微软雅黑" w:cs="微软雅黑"/>
                <w:color w:val="000000"/>
                <w:szCs w:val="21"/>
                <w:highlight w:val="none"/>
                <w:lang w:eastAsia="en-US"/>
              </w:rPr>
            </w:pPr>
            <w:r>
              <w:rPr>
                <w:rFonts w:ascii="微软雅黑" w:hAnsi="微软雅黑" w:eastAsia="微软雅黑" w:cs="微软雅黑"/>
                <w:b/>
                <w:bCs/>
                <w:color w:val="000000"/>
                <w:spacing w:val="-1"/>
                <w:szCs w:val="21"/>
                <w:highlight w:val="none"/>
                <w:lang w:eastAsia="en-US"/>
              </w:rPr>
              <w:t xml:space="preserve">单位</w:t>
            </w:r>
            <w:r>
              <w:rPr>
                <w:rFonts w:ascii="微软雅黑" w:hAnsi="微软雅黑" w:eastAsia="微软雅黑" w:cs="微软雅黑"/>
                <w:color w:val="000000"/>
                <w:szCs w:val="21"/>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1</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2"/>
                <w:highlight w:val="none"/>
              </w:rPr>
              <w:t xml:space="preserve">基本服务</w:t>
            </w:r>
            <w:r>
              <w:rPr>
                <w:color w:val="000000"/>
                <w:highlight w:val="none"/>
              </w:rPr>
            </w:r>
            <w:r/>
          </w:p>
        </w:tc>
        <w:tc>
          <w:tcPr>
            <w:tcW w:w="3848" w:type="dxa"/>
            <w:vAlign w:val="center"/>
            <w:textDirection w:val="lrTb"/>
            <w:noWrap w:val="false"/>
          </w:tcPr>
          <w:p>
            <w:pPr>
              <w:pStyle w:val="1117"/>
              <w:jc w:val="center"/>
              <w:rPr>
                <w:rFonts w:ascii="Calibri" w:hAnsi="Calibri" w:cs="Calibri"/>
                <w:color w:val="000000"/>
                <w:highlight w:val="none"/>
                <w:lang w:eastAsia="zh-CN"/>
              </w:rPr>
            </w:pPr>
            <w:r>
              <w:rPr>
                <w:rFonts w:hint="eastAsia"/>
                <w:color w:val="000000"/>
                <w:spacing w:val="-2"/>
                <w:highlight w:val="none"/>
                <w:lang w:eastAsia="zh-CN"/>
              </w:rPr>
              <w:t xml:space="preserve">/</w:t>
            </w:r>
            <w:r>
              <w:rPr>
                <w:rFonts w:ascii="Calibri" w:hAnsi="Calibri" w:cs="Calibri"/>
                <w:color w:val="000000"/>
                <w:highlight w:val="none"/>
                <w:lang w:eastAsia="zh-CN"/>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2</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1"/>
                <w:highlight w:val="none"/>
              </w:rPr>
              <w:t xml:space="preserve">房屋维修服务</w:t>
            </w:r>
            <w:r>
              <w:rPr>
                <w:color w:val="000000"/>
                <w:highlight w:val="none"/>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3</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lang w:eastAsia="zh-CN"/>
              </w:rPr>
            </w:pPr>
            <w:r>
              <w:rPr>
                <w:color w:val="000000"/>
                <w:spacing w:val="-2"/>
                <w:highlight w:val="none"/>
                <w:lang w:eastAsia="zh-CN"/>
              </w:rPr>
              <w:t xml:space="preserve">公用设施设备维护服务</w:t>
            </w:r>
            <w:r>
              <w:rPr>
                <w:color w:val="000000"/>
                <w:highlight w:val="none"/>
                <w:lang w:eastAsia="zh-CN"/>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4</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2"/>
                <w:highlight w:val="none"/>
              </w:rPr>
              <w:t xml:space="preserve">保洁服务</w:t>
            </w:r>
            <w:r>
              <w:rPr>
                <w:color w:val="000000"/>
                <w:highlight w:val="none"/>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5</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2"/>
                <w:highlight w:val="none"/>
              </w:rPr>
              <w:t xml:space="preserve">绿化服务</w:t>
            </w:r>
            <w:r>
              <w:rPr>
                <w:color w:val="000000"/>
                <w:highlight w:val="none"/>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6</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2"/>
                <w:highlight w:val="none"/>
              </w:rPr>
              <w:t xml:space="preserve">保安服务</w:t>
            </w:r>
            <w:r>
              <w:rPr>
                <w:color w:val="000000"/>
                <w:highlight w:val="none"/>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r>
        <w:trPr/>
        <w:tc>
          <w:tcPr>
            <w:tcW w:w="851" w:type="dxa"/>
            <w:vAlign w:val="top"/>
            <w:textDirection w:val="lrTb"/>
            <w:noWrap w:val="false"/>
          </w:tcPr>
          <w:p>
            <w:pPr>
              <w:pStyle w:val="996"/>
              <w:jc w:val="center"/>
              <w:rPr>
                <w:rFonts w:eastAsia="Calibri" w:cs="Calibri"/>
                <w:color w:val="000000"/>
                <w:szCs w:val="21"/>
                <w:highlight w:val="none"/>
                <w:lang w:eastAsia="en-US"/>
              </w:rPr>
            </w:pPr>
            <w:r>
              <w:rPr>
                <w:rFonts w:eastAsia="Calibri" w:cs="Calibri"/>
                <w:color w:val="000000"/>
                <w:szCs w:val="21"/>
                <w:highlight w:val="none"/>
                <w:lang w:eastAsia="en-US"/>
              </w:rPr>
              <w:t xml:space="preserve">7</w:t>
            </w:r>
            <w:r>
              <w:rPr>
                <w:rFonts w:eastAsia="Calibri" w:cs="Calibri"/>
                <w:color w:val="000000"/>
                <w:szCs w:val="21"/>
                <w:highlight w:val="none"/>
                <w:lang w:eastAsia="en-US"/>
              </w:rPr>
            </w:r>
            <w:r/>
          </w:p>
        </w:tc>
        <w:tc>
          <w:tcPr>
            <w:tcW w:w="2552" w:type="dxa"/>
            <w:vAlign w:val="top"/>
            <w:textDirection w:val="lrTb"/>
            <w:noWrap w:val="false"/>
          </w:tcPr>
          <w:p>
            <w:pPr>
              <w:pStyle w:val="1117"/>
              <w:jc w:val="center"/>
              <w:rPr>
                <w:color w:val="000000"/>
                <w:highlight w:val="none"/>
              </w:rPr>
            </w:pPr>
            <w:r>
              <w:rPr>
                <w:color w:val="000000"/>
                <w:spacing w:val="-1"/>
                <w:highlight w:val="none"/>
              </w:rPr>
              <w:t xml:space="preserve">会议服务</w:t>
            </w:r>
            <w:r>
              <w:rPr>
                <w:color w:val="000000"/>
                <w:highlight w:val="none"/>
              </w:rPr>
            </w:r>
            <w:r/>
          </w:p>
        </w:tc>
        <w:tc>
          <w:tcPr>
            <w:tcW w:w="3848" w:type="dxa"/>
            <w:vAlign w:val="center"/>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c>
          <w:tcPr>
            <w:tcW w:w="992" w:type="dxa"/>
            <w:vAlign w:val="top"/>
            <w:textDirection w:val="lrTb"/>
            <w:noWrap w:val="false"/>
          </w:tcPr>
          <w:p>
            <w:pPr>
              <w:pStyle w:val="996"/>
              <w:jc w:val="center"/>
              <w:rPr>
                <w:rFonts w:eastAsia="Calibri" w:cs="Calibri"/>
                <w:color w:val="000000"/>
                <w:szCs w:val="21"/>
                <w:highlight w:val="none"/>
                <w:lang w:eastAsia="en-US"/>
              </w:rPr>
            </w:pPr>
            <w:r>
              <w:rPr>
                <w:rFonts w:hint="eastAsia" w:cs="Arial"/>
                <w:color w:val="000000"/>
                <w:spacing w:val="-2"/>
                <w:highlight w:val="none"/>
                <w:lang w:eastAsia="en-US"/>
              </w:rPr>
              <w:t xml:space="preserve">/</w:t>
            </w:r>
            <w:r>
              <w:rPr>
                <w:rFonts w:eastAsia="Calibri" w:cs="Calibri"/>
                <w:color w:val="000000"/>
                <w:szCs w:val="21"/>
                <w:highlight w:val="none"/>
                <w:lang w:eastAsia="en-US"/>
              </w:rPr>
            </w:r>
            <w:r/>
          </w:p>
        </w:tc>
        <w:tc>
          <w:tcPr>
            <w:tcW w:w="993" w:type="dxa"/>
            <w:vAlign w:val="top"/>
            <w:textDirection w:val="lrTb"/>
            <w:noWrap w:val="false"/>
          </w:tcPr>
          <w:p>
            <w:pPr>
              <w:pStyle w:val="996"/>
              <w:jc w:val="center"/>
              <w:rPr>
                <w:rFonts w:cs="Arial"/>
                <w:color w:val="000000"/>
                <w:highlight w:val="none"/>
                <w:lang w:eastAsia="en-US"/>
              </w:rPr>
            </w:pPr>
            <w:r>
              <w:rPr>
                <w:rFonts w:hint="eastAsia" w:cs="Arial"/>
                <w:color w:val="000000"/>
                <w:spacing w:val="-2"/>
                <w:highlight w:val="none"/>
                <w:lang w:eastAsia="en-US"/>
              </w:rPr>
              <w:t xml:space="preserve">/</w:t>
            </w:r>
            <w:r>
              <w:rPr>
                <w:rFonts w:cs="Arial"/>
                <w:color w:val="000000"/>
                <w:highlight w:val="none"/>
                <w:lang w:eastAsia="en-US"/>
              </w:rPr>
            </w:r>
            <w:r/>
          </w:p>
        </w:tc>
      </w:tr>
    </w:tbl>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注：采购人已无偿提供的作业设备，或准备放置评分项中作考察的，不在此重复要求。</w:t>
      </w:r>
      <w:r>
        <w:rPr>
          <w:rFonts w:ascii="宋体" w:hAnsi="宋体"/>
          <w:color w:val="000000"/>
          <w:sz w:val="24"/>
          <w:highlight w:val="none"/>
        </w:rPr>
      </w:r>
      <w:r/>
    </w:p>
    <w:p>
      <w:pPr>
        <w:pStyle w:val="996"/>
        <w:numPr>
          <w:ilvl w:val="0"/>
          <w:numId w:val="9"/>
        </w:numPr>
        <w:ind w:firstLine="482"/>
        <w:spacing w:line="360" w:lineRule="auto"/>
        <w:tabs>
          <w:tab w:val="left" w:pos="312" w:leader="none"/>
        </w:tabs>
        <w:rPr>
          <w:rFonts w:ascii="宋体" w:hAnsi="宋体"/>
          <w:b/>
          <w:color w:val="000000"/>
          <w:sz w:val="24"/>
          <w:highlight w:val="none"/>
        </w:rPr>
      </w:pPr>
      <w:r>
        <w:rPr>
          <w:rFonts w:hint="eastAsia" w:ascii="宋体" w:hAnsi="宋体"/>
          <w:b/>
          <w:color w:val="000000"/>
          <w:sz w:val="24"/>
          <w:highlight w:val="none"/>
        </w:rPr>
        <w:t xml:space="preserve">物业管理服务人员需求</w:t>
      </w:r>
      <w:r>
        <w:rPr>
          <w:rFonts w:ascii="宋体" w:hAnsi="宋体"/>
          <w:b/>
          <w:color w:val="000000"/>
          <w:sz w:val="24"/>
          <w:highlight w:val="none"/>
        </w:rPr>
      </w:r>
      <w:r/>
    </w:p>
    <w:p>
      <w:pPr>
        <w:pStyle w:val="996"/>
        <w:ind w:firstLine="480"/>
        <w:spacing w:line="360" w:lineRule="auto"/>
        <w:rPr>
          <w:rFonts w:ascii="宋体" w:hAnsi="宋体"/>
          <w:color w:val="000000"/>
          <w:sz w:val="24"/>
          <w:highlight w:val="none"/>
          <w:u w:val="single"/>
        </w:rPr>
      </w:pPr>
      <w:r>
        <w:rPr>
          <w:rFonts w:hint="eastAsia" w:ascii="宋体" w:hAnsi="宋体"/>
          <w:color w:val="000000"/>
          <w:sz w:val="24"/>
          <w:highlight w:val="none"/>
        </w:rPr>
        <w:t xml:space="preserve">本项目是否允许配置按国家规定可不缴纳社保的人员（是/否）：</w:t>
      </w:r>
      <w:r>
        <w:rPr>
          <w:rFonts w:hint="eastAsia" w:ascii="宋体" w:hAnsi="宋体"/>
          <w:color w:val="000000"/>
          <w:sz w:val="24"/>
          <w:highlight w:val="none"/>
          <w:u w:val="single"/>
        </w:rPr>
        <w:t xml:space="preserve">   否   </w:t>
      </w:r>
      <w:r>
        <w:rPr>
          <w:rFonts w:ascii="宋体" w:hAnsi="宋体"/>
          <w:color w:val="000000"/>
          <w:sz w:val="24"/>
          <w:highlight w:val="none"/>
          <w:u w:val="single"/>
        </w:rPr>
      </w:r>
      <w:r/>
    </w:p>
    <w:tbl>
      <w:tblPr>
        <w:tblStyle w:val="1116"/>
        <w:tblW w:w="838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8"/>
        <w:gridCol w:w="1534"/>
        <w:gridCol w:w="700"/>
        <w:gridCol w:w="4933"/>
      </w:tblGrid>
      <w:tr>
        <w:trPr>
          <w:trHeight w:val="889"/>
        </w:trPr>
        <w:tc>
          <w:tcPr>
            <w:tcW w:w="1218" w:type="dxa"/>
            <w:vAlign w:val="center"/>
            <w:textDirection w:val="lrTb"/>
            <w:noWrap w:val="false"/>
          </w:tcPr>
          <w:p>
            <w:pPr>
              <w:pStyle w:val="99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类别</w:t>
            </w:r>
            <w:r>
              <w:rPr>
                <w:rFonts w:ascii="微软雅黑" w:hAnsi="微软雅黑" w:eastAsia="微软雅黑" w:cs="微软雅黑"/>
                <w:color w:val="000000"/>
                <w:szCs w:val="21"/>
                <w:highlight w:val="none"/>
                <w:lang w:eastAsia="en-US"/>
              </w:rPr>
            </w:r>
            <w:r/>
          </w:p>
        </w:tc>
        <w:tc>
          <w:tcPr>
            <w:tcW w:w="1534" w:type="dxa"/>
            <w:vAlign w:val="center"/>
            <w:textDirection w:val="lrTb"/>
            <w:noWrap w:val="false"/>
          </w:tcPr>
          <w:p>
            <w:pPr>
              <w:pStyle w:val="99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pacing w:val="-1"/>
                <w:szCs w:val="21"/>
                <w:highlight w:val="none"/>
                <w:lang w:eastAsia="en-US"/>
              </w:rPr>
              <w:t xml:space="preserve">岗位</w:t>
            </w:r>
            <w:r>
              <w:rPr>
                <w:rFonts w:ascii="微软雅黑" w:hAnsi="微软雅黑" w:eastAsia="微软雅黑" w:cs="微软雅黑"/>
                <w:color w:val="000000"/>
                <w:szCs w:val="21"/>
                <w:highlight w:val="none"/>
                <w:lang w:eastAsia="en-US"/>
              </w:rPr>
            </w:r>
            <w:r/>
          </w:p>
        </w:tc>
        <w:tc>
          <w:tcPr>
            <w:tcW w:w="700" w:type="dxa"/>
            <w:vAlign w:val="center"/>
            <w:textDirection w:val="lrTb"/>
            <w:noWrap w:val="false"/>
          </w:tcPr>
          <w:p>
            <w:pPr>
              <w:pStyle w:val="996"/>
              <w:jc w:val="center"/>
              <w:rPr>
                <w:rFonts w:ascii="微软雅黑" w:hAnsi="微软雅黑" w:eastAsia="微软雅黑" w:cs="微软雅黑"/>
                <w:color w:val="000000"/>
                <w:szCs w:val="21"/>
                <w:highlight w:val="none"/>
                <w:lang w:eastAsia="en-US"/>
              </w:rPr>
            </w:pPr>
            <w:r>
              <w:rPr>
                <w:rFonts w:hint="eastAsia" w:ascii="宋体" w:hAnsi="宋体" w:cs="微软雅黑"/>
                <w:b/>
                <w:bCs/>
                <w:color w:val="000000"/>
                <w:szCs w:val="21"/>
                <w:highlight w:val="none"/>
                <w:lang w:eastAsia="en-US"/>
              </w:rPr>
              <w:t xml:space="preserve">人数</w:t>
            </w:r>
            <w:r>
              <w:rPr>
                <w:rFonts w:ascii="微软雅黑" w:hAnsi="微软雅黑" w:eastAsia="微软雅黑" w:cs="微软雅黑"/>
                <w:color w:val="000000"/>
                <w:szCs w:val="21"/>
                <w:highlight w:val="none"/>
                <w:lang w:eastAsia="en-US"/>
              </w:rPr>
            </w:r>
            <w:r/>
          </w:p>
        </w:tc>
        <w:tc>
          <w:tcPr>
            <w:tcW w:w="4933" w:type="dxa"/>
            <w:vAlign w:val="center"/>
            <w:textDirection w:val="lrTb"/>
            <w:noWrap w:val="false"/>
          </w:tcPr>
          <w:p>
            <w:pPr>
              <w:pStyle w:val="996"/>
              <w:jc w:val="center"/>
              <w:rPr>
                <w:rFonts w:ascii="宋体" w:hAnsi="宋体" w:cs="微软雅黑"/>
                <w:b/>
                <w:bCs/>
                <w:color w:val="000000"/>
                <w:spacing w:val="-1"/>
                <w:szCs w:val="21"/>
                <w:highlight w:val="none"/>
                <w:lang w:eastAsia="en-US"/>
              </w:rPr>
            </w:pPr>
            <w:r>
              <w:rPr>
                <w:rFonts w:hint="eastAsia" w:ascii="宋体" w:hAnsi="宋体" w:cs="微软雅黑"/>
                <w:b/>
                <w:bCs/>
                <w:color w:val="000000"/>
                <w:spacing w:val="-1"/>
                <w:szCs w:val="21"/>
                <w:highlight w:val="none"/>
                <w:lang w:eastAsia="en-US"/>
              </w:rPr>
              <w:t xml:space="preserve">备注</w:t>
            </w:r>
            <w:r>
              <w:rPr>
                <w:rFonts w:ascii="宋体" w:hAnsi="宋体" w:cs="微软雅黑"/>
                <w:b/>
                <w:bCs/>
                <w:color w:val="000000"/>
                <w:spacing w:val="-1"/>
                <w:szCs w:val="21"/>
                <w:highlight w:val="none"/>
                <w:lang w:eastAsia="en-US"/>
              </w:rPr>
            </w:r>
            <w:r/>
          </w:p>
          <w:p>
            <w:pPr>
              <w:pStyle w:val="996"/>
              <w:jc w:val="center"/>
              <w:rPr>
                <w:rFonts w:ascii="微软雅黑" w:hAnsi="微软雅黑" w:eastAsia="微软雅黑" w:cs="微软雅黑"/>
                <w:color w:val="000000"/>
                <w:szCs w:val="21"/>
                <w:highlight w:val="none"/>
                <w:lang w:eastAsia="zh-CN"/>
              </w:rPr>
            </w:pPr>
            <w:r>
              <w:rPr>
                <w:rFonts w:hint="eastAsia" w:ascii="宋体" w:hAnsi="宋体" w:cs="微软雅黑"/>
                <w:color w:val="000000"/>
                <w:spacing w:val="-1"/>
                <w:szCs w:val="21"/>
                <w:highlight w:val="none"/>
                <w:lang w:eastAsia="zh-CN"/>
              </w:rPr>
              <w:t xml:space="preserve">（明确各岗位否允许配置按国家规定可不缴纳社保的人员、须具备的上岗资格证、人员学历、工作经验等）</w:t>
            </w:r>
            <w:r>
              <w:rPr>
                <w:rFonts w:ascii="微软雅黑" w:hAnsi="微软雅黑" w:eastAsia="微软雅黑" w:cs="微软雅黑"/>
                <w:color w:val="000000"/>
                <w:szCs w:val="21"/>
                <w:highlight w:val="none"/>
                <w:lang w:eastAsia="zh-CN"/>
              </w:rPr>
            </w:r>
            <w:r/>
          </w:p>
        </w:tc>
      </w:tr>
      <w:tr>
        <w:trPr/>
        <w:tc>
          <w:tcPr>
            <w:tcW w:w="1218" w:type="dxa"/>
            <w:vAlign w:val="center"/>
            <w:vMerge w:val="restart"/>
            <w:textDirection w:val="lrTb"/>
            <w:noWrap w:val="false"/>
          </w:tcPr>
          <w:p>
            <w:pPr>
              <w:pStyle w:val="1117"/>
              <w:jc w:val="center"/>
              <w:rPr>
                <w:color w:val="000000"/>
                <w:highlight w:val="none"/>
                <w:lang w:eastAsia="zh-CN"/>
              </w:rPr>
            </w:pPr>
            <w:r>
              <w:rPr>
                <w:rFonts w:hint="eastAsia"/>
                <w:color w:val="000000"/>
                <w:highlight w:val="none"/>
                <w:lang w:eastAsia="zh-CN"/>
              </w:rPr>
              <w:t xml:space="preserve">保安服务</w:t>
            </w:r>
            <w:r>
              <w:rPr>
                <w:color w:val="000000"/>
                <w:highlight w:val="none"/>
                <w:lang w:eastAsia="zh-CN"/>
              </w:rPr>
            </w:r>
            <w:r/>
          </w:p>
        </w:tc>
        <w:tc>
          <w:tcPr>
            <w:tcW w:w="1534"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保安队长</w:t>
            </w:r>
            <w:r>
              <w:rPr>
                <w:rFonts w:ascii="宋体" w:hAnsi="宋体" w:cs="宋体"/>
                <w:color w:val="000000"/>
                <w:szCs w:val="21"/>
                <w:highlight w:val="none"/>
                <w:lang w:eastAsia="en-US"/>
              </w:rPr>
            </w:r>
            <w:r/>
          </w:p>
        </w:tc>
        <w:tc>
          <w:tcPr>
            <w:tcW w:w="700"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1</w:t>
            </w:r>
            <w:r>
              <w:rPr>
                <w:rFonts w:ascii="宋体" w:hAnsi="宋体" w:cs="宋体"/>
                <w:color w:val="000000"/>
                <w:szCs w:val="21"/>
                <w:highlight w:val="none"/>
                <w:lang w:eastAsia="en-US"/>
              </w:rPr>
            </w:r>
            <w:r/>
          </w:p>
        </w:tc>
        <w:tc>
          <w:tcPr>
            <w:tcW w:w="4933" w:type="dxa"/>
            <w:vAlign w:val="top"/>
            <w:textDirection w:val="lrTb"/>
            <w:noWrap w:val="false"/>
          </w:tcPr>
          <w:p>
            <w:pPr>
              <w:pStyle w:val="1117"/>
              <w:rPr>
                <w:color w:val="000000"/>
                <w:highlight w:val="none"/>
                <w:lang w:eastAsia="zh-CN"/>
              </w:rPr>
            </w:pPr>
            <w:r>
              <w:rPr>
                <w:rFonts w:hint="eastAsia"/>
                <w:color w:val="000000"/>
                <w:highlight w:val="none"/>
                <w:lang w:eastAsia="zh-CN"/>
              </w:rPr>
              <w:t xml:space="preserve">岗位职责说明：负责秩序维护工作、负责消防、监控技防设施操作管理，消防物资管理工作，对保管部门工作及人员的管理。</w:t>
            </w:r>
            <w:r>
              <w:rPr>
                <w:color w:val="000000"/>
                <w:highlight w:val="none"/>
                <w:lang w:eastAsia="zh-CN"/>
              </w:rPr>
            </w:r>
            <w:r/>
          </w:p>
          <w:p>
            <w:pPr>
              <w:pStyle w:val="1117"/>
              <w:rPr>
                <w:color w:val="000000"/>
                <w:highlight w:val="none"/>
                <w:lang w:eastAsia="zh-CN"/>
              </w:rPr>
            </w:pPr>
            <w:r>
              <w:rPr>
                <w:rFonts w:hint="eastAsia"/>
                <w:color w:val="000000"/>
                <w:highlight w:val="none"/>
                <w:lang w:eastAsia="zh-CN"/>
              </w:rPr>
              <w:t xml:space="preserve">基本素质要求：50周岁（含）以下（男女不限），能够管理一支队伍。</w:t>
            </w:r>
            <w:r>
              <w:rPr>
                <w:color w:val="000000"/>
                <w:highlight w:val="none"/>
                <w:lang w:eastAsia="zh-CN"/>
              </w:rPr>
            </w:r>
            <w:r/>
          </w:p>
          <w:p>
            <w:pPr>
              <w:pStyle w:val="1117"/>
              <w:rPr>
                <w:color w:val="000000"/>
                <w:highlight w:val="none"/>
                <w:lang w:eastAsia="zh-CN"/>
              </w:rPr>
            </w:pPr>
            <w:r>
              <w:rPr>
                <w:rFonts w:hint="eastAsia"/>
                <w:color w:val="000000"/>
                <w:highlight w:val="none"/>
                <w:lang w:eastAsia="zh-CN"/>
              </w:rPr>
              <w:t xml:space="preserve">其他：对部门各岗位工作完成情况进行抽查，对楼宇内外公共区域设备进行全面检查，统筹布局部门人员工作。</w:t>
            </w:r>
            <w:r>
              <w:rPr>
                <w:color w:val="000000"/>
                <w:highlight w:val="none"/>
                <w:lang w:eastAsia="zh-CN"/>
              </w:rPr>
            </w:r>
            <w:r/>
          </w:p>
        </w:tc>
      </w:tr>
      <w:tr>
        <w:trPr/>
        <w:tc>
          <w:tcPr>
            <w:tcW w:w="1218" w:type="dxa"/>
            <w:vAlign w:val="center"/>
            <w:vMerge w:val="continue"/>
            <w:textDirection w:val="lrTb"/>
            <w:noWrap w:val="false"/>
          </w:tcPr>
          <w:p>
            <w:pPr>
              <w:pStyle w:val="1117"/>
              <w:jc w:val="center"/>
              <w:rPr>
                <w:color w:val="000000"/>
                <w:highlight w:val="none"/>
                <w:lang w:eastAsia="zh-CN"/>
              </w:rPr>
            </w:pPr>
            <w:r>
              <w:rPr>
                <w:color w:val="000000"/>
                <w:highlight w:val="none"/>
                <w:lang w:eastAsia="zh-CN"/>
              </w:rPr>
            </w:r>
            <w:r/>
          </w:p>
        </w:tc>
        <w:tc>
          <w:tcPr>
            <w:tcW w:w="1534"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保安员</w:t>
            </w:r>
            <w:r>
              <w:rPr>
                <w:rFonts w:ascii="宋体" w:hAnsi="宋体" w:cs="宋体"/>
                <w:color w:val="000000"/>
                <w:szCs w:val="21"/>
                <w:highlight w:val="none"/>
                <w:lang w:eastAsia="en-US"/>
              </w:rPr>
            </w:r>
            <w:r/>
          </w:p>
        </w:tc>
        <w:tc>
          <w:tcPr>
            <w:tcW w:w="700"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3</w:t>
            </w:r>
            <w:r>
              <w:rPr>
                <w:rFonts w:ascii="宋体" w:hAnsi="宋体" w:cs="宋体"/>
                <w:color w:val="000000"/>
                <w:szCs w:val="21"/>
                <w:highlight w:val="none"/>
                <w:lang w:eastAsia="en-US"/>
              </w:rPr>
            </w:r>
            <w:r/>
          </w:p>
        </w:tc>
        <w:tc>
          <w:tcPr>
            <w:tcW w:w="4933" w:type="dxa"/>
            <w:vAlign w:val="top"/>
            <w:textDirection w:val="lrTb"/>
            <w:noWrap w:val="false"/>
          </w:tcPr>
          <w:p>
            <w:pPr>
              <w:pStyle w:val="996"/>
              <w:jc w:val="left"/>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岗位职责说明：负责出入口秩序维护和安全防范，树立良好形象，兼顾沿线秩序维护和应急处理及交通指挥，楼宇巡查。</w:t>
            </w:r>
            <w:r>
              <w:rPr>
                <w:rFonts w:ascii="宋体" w:hAnsi="宋体" w:cs="宋体"/>
                <w:color w:val="000000"/>
                <w:szCs w:val="21"/>
                <w:highlight w:val="none"/>
                <w:lang w:eastAsia="zh-CN"/>
              </w:rPr>
            </w:r>
            <w:r/>
          </w:p>
          <w:p>
            <w:pPr>
              <w:pStyle w:val="1117"/>
              <w:rPr>
                <w:color w:val="000000"/>
                <w:highlight w:val="none"/>
                <w:lang w:eastAsia="zh-CN"/>
              </w:rPr>
            </w:pPr>
            <w:r>
              <w:rPr>
                <w:rFonts w:hint="eastAsia"/>
                <w:color w:val="000000"/>
                <w:highlight w:val="none"/>
                <w:lang w:eastAsia="zh-CN"/>
              </w:rPr>
              <w:t xml:space="preserve">基本素质要求：50周岁以下，无犯罪前科、无违法违纪记录，身体健康，体形匀称，五官端正。</w:t>
            </w:r>
            <w:r>
              <w:rPr>
                <w:color w:val="000000"/>
                <w:highlight w:val="none"/>
                <w:lang w:eastAsia="zh-CN"/>
              </w:rPr>
            </w:r>
            <w:r/>
          </w:p>
        </w:tc>
      </w:tr>
      <w:tr>
        <w:trPr/>
        <w:tc>
          <w:tcPr>
            <w:tcW w:w="1218" w:type="dxa"/>
            <w:vAlign w:val="top"/>
            <w:vMerge w:val="continue"/>
            <w:textDirection w:val="lrTb"/>
            <w:noWrap w:val="false"/>
          </w:tcPr>
          <w:p>
            <w:pPr>
              <w:pStyle w:val="1117"/>
              <w:jc w:val="center"/>
              <w:rPr>
                <w:color w:val="000000"/>
                <w:highlight w:val="none"/>
                <w:lang w:eastAsia="zh-CN"/>
              </w:rPr>
            </w:pPr>
            <w:r>
              <w:rPr>
                <w:color w:val="000000"/>
                <w:highlight w:val="none"/>
                <w:lang w:eastAsia="zh-CN"/>
              </w:rPr>
            </w:r>
            <w:r/>
          </w:p>
        </w:tc>
        <w:tc>
          <w:tcPr>
            <w:tcW w:w="1534"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消控岗</w:t>
            </w:r>
            <w:r>
              <w:rPr>
                <w:rFonts w:ascii="宋体" w:hAnsi="宋体" w:cs="宋体"/>
                <w:color w:val="000000"/>
                <w:szCs w:val="21"/>
                <w:highlight w:val="none"/>
                <w:lang w:eastAsia="en-US"/>
              </w:rPr>
            </w:r>
            <w:r/>
          </w:p>
        </w:tc>
        <w:tc>
          <w:tcPr>
            <w:tcW w:w="700" w:type="dxa"/>
            <w:vAlign w:val="center"/>
            <w:textDirection w:val="lrTb"/>
            <w:noWrap w:val="false"/>
          </w:tcPr>
          <w:p>
            <w:pPr>
              <w:pStyle w:val="996"/>
              <w:jc w:val="center"/>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eastAsia="en-US"/>
              </w:rPr>
              <w:t xml:space="preserve">2</w:t>
            </w:r>
            <w:r>
              <w:rPr>
                <w:rFonts w:ascii="宋体" w:hAnsi="宋体" w:cs="宋体"/>
                <w:color w:val="000000"/>
                <w:szCs w:val="21"/>
                <w:highlight w:val="none"/>
                <w:lang w:eastAsia="en-US"/>
              </w:rPr>
            </w:r>
            <w:r/>
          </w:p>
        </w:tc>
        <w:tc>
          <w:tcPr>
            <w:tcW w:w="4933" w:type="dxa"/>
            <w:vAlign w:val="top"/>
            <w:textDirection w:val="lrTb"/>
            <w:noWrap w:val="false"/>
          </w:tcPr>
          <w:p>
            <w:pPr>
              <w:pStyle w:val="1117"/>
              <w:rPr>
                <w:color w:val="000000"/>
                <w:highlight w:val="none"/>
                <w:lang w:eastAsia="zh-CN"/>
              </w:rPr>
            </w:pPr>
            <w:r>
              <w:rPr>
                <w:rFonts w:hint="eastAsia"/>
                <w:color w:val="000000"/>
                <w:highlight w:val="none"/>
                <w:lang w:eastAsia="zh-CN"/>
              </w:rPr>
              <w:t xml:space="preserve">岗位职责说明：负责消防、监控技防设施操作管理，设备出现问题第一时间报项目经理并联系其维保单位。</w:t>
            </w:r>
            <w:r>
              <w:rPr>
                <w:color w:val="000000"/>
                <w:highlight w:val="none"/>
                <w:lang w:eastAsia="zh-CN"/>
              </w:rPr>
            </w:r>
            <w:r/>
          </w:p>
          <w:p>
            <w:pPr>
              <w:pStyle w:val="1117"/>
              <w:rPr>
                <w:color w:val="000000"/>
                <w:highlight w:val="none"/>
                <w:lang w:eastAsia="zh-CN"/>
              </w:rPr>
            </w:pPr>
            <w:r>
              <w:rPr>
                <w:rFonts w:hint="eastAsia"/>
                <w:color w:val="000000"/>
                <w:highlight w:val="none"/>
                <w:lang w:eastAsia="zh-CN"/>
              </w:rPr>
              <w:t xml:space="preserve">基本素质要求：50周岁以下，无犯罪前科、无违法违纪记录，身体健康，体形匀称，五官端正。</w:t>
            </w:r>
            <w:r>
              <w:rPr>
                <w:color w:val="000000"/>
                <w:highlight w:val="none"/>
                <w:lang w:eastAsia="zh-CN"/>
              </w:rPr>
            </w:r>
            <w:r/>
          </w:p>
        </w:tc>
      </w:tr>
      <w:tr>
        <w:trPr/>
        <w:tc>
          <w:tcPr>
            <w:tcW w:w="1218" w:type="dxa"/>
            <w:vAlign w:val="center"/>
            <w:textDirection w:val="lrTb"/>
            <w:noWrap w:val="false"/>
          </w:tcPr>
          <w:p>
            <w:pPr>
              <w:pStyle w:val="1117"/>
              <w:jc w:val="center"/>
              <w:rPr>
                <w:color w:val="000000"/>
                <w:highlight w:val="none"/>
              </w:rPr>
            </w:pPr>
            <w:r>
              <w:rPr>
                <w:rFonts w:hint="eastAsia"/>
                <w:color w:val="000000"/>
                <w:highlight w:val="none"/>
                <w:lang w:eastAsia="zh-CN"/>
              </w:rPr>
              <w:t xml:space="preserve">维修</w:t>
            </w:r>
            <w:r>
              <w:rPr>
                <w:color w:val="000000"/>
                <w:highlight w:val="none"/>
              </w:rPr>
            </w:r>
            <w:r/>
          </w:p>
        </w:tc>
        <w:tc>
          <w:tcPr>
            <w:tcW w:w="1534" w:type="dxa"/>
            <w:vAlign w:val="center"/>
            <w:textDirection w:val="lrTb"/>
            <w:noWrap w:val="false"/>
          </w:tcPr>
          <w:p>
            <w:pPr>
              <w:pStyle w:val="996"/>
              <w:jc w:val="center"/>
              <w:widowControl/>
              <w:rPr>
                <w:rFonts w:cs="Arial"/>
                <w:color w:val="000000"/>
                <w:highlight w:val="none"/>
                <w:lang w:eastAsia="en-US"/>
              </w:rPr>
            </w:pPr>
            <w:r>
              <w:rPr>
                <w:rFonts w:hint="eastAsia" w:ascii="宋体" w:hAnsi="宋体" w:cs="宋体"/>
                <w:color w:val="000000"/>
                <w:szCs w:val="21"/>
                <w:highlight w:val="none"/>
                <w:lang w:eastAsia="en-US"/>
              </w:rPr>
              <w:t xml:space="preserve">综合维修工</w:t>
            </w:r>
            <w:r>
              <w:rPr>
                <w:rFonts w:cs="Arial"/>
                <w:color w:val="000000"/>
                <w:highlight w:val="none"/>
                <w:lang w:eastAsia="en-US"/>
              </w:rPr>
            </w:r>
            <w:r/>
          </w:p>
        </w:tc>
        <w:tc>
          <w:tcPr>
            <w:tcW w:w="700" w:type="dxa"/>
            <w:vAlign w:val="center"/>
            <w:textDirection w:val="lrTb"/>
            <w:noWrap w:val="false"/>
          </w:tcPr>
          <w:p>
            <w:pPr>
              <w:pStyle w:val="996"/>
              <w:jc w:val="center"/>
              <w:widowControl/>
              <w:rPr>
                <w:rFonts w:eastAsia="Calibri" w:cs="Calibri"/>
                <w:color w:val="000000"/>
                <w:szCs w:val="21"/>
                <w:highlight w:val="none"/>
                <w:lang w:eastAsia="en-US"/>
              </w:rPr>
            </w:pPr>
            <w:r>
              <w:rPr>
                <w:rFonts w:hint="eastAsia" w:ascii="宋体" w:hAnsi="宋体" w:cs="宋体"/>
                <w:color w:val="000000"/>
                <w:szCs w:val="21"/>
                <w:highlight w:val="none"/>
                <w:lang w:eastAsia="en-US"/>
              </w:rPr>
              <w:t xml:space="preserve">1</w:t>
            </w:r>
            <w:r>
              <w:rPr>
                <w:rFonts w:eastAsia="Calibri" w:cs="Calibri"/>
                <w:color w:val="000000"/>
                <w:szCs w:val="21"/>
                <w:highlight w:val="none"/>
                <w:lang w:eastAsia="en-US"/>
              </w:rPr>
            </w:r>
            <w:r/>
          </w:p>
        </w:tc>
        <w:tc>
          <w:tcPr>
            <w:tcW w:w="4933" w:type="dxa"/>
            <w:vAlign w:val="top"/>
            <w:textDirection w:val="lrTb"/>
            <w:noWrap w:val="false"/>
          </w:tcPr>
          <w:p>
            <w:pPr>
              <w:pStyle w:val="996"/>
              <w:jc w:val="left"/>
              <w:spacing w:line="360" w:lineRule="auto"/>
              <w:widowControl/>
              <w:rPr>
                <w:rFonts w:ascii="宋体" w:hAnsi="宋体" w:cs="宋体"/>
                <w:color w:val="000000"/>
                <w:szCs w:val="21"/>
                <w:highlight w:val="none"/>
                <w:lang w:eastAsia="zh-CN"/>
              </w:rPr>
            </w:pPr>
            <w:r>
              <w:rPr>
                <w:rFonts w:hint="eastAsia" w:ascii="宋体" w:hAnsi="宋体" w:cs="宋体"/>
                <w:color w:val="000000"/>
                <w:szCs w:val="21"/>
                <w:highlight w:val="none"/>
                <w:lang w:eastAsia="zh-CN"/>
              </w:rPr>
              <w:t xml:space="preserve">岗位职责说明：公共设施设备的维修保养及现场应急处理。 </w:t>
            </w:r>
            <w:r>
              <w:rPr>
                <w:rFonts w:ascii="宋体" w:hAnsi="宋体" w:cs="宋体"/>
                <w:color w:val="000000"/>
                <w:szCs w:val="21"/>
                <w:highlight w:val="none"/>
                <w:lang w:eastAsia="zh-CN"/>
              </w:rPr>
            </w:r>
            <w:r/>
          </w:p>
          <w:p>
            <w:pPr>
              <w:pStyle w:val="1117"/>
              <w:rPr>
                <w:color w:val="000000"/>
                <w:highlight w:val="none"/>
                <w:lang w:eastAsia="zh-CN"/>
              </w:rPr>
            </w:pPr>
            <w:r>
              <w:rPr>
                <w:rFonts w:hint="eastAsia"/>
                <w:color w:val="000000"/>
                <w:highlight w:val="none"/>
                <w:lang w:eastAsia="zh-CN"/>
              </w:rPr>
              <w:t xml:space="preserve">基本素质要求：55周岁（含）以下，身体健康，具有丰富的工作经验，工作认真负责，能够吃苦耐劳。</w:t>
            </w:r>
            <w:r>
              <w:rPr>
                <w:color w:val="000000"/>
                <w:highlight w:val="none"/>
                <w:lang w:eastAsia="zh-CN"/>
              </w:rPr>
            </w:r>
            <w:r/>
          </w:p>
          <w:p>
            <w:pPr>
              <w:pStyle w:val="1117"/>
              <w:rPr>
                <w:rFonts w:hint="eastAsia"/>
                <w:color w:val="000000"/>
                <w:highlight w:val="none"/>
                <w:lang w:eastAsia="zh-CN"/>
              </w:rPr>
            </w:pPr>
            <w:r>
              <w:rPr>
                <w:rFonts w:hint="eastAsia"/>
                <w:color w:val="000000"/>
                <w:highlight w:val="none"/>
                <w:lang w:eastAsia="zh-CN"/>
              </w:rPr>
              <w:t xml:space="preserve">其他：对公共区域现场的巡查及维修、强电弱电设施设备的运行情况巡查及管理，实施人员智慧管理。</w:t>
            </w:r>
            <w:r>
              <w:rPr>
                <w:rFonts w:hint="eastAsia"/>
                <w:color w:val="000000"/>
                <w:highlight w:val="none"/>
                <w:lang w:eastAsia="zh-CN"/>
              </w:rPr>
            </w:r>
            <w:r/>
          </w:p>
        </w:tc>
      </w:tr>
      <w:tr>
        <w:trPr>
          <w:trHeight w:val="472"/>
        </w:trPr>
        <w:tc>
          <w:tcPr>
            <w:gridSpan w:val="2"/>
            <w:tcW w:w="2752" w:type="dxa"/>
            <w:vAlign w:val="center"/>
            <w:textDirection w:val="lrTb"/>
            <w:noWrap w:val="false"/>
          </w:tcPr>
          <w:p>
            <w:pPr>
              <w:pStyle w:val="1117"/>
              <w:jc w:val="center"/>
              <w:rPr>
                <w:b/>
                <w:color w:val="000000"/>
                <w:spacing w:val="-2"/>
                <w:highlight w:val="none"/>
                <w:lang w:eastAsia="zh-CN"/>
              </w:rPr>
            </w:pPr>
            <w:r>
              <w:rPr>
                <w:rFonts w:hint="eastAsia"/>
                <w:b/>
                <w:color w:val="000000"/>
                <w:spacing w:val="-2"/>
                <w:highlight w:val="none"/>
                <w:lang w:eastAsia="zh-CN"/>
              </w:rPr>
              <w:t xml:space="preserve">人员总数</w:t>
            </w:r>
            <w:r>
              <w:rPr>
                <w:b/>
                <w:color w:val="000000"/>
                <w:spacing w:val="-2"/>
                <w:highlight w:val="none"/>
                <w:lang w:eastAsia="zh-CN"/>
              </w:rPr>
            </w:r>
            <w:r/>
          </w:p>
        </w:tc>
        <w:tc>
          <w:tcPr>
            <w:tcW w:w="700" w:type="dxa"/>
            <w:vAlign w:val="center"/>
            <w:textDirection w:val="lrTb"/>
            <w:noWrap w:val="false"/>
          </w:tcPr>
          <w:p>
            <w:pPr>
              <w:pStyle w:val="996"/>
              <w:jc w:val="center"/>
              <w:rPr>
                <w:rFonts w:cs="Calibri"/>
                <w:color w:val="000000"/>
                <w:szCs w:val="21"/>
                <w:highlight w:val="none"/>
                <w:lang w:eastAsia="en-US"/>
              </w:rPr>
            </w:pPr>
            <w:r>
              <w:rPr>
                <w:rFonts w:hint="eastAsia" w:cs="Calibri"/>
                <w:color w:val="000000"/>
                <w:szCs w:val="21"/>
                <w:highlight w:val="none"/>
                <w:lang w:eastAsia="en-US"/>
              </w:rPr>
              <w:t xml:space="preserve">7</w:t>
            </w:r>
            <w:r>
              <w:rPr>
                <w:rFonts w:cs="Calibri"/>
                <w:color w:val="000000"/>
                <w:szCs w:val="21"/>
                <w:highlight w:val="none"/>
                <w:lang w:eastAsia="en-US"/>
              </w:rPr>
            </w:r>
            <w:r/>
          </w:p>
        </w:tc>
        <w:tc>
          <w:tcPr>
            <w:tcW w:w="4933" w:type="dxa"/>
            <w:vAlign w:val="center"/>
            <w:textDirection w:val="lrTb"/>
            <w:noWrap w:val="false"/>
          </w:tcPr>
          <w:p>
            <w:pPr>
              <w:pStyle w:val="1117"/>
              <w:jc w:val="center"/>
              <w:rPr>
                <w:color w:val="000000"/>
                <w:highlight w:val="none"/>
              </w:rPr>
            </w:pPr>
            <w:r>
              <w:rPr>
                <w:color w:val="000000"/>
                <w:highlight w:val="none"/>
              </w:rPr>
            </w:r>
            <w:r/>
          </w:p>
        </w:tc>
      </w:tr>
    </w:tbl>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color w:val="000000"/>
          <w:sz w:val="24"/>
          <w:highlight w:val="none"/>
        </w:rPr>
      </w:r>
      <w:r/>
    </w:p>
    <w:p>
      <w:pPr>
        <w:pStyle w:val="99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6.验收标准与要求</w:t>
      </w:r>
      <w:r>
        <w:rPr>
          <w:rFonts w:ascii="宋体" w:hAnsi="宋体"/>
          <w:b/>
          <w:color w:val="000000"/>
          <w:sz w:val="24"/>
          <w:highlight w:val="none"/>
        </w:rPr>
      </w:r>
      <w:r/>
    </w:p>
    <w:p>
      <w:pPr>
        <w:pStyle w:val="996"/>
        <w:ind w:firstLine="480"/>
        <w:spacing w:line="360" w:lineRule="auto"/>
        <w:rPr>
          <w:rFonts w:ascii="宋体" w:hAnsi="宋体"/>
          <w:bCs/>
          <w:color w:val="000000"/>
          <w:sz w:val="24"/>
          <w:highlight w:val="none"/>
        </w:rPr>
      </w:pPr>
      <w:r>
        <w:rPr>
          <w:rFonts w:ascii="宋体" w:hAnsi="宋体"/>
          <w:bCs/>
          <w:color w:val="000000"/>
          <w:sz w:val="24"/>
          <w:highlight w:val="none"/>
        </w:rPr>
        <w:t xml:space="preserve">按照采购合同约定对供应商提供的物业管理服务进行验收，对于供应商未按合同约定提供物业管理服务的，采购人有权依法追究其违约责任。</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ascii="宋体" w:hAnsi="宋体"/>
          <w:bCs/>
          <w:color w:val="000000"/>
          <w:sz w:val="24"/>
          <w:highlight w:val="none"/>
        </w:rPr>
        <w:t xml:space="preserve">具体要求：</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ascii="宋体" w:hAnsi="宋体"/>
          <w:bCs/>
          <w:color w:val="000000"/>
          <w:sz w:val="24"/>
          <w:highlight w:val="none"/>
        </w:rPr>
        <w:t xml:space="preserve">（如验收标准、验收主体、时间、方式、程序、内容等）</w:t>
      </w:r>
      <w:r>
        <w:rPr>
          <w:rFonts w:ascii="宋体" w:hAnsi="宋体"/>
          <w:bCs/>
          <w:color w:val="000000"/>
          <w:sz w:val="24"/>
          <w:highlight w:val="none"/>
        </w:rPr>
      </w:r>
      <w:r/>
    </w:p>
    <w:tbl>
      <w:tblPr>
        <w:tblW w:w="8540" w:type="dxa"/>
        <w:tblInd w:w="-15" w:type="dxa"/>
        <w:tblLayout w:type="fixed"/>
        <w:tblCellMar>
          <w:left w:w="108" w:type="dxa"/>
          <w:top w:w="0" w:type="dxa"/>
          <w:right w:w="108" w:type="dxa"/>
          <w:bottom w:w="0" w:type="dxa"/>
        </w:tblCellMar>
        <w:tblLook w:val="04A0" w:firstRow="1" w:lastRow="0" w:firstColumn="1" w:lastColumn="0" w:noHBand="0" w:noVBand="1"/>
      </w:tblPr>
      <w:tblGrid>
        <w:gridCol w:w="365"/>
        <w:gridCol w:w="958"/>
        <w:gridCol w:w="3770"/>
        <w:gridCol w:w="850"/>
        <w:gridCol w:w="814"/>
        <w:gridCol w:w="531"/>
        <w:gridCol w:w="1252"/>
      </w:tblGrid>
      <w:tr>
        <w:trPr>
          <w:trHeight w:val="324"/>
        </w:trPr>
        <w:tc>
          <w:tcPr>
            <w:gridSpan w:val="7"/>
            <w:tcBorders>
              <w:top w:val="none" w:color="000000" w:sz="4" w:space="0"/>
              <w:left w:val="none" w:color="000000" w:sz="4" w:space="0"/>
              <w:bottom w:val="none" w:color="000000" w:sz="4" w:space="0"/>
              <w:right w:val="none" w:color="000000" w:sz="4" w:space="0"/>
            </w:tcBorders>
            <w:tcW w:w="8540" w:type="dxa"/>
            <w:vAlign w:val="center"/>
            <w:textDirection w:val="lrTb"/>
            <w:noWrap/>
          </w:tcPr>
          <w:p>
            <w:pPr>
              <w:pStyle w:val="996"/>
              <w:jc w:val="center"/>
              <w:widowControl/>
              <w:rPr>
                <w:rFonts w:ascii="宋体" w:hAnsi="宋体" w:cs="宋体"/>
                <w:b/>
                <w:bCs/>
                <w:color w:val="000000"/>
                <w:sz w:val="22"/>
                <w:szCs w:val="22"/>
                <w:highlight w:val="none"/>
                <w:u w:val="single"/>
              </w:rPr>
            </w:pPr>
            <w:r>
              <w:rPr>
                <w:rFonts w:hint="eastAsia" w:ascii="宋体" w:hAnsi="宋体" w:cs="宋体"/>
                <w:b/>
                <w:bCs/>
                <w:color w:val="000000"/>
                <w:sz w:val="22"/>
                <w:szCs w:val="22"/>
                <w:highlight w:val="none"/>
                <w:u w:val="single"/>
              </w:rPr>
              <w:t xml:space="preserve">           幼儿园    月物业服务评价表</w:t>
            </w:r>
            <w:r>
              <w:rPr>
                <w:rFonts w:ascii="宋体" w:hAnsi="宋体" w:cs="宋体"/>
                <w:b/>
                <w:bCs/>
                <w:color w:val="000000"/>
                <w:sz w:val="22"/>
                <w:szCs w:val="22"/>
                <w:highlight w:val="none"/>
                <w:u w:val="single"/>
              </w:rPr>
            </w:r>
            <w:r/>
          </w:p>
        </w:tc>
      </w:tr>
      <w:tr>
        <w:trPr>
          <w:trHeight w:val="691"/>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序号</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评价项目</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评 价 内 容</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各项分数</w:t>
            </w:r>
            <w:r>
              <w:rPr>
                <w:rFonts w:hint="eastAsia"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（100分）</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得分</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扣分原因</w:t>
            </w:r>
            <w:r>
              <w:rPr>
                <w:rFonts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996"/>
              <w:jc w:val="center"/>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当月服务项目</w:t>
            </w:r>
            <w:r>
              <w:rPr>
                <w:rFonts w:hint="eastAsia" w:ascii="宋体" w:hAnsi="宋体" w:cs="宋体"/>
                <w:b/>
                <w:bCs/>
                <w:color w:val="000000"/>
                <w:sz w:val="22"/>
                <w:szCs w:val="22"/>
                <w:highlight w:val="none"/>
              </w:rPr>
              <w:br w:type="textWrapping" w:clear="all"/>
            </w:r>
            <w:r>
              <w:rPr>
                <w:rFonts w:hint="eastAsia" w:ascii="宋体" w:hAnsi="宋体" w:cs="宋体"/>
                <w:b/>
                <w:bCs/>
                <w:color w:val="000000"/>
                <w:sz w:val="22"/>
                <w:szCs w:val="22"/>
                <w:highlight w:val="none"/>
              </w:rPr>
              <w:t xml:space="preserve">甲方代表签字确认</w:t>
            </w:r>
            <w:r>
              <w:rPr>
                <w:rFonts w:ascii="宋体" w:hAnsi="宋体" w:cs="宋体"/>
                <w:b/>
                <w:bCs/>
                <w:color w:val="000000"/>
                <w:sz w:val="22"/>
                <w:szCs w:val="22"/>
                <w:highlight w:val="none"/>
              </w:rPr>
            </w:r>
            <w:r/>
          </w:p>
        </w:tc>
      </w:tr>
      <w:tr>
        <w:trPr>
          <w:trHeight w:val="4267"/>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安保消控服务</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Style w:val="1118"/>
                <w:color w:val="000000"/>
                <w:sz w:val="21"/>
                <w:szCs w:val="21"/>
                <w:highlight w:val="none"/>
              </w:rPr>
              <w:t xml:space="preserve">1.保安人员态度友好、专业热情对家长及幼儿有礼貌，及时响应安全需求；</w:t>
            </w:r>
            <w:r>
              <w:rPr>
                <w:rStyle w:val="1118"/>
                <w:color w:val="000000"/>
                <w:sz w:val="21"/>
                <w:szCs w:val="21"/>
                <w:highlight w:val="none"/>
              </w:rPr>
              <w:br w:type="textWrapping" w:clear="all"/>
            </w:r>
            <w:r>
              <w:rPr>
                <w:rStyle w:val="1118"/>
                <w:color w:val="000000"/>
                <w:sz w:val="21"/>
                <w:szCs w:val="21"/>
                <w:highlight w:val="none"/>
              </w:rPr>
              <w:t xml:space="preserve">2.安保人员不缺岗，每两小时巡逻一次，每班至少巡逻6次，有效防止安全隐患，做好门岗、消控室交接班记录；</w:t>
            </w:r>
            <w:r>
              <w:rPr>
                <w:rStyle w:val="1118"/>
                <w:color w:val="000000"/>
                <w:sz w:val="21"/>
                <w:szCs w:val="21"/>
                <w:highlight w:val="none"/>
              </w:rPr>
              <w:br w:type="textWrapping" w:clear="all"/>
            </w:r>
            <w:r>
              <w:rPr>
                <w:rStyle w:val="1118"/>
                <w:color w:val="000000"/>
                <w:sz w:val="21"/>
                <w:szCs w:val="21"/>
                <w:highlight w:val="none"/>
              </w:rPr>
              <w:t xml:space="preserve">3.通过高效的安保措施，有效预防安全隐患，确保园区内无安全事故发生；</w:t>
            </w:r>
            <w:r>
              <w:rPr>
                <w:rStyle w:val="1118"/>
                <w:color w:val="000000"/>
                <w:sz w:val="21"/>
                <w:szCs w:val="21"/>
                <w:highlight w:val="none"/>
              </w:rPr>
              <w:br w:type="textWrapping" w:clear="all"/>
            </w:r>
            <w:r>
              <w:rPr>
                <w:rStyle w:val="1118"/>
                <w:color w:val="000000"/>
                <w:sz w:val="21"/>
                <w:szCs w:val="21"/>
                <w:highlight w:val="none"/>
              </w:rPr>
              <w:t xml:space="preserve">4.对外来人员、车辆做好检查登记工作，认真审核有关证件，并与相关科室联系，防止其混入学校肇事和影响学校正常教学、生活秩序；                                            </w:t>
            </w:r>
            <w:r>
              <w:rPr>
                <w:rFonts w:hint="eastAsia" w:ascii="仿宋" w:hAnsi="仿宋" w:eastAsia="仿宋" w:cs="仿宋"/>
                <w:color w:val="000000"/>
                <w:szCs w:val="21"/>
                <w:highlight w:val="none"/>
              </w:rPr>
              <w:t xml:space="preserve">5.按时支付工资给服务人员；</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28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消防维保</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1.消防系统每月一次检查、测试，记录完整并出具报告；</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2.对消防设备进行清洁、润滑、紧固等保养工作，及时更换损坏或老化的零部件；</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3.及时提出消防安全隐患及建议；</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箱变维保</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1.箱变设备每月一次检查维护，保证电力供应稳定；</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2.发现问题及时反馈，保证用电安全；</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电梯维保</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1.电梯每月两次维护保养，故障及时处理，运行平稳，并出具年检报告；</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2.及时处理电梯故障，确保电梯在最短时间内恢复正常运行；</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861"/>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绿化养护</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numPr>
                <w:ilvl w:val="0"/>
                <w:numId w:val="10"/>
              </w:numPr>
              <w:jc w:val="left"/>
              <w:widowControl/>
              <w:tabs>
                <w:tab w:val="left" w:pos="312" w:leader="none"/>
              </w:tabs>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每月养护一次，保证当月养护任务完成；</w:t>
            </w:r>
            <w:r>
              <w:rPr>
                <w:rFonts w:ascii="仿宋" w:hAnsi="仿宋" w:eastAsia="仿宋" w:cs="仿宋"/>
                <w:color w:val="000000"/>
                <w:szCs w:val="21"/>
                <w:highlight w:val="none"/>
              </w:rPr>
            </w:r>
            <w:r/>
          </w:p>
          <w:p>
            <w:pPr>
              <w:pStyle w:val="996"/>
              <w:numPr>
                <w:ilvl w:val="0"/>
                <w:numId w:val="10"/>
              </w:numPr>
              <w:jc w:val="left"/>
              <w:widowControl/>
              <w:tabs>
                <w:tab w:val="left" w:pos="312" w:leader="none"/>
              </w:tabs>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根据实际情况按需浇水施肥；</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四害消杀</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1.制定消杀计划，每月一次实施，有效控制蚊虫、老鼠等害虫的滋生；</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2.使用环保型消杀药品，无安全隐患；</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专项保洁</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1.每年1次对园内门窗、玻璃、PVC地面进行专项保洁。</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弱电维保</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1.每月一次对学校监控系统、门禁系统、电子围栏/周界报警系统、背景音乐系统、道闸系统的维护保养；</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给排水维保</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1.每月一次对学校房屋内外给排水系统、蓄水池、供水管路、排水管、消火栓、隔油池等设备设施的日常养护维修；</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662"/>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空调清洗</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1.每年两次对空调系统进行清洗，使用清洁剂进行消毒，室内空气清新，无异味；</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1145"/>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11</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风扇、洗衣机、冰柜清洗</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1.每年一次对风扇进行清洗，确保扇叶无灰尘；</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2.每年一次使用清洁剂对洗衣机、冰柜进行清洗；</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2121"/>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12</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油烟机清洗</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numPr>
                <w:ilvl w:val="0"/>
                <w:numId w:val="11"/>
              </w:numPr>
              <w:jc w:val="left"/>
              <w:widowControl/>
              <w:tabs>
                <w:tab w:val="left" w:pos="312" w:leader="none"/>
              </w:tabs>
              <w:rPr>
                <w:color w:val="000000"/>
                <w:highlight w:val="none"/>
              </w:rPr>
            </w:pPr>
            <w:r>
              <w:rPr>
                <w:rFonts w:hint="eastAsia" w:ascii="仿宋" w:hAnsi="仿宋" w:eastAsia="仿宋" w:cs="仿宋"/>
                <w:color w:val="000000"/>
                <w:szCs w:val="21"/>
                <w:highlight w:val="none"/>
              </w:rPr>
              <w:t xml:space="preserve">厨房油烟机、灶具定期深度清洗，去除油污，保障烹饪安全；</w:t>
            </w:r>
            <w:r>
              <w:rPr>
                <w:rFonts w:hint="eastAsia" w:ascii="仿宋" w:hAnsi="仿宋" w:eastAsia="仿宋" w:cs="仿宋"/>
                <w:color w:val="000000"/>
                <w:szCs w:val="21"/>
                <w:highlight w:val="none"/>
              </w:rPr>
              <w:br w:type="textWrapping" w:clear="all"/>
            </w:r>
            <w:r>
              <w:rPr>
                <w:rFonts w:hint="eastAsia" w:ascii="仿宋" w:hAnsi="仿宋" w:eastAsia="仿宋" w:cs="仿宋"/>
                <w:color w:val="000000"/>
                <w:szCs w:val="21"/>
                <w:highlight w:val="none"/>
              </w:rPr>
              <w:t xml:space="preserve">2.每季度一次对油烟机的排烟管道进行清洗，确保风道畅通无阻，减少火灾隐患；</w:t>
            </w:r>
            <w:r>
              <w:rPr>
                <w:color w:val="000000"/>
                <w:highlight w:val="none"/>
              </w:rPr>
            </w:r>
            <w:r/>
          </w:p>
          <w:p>
            <w:pPr>
              <w:pStyle w:val="1113"/>
              <w:ind w:firstLine="0"/>
              <w:rPr>
                <w:color w:val="000000"/>
                <w:highlight w:val="none"/>
              </w:rPr>
            </w:pPr>
            <w:r>
              <w:rPr>
                <w:rFonts w:hint="eastAsia" w:ascii="仿宋" w:hAnsi="仿宋" w:eastAsia="仿宋" w:cs="仿宋"/>
                <w:color w:val="000000"/>
                <w:szCs w:val="21"/>
                <w:highlight w:val="none"/>
              </w:rPr>
              <w:t xml:space="preserve">3.厨房灶具每年一次定期深度清洗，确保灶台及灶面无污渍、水渍残留。</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861"/>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13</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开水器清洗</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1.开水器每半年一次清洗消毒，并有卫监认可的消毒产品卫生安全评价报告。</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14</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防雷检测</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1.每年一次防雷检测，出具报告；</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15</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水质检测</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1.每年一次水质检测，出具报告；</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365" w:type="dxa"/>
            <w:vAlign w:val="center"/>
            <w:textDirection w:val="lrTb"/>
            <w:noWrap/>
          </w:tcPr>
          <w:p>
            <w:pPr>
              <w:pStyle w:val="996"/>
              <w:jc w:val="center"/>
              <w:widowControl/>
              <w:rPr>
                <w:rFonts w:ascii="宋体" w:hAnsi="宋体" w:cs="宋体"/>
                <w:color w:val="000000"/>
                <w:szCs w:val="21"/>
                <w:highlight w:val="none"/>
              </w:rPr>
            </w:pPr>
            <w:r>
              <w:rPr>
                <w:rFonts w:hint="eastAsia" w:ascii="宋体" w:hAnsi="宋体" w:cs="宋体"/>
                <w:color w:val="000000"/>
                <w:szCs w:val="21"/>
                <w:highlight w:val="none"/>
              </w:rPr>
              <w:t xml:space="preserve">16</w:t>
            </w:r>
            <w:r>
              <w:rPr>
                <w:rFonts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维修服务</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3770" w:type="dxa"/>
            <w:vAlign w:val="center"/>
            <w:textDirection w:val="lrTb"/>
            <w:noWrap w:val="false"/>
          </w:tcPr>
          <w:p>
            <w:pPr>
              <w:pStyle w:val="996"/>
              <w:jc w:val="left"/>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1.安排维修工程每周一天驻点维修；</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96"/>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100</w:t>
            </w:r>
            <w:r>
              <w:rPr>
                <w:rFonts w:ascii="仿宋" w:hAnsi="仿宋" w:eastAsia="仿宋" w:cs="仿宋"/>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pStyle w:val="996"/>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531"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tcPr>
          <w:p>
            <w:pPr>
              <w:pStyle w:val="996"/>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366"/>
        </w:trPr>
        <w:tc>
          <w:tcPr>
            <w:gridSpan w:val="7"/>
            <w:tcBorders>
              <w:top w:val="single" w:color="000000" w:sz="4" w:space="0"/>
              <w:left w:val="single" w:color="000000" w:sz="4" w:space="0"/>
              <w:bottom w:val="single" w:color="000000" w:sz="4" w:space="0"/>
              <w:right w:val="single" w:color="000000" w:sz="4" w:space="0"/>
            </w:tcBorders>
            <w:tcW w:w="8540" w:type="dxa"/>
            <w:vAlign w:val="center"/>
            <w:textDirection w:val="lrTb"/>
            <w:noWrap/>
          </w:tcPr>
          <w:p>
            <w:pPr>
              <w:pStyle w:val="996"/>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     物业服务满意度评价：    </w:t>
            </w:r>
            <w:r>
              <w:rPr>
                <w:rFonts w:ascii="Wingdings" w:hAnsi="Wingdings" w:cs="Wingdings"/>
                <w:b/>
                <w:bCs/>
                <w:color w:val="000000"/>
                <w:sz w:val="22"/>
                <w:szCs w:val="22"/>
                <w:highlight w:val="none"/>
              </w:rPr>
              <w:t xml:space="preserve"></w:t>
            </w:r>
            <w:r>
              <w:rPr>
                <w:rFonts w:hint="eastAsia" w:ascii="宋体" w:hAnsi="宋体" w:cs="宋体"/>
                <w:b/>
                <w:bCs/>
                <w:color w:val="000000"/>
                <w:sz w:val="22"/>
                <w:szCs w:val="22"/>
                <w:highlight w:val="none"/>
              </w:rPr>
              <w:t xml:space="preserve">非常满意    </w:t>
            </w:r>
            <w:r>
              <w:rPr>
                <w:rFonts w:ascii="Wingdings" w:hAnsi="Wingdings" w:cs="Wingdings"/>
                <w:b/>
                <w:bCs/>
                <w:color w:val="000000"/>
                <w:sz w:val="22"/>
                <w:szCs w:val="22"/>
                <w:highlight w:val="none"/>
              </w:rPr>
              <w:t xml:space="preserve"></w:t>
            </w:r>
            <w:r>
              <w:rPr>
                <w:rFonts w:hint="eastAsia" w:ascii="宋体" w:hAnsi="宋体" w:cs="宋体"/>
                <w:b/>
                <w:bCs/>
                <w:color w:val="000000"/>
                <w:sz w:val="22"/>
                <w:szCs w:val="22"/>
                <w:highlight w:val="none"/>
              </w:rPr>
              <w:t xml:space="preserve">满意      </w:t>
            </w:r>
            <w:r>
              <w:rPr>
                <w:rFonts w:ascii="Wingdings" w:hAnsi="Wingdings" w:cs="Wingdings"/>
                <w:b/>
                <w:bCs/>
                <w:color w:val="000000"/>
                <w:sz w:val="22"/>
                <w:szCs w:val="22"/>
                <w:highlight w:val="none"/>
              </w:rPr>
              <w:t xml:space="preserve"></w:t>
            </w:r>
            <w:r>
              <w:rPr>
                <w:rFonts w:hint="eastAsia" w:ascii="宋体" w:hAnsi="宋体" w:cs="宋体"/>
                <w:b/>
                <w:bCs/>
                <w:color w:val="000000"/>
                <w:sz w:val="22"/>
                <w:szCs w:val="22"/>
                <w:highlight w:val="none"/>
              </w:rPr>
              <w:t xml:space="preserve">一般      </w:t>
            </w:r>
            <w:r>
              <w:rPr>
                <w:rFonts w:ascii="Wingdings" w:hAnsi="Wingdings" w:cs="Wingdings"/>
                <w:b/>
                <w:bCs/>
                <w:color w:val="000000"/>
                <w:sz w:val="22"/>
                <w:szCs w:val="22"/>
                <w:highlight w:val="none"/>
              </w:rPr>
              <w:t xml:space="preserve"></w:t>
            </w:r>
            <w:r>
              <w:rPr>
                <w:rFonts w:hint="eastAsia" w:ascii="宋体" w:hAnsi="宋体" w:cs="宋体"/>
                <w:b/>
                <w:bCs/>
                <w:color w:val="000000"/>
                <w:sz w:val="22"/>
                <w:szCs w:val="22"/>
                <w:highlight w:val="none"/>
              </w:rPr>
              <w:t xml:space="preserve">较不满意     </w:t>
            </w:r>
            <w:r>
              <w:rPr>
                <w:rFonts w:ascii="Wingdings" w:hAnsi="Wingdings" w:cs="Wingdings"/>
                <w:b/>
                <w:bCs/>
                <w:color w:val="000000"/>
                <w:sz w:val="22"/>
                <w:szCs w:val="22"/>
                <w:highlight w:val="none"/>
              </w:rPr>
              <w:t xml:space="preserve"></w:t>
            </w:r>
            <w:r>
              <w:rPr>
                <w:rFonts w:hint="eastAsia" w:ascii="宋体" w:hAnsi="宋体" w:cs="宋体"/>
                <w:b/>
                <w:bCs/>
                <w:color w:val="000000"/>
                <w:sz w:val="22"/>
                <w:szCs w:val="22"/>
                <w:highlight w:val="none"/>
              </w:rPr>
              <w:t xml:space="preserve">不满意                                                                                                                                                  </w:t>
            </w:r>
            <w:r>
              <w:rPr>
                <w:rFonts w:ascii="宋体" w:hAnsi="宋体" w:cs="宋体"/>
                <w:b/>
                <w:bCs/>
                <w:color w:val="000000"/>
                <w:sz w:val="22"/>
                <w:szCs w:val="22"/>
                <w:highlight w:val="none"/>
              </w:rPr>
            </w:r>
            <w:r/>
          </w:p>
        </w:tc>
      </w:tr>
      <w:tr>
        <w:trPr>
          <w:trHeight w:val="366"/>
        </w:trPr>
        <w:tc>
          <w:tcPr>
            <w:gridSpan w:val="7"/>
            <w:tcBorders>
              <w:top w:val="single" w:color="000000" w:sz="4" w:space="0"/>
              <w:left w:val="single" w:color="000000" w:sz="4" w:space="0"/>
              <w:bottom w:val="single" w:color="000000" w:sz="4" w:space="0"/>
              <w:right w:val="single" w:color="000000" w:sz="4" w:space="0"/>
            </w:tcBorders>
            <w:tcW w:w="8540" w:type="dxa"/>
            <w:vAlign w:val="bottom"/>
            <w:textDirection w:val="lrTb"/>
            <w:noWrap/>
          </w:tcPr>
          <w:p>
            <w:pPr>
              <w:pStyle w:val="996"/>
              <w:jc w:val="left"/>
              <w:widowControl/>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    扣款合计：</w:t>
            </w:r>
            <w:r>
              <w:rPr>
                <w:rFonts w:hint="eastAsia" w:ascii="宋体" w:hAnsi="宋体" w:cs="宋体"/>
                <w:b/>
                <w:bCs/>
                <w:color w:val="000000"/>
                <w:sz w:val="22"/>
                <w:szCs w:val="22"/>
                <w:highlight w:val="none"/>
                <w:u w:val="single"/>
              </w:rPr>
              <w:t xml:space="preserve">           </w:t>
            </w:r>
            <w:r>
              <w:rPr>
                <w:rFonts w:hint="eastAsia" w:ascii="宋体" w:hAnsi="宋体" w:cs="宋体"/>
                <w:b/>
                <w:bCs/>
                <w:color w:val="000000"/>
                <w:sz w:val="22"/>
                <w:szCs w:val="22"/>
                <w:highlight w:val="none"/>
              </w:rPr>
              <w:t xml:space="preserve">元                      甲方代表签字确认：</w:t>
            </w:r>
            <w:r>
              <w:rPr>
                <w:rFonts w:hint="eastAsia" w:ascii="宋体" w:hAnsi="宋体" w:cs="宋体"/>
                <w:b/>
                <w:bCs/>
                <w:color w:val="000000"/>
                <w:sz w:val="22"/>
                <w:szCs w:val="22"/>
                <w:highlight w:val="none"/>
                <w:u w:val="single"/>
              </w:rPr>
              <w:t xml:space="preserve">             </w:t>
            </w:r>
            <w:r>
              <w:rPr>
                <w:rFonts w:hint="eastAsia" w:ascii="宋体" w:hAnsi="宋体" w:cs="宋体"/>
                <w:b/>
                <w:bCs/>
                <w:color w:val="000000"/>
                <w:sz w:val="22"/>
                <w:szCs w:val="22"/>
                <w:highlight w:val="none"/>
              </w:rPr>
              <w:t xml:space="preserve"> 乙方代表签字确认：</w:t>
            </w:r>
            <w:r>
              <w:rPr>
                <w:rFonts w:hint="eastAsia" w:ascii="宋体" w:hAnsi="宋体" w:cs="宋体"/>
                <w:b/>
                <w:bCs/>
                <w:color w:val="000000"/>
                <w:sz w:val="22"/>
                <w:szCs w:val="22"/>
                <w:highlight w:val="none"/>
                <w:u w:val="single"/>
              </w:rPr>
              <w:t xml:space="preserve">             </w:t>
            </w:r>
            <w:r>
              <w:rPr>
                <w:rFonts w:ascii="宋体" w:hAnsi="宋体" w:cs="宋体"/>
                <w:b/>
                <w:bCs/>
                <w:color w:val="000000"/>
                <w:sz w:val="22"/>
                <w:szCs w:val="22"/>
                <w:highlight w:val="none"/>
              </w:rPr>
            </w:r>
            <w:r/>
          </w:p>
        </w:tc>
      </w:tr>
      <w:tr>
        <w:trPr>
          <w:trHeight w:val="410"/>
        </w:trPr>
        <w:tc>
          <w:tcPr>
            <w:gridSpan w:val="7"/>
            <w:tcBorders>
              <w:top w:val="single" w:color="000000" w:sz="4" w:space="0"/>
              <w:left w:val="single" w:color="000000" w:sz="4" w:space="0"/>
              <w:bottom w:val="single" w:color="000000" w:sz="4" w:space="0"/>
              <w:right w:val="single" w:color="000000" w:sz="4" w:space="0"/>
            </w:tcBorders>
            <w:tcW w:w="8540" w:type="dxa"/>
            <w:vAlign w:val="center"/>
            <w:textDirection w:val="lrTb"/>
            <w:noWrap/>
          </w:tcPr>
          <w:p>
            <w:pPr>
              <w:pStyle w:val="996"/>
              <w:jc w:val="left"/>
              <w:widowControl/>
              <w:rPr>
                <w:rFonts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 注：根据现场情况及合同约定服务项，甲方每月对当月服务项目进行评分。各单项评分≥95分不扣款，＜95分每扣1分扣款50元。</w:t>
            </w:r>
            <w:r>
              <w:rPr>
                <w:rFonts w:ascii="仿宋" w:hAnsi="仿宋" w:eastAsia="仿宋" w:cs="仿宋"/>
                <w:color w:val="000000"/>
                <w:sz w:val="22"/>
                <w:szCs w:val="22"/>
                <w:highlight w:val="none"/>
              </w:rPr>
            </w:r>
            <w:r/>
          </w:p>
        </w:tc>
      </w:tr>
    </w:tbl>
    <w:p>
      <w:pPr>
        <w:pStyle w:val="996"/>
        <w:spacing w:line="360" w:lineRule="auto"/>
        <w:rPr>
          <w:rFonts w:ascii="宋体" w:hAnsi="宋体"/>
          <w:b/>
          <w:color w:val="000000"/>
          <w:sz w:val="24"/>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color w:val="000000"/>
          <w:sz w:val="24"/>
          <w:highlight w:val="none"/>
        </w:rPr>
      </w:r>
      <w:r/>
    </w:p>
    <w:p>
      <w:pPr>
        <w:pStyle w:val="996"/>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7.其他要求: </w:t>
      </w:r>
      <w:r>
        <w:rPr>
          <w:rFonts w:ascii="宋体" w:hAnsi="宋体"/>
          <w:b/>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7.1以下相关费用由供应商承担： </w:t>
      </w:r>
      <w:r>
        <w:rPr>
          <w:rFonts w:ascii="宋体" w:hAnsi="宋体"/>
          <w:color w:val="000000"/>
          <w:sz w:val="24"/>
          <w:highlight w:val="none"/>
        </w:rPr>
      </w:r>
      <w:r/>
    </w:p>
    <w:p>
      <w:pPr>
        <w:pStyle w:val="996"/>
        <w:spacing w:line="360" w:lineRule="auto"/>
        <w:rPr>
          <w:rFonts w:ascii="宋体" w:hAnsi="宋体"/>
          <w:color w:val="000000"/>
          <w:sz w:val="24"/>
          <w:highlight w:val="none"/>
        </w:rPr>
      </w:pPr>
      <w:r>
        <w:rPr>
          <w:rFonts w:hint="eastAsia" w:ascii="宋体" w:hAnsi="宋体"/>
          <w:color w:val="000000"/>
          <w:sz w:val="24"/>
          <w:highlight w:val="none"/>
        </w:rPr>
        <w:t xml:space="preserve">    本项目涉及的零星维修材料、低值易耗品、苗木、客耗品等费用，不论是由供应商，还是采购人承担，涉及的相关服务由供应商承担，服务费用包含在物业服务项目合同金额之内。</w:t>
      </w:r>
      <w:r>
        <w:rPr>
          <w:rFonts w:ascii="宋体" w:hAnsi="宋体"/>
          <w:color w:val="000000"/>
          <w:sz w:val="24"/>
          <w:highlight w:val="none"/>
        </w:rPr>
      </w:r>
      <w:r/>
    </w:p>
    <w:p>
      <w:pPr>
        <w:pStyle w:val="996"/>
        <w:ind w:firstLine="480"/>
        <w:spacing w:line="360" w:lineRule="auto"/>
        <w:widowControl/>
        <w:rPr>
          <w:rFonts w:ascii="宋体" w:hAnsi="宋体"/>
          <w:color w:val="000000"/>
          <w:sz w:val="24"/>
          <w:highlight w:val="none"/>
        </w:rPr>
      </w:pPr>
      <w:r>
        <w:rPr>
          <w:rFonts w:ascii="宋体" w:hAnsi="宋体"/>
          <w:color w:val="000000"/>
          <w:sz w:val="24"/>
          <w:highlight w:val="none"/>
        </w:rPr>
        <w:t xml:space="preserve">（1）零星维修材料费用</w:t>
      </w:r>
      <w:r>
        <w:rPr>
          <w:rFonts w:ascii="宋体" w:hAnsi="宋体"/>
          <w:color w:val="000000"/>
          <w:sz w:val="24"/>
          <w:highlight w:val="none"/>
        </w:rPr>
      </w:r>
      <w:r/>
    </w:p>
    <w:p>
      <w:pPr>
        <w:pStyle w:val="996"/>
        <w:spacing w:line="360" w:lineRule="auto"/>
        <w:widowControl/>
        <w:rPr>
          <w:rFonts w:ascii="宋体" w:hAnsi="宋体"/>
          <w:color w:val="000000"/>
          <w:sz w:val="24"/>
          <w:highlight w:val="none"/>
        </w:rPr>
      </w:pPr>
      <w:r>
        <w:rPr>
          <w:rFonts w:ascii="宋体" w:hAnsi="宋体"/>
          <w:color w:val="000000"/>
          <w:sz w:val="24"/>
          <w:highlight w:val="none"/>
        </w:rPr>
        <w:t xml:space="preserve">  涉及以下情形的，相关费用包含在物业管理服务采购合同金额之内，由供应商承担：</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单次维修材料</w:t>
      </w:r>
      <w:r>
        <w:rPr>
          <w:rFonts w:hint="eastAsia" w:ascii="宋体" w:hAnsi="宋体"/>
          <w:color w:val="000000"/>
          <w:sz w:val="24"/>
          <w:highlight w:val="none"/>
          <w:u w:val="single"/>
        </w:rPr>
        <w:t xml:space="preserve">200</w:t>
      </w:r>
      <w:r>
        <w:rPr>
          <w:rFonts w:ascii="宋体" w:hAnsi="宋体"/>
          <w:color w:val="000000"/>
          <w:sz w:val="24"/>
          <w:highlight w:val="none"/>
          <w:u w:val="single"/>
        </w:rPr>
        <w:t xml:space="preserve">元（含）以内</w:t>
      </w:r>
      <w:r>
        <w:rPr>
          <w:rFonts w:hint="eastAsia" w:ascii="宋体" w:hAnsi="宋体"/>
          <w:color w:val="000000"/>
          <w:sz w:val="24"/>
          <w:highlight w:val="none"/>
          <w:u w:val="single"/>
        </w:rPr>
        <w:t xml:space="preserve">，一年累计不超过1000元  </w:t>
      </w:r>
      <w:r>
        <w:rPr>
          <w:rFonts w:ascii="宋体" w:hAnsi="宋体"/>
          <w:color w:val="000000"/>
          <w:sz w:val="24"/>
          <w:highlight w:val="none"/>
        </w:rPr>
        <w:t xml:space="preserve">。</w:t>
      </w:r>
      <w:r>
        <w:rPr>
          <w:rFonts w:ascii="宋体" w:hAnsi="宋体"/>
          <w:color w:val="000000"/>
          <w:sz w:val="24"/>
          <w:highlight w:val="none"/>
        </w:rPr>
      </w:r>
      <w:r/>
    </w:p>
    <w:p>
      <w:pPr>
        <w:pStyle w:val="996"/>
        <w:ind w:firstLine="480"/>
        <w:spacing w:line="360" w:lineRule="auto"/>
        <w:widowControl/>
        <w:rPr>
          <w:rFonts w:ascii="宋体" w:hAnsi="宋体"/>
          <w:color w:val="000000"/>
          <w:sz w:val="24"/>
          <w:highlight w:val="none"/>
        </w:rPr>
      </w:pPr>
      <w:r>
        <w:rPr>
          <w:rFonts w:ascii="宋体" w:hAnsi="宋体"/>
          <w:color w:val="000000"/>
          <w:sz w:val="24"/>
          <w:highlight w:val="none"/>
        </w:rPr>
        <w:t xml:space="preserve">（2）低值易耗品费用</w:t>
      </w:r>
      <w:r>
        <w:rPr>
          <w:rFonts w:ascii="宋体" w:hAnsi="宋体"/>
          <w:color w:val="000000"/>
          <w:sz w:val="24"/>
          <w:highlight w:val="none"/>
        </w:rPr>
      </w:r>
      <w:r/>
    </w:p>
    <w:p>
      <w:pPr>
        <w:pStyle w:val="996"/>
        <w:ind w:firstLine="480"/>
        <w:jc w:val="left"/>
        <w:spacing w:line="360" w:lineRule="auto"/>
        <w:widowControl/>
        <w:rPr>
          <w:rFonts w:ascii="宋体" w:hAnsi="宋体"/>
          <w:color w:val="000000"/>
          <w:sz w:val="24"/>
          <w:highlight w:val="none"/>
        </w:rPr>
      </w:pPr>
      <w:r>
        <w:rPr>
          <w:rFonts w:ascii="宋体" w:hAnsi="宋体"/>
          <w:color w:val="000000"/>
          <w:sz w:val="24"/>
          <w:highlight w:val="none"/>
        </w:rPr>
        <w:t xml:space="preserve">涉及以下情形的，相关费用包含在物业管理服务采购合同金额之内，由供应商承担：保洁日常用具及药剂、保安日常用具和耗材  。</w:t>
      </w:r>
      <w:r>
        <w:rPr>
          <w:rFonts w:ascii="宋体" w:hAnsi="宋体"/>
          <w:color w:val="000000"/>
          <w:sz w:val="24"/>
          <w:highlight w:val="none"/>
        </w:rPr>
      </w:r>
      <w:r/>
    </w:p>
    <w:p>
      <w:pPr>
        <w:pStyle w:val="996"/>
        <w:rPr>
          <w:rFonts w:ascii="微软雅黑" w:hAnsi="微软雅黑" w:eastAsia="微软雅黑" w:cs="微软雅黑"/>
          <w:color w:val="000000"/>
          <w:sz w:val="22"/>
          <w:szCs w:val="22"/>
          <w:highlight w:val="none"/>
        </w:rPr>
      </w:pPr>
      <w:r>
        <w:rPr>
          <w:rFonts w:ascii="宋体" w:hAnsi="宋体"/>
          <w:color w:val="000000"/>
          <w:sz w:val="24"/>
          <w:highlight w:val="none"/>
        </w:rPr>
        <w:t xml:space="preserve">  涉及以下情形的，由采购人承担：</w:t>
      </w:r>
      <w:r>
        <w:rPr>
          <w:rFonts w:ascii="宋体" w:hAnsi="宋体"/>
          <w:color w:val="000000"/>
          <w:sz w:val="24"/>
          <w:highlight w:val="none"/>
          <w:u w:val="single"/>
        </w:rPr>
        <w:t xml:space="preserve">   洗手液、卷纸等客用品  </w:t>
      </w:r>
      <w:r>
        <w:rPr>
          <w:rFonts w:ascii="宋体" w:hAnsi="宋体"/>
          <w:color w:val="000000"/>
          <w:sz w:val="24"/>
          <w:highlight w:val="none"/>
        </w:rPr>
        <w:t xml:space="preserve">。</w:t>
      </w:r>
      <w:r>
        <w:rPr>
          <w:rFonts w:ascii="微软雅黑" w:hAnsi="微软雅黑" w:eastAsia="微软雅黑" w:cs="微软雅黑"/>
          <w:color w:val="000000"/>
          <w:sz w:val="22"/>
          <w:szCs w:val="22"/>
          <w:highlight w:val="none"/>
        </w:rPr>
      </w:r>
      <w:r/>
    </w:p>
    <w:p>
      <w:pPr>
        <w:pStyle w:val="996"/>
        <w:ind w:firstLine="482"/>
        <w:spacing w:line="360" w:lineRule="auto"/>
        <w:rPr>
          <w:rFonts w:ascii="宋体" w:hAnsi="宋体"/>
          <w:b/>
          <w:color w:val="000000"/>
          <w:sz w:val="24"/>
          <w:highlight w:val="none"/>
        </w:rPr>
      </w:pPr>
      <w:r>
        <w:rPr>
          <w:rFonts w:ascii="宋体" w:hAnsi="宋体"/>
          <w:b/>
          <w:color w:val="000000"/>
          <w:sz w:val="24"/>
          <w:highlight w:val="none"/>
        </w:rPr>
      </w:r>
      <w:r/>
    </w:p>
    <w:p>
      <w:pPr>
        <w:pStyle w:val="996"/>
        <w:ind w:firstLine="482"/>
        <w:spacing w:line="360" w:lineRule="auto"/>
        <w:rPr>
          <w:rFonts w:ascii="宋体" w:hAnsi="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highlight w:val="none"/>
        </w:rPr>
        <w:t xml:space="preserve">履约验收方案要明确履约验收的主体、时间、方式、程序、内容和验收标准等事项。</w:t>
      </w:r>
      <w:r>
        <w:rPr>
          <w:rFonts w:ascii="宋体" w:hAnsi="宋体"/>
          <w:b/>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履约验收主体：</w:t>
      </w:r>
      <w:r>
        <w:rPr>
          <w:rFonts w:hint="eastAsia" w:ascii="宋体" w:hAnsi="宋体"/>
          <w:color w:val="000000"/>
          <w:sz w:val="24"/>
          <w:highlight w:val="none"/>
        </w:rPr>
        <w:t xml:space="preserve">无锡市新安中心幼儿园</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履约验收时间：</w:t>
      </w:r>
      <w:r>
        <w:rPr>
          <w:rFonts w:hint="eastAsia" w:ascii="宋体" w:hAnsi="宋体"/>
          <w:color w:val="000000"/>
          <w:sz w:val="24"/>
          <w:highlight w:val="none"/>
        </w:rPr>
        <w:t xml:space="preserve">合同服务期届满前15个工作日内启动，5个工作日内完成。</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履约验收方式：</w:t>
      </w:r>
      <w:r>
        <w:rPr>
          <w:rFonts w:hint="eastAsia" w:ascii="宋体" w:hAnsi="宋体"/>
          <w:color w:val="000000"/>
          <w:sz w:val="24"/>
          <w:highlight w:val="none"/>
        </w:rPr>
        <w:t xml:space="preserve">现场实地查验</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履约验收程序：</w:t>
      </w:r>
      <w:r>
        <w:rPr>
          <w:rFonts w:hint="eastAsia" w:ascii="宋体" w:hAnsi="宋体"/>
          <w:color w:val="000000"/>
          <w:sz w:val="24"/>
          <w:highlight w:val="none"/>
        </w:rPr>
        <w:t xml:space="preserve">无锡市新安中心幼儿园</w:t>
      </w:r>
      <w:r>
        <w:rPr>
          <w:rFonts w:hint="eastAsia" w:ascii="宋体" w:hAnsi="宋体"/>
          <w:bCs/>
          <w:color w:val="000000"/>
          <w:sz w:val="24"/>
          <w:highlight w:val="none"/>
        </w:rPr>
        <w:t xml:space="preserve">根据平日对物业服务的观察，结合考核内容与标准，进行打分。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履约验收内容：</w:t>
      </w:r>
      <w:r>
        <w:rPr>
          <w:rFonts w:ascii="宋体" w:hAnsi="宋体"/>
          <w:bCs/>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1.基础管理：组织机构、管理制度、人员配置、着装规范、持证上岗、台账记录、培训及应急管理等。</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2.安保秩序：门卫值守、校园巡查、门禁管理、监控运行、车辆管理、外来人员登记、应急处置等。</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3.设施设备运维：水电、电梯、强弱电、门窗、桌椅、路面、井盖等日常巡检、维修保养及完好情况。</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4.绿化养护：绿植修剪、浇灌、施肥、除草、病虫害防治及苗木成活率等。</w:t>
      </w:r>
      <w:r>
        <w:rPr>
          <w:rFonts w:ascii="宋体" w:hAnsi="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5.安全管理：安全隐患排查、防汛防冻、突发事件响应及处置等。</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履约验收标准：</w:t>
      </w:r>
      <w:r>
        <w:rPr>
          <w:rFonts w:ascii="宋体" w:hAnsi="宋体"/>
          <w:bCs/>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1.符合国家、省、市现行相关法律法规、规范标准及强制性要求。</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2.符合本项目招标文件、中标人投标文件、物业服务合同约定的全部服务内容及标准。</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3.量化验收采用百分制，综合得分≥85分为合格，低于85分为不合格。</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4.关键指标底线要求：</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（1）安保人员在岗率100%，监控完好率≥98%；</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（2）设施设备完好率≥95%，维修及时率≥95%、返修率≤3%；</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（3）绿化成活率≥95%，无枯枝杂草；</w:t>
      </w:r>
      <w:r>
        <w:rPr>
          <w:rFonts w:ascii="宋体" w:hAnsi="宋体"/>
          <w:color w:val="000000"/>
          <w:sz w:val="24"/>
          <w:highlight w:val="none"/>
        </w:rPr>
      </w:r>
      <w:r/>
    </w:p>
    <w:p>
      <w:pPr>
        <w:pStyle w:val="99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（4）师生满意度≥85%；</w:t>
      </w:r>
      <w:r>
        <w:rPr>
          <w:rFonts w:ascii="宋体" w:hAnsi="宋体"/>
          <w:color w:val="000000"/>
          <w:sz w:val="24"/>
          <w:highlight w:val="none"/>
        </w:rPr>
      </w:r>
      <w:r/>
    </w:p>
    <w:p>
      <w:pPr>
        <w:pStyle w:val="1074"/>
        <w:ind w:firstLine="480"/>
        <w:spacing w:line="360" w:lineRule="auto"/>
        <w:rPr>
          <w:color w:val="000000"/>
          <w:highlight w:val="none"/>
        </w:rPr>
      </w:pPr>
      <w:r>
        <w:rPr>
          <w:rFonts w:hint="eastAsia" w:ascii="宋体" w:hAnsi="宋体" w:eastAsia="宋体"/>
          <w:bCs w:val="0"/>
          <w:color w:val="000000"/>
          <w:sz w:val="24"/>
          <w:highlight w:val="none"/>
        </w:rPr>
        <w:t xml:space="preserve">（6）合同期内无重大安全责任事故、无重大有效投诉。</w:t>
      </w:r>
      <w:r>
        <w:rPr>
          <w:color w:val="000000"/>
          <w:highlight w:val="none"/>
        </w:rPr>
      </w:r>
      <w:r/>
    </w:p>
    <w:p>
      <w:pPr>
        <w:pStyle w:val="996"/>
        <w:ind w:firstLine="482"/>
        <w:spacing w:line="360" w:lineRule="auto"/>
        <w:rPr>
          <w:rFonts w:ascii="宋体" w:hAnsi="宋体"/>
          <w:b/>
          <w:color w:val="000000"/>
          <w:sz w:val="24"/>
          <w:highlight w:val="none"/>
        </w:rPr>
      </w:pPr>
      <w:r>
        <w:rPr>
          <w:rFonts w:hint="eastAsia" w:ascii="宋体" w:hAnsi="宋体"/>
          <w:bCs/>
          <w:color w:val="000000"/>
          <w:sz w:val="24"/>
          <w:highlight w:val="none"/>
        </w:rPr>
        <w:t xml:space="preserve">履约验收其他事项：无</w:t>
      </w:r>
      <w:r>
        <w:rPr>
          <w:rFonts w:ascii="宋体" w:hAnsi="宋体"/>
          <w:b/>
          <w:color w:val="000000"/>
          <w:sz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rPr>
          <w:color w:val="000000"/>
          <w:sz w:val="28"/>
          <w:szCs w:val="28"/>
          <w:highlight w:val="none"/>
        </w:rPr>
      </w:pPr>
      <w:r>
        <w:rPr>
          <w:rFonts w:ascii="宋体" w:hAnsi="宋体"/>
          <w:bCs/>
          <w:color w:val="000000"/>
          <w:sz w:val="24"/>
          <w:szCs w:val="24"/>
          <w:highlight w:val="none"/>
        </w:rPr>
        <w:br w:type="page" w:clear="all"/>
      </w:r>
      <w:r>
        <w:rPr>
          <w:rFonts w:hint="eastAsia" w:ascii="宋体" w:hAnsi="宋体"/>
          <w:b/>
          <w:bCs w:val="0"/>
          <w:color w:val="000000"/>
          <w:sz w:val="24"/>
          <w:szCs w:val="24"/>
          <w:highlight w:val="none"/>
          <w:lang w:val="en-US" w:eastAsia="zh-CN"/>
        </w:rPr>
        <w:t xml:space="preserve">8.</w:t>
      </w:r>
      <w:r>
        <w:rPr>
          <w:b/>
          <w:bCs w:val="0"/>
          <w:color w:val="000000"/>
          <w:sz w:val="24"/>
          <w:szCs w:val="24"/>
          <w:highlight w:val="none"/>
        </w:rPr>
        <w:t xml:space="preserve">关于中标后项目进行分包的要求</w:t>
      </w:r>
      <w:r>
        <w:rPr>
          <w:color w:val="000000"/>
          <w:sz w:val="28"/>
          <w:szCs w:val="28"/>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（1）分包内容及要求</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本项目中的【</w:t>
      </w:r>
      <w:r>
        <w:rPr>
          <w:rFonts w:hint="eastAsia" w:ascii="宋体" w:hAnsi="宋体"/>
          <w:bCs/>
          <w:color w:val="000000"/>
          <w:sz w:val="24"/>
          <w:highlight w:val="none"/>
        </w:rPr>
        <w:t xml:space="preserve">电梯系统维保</w:t>
      </w:r>
      <w:r>
        <w:rPr>
          <w:rFonts w:hint="eastAsia" w:ascii="宋体" w:hAnsi="宋体"/>
          <w:bCs/>
          <w:color w:val="000000"/>
          <w:sz w:val="24"/>
          <w:szCs w:val="24"/>
          <w:highlight w:val="none"/>
        </w:rPr>
        <w:t xml:space="preserve">】、【</w:t>
      </w:r>
      <w:r>
        <w:rPr>
          <w:rFonts w:hint="eastAsia" w:ascii="宋体" w:hAnsi="宋体"/>
          <w:bCs/>
          <w:color w:val="000000"/>
          <w:sz w:val="24"/>
          <w:highlight w:val="none"/>
        </w:rPr>
        <w:t xml:space="preserve">消防系统维保</w:t>
      </w:r>
      <w:r>
        <w:rPr>
          <w:rFonts w:hint="eastAsia" w:ascii="宋体" w:hAnsi="宋体"/>
          <w:bCs/>
          <w:color w:val="000000"/>
          <w:sz w:val="24"/>
          <w:szCs w:val="24"/>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包承担主体（即分包供应商）应当具备相应资质条件且不得再次分包。</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（2）关于分包事项投标人或分包供应商应具备的资质条件要求</w:t>
      </w:r>
      <w:r>
        <w:rPr>
          <w:rFonts w:ascii="宋体" w:hAnsi="宋体"/>
          <w:bCs/>
          <w:color w:val="000000"/>
          <w:sz w:val="24"/>
          <w:szCs w:val="24"/>
          <w:highlight w:val="none"/>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【分包事项1】</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分包具体内容：电梯系统维保</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分包金额或比例：不超过7500元</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【分包事项2】</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分包具体内容：消防系统维保</w:t>
      </w:r>
      <w:r>
        <w:rPr>
          <w:rFonts w:ascii="宋体" w:hAnsi="宋体"/>
          <w:bCs/>
          <w:color w:val="000000"/>
          <w:sz w:val="24"/>
        </w:rPr>
      </w:r>
      <w:r/>
    </w:p>
    <w:p>
      <w:pPr>
        <w:pStyle w:val="996"/>
        <w:ind w:firstLine="480"/>
        <w:spacing w:line="360" w:lineRule="auto"/>
        <w:rPr>
          <w:rFonts w:ascii="宋体" w:hAnsi="宋体"/>
          <w:bCs/>
          <w:color w:val="000000"/>
          <w:sz w:val="24"/>
        </w:rPr>
      </w:pPr>
      <w:r>
        <w:rPr>
          <w:rFonts w:hint="eastAsia" w:ascii="宋体" w:hAnsi="宋体"/>
          <w:bCs/>
          <w:color w:val="000000"/>
          <w:sz w:val="24"/>
        </w:rPr>
        <w:t xml:space="preserve">分包金额或比例：不超过15000元</w:t>
      </w:r>
      <w:r>
        <w:rPr>
          <w:rFonts w:ascii="宋体" w:hAnsi="宋体"/>
          <w:bCs/>
          <w:color w:val="000000"/>
          <w:sz w:val="24"/>
        </w:rPr>
      </w:r>
      <w:r/>
    </w:p>
    <w:p>
      <w:pPr>
        <w:pStyle w:val="1113"/>
        <w:ind w:firstLine="480"/>
        <w:spacing w:line="360" w:lineRule="auto"/>
        <w:rPr>
          <w:rFonts w:ascii="宋体" w:hAnsi="宋体" w:eastAsia="宋体"/>
          <w:bCs/>
          <w:color w:val="000000"/>
          <w:sz w:val="24"/>
        </w:rPr>
      </w:pPr>
      <w:r>
        <w:rPr>
          <w:rFonts w:hint="eastAsia" w:ascii="宋体" w:hAnsi="宋体" w:eastAsia="宋体"/>
          <w:bCs/>
          <w:color w:val="000000"/>
          <w:sz w:val="24"/>
        </w:rPr>
        <w:t xml:space="preserve">投标人或分包供应商资质条件：</w:t>
      </w:r>
      <w:r>
        <w:rPr>
          <w:rFonts w:hint="eastAsia" w:ascii="宋体" w:hAnsi="宋体" w:eastAsia="宋体" w:cs="Times New Roman"/>
          <w:bCs/>
          <w:color w:val="000000"/>
          <w:sz w:val="24"/>
          <w:szCs w:val="21"/>
          <w:lang w:val="en-US" w:eastAsia="zh-CN" w:bidi="ar-SA"/>
        </w:rPr>
        <w:t xml:space="preserve">具备社会消防技术服务信息系统中消防设施维护保养检测类企业，以“社会消防技术服务信息系统”网站查询结果为准。</w:t>
      </w:r>
      <w:r>
        <w:rPr>
          <w:rFonts w:ascii="宋体" w:hAnsi="宋体" w:eastAsia="宋体"/>
          <w:bCs/>
          <w:color w:val="000000"/>
          <w:sz w:val="24"/>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（3）投标人须提供的材料</w:t>
      </w:r>
      <w:r>
        <w:rPr>
          <w:rFonts w:ascii="宋体" w:hAnsi="宋体"/>
          <w:bCs/>
          <w:color w:val="000000"/>
          <w:sz w:val="24"/>
          <w:szCs w:val="24"/>
          <w:highlight w:val="none"/>
        </w:rPr>
      </w:r>
      <w:r/>
    </w:p>
    <w:p>
      <w:pPr>
        <w:pStyle w:val="996"/>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针对分包事项，如投标人中标后需要采取分包方式履行合同的，则投标人须在投标文件中载明分包承担主体（即分包供应商）名称，</w:t>
      </w:r>
      <w:r>
        <w:rPr>
          <w:rFonts w:hint="eastAsia" w:ascii="宋体" w:hAnsi="宋体"/>
          <w:b/>
          <w:bCs/>
          <w:color w:val="000000"/>
          <w:sz w:val="24"/>
          <w:szCs w:val="24"/>
          <w:highlight w:val="none"/>
          <w:u w:val="single"/>
        </w:rPr>
        <w:t xml:space="preserve">投标时须提供相应分包事项的《分包意向协议》（格式自拟），《分包意向协议》中须明确分包供应商的名称，且盖有投标人公章及分包供应商公章。</w:t>
      </w:r>
      <w:r>
        <w:rPr>
          <w:rFonts w:hint="eastAsia" w:ascii="宋体" w:hAnsi="宋体"/>
          <w:bCs/>
          <w:color w:val="000000"/>
          <w:sz w:val="24"/>
          <w:szCs w:val="24"/>
          <w:highlight w:val="none"/>
        </w:rPr>
        <w:t xml:space="preserve">针对分包事项，如投标人中标后能够独立履行合同的，</w:t>
      </w:r>
      <w:r>
        <w:rPr>
          <w:rFonts w:hint="eastAsia" w:ascii="宋体" w:hAnsi="宋体"/>
          <w:b/>
          <w:bCs/>
          <w:color w:val="000000"/>
          <w:sz w:val="24"/>
          <w:szCs w:val="24"/>
          <w:highlight w:val="none"/>
          <w:u w:val="single"/>
        </w:rPr>
        <w:t xml:space="preserve">则投标时须提供投标人承诺函（格式自拟），并加盖投标人公章。</w:t>
      </w:r>
      <w:r>
        <w:rPr>
          <w:rFonts w:ascii="宋体" w:hAnsi="宋体"/>
          <w:b/>
          <w:bCs/>
          <w:color w:val="000000"/>
          <w:sz w:val="24"/>
          <w:szCs w:val="24"/>
          <w:highlight w:val="none"/>
        </w:rPr>
      </w:r>
      <w:r/>
    </w:p>
    <w:p>
      <w:pPr>
        <w:pStyle w:val="996"/>
        <w:ind w:firstLine="480"/>
        <w:spacing w:line="360" w:lineRule="auto"/>
        <w:rPr>
          <w:rFonts w:ascii="宋体" w:hAnsi="宋体"/>
          <w:b/>
          <w:bCs/>
          <w:color w:val="000000"/>
          <w:sz w:val="24"/>
          <w:szCs w:val="24"/>
          <w:highlight w:val="none"/>
        </w:rPr>
      </w:pPr>
      <w:r>
        <w:rPr>
          <w:rFonts w:hint="eastAsia" w:ascii="宋体" w:hAnsi="宋体"/>
          <w:bCs/>
          <w:color w:val="000000"/>
          <w:sz w:val="24"/>
          <w:szCs w:val="24"/>
          <w:highlight w:val="none"/>
        </w:rPr>
        <w:t xml:space="preserve">针对分包事项应具备的资质条件要求，如投标人中标后需要采取分包方式履行合同的，</w:t>
      </w:r>
      <w:r>
        <w:rPr>
          <w:rFonts w:hint="eastAsia" w:ascii="宋体" w:hAnsi="宋体"/>
          <w:b/>
          <w:bCs/>
          <w:color w:val="000000"/>
          <w:sz w:val="24"/>
          <w:szCs w:val="24"/>
          <w:highlight w:val="none"/>
          <w:u w:val="single"/>
        </w:rPr>
        <w:t xml:space="preserve">投标时须提供分包供应商的相应资质证明扫描件或复印件并上传至投标系统。</w:t>
      </w:r>
      <w:r>
        <w:rPr>
          <w:rFonts w:hint="eastAsia" w:ascii="宋体" w:hAnsi="宋体"/>
          <w:bCs/>
          <w:color w:val="000000"/>
          <w:sz w:val="24"/>
          <w:szCs w:val="24"/>
          <w:highlight w:val="none"/>
        </w:rPr>
        <w:t xml:space="preserve">针对分包事项应具备的资质条件要求，如投标人中标后能够独立履行合同的，</w:t>
      </w:r>
      <w:r>
        <w:rPr>
          <w:rFonts w:hint="eastAsia" w:ascii="宋体" w:hAnsi="宋体"/>
          <w:b/>
          <w:bCs/>
          <w:color w:val="000000"/>
          <w:sz w:val="24"/>
          <w:szCs w:val="24"/>
          <w:highlight w:val="none"/>
          <w:u w:val="single"/>
        </w:rPr>
        <w:t xml:space="preserve">则投标时须提供投标人的相应资质证明扫描件或复印件并上传至投标系统。</w:t>
      </w:r>
      <w:r>
        <w:rPr>
          <w:rFonts w:ascii="宋体" w:hAnsi="宋体"/>
          <w:b/>
          <w:bCs/>
          <w:color w:val="000000"/>
          <w:sz w:val="24"/>
          <w:szCs w:val="24"/>
          <w:highlight w:val="none"/>
        </w:rPr>
      </w:r>
      <w:r/>
    </w:p>
    <w:p>
      <w:pPr>
        <w:pStyle w:val="996"/>
        <w:ind w:firstLine="48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投标人须根据上述情况提供相应证明材料，并上传至投标系统，否则投标文件无效。</w:t>
      </w:r>
      <w:r>
        <w:rPr>
          <w:rFonts w:ascii="宋体" w:hAnsi="宋体"/>
          <w:b/>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（4）关于中小企业的要求</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（5）其他要求</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color w:val="000000"/>
          <w:sz w:val="24"/>
          <w:szCs w:val="24"/>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color w:val="000000"/>
          <w:sz w:val="24"/>
          <w:szCs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p>
    <w:p>
      <w:pPr>
        <w:pStyle w:val="996"/>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96"/>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rPr>
          <w:rFonts w:ascii="宋体"/>
          <w:bCs/>
          <w:color w:val="000000"/>
          <w:sz w:val="24"/>
          <w:szCs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单次单品维修维护零配件材料费按《关于印发市级行政事业单位后勤服务预算支出标准的通知》(锡财行〔2024〕15号）执行。</w:t>
      </w:r>
      <w:r>
        <w:rPr>
          <w:rFonts w:hint="eastAsia" w:ascii="宋体" w:hAnsi="宋体" w:cs="仿宋_GB2312"/>
          <w:color w:val="000000"/>
          <w:sz w:val="24"/>
          <w:szCs w:val="24"/>
          <w:highlight w:val="none"/>
        </w:rPr>
      </w:r>
      <w:r/>
    </w:p>
    <w:p>
      <w:pPr>
        <w:pStyle w:val="996"/>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996"/>
        <w:numPr>
          <w:ilvl w:val="1"/>
          <w:numId w:val="12"/>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996"/>
        <w:numPr>
          <w:ilvl w:val="1"/>
          <w:numId w:val="12"/>
        </w:numPr>
        <w:ind w:left="0" w:firstLine="480"/>
        <w:spacing w:line="360" w:lineRule="auto"/>
        <w:tabs>
          <w:tab w:val="left" w:pos="525" w:leader="none"/>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服务期限：两年（具体起止时间以合同签订时间为准）</w:t>
      </w:r>
      <w:r>
        <w:rPr>
          <w:rFonts w:hint="eastAsia" w:ascii="宋体" w:hAnsi="宋体" w:eastAsia="宋体" w:cs="Times New Roman"/>
          <w:bCs/>
          <w:color w:val="000000"/>
          <w:sz w:val="24"/>
          <w:szCs w:val="24"/>
          <w:highlight w:val="none"/>
        </w:rPr>
      </w:r>
      <w:r/>
    </w:p>
    <w:p>
      <w:pPr>
        <w:pStyle w:val="996"/>
        <w:numPr>
          <w:ilvl w:val="1"/>
          <w:numId w:val="12"/>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eastAsia="宋体" w:cs="Times New Roman"/>
          <w:bCs/>
          <w:color w:val="000000"/>
          <w:sz w:val="24"/>
          <w:szCs w:val="24"/>
          <w:highlight w:val="none"/>
        </w:rPr>
        <w:t xml:space="preserve">付款方式：物业服务费按季度支付，第二季度次月中旬根据管理考核标准，结合物业服务考核结果，支付第一季度费用，以此类推。</w:t>
      </w:r>
      <w:r>
        <w:rPr>
          <w:rFonts w:hint="eastAsia" w:ascii="宋体"/>
          <w:bCs/>
          <w:color w:val="000000"/>
          <w:sz w:val="24"/>
          <w:szCs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中标（成交）供应商以履约保函（保险）形式按签约合同价的1%提供履约担保。中标（成交）供应商可采用电子履约保函（保险）形式,具体操作可登录江苏政府采购网的保险保函模块进行办理。</w:t>
      </w:r>
      <w:r>
        <w:rPr>
          <w:rFonts w:hint="eastAsia" w:ascii="宋体"/>
          <w:bCs/>
          <w:color w:val="000000"/>
          <w:sz w:val="24"/>
          <w:szCs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rPr>
          <w:rFonts w:ascii="宋体" w:hAnsi="宋体"/>
          <w:bCs/>
          <w:color w:val="000000"/>
          <w:sz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color w:val="000000"/>
          <w:sz w:val="24"/>
          <w:highlight w:val="none"/>
        </w:rPr>
      </w:r>
      <w:r/>
    </w:p>
    <w:p>
      <w:pPr>
        <w:pStyle w:val="996"/>
        <w:numPr>
          <w:ilvl w:val="1"/>
          <w:numId w:val="12"/>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highlight w:val="none"/>
        </w:rPr>
      </w:r>
      <w:r/>
    </w:p>
    <w:p>
      <w:pPr>
        <w:pStyle w:val="996"/>
        <w:ind w:left="525"/>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rFonts w:hint="eastAsia" w:ascii="宋体" w:hAnsi="宋体"/>
          <w:b/>
          <w:bCs/>
          <w:color w:val="000000"/>
          <w:sz w:val="30"/>
          <w:szCs w:val="30"/>
          <w:highlight w:val="none"/>
        </w:rPr>
      </w:r>
      <w:r/>
    </w:p>
    <w:p>
      <w:pPr>
        <w:pStyle w:val="996"/>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96"/>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996"/>
        <w:numPr>
          <w:ilvl w:val="1"/>
          <w:numId w:val="13"/>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96"/>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996"/>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996"/>
        <w:numPr>
          <w:ilvl w:val="1"/>
          <w:numId w:val="13"/>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996"/>
        <w:numPr>
          <w:ilvl w:val="1"/>
          <w:numId w:val="13"/>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96"/>
        <w:numPr>
          <w:ilvl w:val="1"/>
          <w:numId w:val="13"/>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996"/>
        <w:numPr>
          <w:ilvl w:val="1"/>
          <w:numId w:val="13"/>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lang w:val="en"/>
        </w:rPr>
      </w:r>
      <w:r/>
    </w:p>
    <w:p>
      <w:pPr>
        <w:pStyle w:val="996"/>
        <w:numPr>
          <w:ilvl w:val="1"/>
          <w:numId w:val="13"/>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93" w:name="OLE_LINK2"/>
      <w:r/>
      <w:bookmarkStart w:id="194" w:name="OLE_LINK1"/>
      <w:r>
        <w:rPr>
          <w:rFonts w:hint="eastAsia" w:ascii="宋体"/>
          <w:bCs/>
          <w:color w:val="000000"/>
          <w:sz w:val="24"/>
          <w:szCs w:val="24"/>
          <w:highlight w:val="none"/>
        </w:rPr>
        <w:t xml:space="preserve">《保障中小企业款项支付条例》（中华人民共和国国务院令第802号）</w:t>
      </w:r>
      <w:bookmarkEnd w:id="193"/>
      <w:r/>
      <w:bookmarkEnd w:id="194"/>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lang w:val="en"/>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lang w:val="en"/>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lang w:val="en"/>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9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95" w:name="_Toc120614281"/>
      <w:r>
        <w:rPr>
          <w:rFonts w:hint="eastAsia" w:ascii="黑体" w:hAnsi="黑体" w:eastAsia="黑体"/>
          <w:color w:val="000000"/>
          <w:sz w:val="36"/>
          <w:szCs w:val="36"/>
          <w:highlight w:val="none"/>
        </w:rPr>
        <w:t xml:space="preserve">第五章  评标方法与评标标准</w:t>
      </w:r>
      <w:r>
        <w:rPr>
          <w:rFonts w:hint="eastAsia" w:ascii="黑体" w:hAnsi="黑体" w:eastAsia="黑体"/>
          <w:color w:val="000000"/>
          <w:sz w:val="36"/>
          <w:szCs w:val="36"/>
          <w:highlight w:val="none"/>
        </w:rPr>
      </w:r>
      <w:r/>
    </w:p>
    <w:p>
      <w:pPr>
        <w:pStyle w:val="1085"/>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rPr>
          <w:rFonts w:hint="eastAsia" w:cs="Arial"/>
          <w:b/>
          <w:color w:val="000000"/>
          <w:sz w:val="30"/>
          <w:szCs w:val="30"/>
          <w:highlight w:val="none"/>
        </w:rPr>
      </w:r>
      <w:r/>
    </w:p>
    <w:p>
      <w:pPr>
        <w:pStyle w:val="1085"/>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rPr>
          <w:rFonts w:hint="eastAsia" w:cs="Arial"/>
          <w:color w:val="000000"/>
          <w:highlight w:val="none"/>
        </w:rPr>
      </w:r>
      <w:r/>
    </w:p>
    <w:p>
      <w:pPr>
        <w:pStyle w:val="1085"/>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rPr>
          <w:rFonts w:hint="eastAsia" w:cs="Arial"/>
          <w:color w:val="000000"/>
          <w:highlight w:val="none"/>
        </w:rPr>
      </w:r>
      <w:r/>
    </w:p>
    <w:p>
      <w:pPr>
        <w:pStyle w:val="1085"/>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highlight w:val="none"/>
        </w:rPr>
      </w:r>
      <w:r/>
    </w:p>
    <w:p>
      <w:pPr>
        <w:pStyle w:val="1085"/>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highlight w:val="none"/>
        </w:rPr>
      </w:r>
      <w:r/>
    </w:p>
    <w:p>
      <w:pPr>
        <w:pStyle w:val="1085"/>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rPr>
          <w:rFonts w:hint="eastAsia" w:cs="Arial"/>
          <w:b/>
          <w:color w:val="000000"/>
          <w:sz w:val="30"/>
          <w:szCs w:val="30"/>
          <w:highlight w:val="none"/>
        </w:rPr>
      </w:r>
      <w:r/>
    </w:p>
    <w:p>
      <w:pPr>
        <w:pStyle w:val="1085"/>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hint="eastAsia" w:ascii="宋体" w:hAnsi="宋体"/>
          <w:b/>
          <w:color w:val="000000"/>
          <w:sz w:val="28"/>
          <w:szCs w:val="28"/>
          <w:highlight w:val="none"/>
        </w:rPr>
      </w:r>
      <w:r/>
    </w:p>
    <w:p>
      <w:pPr>
        <w:pStyle w:val="996"/>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none"/>
        </w:rPr>
      </w:r>
      <w:r/>
    </w:p>
    <w:p>
      <w:pPr>
        <w:pStyle w:val="99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99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highlight w:val="none"/>
        </w:rPr>
      </w:r>
      <w:r/>
    </w:p>
    <w:p>
      <w:pPr>
        <w:pStyle w:val="99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99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4残疾人福利单位、监狱企业属于小型、微型企业的，不重复享受政策。</w:t>
      </w:r>
      <w:r>
        <w:rPr>
          <w:rFonts w:hint="eastAsia" w:ascii="宋体" w:hAnsi="宋体"/>
          <w:bCs/>
          <w:color w:val="000000"/>
          <w:sz w:val="24"/>
          <w:szCs w:val="24"/>
          <w:highlight w:val="none"/>
        </w:rPr>
      </w:r>
      <w:r/>
    </w:p>
    <w:p>
      <w:pPr>
        <w:pStyle w:val="99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996"/>
        <w:ind w:firstLine="480"/>
        <w:jc w:val="left"/>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96"/>
        <w:ind w:firstLine="480"/>
        <w:jc w:val="left"/>
        <w:spacing w:line="500" w:lineRule="exact"/>
        <w:rPr>
          <w:rFonts w:ascii="宋体" w:hAnsi="宋体"/>
          <w:color w:val="000000"/>
          <w:highlight w:val="none"/>
          <w:shd w:val="clear" w:color="ffffff" w:fill="d9d9d9"/>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rFonts w:ascii="宋体" w:hAnsi="宋体"/>
          <w:color w:val="000000"/>
          <w:highlight w:val="none"/>
          <w:shd w:val="clear" w:color="ffffff" w:fill="d9d9d9"/>
        </w:rPr>
      </w:r>
      <w:r/>
    </w:p>
    <w:p>
      <w:pPr>
        <w:pStyle w:val="1085"/>
        <w:spacing w:before="0" w:after="0" w:line="500" w:lineRule="exact"/>
        <w:rPr>
          <w:rFonts w:hint="eastAsia" w:ascii="宋体" w:hAnsi="宋体"/>
          <w:color w:val="000000"/>
          <w:highlight w:val="none"/>
          <w:shd w:val="clear" w:color="ffffff" w:fill="d9d9d9"/>
        </w:rPr>
      </w:pPr>
      <w:r>
        <w:rPr>
          <w:rFonts w:ascii="宋体" w:hAnsi="宋体"/>
          <w:color w:val="000000"/>
          <w:highlight w:val="none"/>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996"/>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996"/>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highlight w:val="none"/>
        </w:rPr>
      </w:r>
      <w:r/>
    </w:p>
    <w:p>
      <w:pPr>
        <w:pStyle w:val="996"/>
        <w:ind w:firstLine="480"/>
        <w:spacing w:line="500" w:lineRule="exact"/>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96"/>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rPr>
          <w:rFonts w:hint="eastAsia" w:ascii="宋体" w:hAnsi="宋体"/>
          <w:bCs/>
          <w:color w:val="000000"/>
          <w:sz w:val="24"/>
          <w:szCs w:val="24"/>
          <w:highlight w:val="none"/>
        </w:rPr>
      </w:r>
      <w:r/>
    </w:p>
    <w:p>
      <w:pPr>
        <w:pStyle w:val="996"/>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人员配置情况（</w:t>
      </w:r>
      <w:r>
        <w:rPr>
          <w:rFonts w:hint="eastAsia" w:ascii="宋体" w:hAnsi="宋体"/>
          <w:b/>
          <w:bCs/>
          <w:color w:val="000000"/>
          <w:sz w:val="24"/>
          <w:szCs w:val="24"/>
          <w:highlight w:val="none"/>
          <w:lang w:val="en-US" w:eastAsia="zh-CN"/>
        </w:rPr>
        <w:t xml:space="preserve">12</w:t>
      </w:r>
      <w:r>
        <w:rPr>
          <w:rFonts w:hint="eastAsia" w:ascii="宋体" w:hAnsi="宋体"/>
          <w:b/>
          <w:bCs/>
          <w:color w:val="000000"/>
          <w:sz w:val="24"/>
          <w:szCs w:val="24"/>
          <w:highlight w:val="none"/>
        </w:rPr>
        <w:t xml:space="preserve">分）：</w:t>
      </w:r>
      <w:r>
        <w:rPr>
          <w:rFonts w:hint="eastAsia" w:ascii="宋体" w:hAnsi="宋体"/>
          <w:bCs/>
          <w:color w:val="000000"/>
          <w:sz w:val="24"/>
          <w:szCs w:val="24"/>
          <w:highlight w:val="none"/>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highlight w:val="none"/>
        </w:rPr>
      </w:r>
      <w:r/>
    </w:p>
    <w:p>
      <w:pPr>
        <w:pStyle w:val="996"/>
        <w:ind w:firstLine="561"/>
        <w:spacing w:line="360" w:lineRule="auto"/>
        <w:tabs>
          <w:tab w:val="left" w:pos="1155" w:leader="none"/>
        </w:tabs>
        <w:rPr>
          <w:rFonts w:ascii="宋体" w:hAnsi="宋体" w:cs="宋体"/>
          <w:bCs/>
          <w:color w:val="000000"/>
          <w:sz w:val="24"/>
          <w:highlight w:val="none"/>
          <w:lang w:val="zh-CN" w:eastAsia="zh-TW"/>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1</w:t>
      </w:r>
      <w:r>
        <w:rPr>
          <w:rFonts w:hint="eastAsia" w:ascii="宋体" w:hAnsi="Times New Roman"/>
          <w:color w:val="000000"/>
          <w:sz w:val="24"/>
          <w:highlight w:val="none"/>
          <w:lang w:eastAsia="zh-CN"/>
        </w:rPr>
        <w:t xml:space="preserve">）</w:t>
      </w:r>
      <w:r>
        <w:rPr>
          <w:rFonts w:hint="eastAsia" w:ascii="宋体" w:cs="宋体"/>
          <w:bCs/>
          <w:color w:val="000000"/>
          <w:sz w:val="24"/>
          <w:highlight w:val="none"/>
        </w:rPr>
        <w:t xml:space="preserve">保安队长（</w:t>
      </w:r>
      <w:r>
        <w:rPr>
          <w:rFonts w:hint="eastAsia" w:ascii="宋体" w:cs="宋体"/>
          <w:bCs/>
          <w:color w:val="000000"/>
          <w:sz w:val="24"/>
          <w:highlight w:val="none"/>
          <w:lang w:val="en-US" w:eastAsia="zh-CN"/>
        </w:rPr>
        <w:t xml:space="preserve">3</w:t>
      </w:r>
      <w:r>
        <w:rPr>
          <w:rFonts w:hint="eastAsia" w:ascii="宋体" w:cs="宋体"/>
          <w:bCs/>
          <w:color w:val="000000"/>
          <w:sz w:val="24"/>
          <w:highlight w:val="none"/>
        </w:rPr>
        <w:t xml:space="preserve">分）：</w:t>
      </w:r>
      <w:r>
        <w:rPr>
          <w:rFonts w:hint="eastAsia" w:ascii="宋体" w:cs="宋体"/>
          <w:bCs/>
          <w:color w:val="000000"/>
          <w:sz w:val="24"/>
          <w:u w:val="none"/>
          <w:lang w:val="zh-TW" w:eastAsia="zh-TW"/>
        </w:rPr>
        <w:t xml:space="preserve">具有保安员证</w:t>
      </w:r>
      <w:r>
        <w:rPr>
          <w:rFonts w:hint="eastAsia" w:ascii="宋体" w:cs="宋体"/>
          <w:bCs/>
          <w:color w:val="000000"/>
          <w:sz w:val="24"/>
          <w:u w:val="none"/>
          <w:lang w:val="en-US" w:eastAsia="zh-CN"/>
        </w:rPr>
        <w:t xml:space="preserve">的得1分，具有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Times New Roman" w:eastAsia="宋体" w:cs="宋体"/>
          <w:bCs/>
          <w:color w:val="000000"/>
          <w:sz w:val="24"/>
          <w:u w:val="none"/>
          <w:lang w:val="en-US" w:eastAsia="zh-CN"/>
        </w:rPr>
        <w:t xml:space="preserve">的得</w:t>
      </w:r>
      <w:r>
        <w:rPr>
          <w:rFonts w:hint="eastAsia" w:ascii="宋体" w:hAnsi="Times New Roman" w:cs="宋体"/>
          <w:bCs/>
          <w:color w:val="000000"/>
          <w:sz w:val="24"/>
          <w:u w:val="none"/>
          <w:lang w:val="en-US" w:eastAsia="zh-CN"/>
        </w:rPr>
        <w:t xml:space="preserve">1</w:t>
      </w:r>
      <w:r>
        <w:rPr>
          <w:rFonts w:hint="eastAsia" w:ascii="宋体" w:hAnsi="Times New Roman" w:eastAsia="宋体" w:cs="宋体"/>
          <w:bCs/>
          <w:color w:val="000000"/>
          <w:sz w:val="24"/>
          <w:u w:val="none"/>
          <w:lang w:val="en-US" w:eastAsia="zh-CN"/>
        </w:rPr>
        <w:t xml:space="preserve">分</w:t>
      </w:r>
      <w:r>
        <w:rPr>
          <w:rFonts w:hint="eastAsia" w:ascii="宋体" w:hAnsi="Times New Roman" w:eastAsia="宋体" w:cs="宋体"/>
          <w:bCs/>
          <w:color w:val="000000"/>
          <w:sz w:val="24"/>
          <w:u w:val="none"/>
          <w:lang w:val="zh-TW" w:eastAsia="zh-TW"/>
        </w:rPr>
        <w:t xml:space="preserve">，</w:t>
      </w:r>
      <w:r>
        <w:rPr>
          <w:rFonts w:hint="eastAsia" w:ascii="宋体" w:hAnsi="Times New Roman" w:cs="宋体"/>
          <w:bCs/>
          <w:color w:val="000000"/>
          <w:sz w:val="24"/>
          <w:u w:val="none"/>
          <w:lang w:val="en-US" w:eastAsia="zh-CN"/>
        </w:rPr>
        <w:t xml:space="preserve">具有</w:t>
      </w:r>
      <w:r>
        <w:rPr>
          <w:rFonts w:hint="eastAsia" w:ascii="宋体" w:hAnsi="宋体" w:cs="宋体"/>
          <w:bCs/>
          <w:color w:val="000000"/>
          <w:sz w:val="24"/>
          <w:highlight w:val="none"/>
          <w:shd w:val="clear" w:color="auto" w:fill="auto"/>
          <w:lang w:val="en-US" w:eastAsia="zh-CN"/>
        </w:rPr>
        <w:t xml:space="preserve">主管部门颁发的</w:t>
      </w:r>
      <w:r>
        <w:rPr>
          <w:rFonts w:hint="eastAsia" w:ascii="宋体" w:hAnsi="宋体" w:eastAsia="宋体" w:cs="宋体"/>
          <w:b w:val="0"/>
          <w:bCs/>
          <w:color w:val="000000"/>
          <w:sz w:val="24"/>
          <w:szCs w:val="24"/>
          <w:highlight w:val="none"/>
          <w:shd w:val="clear" w:color="auto" w:fill="auto"/>
        </w:rPr>
        <w:t xml:space="preserve">特种设备安全管理和作业人员证的得</w:t>
      </w:r>
      <w:r>
        <w:rPr>
          <w:rFonts w:hint="eastAsia" w:ascii="宋体" w:hAnsi="宋体" w:cs="宋体"/>
          <w:b w:val="0"/>
          <w:bCs/>
          <w:color w:val="000000"/>
          <w:sz w:val="24"/>
          <w:szCs w:val="24"/>
          <w:highlight w:val="none"/>
          <w:shd w:val="clear" w:color="auto" w:fill="auto"/>
          <w:lang w:val="en-US" w:eastAsia="zh-CN"/>
        </w:rPr>
        <w:t xml:space="preserve">1</w:t>
      </w:r>
      <w:r>
        <w:rPr>
          <w:rFonts w:hint="eastAsia" w:ascii="宋体" w:hAnsi="宋体" w:eastAsia="宋体" w:cs="宋体"/>
          <w:b w:val="0"/>
          <w:bCs/>
          <w:color w:val="000000"/>
          <w:sz w:val="24"/>
          <w:szCs w:val="24"/>
          <w:highlight w:val="none"/>
          <w:shd w:val="clear" w:color="auto" w:fill="auto"/>
        </w:rPr>
        <w:t xml:space="preserve">分</w:t>
      </w:r>
      <w:r>
        <w:rPr>
          <w:rFonts w:hint="eastAsia" w:ascii="宋体" w:hAnsi="宋体" w:cs="宋体"/>
          <w:b w:val="0"/>
          <w:bCs/>
          <w:color w:val="000000"/>
          <w:sz w:val="24"/>
          <w:szCs w:val="24"/>
          <w:highlight w:val="none"/>
          <w:shd w:val="clear" w:color="auto" w:fill="auto"/>
          <w:lang w:eastAsia="zh-CN"/>
        </w:rPr>
        <w:t xml:space="preserve">，</w:t>
      </w:r>
      <w:r>
        <w:rPr>
          <w:rFonts w:hint="eastAsia" w:ascii="宋体" w:hAnsi="Times New Roman" w:eastAsia="宋体" w:cs="宋体"/>
          <w:bCs/>
          <w:color w:val="000000"/>
          <w:sz w:val="24"/>
          <w:u w:val="none"/>
          <w:lang w:val="zh-TW" w:eastAsia="zh-TW"/>
        </w:rPr>
        <w:t xml:space="preserve">本项最高</w:t>
      </w:r>
      <w:r>
        <w:rPr>
          <w:rFonts w:hint="eastAsia" w:ascii="宋体" w:cs="宋体"/>
          <w:bCs/>
          <w:color w:val="000000"/>
          <w:sz w:val="24"/>
          <w:u w:val="none"/>
          <w:lang w:val="zh-TW"/>
        </w:rPr>
        <w:t xml:space="preserve">得</w:t>
      </w:r>
      <w:r>
        <w:rPr>
          <w:rFonts w:hint="eastAsia" w:ascii="宋体" w:cs="宋体"/>
          <w:bCs/>
          <w:color w:val="000000"/>
          <w:sz w:val="24"/>
          <w:u w:val="none"/>
          <w:lang w:val="en-US" w:eastAsia="zh-CN"/>
        </w:rPr>
        <w:t xml:space="preserve">3</w:t>
      </w:r>
      <w:r>
        <w:rPr>
          <w:rFonts w:hint="eastAsia" w:ascii="宋体" w:cs="宋体"/>
          <w:bCs/>
          <w:color w:val="000000"/>
          <w:sz w:val="24"/>
          <w:u w:val="none"/>
          <w:lang w:val="zh-TW"/>
        </w:rPr>
        <w:t xml:space="preserve">分</w:t>
      </w:r>
      <w:r>
        <w:rPr>
          <w:rFonts w:hint="eastAsia" w:ascii="宋体" w:cs="宋体"/>
          <w:bCs/>
          <w:color w:val="000000"/>
          <w:sz w:val="24"/>
          <w:highlight w:val="none"/>
          <w:lang w:val="zh-TW"/>
        </w:rPr>
        <w:t xml:space="preserve">；</w:t>
      </w:r>
      <w:r>
        <w:rPr>
          <w:rFonts w:ascii="宋体" w:hAnsi="宋体" w:cs="宋体"/>
          <w:bCs/>
          <w:color w:val="000000"/>
          <w:sz w:val="24"/>
          <w:highlight w:val="none"/>
          <w:lang w:val="zh-CN" w:eastAsia="zh-TW"/>
        </w:rPr>
      </w:r>
      <w:r/>
    </w:p>
    <w:p>
      <w:pPr>
        <w:pStyle w:val="996"/>
        <w:ind w:firstLine="480"/>
        <w:spacing w:line="360" w:lineRule="auto"/>
        <w:tabs>
          <w:tab w:val="left" w:pos="1155" w:leader="none"/>
        </w:tabs>
        <w:rPr>
          <w:rFonts w:ascii="宋体" w:hAnsi="Times New Roman"/>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保安</w:t>
      </w:r>
      <w:r>
        <w:rPr>
          <w:rFonts w:hint="eastAsia" w:ascii="宋体" w:hAnsi="宋体" w:cs="宋体"/>
          <w:bCs/>
          <w:color w:val="000000"/>
          <w:sz w:val="24"/>
          <w:highlight w:val="none"/>
          <w:lang w:val="en-US" w:eastAsia="zh-CN"/>
        </w:rPr>
        <w:t xml:space="preserve">员</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rPr>
        <w:t xml:space="preserve">具有行政主管部门</w:t>
      </w:r>
      <w:r>
        <w:rPr>
          <w:rFonts w:hint="eastAsia" w:ascii="宋体" w:hAnsi="宋体" w:cs="宋体"/>
          <w:bCs/>
          <w:color w:val="000000"/>
          <w:sz w:val="24"/>
          <w:lang w:val="en-US" w:eastAsia="zh-CN"/>
        </w:rPr>
        <w:t xml:space="preserve">或公安部</w:t>
      </w:r>
      <w:r>
        <w:rPr>
          <w:rFonts w:hint="eastAsia" w:ascii="宋体" w:hAnsi="宋体" w:cs="宋体"/>
          <w:bCs/>
          <w:color w:val="000000"/>
          <w:sz w:val="24"/>
        </w:rPr>
        <w:t xml:space="preserve">颁发的</w:t>
      </w:r>
      <w:r>
        <w:rPr>
          <w:rFonts w:hint="eastAsia" w:ascii="宋体" w:hAnsi="宋体" w:eastAsia="宋体" w:cs="Times New Roman"/>
          <w:color w:val="000000"/>
          <w:sz w:val="24"/>
          <w:szCs w:val="24"/>
          <w:highlight w:val="none"/>
        </w:rPr>
        <w:t xml:space="preserve">保安员证或保安员五级职业资格证书</w:t>
      </w:r>
      <w:r>
        <w:rPr>
          <w:rFonts w:hint="eastAsia" w:ascii="宋体" w:hAnsi="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rPr>
        <w:t xml:space="preserve">得</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分，具备保安员四级证书得</w:t>
      </w:r>
      <w:r>
        <w:rPr>
          <w:rFonts w:hint="eastAsia" w:ascii="宋体" w:hAnsi="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分，具备保安员三级及以上证书</w:t>
      </w:r>
      <w:r>
        <w:rPr>
          <w:rFonts w:hint="eastAsia" w:ascii="宋体" w:hAnsi="宋体" w:eastAsia="宋体" w:cs="Times New Roman"/>
          <w:color w:val="000000"/>
          <w:sz w:val="24"/>
          <w:szCs w:val="24"/>
          <w:highlight w:val="none"/>
          <w:lang w:eastAsia="zh-CN"/>
        </w:rPr>
        <w:t xml:space="preserve">的得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分，</w:t>
      </w:r>
      <w:r>
        <w:rPr>
          <w:rFonts w:hint="eastAsia" w:ascii="宋体" w:hAnsi="宋体" w:eastAsia="宋体" w:cs="Times New Roman"/>
          <w:color w:val="000000"/>
          <w:sz w:val="24"/>
          <w:szCs w:val="24"/>
          <w:highlight w:val="none"/>
        </w:rPr>
        <w:t xml:space="preserve">本项目最多得</w:t>
      </w: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分。（限评</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人）。</w:t>
      </w:r>
      <w:r>
        <w:rPr>
          <w:rFonts w:ascii="宋体" w:hAnsi="Times New Roman"/>
          <w:color w:val="000000"/>
          <w:sz w:val="24"/>
          <w:highlight w:val="none"/>
        </w:rPr>
      </w:r>
      <w:r/>
    </w:p>
    <w:p>
      <w:pPr>
        <w:pStyle w:val="996"/>
        <w:ind w:firstLine="480"/>
        <w:spacing w:line="360" w:lineRule="auto"/>
        <w:tabs>
          <w:tab w:val="left" w:pos="1155" w:leader="none"/>
        </w:tabs>
        <w:rPr>
          <w:rFonts w:ascii="宋体" w:hAnsi="Times New Roman" w:eastAsia="宋体"/>
          <w:color w:val="000000"/>
          <w:sz w:val="24"/>
          <w:highlight w:val="none"/>
          <w:lang w:val="en-US"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消控岗</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分）：具有中级及以上消防设施操作员证</w:t>
      </w:r>
      <w:r>
        <w:rPr>
          <w:rFonts w:hint="eastAsia" w:ascii="宋体" w:cs="宋体"/>
          <w:bCs/>
          <w:color w:val="000000"/>
          <w:sz w:val="24"/>
          <w:highlight w:val="none"/>
        </w:rPr>
        <w:t xml:space="preserve">或者中级及以上建（构）筑物消防员证</w:t>
      </w:r>
      <w:r>
        <w:rPr>
          <w:rFonts w:hint="eastAsia" w:ascii="宋体" w:hAnsi="宋体" w:cs="宋体"/>
          <w:bCs/>
          <w:color w:val="000000"/>
          <w:sz w:val="24"/>
          <w:highlight w:val="none"/>
        </w:rPr>
        <w:t xml:space="preserve">，有一个得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Times New Roman" w:eastAsia="宋体"/>
          <w:color w:val="000000"/>
          <w:sz w:val="24"/>
          <w:highlight w:val="none"/>
          <w:lang w:val="en-US" w:eastAsia="zh-CN"/>
        </w:rPr>
      </w:r>
      <w:r/>
    </w:p>
    <w:p>
      <w:pPr>
        <w:pStyle w:val="996"/>
        <w:ind w:firstLine="480"/>
        <w:spacing w:line="360" w:lineRule="auto"/>
        <w:tabs>
          <w:tab w:val="left" w:pos="1155" w:leader="none"/>
        </w:tabs>
        <w:rPr>
          <w:rFonts w:ascii="宋体" w:hAnsi="宋体" w:eastAsia="宋体" w:cs="宋体"/>
          <w:bCs/>
          <w:color w:val="000000"/>
          <w:sz w:val="24"/>
          <w:szCs w:val="24"/>
          <w:highlight w:val="none"/>
          <w:lang w:val="en-US" w:eastAsia="zh-CN" w:bidi="ar-SA"/>
        </w:rPr>
      </w:pP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lang w:val="en-US" w:eastAsia="zh-CN"/>
        </w:rPr>
        <w:t xml:space="preserve">4</w:t>
      </w:r>
      <w:r>
        <w:rPr>
          <w:rFonts w:hint="eastAsia" w:ascii="宋体" w:hAnsi="Times New Roman"/>
          <w:color w:val="000000"/>
          <w:sz w:val="24"/>
          <w:highlight w:val="none"/>
          <w:lang w:eastAsia="zh-CN"/>
        </w:rPr>
        <w:t xml:space="preserve">）</w:t>
      </w:r>
      <w:r>
        <w:rPr>
          <w:rFonts w:hint="eastAsia" w:ascii="宋体" w:hAnsi="Times New Roman"/>
          <w:color w:val="000000"/>
          <w:sz w:val="24"/>
          <w:highlight w:val="none"/>
        </w:rPr>
        <w:t xml:space="preserve">综合维修</w:t>
      </w:r>
      <w:r>
        <w:rPr>
          <w:rFonts w:hint="eastAsia" w:ascii="宋体" w:hAnsi="Times New Roman"/>
          <w:color w:val="000000"/>
          <w:sz w:val="24"/>
          <w:highlight w:val="none"/>
          <w:lang w:val="zh-CN"/>
        </w:rPr>
        <w:t xml:space="preserve">工（</w:t>
      </w:r>
      <w:r>
        <w:rPr>
          <w:rFonts w:hint="eastAsia" w:ascii="宋体" w:hAnsi="Times New Roman"/>
          <w:color w:val="000000"/>
          <w:sz w:val="24"/>
          <w:highlight w:val="none"/>
          <w:lang w:val="en-US" w:eastAsia="zh-CN"/>
        </w:rPr>
        <w:t xml:space="preserve">3</w:t>
      </w:r>
      <w:r>
        <w:rPr>
          <w:rFonts w:hint="eastAsia" w:ascii="宋体" w:hAnsi="Times New Roman"/>
          <w:color w:val="000000"/>
          <w:sz w:val="24"/>
          <w:highlight w:val="none"/>
        </w:rPr>
        <w:t xml:space="preserve">分</w:t>
      </w:r>
      <w:r>
        <w:rPr>
          <w:rFonts w:hint="eastAsia" w:ascii="宋体" w:hAnsi="Times New Roman"/>
          <w:color w:val="000000"/>
          <w:sz w:val="24"/>
          <w:highlight w:val="none"/>
          <w:lang w:val="zh-CN"/>
        </w:rPr>
        <w:t xml:space="preserve">）：</w:t>
      </w:r>
      <w:r>
        <w:rPr>
          <w:rFonts w:ascii="宋体" w:hAnsi="宋体" w:eastAsia="宋体" w:cs="宋体"/>
          <w:color w:val="000000"/>
          <w:spacing w:val="-1"/>
          <w:sz w:val="24"/>
          <w:szCs w:val="24"/>
        </w:rPr>
        <w:t xml:space="preserve">具有维修电工二级</w:t>
      </w:r>
      <w:r>
        <w:rPr>
          <w:rFonts w:hint="eastAsia" w:ascii="宋体" w:hAnsi="宋体" w:eastAsia="宋体" w:cs="宋体"/>
          <w:color w:val="000000"/>
          <w:spacing w:val="-1"/>
          <w:sz w:val="24"/>
          <w:szCs w:val="24"/>
          <w:lang w:eastAsia="zh-CN"/>
        </w:rPr>
        <w:t xml:space="preserve">（</w:t>
      </w:r>
      <w:r>
        <w:rPr>
          <w:rFonts w:hint="eastAsia" w:ascii="宋体" w:hAnsi="宋体" w:eastAsia="宋体" w:cs="宋体"/>
          <w:color w:val="000000"/>
          <w:spacing w:val="-1"/>
          <w:sz w:val="24"/>
          <w:szCs w:val="24"/>
          <w:lang w:val="en-US" w:eastAsia="zh-CN"/>
        </w:rPr>
        <w:t xml:space="preserve">含</w:t>
      </w:r>
      <w:r>
        <w:rPr>
          <w:rFonts w:hint="eastAsia" w:ascii="宋体" w:hAnsi="宋体" w:eastAsia="宋体" w:cs="宋体"/>
          <w:color w:val="000000"/>
          <w:spacing w:val="-1"/>
          <w:sz w:val="24"/>
          <w:szCs w:val="24"/>
          <w:lang w:eastAsia="zh-CN"/>
        </w:rPr>
        <w:t xml:space="preserve">）</w:t>
      </w:r>
      <w:r>
        <w:rPr>
          <w:rFonts w:ascii="宋体" w:hAnsi="宋体" w:eastAsia="宋体" w:cs="宋体"/>
          <w:color w:val="000000"/>
          <w:spacing w:val="-1"/>
          <w:sz w:val="24"/>
          <w:szCs w:val="24"/>
        </w:rPr>
        <w:t xml:space="preserve">以上技师证的得</w:t>
      </w:r>
      <w:r>
        <w:rPr>
          <w:rFonts w:hint="eastAsia" w:ascii="宋体" w:hAnsi="宋体" w:cs="宋体"/>
          <w:color w:val="000000"/>
          <w:spacing w:val="-32"/>
          <w:sz w:val="24"/>
          <w:szCs w:val="24"/>
          <w:lang w:val="en-US" w:eastAsia="zh-CN"/>
        </w:rPr>
        <w:t xml:space="preserve">1</w:t>
      </w:r>
      <w:r>
        <w:rPr>
          <w:rFonts w:ascii="宋体" w:hAnsi="宋体" w:eastAsia="宋体" w:cs="宋体"/>
          <w:color w:val="000000"/>
          <w:spacing w:val="-1"/>
          <w:sz w:val="24"/>
          <w:szCs w:val="24"/>
        </w:rPr>
        <w:t xml:space="preserve">分，具有</w:t>
      </w:r>
      <w:r>
        <w:rPr>
          <w:rFonts w:hint="eastAsia" w:ascii="宋体" w:hAnsi="宋体" w:cs="宋体"/>
          <w:color w:val="000000"/>
          <w:spacing w:val="-1"/>
          <w:sz w:val="24"/>
          <w:szCs w:val="24"/>
          <w:lang w:val="en-US" w:eastAsia="zh-CN"/>
        </w:rPr>
        <w:t xml:space="preserve">低压</w:t>
      </w:r>
      <w:r>
        <w:rPr>
          <w:rFonts w:ascii="宋体" w:hAnsi="宋体" w:eastAsia="宋体" w:cs="宋体"/>
          <w:color w:val="000000"/>
          <w:spacing w:val="-1"/>
          <w:sz w:val="24"/>
          <w:szCs w:val="24"/>
        </w:rPr>
        <w:t xml:space="preserve">电工</w:t>
      </w:r>
      <w:r>
        <w:rPr>
          <w:rFonts w:ascii="宋体" w:hAnsi="宋体" w:eastAsia="宋体" w:cs="宋体"/>
          <w:color w:val="000000"/>
          <w:spacing w:val="-4"/>
          <w:sz w:val="24"/>
          <w:szCs w:val="24"/>
        </w:rPr>
        <w:t xml:space="preserve">证的得</w:t>
      </w:r>
      <w:r>
        <w:rPr>
          <w:rFonts w:ascii="宋体" w:hAnsi="宋体" w:eastAsia="宋体" w:cs="宋体"/>
          <w:color w:val="000000"/>
          <w:spacing w:val="-19"/>
          <w:sz w:val="24"/>
          <w:szCs w:val="24"/>
        </w:rPr>
        <w:t xml:space="preserve"> </w:t>
      </w:r>
      <w:r>
        <w:rPr>
          <w:rFonts w:ascii="宋体" w:hAnsi="宋体" w:eastAsia="宋体" w:cs="宋体"/>
          <w:color w:val="000000"/>
          <w:spacing w:val="-4"/>
          <w:sz w:val="24"/>
          <w:szCs w:val="24"/>
        </w:rPr>
        <w:t xml:space="preserve">1</w:t>
      </w:r>
      <w:r>
        <w:rPr>
          <w:rFonts w:ascii="宋体" w:hAnsi="宋体" w:eastAsia="宋体" w:cs="宋体"/>
          <w:color w:val="000000"/>
          <w:spacing w:val="-48"/>
          <w:sz w:val="24"/>
          <w:szCs w:val="24"/>
        </w:rPr>
        <w:t xml:space="preserve"> </w:t>
      </w:r>
      <w:r>
        <w:rPr>
          <w:rFonts w:ascii="宋体" w:hAnsi="宋体" w:eastAsia="宋体" w:cs="宋体"/>
          <w:color w:val="000000"/>
          <w:spacing w:val="-4"/>
          <w:sz w:val="24"/>
          <w:szCs w:val="24"/>
        </w:rPr>
        <w:t xml:space="preserve">分，</w:t>
      </w:r>
      <w:r>
        <w:rPr>
          <w:rFonts w:hint="eastAsia" w:ascii="宋体" w:hAnsi="宋体" w:cs="宋体"/>
          <w:color w:val="000000"/>
          <w:spacing w:val="-4"/>
          <w:sz w:val="24"/>
          <w:szCs w:val="24"/>
          <w:lang w:val="en-US" w:eastAsia="zh-CN"/>
        </w:rPr>
        <w:t xml:space="preserve">具有</w:t>
      </w:r>
      <w:r>
        <w:rPr>
          <w:rFonts w:hint="eastAsia" w:ascii="宋体" w:cs="宋体"/>
          <w:bCs/>
          <w:color w:val="000000"/>
          <w:sz w:val="24"/>
          <w:u w:val="none"/>
        </w:rPr>
        <w:t xml:space="preserve">中级及以上消防设施操作员证或者建（</w:t>
      </w:r>
      <w:r>
        <w:rPr>
          <w:rFonts w:hint="eastAsia" w:ascii="宋体" w:hAnsi="Times New Roman" w:eastAsia="宋体" w:cs="宋体"/>
          <w:bCs/>
          <w:color w:val="000000"/>
          <w:sz w:val="24"/>
          <w:u w:val="none"/>
          <w:lang w:val="zh-TW" w:eastAsia="zh-TW"/>
        </w:rPr>
        <w:t xml:space="preserve">构）筑物消防员证</w:t>
      </w:r>
      <w:r>
        <w:rPr>
          <w:rFonts w:hint="eastAsia" w:ascii="宋体" w:hAnsi="宋体" w:cs="宋体"/>
          <w:color w:val="000000"/>
          <w:spacing w:val="-4"/>
          <w:sz w:val="24"/>
          <w:szCs w:val="24"/>
          <w:lang w:val="en-US" w:eastAsia="zh-CN"/>
        </w:rPr>
        <w:t xml:space="preserve">的得1分，</w:t>
      </w:r>
      <w:r>
        <w:rPr>
          <w:rFonts w:hint="eastAsia" w:ascii="宋体" w:hAnsi="宋体" w:cs="宋体"/>
          <w:bCs/>
          <w:color w:val="000000"/>
          <w:sz w:val="24"/>
          <w:highlight w:val="none"/>
          <w:lang w:val="zh-CN"/>
        </w:rPr>
        <w:t xml:space="preserve">本项最高得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val="zh-CN"/>
        </w:rPr>
        <w:t xml:space="preserve">分。</w:t>
      </w:r>
      <w:r>
        <w:rPr>
          <w:rFonts w:ascii="宋体" w:hAnsi="宋体" w:eastAsia="宋体" w:cs="宋体"/>
          <w:bCs/>
          <w:color w:val="000000"/>
          <w:sz w:val="24"/>
          <w:szCs w:val="24"/>
          <w:highlight w:val="none"/>
          <w:lang w:val="en-US" w:eastAsia="zh-CN" w:bidi="ar-SA"/>
        </w:rPr>
      </w:r>
      <w:r/>
    </w:p>
    <w:p>
      <w:pPr>
        <w:pStyle w:val="996"/>
        <w:ind w:firstLine="480"/>
        <w:jc w:val="left"/>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注：提供上述人员与投标人签订的劳动合同、社保部门出具的投标人</w:t>
      </w:r>
      <w:r>
        <w:rPr>
          <w:rFonts w:hint="eastAsia" w:ascii="宋体" w:hAnsi="宋体" w:eastAsia="宋体" w:cs="宋体"/>
          <w:bCs/>
          <w:color w:val="000000"/>
          <w:sz w:val="24"/>
          <w:szCs w:val="24"/>
          <w:highlight w:val="none"/>
          <w:lang w:val="en-US" w:eastAsia="zh-CN" w:bidi="ar-SA"/>
        </w:rPr>
        <w:t xml:space="preserve">近一年</w:t>
      </w:r>
      <w:r>
        <w:rPr>
          <w:rFonts w:hint="eastAsia" w:ascii="宋体" w:hAnsi="宋体" w:eastAsia="宋体" w:cs="宋体"/>
          <w:bCs/>
          <w:color w:val="000000"/>
          <w:sz w:val="24"/>
          <w:szCs w:val="24"/>
          <w:highlight w:val="none"/>
          <w:lang w:val="zh-CN" w:eastAsia="zh-CN" w:bidi="ar-SA"/>
        </w:rPr>
        <w:t xml:space="preserve">中任意一个月份</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不含投标当月</w:t>
      </w:r>
      <w:r>
        <w:rPr>
          <w:rFonts w:hint="eastAsia" w:ascii="宋体" w:hAnsi="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t xml:space="preserve">为其缴纳社保的缴费证明（需提供带有清晰二维码的官网打印件）以及</w:t>
      </w:r>
      <w:r>
        <w:rPr>
          <w:rFonts w:hint="eastAsia" w:ascii="宋体" w:hAnsi="宋体" w:eastAsia="宋体" w:cs="宋体"/>
          <w:bCs/>
          <w:color w:val="000000"/>
          <w:sz w:val="24"/>
          <w:szCs w:val="24"/>
          <w:highlight w:val="none"/>
          <w:lang w:val="en-US" w:eastAsia="zh-CN" w:bidi="ar-SA"/>
        </w:rPr>
        <w:t xml:space="preserve">其他相关</w:t>
      </w:r>
      <w:r>
        <w:rPr>
          <w:rFonts w:hint="eastAsia" w:ascii="宋体" w:hAnsi="宋体" w:eastAsia="宋体" w:cs="宋体"/>
          <w:bCs/>
          <w:color w:val="000000"/>
          <w:sz w:val="24"/>
          <w:szCs w:val="24"/>
          <w:highlight w:val="none"/>
          <w:lang w:val="zh-CN" w:eastAsia="zh-CN" w:bidi="ar-SA"/>
        </w:rPr>
        <w:t xml:space="preserve">资料的扫描件（</w:t>
      </w:r>
      <w:r>
        <w:rPr>
          <w:rFonts w:hint="eastAsia" w:ascii="宋体" w:hAnsi="宋体" w:eastAsia="宋体" w:cs="宋体"/>
          <w:bCs/>
          <w:color w:val="000000"/>
          <w:sz w:val="24"/>
          <w:szCs w:val="24"/>
          <w:highlight w:val="none"/>
          <w:lang w:val="en-US" w:eastAsia="zh-CN" w:bidi="ar-SA"/>
        </w:rPr>
        <w:t xml:space="preserve">身份证、学历证、相关技能证书、职业资格证书等</w:t>
      </w:r>
      <w:r>
        <w:rPr>
          <w:rFonts w:hint="eastAsia" w:ascii="宋体" w:hAnsi="宋体" w:eastAsia="宋体" w:cs="宋体"/>
          <w:bCs/>
          <w:color w:val="000000"/>
          <w:sz w:val="24"/>
          <w:szCs w:val="24"/>
          <w:highlight w:val="none"/>
          <w:lang w:val="zh-CN" w:eastAsia="zh-CN" w:bidi="ar-SA"/>
        </w:rPr>
        <w:t xml:space="preserve">）上传至投标文件</w:t>
      </w:r>
      <w:r>
        <w:rPr>
          <w:rFonts w:hint="eastAsia" w:ascii="宋体" w:hAnsi="宋体" w:eastAsia="宋体" w:cs="宋体"/>
          <w:bCs/>
          <w:color w:val="000000"/>
          <w:sz w:val="24"/>
          <w:szCs w:val="24"/>
          <w:highlight w:val="none"/>
          <w:lang w:val="en-US" w:eastAsia="zh-CN" w:bidi="ar-SA"/>
        </w:rPr>
        <w:t xml:space="preserve">并加盖投标人电子签章</w:t>
      </w:r>
      <w:r>
        <w:rPr>
          <w:rFonts w:hint="eastAsia" w:ascii="宋体" w:hAnsi="宋体" w:eastAsia="宋体" w:cs="宋体"/>
          <w:bCs/>
          <w:color w:val="000000"/>
          <w:sz w:val="24"/>
          <w:szCs w:val="24"/>
          <w:highlight w:val="none"/>
          <w:lang w:val="zh-CN" w:eastAsia="zh-CN" w:bidi="ar-SA"/>
        </w:rPr>
        <w:t xml:space="preserve">，未按要求提供不得分。</w:t>
      </w:r>
      <w:r>
        <w:rPr>
          <w:rFonts w:hint="eastAsia" w:ascii="宋体" w:hAnsi="宋体" w:eastAsia="宋体" w:cs="宋体"/>
          <w:bCs/>
          <w:color w:val="000000"/>
          <w:sz w:val="24"/>
          <w:szCs w:val="24"/>
          <w:highlight w:val="none"/>
          <w:lang w:val="en-US" w:eastAsia="zh-CN" w:bidi="ar-SA"/>
        </w:rPr>
      </w:r>
      <w:r/>
    </w:p>
    <w:p>
      <w:pPr>
        <w:pStyle w:val="996"/>
        <w:ind w:firstLine="480"/>
        <w:jc w:val="left"/>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996"/>
        <w:numPr>
          <w:ilvl w:val="4"/>
          <w:numId w:val="14"/>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投标人</w:t>
      </w:r>
      <w:r>
        <w:rPr>
          <w:rFonts w:hint="eastAsia" w:ascii="宋体" w:hAnsi="宋体"/>
          <w:b/>
          <w:bCs/>
          <w:color w:val="000000"/>
          <w:sz w:val="24"/>
          <w:szCs w:val="24"/>
          <w:highlight w:val="none"/>
          <w:lang w:val="en-US" w:eastAsia="zh-CN"/>
        </w:rPr>
        <w:t xml:space="preserve">供应商</w:t>
      </w:r>
      <w:r>
        <w:rPr>
          <w:rFonts w:hint="eastAsia" w:ascii="宋体" w:hAnsi="宋体"/>
          <w:b/>
          <w:bCs/>
          <w:color w:val="000000"/>
          <w:sz w:val="24"/>
          <w:szCs w:val="24"/>
          <w:highlight w:val="none"/>
        </w:rPr>
        <w:t xml:space="preserve">评价（ </w:t>
      </w:r>
      <w:r>
        <w:rPr>
          <w:rFonts w:hint="eastAsia" w:ascii="宋体" w:hAnsi="宋体"/>
          <w:b/>
          <w:bCs/>
          <w:color w:val="000000"/>
          <w:sz w:val="24"/>
          <w:szCs w:val="24"/>
          <w:highlight w:val="none"/>
          <w:lang w:val="en-US" w:eastAsia="zh-CN"/>
        </w:rPr>
        <w:t xml:space="preserve">13</w:t>
      </w:r>
      <w:r>
        <w:rPr>
          <w:rFonts w:hint="eastAsia" w:ascii="宋体" w:hAnsi="宋体"/>
          <w:b/>
          <w:bCs/>
          <w:color w:val="000000"/>
          <w:sz w:val="24"/>
          <w:szCs w:val="24"/>
          <w:highlight w:val="none"/>
        </w:rPr>
        <w:t xml:space="preserve"> 分）：</w:t>
      </w:r>
      <w:r>
        <w:rPr>
          <w:rFonts w:ascii="宋体" w:hAnsi="宋体"/>
          <w:b/>
          <w:bCs/>
          <w:color w:val="000000"/>
          <w:sz w:val="24"/>
          <w:szCs w:val="24"/>
          <w:highlight w:val="none"/>
        </w:rPr>
      </w:r>
      <w:r/>
    </w:p>
    <w:p>
      <w:pPr>
        <w:pStyle w:val="996"/>
        <w:ind w:firstLine="48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1）投标供应商具有有效期内的质量管理体系认证证书、环境管理体系认证证书、职业健康安全管理体系认证证书，有一个得1分，本项最高得3分【提供相关证书扫描件并加盖投标人电子签章，未按要求提供不得分】</w:t>
      </w:r>
      <w:r>
        <w:rPr>
          <w:rFonts w:ascii="宋体" w:hAnsi="宋体" w:cs="宋体"/>
          <w:bCs/>
          <w:color w:val="000000"/>
          <w:sz w:val="24"/>
          <w:highlight w:val="none"/>
        </w:rPr>
      </w:r>
      <w:r/>
    </w:p>
    <w:p>
      <w:pPr>
        <w:pStyle w:val="996"/>
        <w:ind w:firstLine="48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（2）投标供应商自</w:t>
      </w:r>
      <w:r>
        <w:rPr>
          <w:rFonts w:hint="eastAsia" w:ascii="宋体" w:hAnsi="宋体" w:cs="宋体"/>
          <w:bCs/>
          <w:color w:val="000000"/>
          <w:sz w:val="24"/>
          <w:highlight w:val="none"/>
          <w:lang w:eastAsia="zh-TW"/>
        </w:rPr>
        <w:t xml:space="preserve">20</w:t>
      </w:r>
      <w:r>
        <w:rPr>
          <w:rFonts w:hint="eastAsia" w:ascii="宋体" w:hAnsi="宋体" w:cs="宋体"/>
          <w:bCs/>
          <w:color w:val="000000"/>
          <w:sz w:val="24"/>
          <w:highlight w:val="none"/>
        </w:rPr>
        <w:t xml:space="preserve">21</w:t>
      </w:r>
      <w:r>
        <w:rPr>
          <w:rFonts w:hint="eastAsia" w:ascii="宋体" w:hAnsi="宋体" w:cs="宋体"/>
          <w:bCs/>
          <w:color w:val="000000"/>
          <w:sz w:val="24"/>
          <w:highlight w:val="none"/>
          <w:lang w:eastAsia="zh-TW"/>
        </w:rPr>
        <w:t xml:space="preserve">年1月</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TW"/>
        </w:rPr>
        <w:t xml:space="preserve">日</w:t>
      </w:r>
      <w:r>
        <w:rPr>
          <w:rFonts w:hint="eastAsia" w:ascii="宋体" w:hAnsi="宋体" w:cs="宋体"/>
          <w:bCs/>
          <w:color w:val="000000"/>
          <w:sz w:val="24"/>
          <w:highlight w:val="none"/>
        </w:rPr>
        <w:t xml:space="preserve">（含）</w:t>
      </w:r>
      <w:r>
        <w:rPr>
          <w:rFonts w:hint="eastAsia" w:ascii="宋体" w:hAnsi="宋体" w:cs="宋体"/>
          <w:bCs/>
          <w:color w:val="000000"/>
          <w:sz w:val="24"/>
          <w:highlight w:val="none"/>
          <w:lang w:eastAsia="zh-TW"/>
        </w:rPr>
        <w:t xml:space="preserve">以来</w:t>
      </w:r>
      <w:r>
        <w:rPr>
          <w:rFonts w:hint="eastAsia" w:ascii="宋体" w:hAnsi="宋体" w:cs="宋体"/>
          <w:bCs/>
          <w:color w:val="000000"/>
          <w:sz w:val="24"/>
          <w:highlight w:val="none"/>
        </w:rPr>
        <w:t xml:space="preserve">(以获奖日期为准)，获得过政府部门颁发的与物业管理有关的荣誉或奖励的得1分，</w:t>
      </w:r>
      <w:r>
        <w:rPr>
          <w:rFonts w:hint="eastAsia" w:ascii="宋体" w:hAnsi="宋体" w:cs="宋体"/>
          <w:bCs/>
          <w:color w:val="000000"/>
          <w:sz w:val="24"/>
          <w:highlight w:val="none"/>
          <w:lang w:eastAsia="zh-TW"/>
        </w:rPr>
        <w:t xml:space="preserve">本项最高得</w:t>
      </w: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eastAsia="zh-TW"/>
        </w:rPr>
        <w:t xml:space="preserve">分【</w:t>
      </w:r>
      <w:r>
        <w:rPr>
          <w:rFonts w:hint="eastAsia" w:ascii="宋体" w:hAnsi="宋体" w:cs="宋体"/>
          <w:bCs/>
          <w:color w:val="000000"/>
          <w:sz w:val="24"/>
          <w:highlight w:val="none"/>
        </w:rPr>
        <w:t xml:space="preserve">提供相应有效获奖证明</w:t>
      </w:r>
      <w:r>
        <w:rPr>
          <w:rFonts w:hint="eastAsia" w:ascii="宋体" w:hAnsi="宋体" w:cs="宋体"/>
          <w:bCs/>
          <w:color w:val="000000"/>
          <w:sz w:val="24"/>
          <w:highlight w:val="none"/>
          <w:lang w:eastAsia="zh-TW"/>
        </w:rPr>
        <w:t xml:space="preserve">资料扫描件</w:t>
      </w:r>
      <w:r>
        <w:rPr>
          <w:rFonts w:hint="eastAsia" w:ascii="宋体" w:hAnsi="宋体" w:cs="宋体"/>
          <w:bCs/>
          <w:color w:val="000000"/>
          <w:sz w:val="24"/>
          <w:highlight w:val="none"/>
        </w:rPr>
        <w:t xml:space="preserve">并加盖投标人电子签章</w:t>
      </w:r>
      <w:r>
        <w:rPr>
          <w:rFonts w:hint="eastAsia" w:ascii="宋体" w:hAnsi="宋体" w:cs="宋体"/>
          <w:bCs/>
          <w:color w:val="000000"/>
          <w:sz w:val="24"/>
          <w:highlight w:val="none"/>
          <w:lang w:eastAsia="zh-TW"/>
        </w:rPr>
        <w:t xml:space="preserve">，未按要求提供不得分】</w:t>
      </w:r>
      <w:r>
        <w:rPr>
          <w:rFonts w:ascii="宋体" w:hAnsi="宋体" w:cs="宋体"/>
          <w:bCs/>
          <w:color w:val="000000"/>
          <w:sz w:val="24"/>
          <w:highlight w:val="none"/>
        </w:rPr>
      </w:r>
      <w:r/>
    </w:p>
    <w:p>
      <w:pPr>
        <w:pStyle w:val="996"/>
        <w:ind w:firstLine="48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（3）投标供应商自2023年以来承接过与本项目类似项目的，有1个得2分，本项最高得6分【有效时间以合同签订时间为准；提供项目合同扫描件并加盖电子公章，未按要求提供不得分】</w:t>
      </w:r>
      <w:r>
        <w:rPr>
          <w:rFonts w:ascii="宋体" w:hAnsi="宋体" w:cs="宋体"/>
          <w:bCs/>
          <w:color w:val="000000"/>
          <w:sz w:val="24"/>
          <w:highlight w:val="none"/>
        </w:rPr>
      </w:r>
      <w:r/>
    </w:p>
    <w:p>
      <w:pPr>
        <w:pStyle w:val="996"/>
        <w:ind w:firstLine="480"/>
        <w:spacing w:line="360" w:lineRule="auto"/>
        <w:tabs>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（4）信息化服务（1分）：投标人使用信息化管理系统软件管理方式的得1分；须提供所用物业管理信息化系统软件的采购合同扫描件和发票扫描件【如是自主开发的软件则须提供软件著作权登记证书扫描件】</w:t>
      </w:r>
      <w:r>
        <w:rPr>
          <w:rFonts w:ascii="宋体" w:hAnsi="宋体" w:cs="宋体"/>
          <w:bCs/>
          <w:color w:val="000000"/>
          <w:sz w:val="24"/>
          <w:highlight w:val="none"/>
        </w:rPr>
      </w:r>
      <w:r/>
    </w:p>
    <w:p>
      <w:pPr>
        <w:pStyle w:val="996"/>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50</w:t>
      </w:r>
      <w:r>
        <w:rPr>
          <w:rFonts w:hint="eastAsia" w:ascii="宋体" w:hAnsi="宋体"/>
          <w:b/>
          <w:bCs/>
          <w:color w:val="000000"/>
          <w:sz w:val="24"/>
          <w:szCs w:val="24"/>
          <w:highlight w:val="none"/>
        </w:rPr>
        <w:t xml:space="preserve">分）：</w:t>
      </w:r>
      <w:r>
        <w:rPr>
          <w:rFonts w:hint="eastAsia" w:ascii="宋体" w:hAnsi="宋体"/>
          <w:bCs/>
          <w:color w:val="000000"/>
          <w:sz w:val="24"/>
          <w:highlight w:val="none"/>
        </w:rPr>
        <w:t xml:space="preserve">在响应采购文件需求的基础上针对下列各部分进行</w:t>
      </w:r>
      <w:r>
        <w:rPr>
          <w:rFonts w:hint="eastAsia" w:ascii="宋体" w:hAnsi="宋体"/>
          <w:bCs/>
          <w:color w:val="000000"/>
          <w:sz w:val="24"/>
          <w:szCs w:val="24"/>
          <w:highlight w:val="none"/>
        </w:rPr>
        <w:t xml:space="preserve">评价，要求体现科学合理性、条理性、可行性、完善性、针对性，无方案不得分。</w:t>
      </w:r>
      <w:r>
        <w:rPr>
          <w:rFonts w:hint="eastAsia" w:ascii="宋体" w:hAnsi="宋体"/>
          <w:bCs/>
          <w:color w:val="000000"/>
          <w:sz w:val="24"/>
          <w:szCs w:val="24"/>
          <w:highlight w:val="none"/>
        </w:rPr>
        <w:t xml:space="preserve">投标人编制服务方案时请</w:t>
      </w:r>
      <w:r>
        <w:rPr>
          <w:rFonts w:hint="eastAsia" w:ascii="宋体" w:hAnsi="宋体"/>
          <w:color w:val="000000"/>
          <w:sz w:val="24"/>
          <w:szCs w:val="24"/>
          <w:highlight w:val="none"/>
        </w:rPr>
        <w:t xml:space="preserve">按以下顺序编制，以便评审。</w:t>
      </w:r>
      <w:r>
        <w:rPr>
          <w:rFonts w:ascii="宋体" w:hAnsi="宋体"/>
          <w:b/>
          <w:bCs/>
          <w:color w:val="000000"/>
          <w:sz w:val="24"/>
          <w:szCs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1）项目实施方案（10分），根据本项目定位及特点，投标人需针对性给出方案，包括但不限于：①针对本项目的物业管理服务理念；②管理组织架构；③管理制度；④物业管理服务中的管理重点难点；⑤物业管理服务中的管理措施。</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方案完整，科学合理，设计清晰详细，完全符合本项目需求，且能够提供上述5项全部方案的，得10分；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方案较完整，科学合理性较强，设计较清晰详细，能够符合本项目需求，能够提供上述4-5项方案的，得7分；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方案完整性一般，科学合理性一般，设计清晰详细程度一般，能够符合本项目需求，能够提供上述3-5项方案的，得4分；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方案完整性、科学合理性、设计的清晰详细程度等只能基本满足要求，能够提供上述2-5项方案的，得2分；</w:t>
      </w:r>
      <w:r>
        <w:rPr>
          <w:rFonts w:ascii="宋体" w:hAnsi="宋体"/>
          <w:bCs/>
          <w:color w:val="000000"/>
          <w:sz w:val="24"/>
          <w:highlight w:val="none"/>
        </w:rPr>
      </w:r>
      <w:r/>
    </w:p>
    <w:p>
      <w:pPr>
        <w:pStyle w:val="996"/>
        <w:ind w:firstLine="480"/>
        <w:spacing w:line="360" w:lineRule="auto"/>
        <w:rPr>
          <w:rFonts w:ascii="宋体" w:hAnsi="宋体" w:cs="宋体"/>
          <w:color w:val="000000"/>
          <w:sz w:val="24"/>
          <w:highlight w:val="none"/>
        </w:rPr>
      </w:pPr>
      <w:r>
        <w:rPr>
          <w:rFonts w:hint="eastAsia" w:ascii="宋体" w:hAnsi="宋体"/>
          <w:bCs/>
          <w:color w:val="000000"/>
          <w:sz w:val="24"/>
          <w:highlight w:val="none"/>
        </w:rPr>
        <w:t xml:space="preserve">提供方案不足2项或无方案的，不得分。</w:t>
      </w:r>
      <w:r>
        <w:rPr>
          <w:rFonts w:ascii="宋体" w:hAnsi="宋体" w:cs="宋体"/>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（2）秩序维护管理、停车及巡查方案（8分），需包括但不限于：①秩序维护管理方案；②保安服务操作规范及要求、安全工作标准；③人员培训管理；④交通、停车场管理方案；⑤保安监控及巡视方案。</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方案完整，科学合理，设计清晰详细，完全符合本项目需求，且能够提供上述5项全部方案的，得8分；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方案较完整，科学合理性较强，设计较清晰详细，能够符合本项目需求，能够提供上述4-5项方案的，得5分；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方案完整性、科学合理性、设计的清晰详细程度等只能基本满足要求，能够提供上述2-5项方案的，得1分；</w:t>
      </w:r>
      <w:r>
        <w:rPr>
          <w:rFonts w:ascii="宋体" w:hAnsi="宋体"/>
          <w:bCs/>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提供方案不足2项或无方案的，不得分。</w:t>
      </w:r>
      <w:r>
        <w:rPr>
          <w:rFonts w:ascii="宋体" w:hAnsi="宋体" w:cs="宋体"/>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（3）环境卫生保洁服务方案（8分），需包括但不限于：①环境卫生保洁服务目标；②保洁服务工作内容；③保洁服务工作安排；④清洁保养操作规范；⑤环境消杀灭害。</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方案完整，科学合理，设计清晰详细，完全符合本项目需求，且能够提供上述5项全部方案的，得8分；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方案较完整，科学合理性较强，设计较清晰详细，能够符合本项目需求，能够提供上述4-5项方案的，得5分；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方案完整性、科学合理性、设计的清晰详细程度等只能基本满足要求，能够提供上述2-5项方案的，得1分；</w:t>
      </w:r>
      <w:r>
        <w:rPr>
          <w:rFonts w:ascii="宋体" w:hAnsi="宋体"/>
          <w:bCs/>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提供方案不足2项或无方案的，不得分。</w:t>
      </w:r>
      <w:r>
        <w:rPr>
          <w:rFonts w:ascii="宋体" w:hAnsi="宋体" w:cs="宋体"/>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4）管理区域内房屋日常和共用设备管理与维修方案（8分），需包括但不限于：①物业管理区域内房屋日常管理与维修设想；②物业管理区域内房屋日常管理及维修养护实施相关制度和要求；③物业管理区域内共用设备管理与养护目标及策略；④各类设施设备管理方案；⑤设施设备维修养护流程及要求。</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方案完整，科学合理，设计清晰详细，完全符合本项目需求，且能够提供上述5项全部方案的，得8分；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方案较完整，科学合理性较强，设计较清晰详细，能够符合本项目需求，能够提供上述4-5项方案的，得5分；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方案完整性、科学合理性、设计的清晰详细程度等只能基本满足要求，能够提供上述2-5项方案的，得1分；</w:t>
      </w:r>
      <w:r>
        <w:rPr>
          <w:rFonts w:ascii="宋体" w:hAnsi="宋体"/>
          <w:bCs/>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提供方案不足2项或无方案的，不得分。</w:t>
      </w:r>
      <w:r>
        <w:rPr>
          <w:rFonts w:ascii="宋体" w:hAnsi="宋体" w:cs="宋体"/>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5）安全生产、各类突发事件应急措施及程序方案（8分），需包括但不限于：①火警应急处理；②遇雷暴及台风应急处理；③项目漏水（水浸）应急处理程序；④电梯困人应急处理程序；⑤治安及刑事案件应急处理程序；⑥突发公共卫生事件应急预案。</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方案完整、科学合理，设计清晰详细，完全符合本项目需求，且能够提供上述6项全部方案的，得8分；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方案较完整，科学合理性较强，设计较清晰详细，能够符合本项目需求，能够提供上述4-5项方案的，得5分；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方案完整性一般，科学合理性一般，设计清晰详细程度一般，能够符合本项目需求，能够提供上述3-4项方案的，得3分；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方案完整性、科学合理性、设计的清晰详细程度等只能基本满足要求，能够提供上述2-3项方案的，得1分；</w:t>
      </w:r>
      <w:r>
        <w:rPr>
          <w:rFonts w:ascii="宋体" w:hAnsi="宋体"/>
          <w:bCs/>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bCs/>
          <w:color w:val="000000"/>
          <w:sz w:val="24"/>
          <w:highlight w:val="none"/>
        </w:rPr>
        <w:t xml:space="preserve">提供方案不足2项或无方案的，不得分。</w:t>
      </w:r>
      <w:r>
        <w:rPr>
          <w:rFonts w:ascii="宋体" w:hAnsi="宋体" w:cs="宋体"/>
          <w:color w:val="000000"/>
          <w:sz w:val="24"/>
          <w:highlight w:val="none"/>
        </w:rPr>
      </w:r>
      <w:r/>
    </w:p>
    <w:p>
      <w:pPr>
        <w:pStyle w:val="996"/>
        <w:ind w:firstLine="560"/>
        <w:spacing w:line="360" w:lineRule="auto"/>
        <w:tabs>
          <w:tab w:val="left" w:pos="1155" w:leader="none"/>
        </w:tabs>
        <w:rPr>
          <w:rFonts w:ascii="宋体" w:hAnsi="宋体" w:cs="宋体"/>
          <w:color w:val="000000"/>
          <w:sz w:val="24"/>
          <w:highlight w:val="none"/>
        </w:rPr>
      </w:pPr>
      <w:r>
        <w:rPr>
          <w:rFonts w:hint="eastAsia" w:ascii="宋体" w:hAnsi="宋体" w:cs="宋体"/>
          <w:color w:val="000000"/>
          <w:sz w:val="24"/>
          <w:highlight w:val="none"/>
        </w:rPr>
        <w:t xml:space="preserve">（6）特色服务及针对本项目的合理化建议（8分）：①特色服务；②增值服务；③文化建设；④节能降耗方案；⑤排烟、排污及噪音等控制方案。</w:t>
      </w:r>
      <w:r>
        <w:rPr>
          <w:rFonts w:ascii="宋体" w:hAnsi="宋体" w:cs="宋体"/>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方案完整，科学合理，设计清晰详细，完全符合本项目需求，且能够提供上述5项全部方案的，得8分；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方案较完整，科学合理性较强，设计较清晰详细，能够符合本项目需求，能够提供上述4-5项方案的，得5分；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方案完整性一般，科学合理性一般，设计清晰详细程度一般，能够符合本项目需求，能够提供上述3-5项方案的，得3分；</w:t>
      </w:r>
      <w:r>
        <w:rPr>
          <w:rFonts w:ascii="宋体" w:hAnsi="宋体"/>
          <w:bCs/>
          <w:color w:val="000000"/>
          <w:sz w:val="24"/>
          <w:highlight w:val="none"/>
        </w:rPr>
      </w:r>
      <w:r/>
    </w:p>
    <w:p>
      <w:pPr>
        <w:pStyle w:val="996"/>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方案完整性、科学合理性、设计的清晰详细程度等只能基本满足要求，能够提供上述2-5项方案的，得1分；</w:t>
      </w:r>
      <w:r>
        <w:rPr>
          <w:rFonts w:ascii="宋体" w:hAnsi="宋体"/>
          <w:bCs/>
          <w:color w:val="000000"/>
          <w:sz w:val="24"/>
          <w:highlight w:val="none"/>
        </w:rPr>
      </w:r>
      <w:r/>
    </w:p>
    <w:p>
      <w:pPr>
        <w:pStyle w:val="1113"/>
        <w:ind w:firstLine="0"/>
        <w:rPr>
          <w:rFonts w:hint="eastAsia" w:ascii="宋体" w:hAnsi="宋体" w:eastAsia="宋体" w:cs="Times New Roman"/>
          <w:bCs/>
          <w:color w:val="000000"/>
          <w:sz w:val="24"/>
          <w:szCs w:val="21"/>
          <w:highlight w:val="none"/>
          <w:lang w:val="en-US" w:eastAsia="zh-CN" w:bidi="ar-SA"/>
        </w:rPr>
      </w:pPr>
      <w:r>
        <w:rPr>
          <w:rFonts w:hint="eastAsia" w:ascii="宋体" w:hAnsi="宋体" w:eastAsia="宋体" w:cs="Times New Roman"/>
          <w:bCs/>
          <w:color w:val="000000"/>
          <w:sz w:val="24"/>
          <w:szCs w:val="21"/>
          <w:highlight w:val="none"/>
          <w:lang w:val="en-US" w:eastAsia="zh-CN" w:bidi="ar-SA"/>
        </w:rPr>
        <w:t xml:space="preserve">提供方案不足2项或无方案的，不得分。</w:t>
      </w:r>
      <w:r>
        <w:rPr>
          <w:rFonts w:hint="eastAsia" w:ascii="宋体" w:hAnsi="宋体" w:eastAsia="宋体" w:cs="Times New Roman"/>
          <w:bCs/>
          <w:color w:val="000000"/>
          <w:sz w:val="24"/>
          <w:szCs w:val="21"/>
          <w:highlight w:val="none"/>
          <w:lang w:val="en-US" w:eastAsia="zh-CN" w:bidi="ar-SA"/>
        </w:rPr>
      </w:r>
      <w:r/>
    </w:p>
    <w:p>
      <w:pPr>
        <w:pStyle w:val="996"/>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sz w:val="24"/>
          <w:highlight w:val="none"/>
        </w:rPr>
        <w:br w:type="page" w:clear="all"/>
      </w:r>
      <w:r>
        <w:rPr>
          <w:rFonts w:hint="eastAsia" w:ascii="黑体" w:hAnsi="黑体" w:eastAsia="黑体"/>
          <w:color w:val="000000"/>
          <w:sz w:val="36"/>
          <w:szCs w:val="36"/>
          <w:highlight w:val="none"/>
        </w:rPr>
        <w:t xml:space="preserve">第六章  </w:t>
      </w:r>
      <w:bookmarkEnd w:id="191"/>
      <w:r/>
      <w:bookmarkEnd w:id="192"/>
      <w:r/>
      <w:bookmarkEnd w:id="195"/>
      <w:r>
        <w:rPr>
          <w:rFonts w:hint="eastAsia" w:ascii="黑体" w:hAnsi="黑体" w:eastAsia="黑体"/>
          <w:color w:val="000000"/>
          <w:sz w:val="36"/>
          <w:szCs w:val="36"/>
          <w:highlight w:val="none"/>
        </w:rPr>
        <w:t xml:space="preserve">投标文件内容与格式</w:t>
      </w:r>
      <w:r>
        <w:rPr>
          <w:rFonts w:hint="eastAsia" w:ascii="黑体" w:hAnsi="黑体" w:eastAsia="黑体"/>
          <w:color w:val="000000"/>
          <w:sz w:val="36"/>
          <w:szCs w:val="36"/>
          <w:highlight w:val="none"/>
        </w:rPr>
      </w:r>
      <w:r/>
    </w:p>
    <w:p>
      <w:pPr>
        <w:pStyle w:val="1085"/>
        <w:ind w:firstLine="602"/>
        <w:spacing w:before="0" w:after="0" w:line="500" w:lineRule="exact"/>
        <w:rPr>
          <w:rFonts w:hint="eastAsia" w:cs="Arial"/>
          <w:b/>
          <w:color w:val="000000"/>
          <w:sz w:val="30"/>
          <w:szCs w:val="30"/>
          <w:highlight w:val="none"/>
        </w:rPr>
      </w:pPr>
      <w:r/>
      <w:bookmarkStart w:id="196" w:name="_Hlt26671244"/>
      <w:r/>
      <w:bookmarkEnd w:id="196"/>
      <w:r/>
      <w:bookmarkStart w:id="197" w:name="_Hlt26955039"/>
      <w:r/>
      <w:bookmarkEnd w:id="197"/>
      <w:r/>
      <w:bookmarkStart w:id="198" w:name="_Toc49090576"/>
      <w:r/>
      <w:bookmarkStart w:id="199" w:name="_Toc26554094"/>
      <w:r/>
      <w:bookmarkStart w:id="200" w:name="_Toc120614282"/>
      <w:r>
        <w:rPr>
          <w:rFonts w:hint="eastAsia" w:cs="Arial"/>
          <w:b/>
          <w:color w:val="000000"/>
          <w:sz w:val="30"/>
          <w:szCs w:val="30"/>
          <w:highlight w:val="none"/>
        </w:rPr>
        <w:t xml:space="preserve">第一部分  投标文件内容</w:t>
      </w:r>
      <w:r>
        <w:rPr>
          <w:rFonts w:hint="eastAsia" w:cs="Arial"/>
          <w:b/>
          <w:color w:val="000000"/>
          <w:sz w:val="30"/>
          <w:szCs w:val="30"/>
          <w:highlight w:val="none"/>
        </w:rPr>
      </w:r>
      <w:r/>
    </w:p>
    <w:p>
      <w:pPr>
        <w:pStyle w:val="1085"/>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hint="eastAsia" w:cs="Arial"/>
          <w:b/>
          <w:color w:val="000000"/>
          <w:sz w:val="28"/>
          <w:szCs w:val="28"/>
          <w:highlight w:val="none"/>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85"/>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rFonts w:hint="eastAsia" w:ascii="宋体" w:hAnsi="宋体" w:cs="宋体"/>
                <w:b/>
                <w:color w:val="000000"/>
                <w:highlight w:val="none"/>
              </w:rPr>
            </w:r>
            <w:r/>
          </w:p>
        </w:tc>
        <w:tc>
          <w:tcPr>
            <w:tcW w:w="6104" w:type="dxa"/>
            <w:vAlign w:val="center"/>
            <w:textDirection w:val="lrTb"/>
            <w:noWrap w:val="false"/>
          </w:tcPr>
          <w:p>
            <w:pPr>
              <w:pStyle w:val="1085"/>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rFonts w:hint="eastAsia" w:ascii="宋体" w:hAnsi="宋体" w:cs="宋体"/>
                <w:b/>
                <w:color w:val="000000"/>
                <w:highlight w:val="none"/>
              </w:rPr>
            </w:r>
            <w:r/>
          </w:p>
        </w:tc>
        <w:tc>
          <w:tcPr>
            <w:tcW w:w="2449" w:type="dxa"/>
            <w:vAlign w:val="center"/>
            <w:textDirection w:val="lrTb"/>
            <w:noWrap w:val="false"/>
          </w:tcPr>
          <w:p>
            <w:pPr>
              <w:pStyle w:val="1085"/>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rFonts w:hint="eastAsia" w:ascii="宋体" w:hAnsi="宋体" w:cs="宋体"/>
                <w:b/>
                <w:color w:val="000000"/>
                <w:highlight w:val="none"/>
              </w:rPr>
            </w:r>
            <w:r/>
          </w:p>
        </w:tc>
      </w:tr>
      <w:tr>
        <w:trPr>
          <w:trHeight w:val="1335"/>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color w:val="000000"/>
                <w:highlight w:val="none"/>
              </w:rPr>
            </w:r>
            <w:r/>
          </w:p>
        </w:tc>
        <w:tc>
          <w:tcPr>
            <w:tcW w:w="2449" w:type="dxa"/>
            <w:vAlign w:val="center"/>
            <w:vMerge w:val="restart"/>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hint="eastAsia" w:ascii="宋体" w:hAnsi="宋体" w:cs="宋体"/>
                <w:color w:val="000000"/>
                <w:highlight w:val="none"/>
              </w:rPr>
            </w:r>
            <w:r/>
          </w:p>
        </w:tc>
      </w:tr>
      <w:tr>
        <w:trPr>
          <w:trHeight w:val="812"/>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rPr>
                <w:rFonts w:hint="eastAsia" w:ascii="宋体" w:hAnsi="宋体" w:cs="宋体"/>
                <w:color w:val="000000"/>
                <w:highlight w:val="none"/>
              </w:rPr>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72"/>
                <w:rFonts w:hint="eastAsia" w:ascii="宋体" w:hAnsi="宋体" w:cs="宋体"/>
                <w:color w:val="000000"/>
                <w:sz w:val="24"/>
                <w:szCs w:val="24"/>
                <w:highlight w:val="none"/>
              </w:rPr>
              <w:t xml:space="preserve">。</w:t>
            </w:r>
            <w:r>
              <w:rPr>
                <w:rFonts w:hint="eastAsia" w:ascii="宋体" w:hAnsi="宋体" w:cs="宋体"/>
                <w:color w:val="000000"/>
                <w:highlight w:val="none"/>
              </w:rPr>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highlight w:val="none"/>
              </w:rPr>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rFonts w:hint="eastAsia" w:ascii="宋体" w:hAnsi="宋体" w:cs="宋体"/>
                <w:color w:val="000000"/>
                <w:highlight w:val="none"/>
              </w:rPr>
            </w:r>
            <w:r/>
          </w:p>
        </w:tc>
        <w:tc>
          <w:tcPr>
            <w:tcW w:w="2449" w:type="dxa"/>
            <w:vAlign w:val="center"/>
            <w:vMerge w:val="continue"/>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1085"/>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rPr>
            </w:r>
            <w:r/>
          </w:p>
        </w:tc>
        <w:tc>
          <w:tcPr>
            <w:tcW w:w="6104" w:type="dxa"/>
            <w:vAlign w:val="center"/>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hint="eastAsia" w:ascii="宋体" w:hAnsi="宋体" w:cs="宋体"/>
                <w:color w:val="000000"/>
                <w:highlight w:val="none"/>
              </w:rPr>
            </w:r>
            <w:r/>
          </w:p>
        </w:tc>
        <w:tc>
          <w:tcPr>
            <w:tcW w:w="2449" w:type="dxa"/>
            <w:vAlign w:val="center"/>
            <w:textDirection w:val="lrTb"/>
            <w:noWrap w:val="false"/>
          </w:tcPr>
          <w:p>
            <w:pPr>
              <w:pStyle w:val="1085"/>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1085"/>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rFonts w:hint="eastAsia" w:ascii="宋体" w:hAnsi="宋体" w:cs="宋体"/>
                <w:bCs/>
                <w:color w:val="000000"/>
                <w:highlight w:val="none"/>
              </w:rPr>
            </w:r>
            <w:r/>
          </w:p>
        </w:tc>
        <w:tc>
          <w:tcPr>
            <w:tcW w:w="6104" w:type="dxa"/>
            <w:vAlign w:val="center"/>
            <w:textDirection w:val="lrTb"/>
            <w:noWrap w:val="false"/>
          </w:tcPr>
          <w:p>
            <w:pPr>
              <w:pStyle w:val="1085"/>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rPr>
                <w:rFonts w:hint="eastAsia" w:ascii="宋体" w:hAnsi="宋体" w:cs="宋体"/>
                <w:bCs/>
                <w:color w:val="000000"/>
                <w:highlight w:val="none"/>
              </w:rPr>
            </w:r>
            <w:r/>
          </w:p>
        </w:tc>
        <w:tc>
          <w:tcPr>
            <w:tcW w:w="2449" w:type="dxa"/>
            <w:vAlign w:val="center"/>
            <w:textDirection w:val="lrTb"/>
            <w:noWrap w:val="false"/>
          </w:tcPr>
          <w:p>
            <w:pPr>
              <w:pStyle w:val="1085"/>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hint="eastAsia" w:ascii="宋体" w:hAnsi="宋体" w:cs="宋体"/>
                <w:bCs/>
                <w:color w:val="000000"/>
                <w:highlight w:val="none"/>
              </w:rPr>
            </w:r>
            <w:r/>
          </w:p>
        </w:tc>
      </w:tr>
      <w:tr>
        <w:trPr>
          <w:trHeight w:val="632"/>
        </w:trPr>
        <w:tc>
          <w:tcPr>
            <w:tcW w:w="719" w:type="dxa"/>
            <w:vAlign w:val="center"/>
            <w:textDirection w:val="lrTb"/>
            <w:noWrap w:val="false"/>
          </w:tcPr>
          <w:p>
            <w:pPr>
              <w:pStyle w:val="1085"/>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rPr>
                <w:rFonts w:hint="eastAsia" w:ascii="宋体" w:hAnsi="宋体" w:cs="宋体"/>
                <w:bCs/>
                <w:color w:val="000000"/>
                <w:highlight w:val="none"/>
              </w:rPr>
            </w:r>
            <w:r/>
          </w:p>
        </w:tc>
        <w:tc>
          <w:tcPr>
            <w:gridSpan w:val="2"/>
            <w:tcW w:w="8553" w:type="dxa"/>
            <w:vAlign w:val="center"/>
            <w:textDirection w:val="lrTb"/>
            <w:noWrap w:val="false"/>
          </w:tcPr>
          <w:p>
            <w:pPr>
              <w:pStyle w:val="1085"/>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hint="eastAsia" w:ascii="宋体" w:hAnsi="宋体" w:cs="宋体"/>
                <w:color w:val="000000"/>
                <w:highlight w:val="none"/>
              </w:rPr>
            </w:r>
            <w:r/>
          </w:p>
        </w:tc>
      </w:tr>
    </w:tbl>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996"/>
        <w:numPr>
          <w:ilvl w:val="0"/>
          <w:numId w:val="16"/>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sz w:val="24"/>
          <w:szCs w:val="24"/>
          <w:highlight w:val="none"/>
        </w:rPr>
      </w:r>
      <w:r/>
    </w:p>
    <w:p>
      <w:pPr>
        <w:pStyle w:val="996"/>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highlight w:val="none"/>
        </w:rPr>
      </w:r>
      <w:r/>
    </w:p>
    <w:p>
      <w:pPr>
        <w:pStyle w:val="996"/>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hint="eastAsia" w:ascii="宋体" w:hAnsi="宋体"/>
          <w:color w:val="000000"/>
          <w:sz w:val="24"/>
          <w:szCs w:val="24"/>
          <w:highlight w:val="none"/>
        </w:rPr>
      </w:r>
      <w:r/>
    </w:p>
    <w:p>
      <w:pPr>
        <w:pStyle w:val="996"/>
        <w:numPr>
          <w:ilvl w:val="0"/>
          <w:numId w:val="1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sz w:val="24"/>
          <w:szCs w:val="24"/>
          <w:highlight w:val="none"/>
        </w:rPr>
      </w:r>
      <w:r/>
    </w:p>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sz w:val="24"/>
          <w:szCs w:val="24"/>
          <w:highlight w:val="none"/>
        </w:rPr>
      </w:r>
      <w:r/>
    </w:p>
    <w:p>
      <w:pPr>
        <w:pStyle w:val="996"/>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996"/>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85"/>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1085"/>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rFonts w:hint="eastAsia" w:cs="Arial"/>
                <w:b/>
                <w:color w:val="000000"/>
                <w:highlight w:val="none"/>
              </w:rPr>
            </w:r>
            <w:r/>
          </w:p>
        </w:tc>
        <w:tc>
          <w:tcPr>
            <w:tcW w:w="1979" w:type="dxa"/>
            <w:vAlign w:val="center"/>
            <w:textDirection w:val="lrTb"/>
            <w:noWrap w:val="false"/>
          </w:tcPr>
          <w:p>
            <w:pPr>
              <w:pStyle w:val="1085"/>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投标函（给定格式）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开标一览表（“苏采云”系统中给定格式）</w:t>
            </w:r>
            <w:r>
              <w:rPr>
                <w:rFonts w:hint="eastAsia" w:ascii="宋体" w:hAnsi="宋体" w:cs="Arial"/>
                <w:color w:val="000000"/>
                <w:highlight w:val="none"/>
              </w:rPr>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1085"/>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1085"/>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trHeight w:val="567"/>
        </w:trPr>
        <w:tc>
          <w:tcPr>
            <w:tcW w:w="823" w:type="dxa"/>
            <w:vAlign w:val="center"/>
            <w:textDirection w:val="lrTb"/>
            <w:noWrap w:val="false"/>
          </w:tcPr>
          <w:p>
            <w:pPr>
              <w:pStyle w:val="1085"/>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1085"/>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1085"/>
              <w:ind w:firstLine="0"/>
              <w:jc w:val="center"/>
              <w:spacing w:before="0" w:after="0" w:line="240" w:lineRule="auto"/>
              <w:rPr>
                <w:rFonts w:hint="eastAsia" w:cs="Arial"/>
                <w:color w:val="000000"/>
                <w:highlight w:val="none"/>
              </w:rPr>
            </w:pPr>
            <w:r>
              <w:rPr>
                <w:rFonts w:hint="eastAsia" w:cs="Arial"/>
                <w:color w:val="000000"/>
                <w:highlight w:val="none"/>
              </w:rPr>
            </w:r>
            <w:r/>
          </w:p>
        </w:tc>
      </w:tr>
    </w:tbl>
    <w:p>
      <w:pPr>
        <w:pStyle w:val="99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996"/>
        <w:numPr>
          <w:ilvl w:val="0"/>
          <w:numId w:val="17"/>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sz w:val="24"/>
          <w:szCs w:val="24"/>
          <w:highlight w:val="none"/>
        </w:rPr>
      </w:r>
      <w:r/>
    </w:p>
    <w:p>
      <w:pPr>
        <w:pStyle w:val="996"/>
        <w:numPr>
          <w:ilvl w:val="0"/>
          <w:numId w:val="17"/>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符合性证明文件第6项，《采购需求》中如有要求提供证明材料的，须按要求提供，否则投标文件无效。</w:t>
      </w:r>
      <w:r>
        <w:rPr>
          <w:rFonts w:hint="eastAsia" w:ascii="宋体" w:hAnsi="宋体"/>
          <w:color w:val="000000"/>
          <w:sz w:val="24"/>
          <w:szCs w:val="24"/>
          <w:highlight w:val="none"/>
        </w:rPr>
      </w:r>
      <w:r/>
    </w:p>
    <w:p>
      <w:pPr>
        <w:pStyle w:val="996"/>
        <w:numPr>
          <w:ilvl w:val="0"/>
          <w:numId w:val="17"/>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996"/>
        <w:rPr>
          <w:rFonts w:hint="eastAsia"/>
          <w:b/>
          <w:color w:val="000000"/>
          <w:sz w:val="28"/>
          <w:szCs w:val="28"/>
          <w:highlight w:val="none"/>
        </w:rPr>
      </w:pPr>
      <w:r>
        <w:rPr>
          <w:rFonts w:hint="eastAsia"/>
          <w:b/>
          <w:color w:val="000000"/>
          <w:sz w:val="28"/>
          <w:szCs w:val="28"/>
          <w:highlight w:val="none"/>
        </w:rPr>
      </w:r>
      <w:r/>
    </w:p>
    <w:p>
      <w:pPr>
        <w:pStyle w:val="996"/>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996"/>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1.《评标方法与评标标准》中涉及的证明文件。</w:t>
      </w:r>
      <w:r>
        <w:rPr>
          <w:rFonts w:hint="eastAsia" w:ascii="宋体" w:hAnsi="宋体"/>
          <w:color w:val="000000"/>
          <w:sz w:val="24"/>
          <w:szCs w:val="24"/>
          <w:highlight w:val="none"/>
        </w:rPr>
      </w:r>
      <w:r/>
    </w:p>
    <w:p>
      <w:pPr>
        <w:pStyle w:val="996"/>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2.投标人认为如有其他应附的文件可自拟并自行添加。</w:t>
      </w:r>
      <w:r>
        <w:rPr>
          <w:rFonts w:hint="eastAsia" w:ascii="宋体" w:hAnsi="宋体" w:cs="宋体"/>
          <w:color w:val="000000"/>
          <w:sz w:val="24"/>
          <w:szCs w:val="24"/>
          <w:highlight w:val="none"/>
        </w:rPr>
      </w:r>
      <w:r/>
    </w:p>
    <w:p>
      <w:pPr>
        <w:pStyle w:val="996"/>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rPr>
          <w:rFonts w:hint="eastAsia" w:cs="Arial"/>
          <w:b/>
          <w:color w:val="000000"/>
          <w:sz w:val="30"/>
          <w:szCs w:val="30"/>
          <w:highlight w:val="none"/>
        </w:rPr>
      </w:r>
      <w:r/>
    </w:p>
    <w:p>
      <w:pPr>
        <w:pStyle w:val="1085"/>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rFonts w:cs="Arial"/>
          <w:b/>
          <w:color w:val="000000"/>
          <w:sz w:val="28"/>
          <w:szCs w:val="28"/>
          <w:highlight w:val="none"/>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rPr>
          <w:rFonts w:hint="eastAsia" w:ascii="黑体" w:hAnsi="华文中宋" w:eastAsia="黑体"/>
          <w:bCs/>
          <w:color w:val="000000"/>
          <w:spacing w:val="20"/>
          <w:sz w:val="84"/>
          <w:szCs w:val="84"/>
          <w:highlight w:val="none"/>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996"/>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JSZC-320214-JZCG-G2026-0068</w:t>
      </w:r>
      <w:r>
        <w:rPr>
          <w:rFonts w:hint="eastAsia" w:ascii="黑体" w:hAnsi="华文中宋" w:eastAsia="黑体"/>
          <w:bCs/>
          <w:color w:val="000000"/>
          <w:sz w:val="30"/>
          <w:szCs w:val="30"/>
          <w:highlight w:val="none"/>
          <w:lang w:eastAsia="zh-CN"/>
        </w:rPr>
      </w:r>
      <w:r/>
    </w:p>
    <w:p>
      <w:pPr>
        <w:pStyle w:val="996"/>
        <w:ind w:firstLine="18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2026-2028年度无锡市新安中心幼儿园物业管理服务项目</w:t>
      </w:r>
      <w:r>
        <w:rPr>
          <w:rFonts w:hint="eastAsia" w:ascii="黑体" w:hAnsi="华文中宋" w:eastAsia="黑体"/>
          <w:bCs/>
          <w:color w:val="000000"/>
          <w:sz w:val="30"/>
          <w:szCs w:val="30"/>
          <w:highlight w:val="none"/>
          <w:lang w:eastAsia="zh-CN"/>
        </w:rPr>
      </w:r>
      <w:r/>
    </w:p>
    <w:p>
      <w:pPr>
        <w:pStyle w:val="99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rPr>
          <w:rFonts w:hint="eastAsia" w:ascii="黑体" w:hAnsi="华文中宋" w:eastAsia="黑体"/>
          <w:bCs/>
          <w:color w:val="000000"/>
          <w:sz w:val="30"/>
          <w:szCs w:val="30"/>
          <w:highlight w:val="none"/>
        </w:rPr>
      </w:r>
      <w:r/>
    </w:p>
    <w:p>
      <w:pPr>
        <w:pStyle w:val="99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996"/>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rFonts w:hint="eastAsia" w:ascii="Arial" w:hAnsi="Arial"/>
          <w:b/>
          <w:color w:val="000000"/>
          <w:sz w:val="28"/>
          <w:szCs w:val="28"/>
          <w:highlight w:val="none"/>
        </w:rPr>
      </w:r>
      <w:r/>
    </w:p>
    <w:p>
      <w:pPr>
        <w:pStyle w:val="996"/>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108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JSZC-320214-JZCG-G2026-0068</w:t>
      </w:r>
      <w:r>
        <w:rPr>
          <w:rFonts w:hint="eastAsia" w:ascii="宋体" w:hAnsi="宋体"/>
          <w:bCs/>
          <w:color w:val="000000"/>
          <w:sz w:val="24"/>
          <w:szCs w:val="24"/>
          <w:highlight w:val="none"/>
        </w:rPr>
        <w:t xml:space="preserve">项目，兹授权：</w:t>
      </w:r>
      <w:r>
        <w:rPr>
          <w:rFonts w:hint="eastAsia"/>
          <w:color w:val="000000"/>
          <w:sz w:val="24"/>
          <w:szCs w:val="24"/>
          <w:highlight w:val="none"/>
        </w:rPr>
      </w:r>
      <w:r/>
    </w:p>
    <w:p>
      <w:pPr>
        <w:pStyle w:val="108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8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108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rPr>
          <w:rFonts w:hint="eastAsia"/>
          <w:color w:val="000000"/>
          <w:sz w:val="24"/>
          <w:szCs w:val="24"/>
          <w:highlight w:val="none"/>
        </w:rPr>
      </w:r>
      <w:r/>
    </w:p>
    <w:p>
      <w:pPr>
        <w:pStyle w:val="1083"/>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rFonts w:hint="eastAsia" w:ascii="宋体" w:hAnsi="宋体"/>
          <w:bCs/>
          <w:color w:val="000000"/>
          <w:sz w:val="24"/>
          <w:szCs w:val="24"/>
          <w:highlight w:val="none"/>
        </w:rPr>
      </w:r>
      <w:r/>
    </w:p>
    <w:p>
      <w:pPr>
        <w:pStyle w:val="1083"/>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rFonts w:hint="eastAsia"/>
          <w:color w:val="000000"/>
          <w:sz w:val="24"/>
          <w:szCs w:val="24"/>
          <w:highlight w:val="none"/>
        </w:rPr>
      </w:r>
      <w:r/>
    </w:p>
    <w:p>
      <w:pPr>
        <w:pStyle w:val="1083"/>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rFonts w:hint="eastAsia"/>
          <w:color w:val="000000"/>
          <w:sz w:val="24"/>
          <w:szCs w:val="24"/>
          <w:highlight w:val="none"/>
          <w:u w:val="single"/>
        </w:rPr>
      </w:r>
      <w:r/>
    </w:p>
    <w:p>
      <w:pPr>
        <w:pStyle w:val="1083"/>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rFonts w:hint="eastAsia"/>
          <w:color w:val="000000"/>
          <w:sz w:val="24"/>
          <w:szCs w:val="24"/>
          <w:highlight w:val="none"/>
        </w:rPr>
      </w:r>
      <w:r/>
    </w:p>
    <w:p>
      <w:pPr>
        <w:pStyle w:val="1083"/>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sz w:val="24"/>
          <w:szCs w:val="24"/>
          <w:highlight w:val="none"/>
        </w:rPr>
      </w:r>
      <w:r/>
    </w:p>
    <w:p>
      <w:pPr>
        <w:pStyle w:val="1083"/>
        <w:ind w:firstLine="0"/>
        <w:tabs>
          <w:tab w:val="left" w:pos="360" w:leader="none"/>
        </w:tabs>
        <w:rPr>
          <w:rFonts w:hint="eastAsia"/>
          <w:color w:val="000000"/>
          <w:sz w:val="21"/>
          <w:szCs w:val="21"/>
          <w:highlight w:val="none"/>
        </w:rPr>
      </w:pPr>
      <w:r>
        <w:rPr>
          <w:rFonts w:hint="eastAsia"/>
          <w:color w:val="000000"/>
          <w:sz w:val="21"/>
          <w:szCs w:val="21"/>
          <w:highlight w:val="none"/>
        </w:rPr>
      </w:r>
      <w:r/>
    </w:p>
    <w:p>
      <w:pPr>
        <w:pStyle w:val="1083"/>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rFonts w:hint="eastAsia"/>
          <w:color w:val="000000"/>
          <w:sz w:val="21"/>
          <w:szCs w:val="21"/>
          <w:highlight w:val="none"/>
        </w:rPr>
      </w:r>
      <w:r/>
    </w:p>
    <w:p>
      <w:pPr>
        <w:pStyle w:val="1083"/>
        <w:numPr>
          <w:ilvl w:val="0"/>
          <w:numId w:val="18"/>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83"/>
        <w:numPr>
          <w:ilvl w:val="0"/>
          <w:numId w:val="1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highlight w:val="none"/>
        </w:rPr>
      </w:r>
      <w:r/>
    </w:p>
    <w:p>
      <w:pPr>
        <w:pStyle w:val="1083"/>
        <w:numPr>
          <w:ilvl w:val="0"/>
          <w:numId w:val="1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1083"/>
        <w:numPr>
          <w:ilvl w:val="0"/>
          <w:numId w:val="18"/>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highlight w:val="none"/>
        </w:rPr>
      </w:r>
      <w:r/>
    </w:p>
    <w:p>
      <w:pPr>
        <w:pStyle w:val="1083"/>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996"/>
        <w:jc w:val="center"/>
        <w:rPr>
          <w:rFonts w:ascii="黑体" w:eastAsia="黑体"/>
          <w:bCs/>
          <w:color w:val="000000"/>
          <w:sz w:val="28"/>
          <w:szCs w:val="28"/>
          <w:highlight w:val="none"/>
        </w:rPr>
        <w:outlineLvl w:val="0"/>
      </w:pPr>
      <w:r/>
      <w:bookmarkStart w:id="201" w:name="报价方关于资格的声明函（格式）"/>
      <w:r/>
      <w:bookmarkEnd w:id="201"/>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996"/>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996"/>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9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JSZC-320214-JZCG-G2026-0068</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99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99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99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996"/>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996"/>
        <w:spacing w:line="480" w:lineRule="auto"/>
        <w:rPr>
          <w:rFonts w:ascii="宋体"/>
          <w:bCs/>
          <w:color w:val="000000"/>
          <w:sz w:val="24"/>
          <w:szCs w:val="24"/>
          <w:highlight w:val="none"/>
        </w:rPr>
      </w:pPr>
      <w:r>
        <w:rPr>
          <w:rFonts w:ascii="宋体"/>
          <w:bCs/>
          <w:color w:val="000000"/>
          <w:sz w:val="24"/>
          <w:szCs w:val="24"/>
          <w:highlight w:val="none"/>
        </w:rPr>
      </w:r>
      <w:r/>
    </w:p>
    <w:p>
      <w:pPr>
        <w:pStyle w:val="996"/>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996"/>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rPr>
          <w:rFonts w:hint="eastAsia" w:ascii="宋体" w:hAnsi="宋体" w:cs="宋体"/>
          <w:b/>
          <w:color w:val="000000"/>
          <w:sz w:val="28"/>
          <w:szCs w:val="28"/>
          <w:highlight w:val="none"/>
        </w:rPr>
      </w:r>
      <w:r/>
    </w:p>
    <w:p>
      <w:pPr>
        <w:pStyle w:val="99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99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物业管理服务（不含电梯和</w:t>
      </w:r>
      <w:r>
        <w:rPr>
          <w:rFonts w:hint="eastAsia" w:ascii="宋体" w:hAnsi="宋体"/>
          <w:bCs/>
          <w:color w:val="000000"/>
          <w:sz w:val="24"/>
          <w:szCs w:val="24"/>
          <w:highlight w:val="none"/>
          <w:u w:val="single"/>
          <w:lang w:val="en-US" w:eastAsia="zh-CN"/>
        </w:rPr>
        <w:t xml:space="preserve">消防维保</w:t>
      </w:r>
      <w:r>
        <w:rPr>
          <w:rFonts w:hint="eastAsia" w:ascii="宋体" w:hAnsi="宋体"/>
          <w:bCs/>
          <w:color w:val="000000"/>
          <w:sz w:val="24"/>
          <w:szCs w:val="24"/>
          <w:highlight w:val="none"/>
          <w:u w:val="single"/>
        </w:rPr>
        <w:t xml:space="preserve">）</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3.消防</w:t>
      </w:r>
      <w:r>
        <w:rPr>
          <w:rFonts w:hint="eastAsia" w:ascii="宋体" w:hAnsi="宋体"/>
          <w:bCs/>
          <w:color w:val="000000"/>
          <w:sz w:val="24"/>
          <w:szCs w:val="24"/>
          <w:highlight w:val="none"/>
          <w:u w:val="single"/>
        </w:rPr>
        <w:t xml:space="preserve">系统维</w:t>
      </w:r>
      <w:r>
        <w:rPr>
          <w:rFonts w:hint="eastAsia" w:ascii="宋体" w:hAnsi="宋体"/>
          <w:bCs/>
          <w:color w:val="000000"/>
          <w:sz w:val="24"/>
          <w:szCs w:val="24"/>
          <w:highlight w:val="none"/>
          <w:u w:val="single"/>
          <w:lang w:val="en-US" w:eastAsia="zh-CN"/>
        </w:rPr>
        <w:t xml:space="preserve">保</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99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99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996"/>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96"/>
        <w:ind w:firstLine="420"/>
        <w:spacing w:line="360" w:lineRule="auto"/>
        <w:rPr>
          <w:color w:val="000000"/>
          <w:highlight w:val="none"/>
        </w:rPr>
      </w:pPr>
      <w:r>
        <w:rPr>
          <w:color w:val="000000"/>
          <w:highlight w:val="none"/>
        </w:rPr>
      </w:r>
      <w:r/>
    </w:p>
    <w:p>
      <w:pPr>
        <w:pStyle w:val="996"/>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“企业名称”应填报为提供该项服务的承建（承接）商，“企业名称（盖章）”处须盖有相应承建（承接）商企业公章（即电梯系统维</w:t>
      </w:r>
      <w:r>
        <w:rPr>
          <w:rFonts w:hint="eastAsia"/>
          <w:b/>
          <w:color w:val="000000"/>
          <w:highlight w:val="none"/>
          <w:u w:val="single"/>
          <w:lang w:val="en-US" w:eastAsia="zh-CN"/>
        </w:rPr>
        <w:t xml:space="preserve">保</w:t>
      </w:r>
      <w:r>
        <w:rPr>
          <w:rFonts w:hint="eastAsia"/>
          <w:b/>
          <w:color w:val="000000"/>
          <w:highlight w:val="none"/>
          <w:u w:val="single"/>
        </w:rPr>
        <w:t xml:space="preserve">和</w:t>
      </w:r>
      <w:r>
        <w:rPr>
          <w:rFonts w:hint="eastAsia"/>
          <w:b/>
          <w:color w:val="000000"/>
          <w:highlight w:val="none"/>
          <w:u w:val="single"/>
          <w:lang w:val="en-US" w:eastAsia="zh-CN"/>
        </w:rPr>
        <w:t xml:space="preserve">消防系统维保</w:t>
      </w:r>
      <w:r>
        <w:rPr>
          <w:rFonts w:hint="eastAsia"/>
          <w:b/>
          <w:color w:val="000000"/>
          <w:highlight w:val="none"/>
          <w:u w:val="single"/>
        </w:rPr>
        <w:t xml:space="preserve">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highlight w:val="none"/>
        </w:rPr>
      </w:r>
      <w:r/>
    </w:p>
    <w:p>
      <w:pPr>
        <w:pStyle w:val="996"/>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color w:val="000000"/>
          <w:highlight w:val="none"/>
        </w:rPr>
      </w:r>
      <w:r/>
    </w:p>
    <w:p>
      <w:pPr>
        <w:pStyle w:val="996"/>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996"/>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rFonts w:hint="eastAsia" w:ascii="宋体" w:hAnsi="宋体" w:cs="宋体"/>
          <w:b/>
          <w:color w:val="000000"/>
          <w:sz w:val="28"/>
          <w:szCs w:val="28"/>
          <w:highlight w:val="none"/>
        </w:rPr>
      </w:r>
      <w:r/>
    </w:p>
    <w:p>
      <w:pPr>
        <w:pStyle w:val="996"/>
        <w:ind w:firstLine="482"/>
        <w:spacing w:line="440" w:lineRule="exact"/>
        <w:rPr>
          <w:rFonts w:ascii="Arial" w:hAnsi="Arial"/>
          <w:b/>
          <w:color w:val="000000"/>
          <w:sz w:val="24"/>
          <w:highlight w:val="none"/>
        </w:rPr>
      </w:pPr>
      <w:r>
        <w:rPr>
          <w:rFonts w:ascii="Arial" w:hAnsi="Arial"/>
          <w:b/>
          <w:color w:val="000000"/>
          <w:sz w:val="24"/>
          <w:highlight w:val="none"/>
        </w:rPr>
      </w:r>
      <w:r/>
    </w:p>
    <w:p>
      <w:pPr>
        <w:pStyle w:val="996"/>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996"/>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99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99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996"/>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996"/>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99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996"/>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996"/>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rPr>
          <w:rFonts w:hint="eastAsia"/>
          <w:b/>
          <w:color w:val="000000"/>
          <w:sz w:val="28"/>
          <w:szCs w:val="28"/>
          <w:highlight w:val="none"/>
        </w:rPr>
      </w:r>
      <w:r/>
    </w:p>
    <w:p>
      <w:pPr>
        <w:pStyle w:val="996"/>
        <w:spacing w:line="360" w:lineRule="auto"/>
        <w:rPr>
          <w:rFonts w:hint="eastAsia"/>
          <w:b/>
          <w:color w:val="000000"/>
          <w:sz w:val="30"/>
          <w:szCs w:val="30"/>
          <w:highlight w:val="none"/>
        </w:rPr>
      </w:pPr>
      <w:r>
        <w:rPr>
          <w:rFonts w:hint="eastAsia"/>
          <w:b/>
          <w:color w:val="000000"/>
          <w:sz w:val="30"/>
          <w:szCs w:val="30"/>
          <w:highlight w:val="none"/>
        </w:rPr>
      </w:r>
      <w:r/>
    </w:p>
    <w:p>
      <w:pPr>
        <w:pStyle w:val="996"/>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996"/>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96"/>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99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JSZC-320214-JZCG-G2026-0068</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996"/>
        <w:numPr>
          <w:ilvl w:val="0"/>
          <w:numId w:val="1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70"/>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无锡市公共资源交易中心新吴分中心</w:t>
      </w:r>
      <w:r>
        <w:rPr>
          <w:rFonts w:hint="eastAsia" w:ascii="宋体" w:hAnsi="宋体"/>
          <w:bCs/>
          <w:color w:val="000000"/>
          <w:sz w:val="24"/>
          <w:szCs w:val="24"/>
          <w:highlight w:val="none"/>
        </w:rPr>
        <w:t xml:space="preserve">在招标文件中要求的文件、资料。</w:t>
      </w:r>
      <w:r>
        <w:rPr>
          <w:rStyle w:val="1070"/>
          <w:bCs/>
          <w:color w:val="000000"/>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996"/>
        <w:numPr>
          <w:ilvl w:val="0"/>
          <w:numId w:val="1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996"/>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99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996"/>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996"/>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ascii="宋体" w:hAnsi="宋体"/>
          <w:bCs/>
          <w:color w:val="000000"/>
          <w:sz w:val="24"/>
          <w:szCs w:val="24"/>
          <w:highlight w:val="none"/>
        </w:rPr>
      </w:r>
      <w:r/>
    </w:p>
    <w:p>
      <w:pPr>
        <w:pStyle w:val="996"/>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996"/>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996"/>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投标人</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JSZC-320214-JZCG-G2026-0068</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996"/>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对本项目所提供的货物均为原厂全新合格品，提供的服务符合招标文件要求。</w:t>
      </w:r>
      <w:r>
        <w:rPr>
          <w:rFonts w:ascii="宋体" w:hAnsi="宋体"/>
          <w:bCs/>
          <w:color w:val="000000"/>
          <w:sz w:val="24"/>
          <w:szCs w:val="24"/>
          <w:highlight w:val="none"/>
        </w:rPr>
      </w:r>
      <w:r/>
    </w:p>
    <w:p>
      <w:pPr>
        <w:pStyle w:val="99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996"/>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99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996"/>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99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996"/>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rPr>
          <w:rFonts w:hint="eastAsia" w:ascii="宋体"/>
          <w:bCs/>
          <w:color w:val="000000"/>
          <w:sz w:val="24"/>
          <w:szCs w:val="24"/>
          <w:highlight w:val="none"/>
        </w:rPr>
      </w:r>
      <w:r/>
    </w:p>
    <w:p>
      <w:pPr>
        <w:pStyle w:val="99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996"/>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996"/>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996"/>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hAnsi="宋体"/>
          <w:bCs/>
          <w:color w:val="000000"/>
          <w:sz w:val="24"/>
          <w:szCs w:val="24"/>
          <w:highlight w:val="none"/>
        </w:rPr>
      </w:r>
      <w:r/>
    </w:p>
    <w:p>
      <w:pPr>
        <w:pStyle w:val="996"/>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996"/>
        <w:ind w:firstLine="602"/>
        <w:rPr>
          <w:rFonts w:hint="eastAsia"/>
          <w:b/>
          <w:color w:val="000000"/>
          <w:sz w:val="30"/>
          <w:szCs w:val="30"/>
          <w:highlight w:val="none"/>
        </w:rPr>
        <w:outlineLvl w:val="0"/>
      </w:pPr>
      <w:r>
        <w:rPr>
          <w:rFonts w:hint="eastAsia"/>
          <w:b/>
          <w:color w:val="000000"/>
          <w:sz w:val="30"/>
          <w:szCs w:val="30"/>
          <w:highlight w:val="none"/>
        </w:rPr>
      </w:r>
      <w:r/>
    </w:p>
    <w:p>
      <w:pPr>
        <w:pStyle w:val="996"/>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996"/>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JSZC-320214-JZCG-G2026-0068</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996"/>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99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）保证中标并合同签订生效后，将按招标文件要求及所投的投标文件中做出的相应承诺将相关人员及时配置到位。</w:t>
      </w:r>
      <w:r>
        <w:rPr>
          <w:rFonts w:hint="eastAsia" w:ascii="宋体" w:hAnsi="宋体" w:cs="宋体"/>
          <w:color w:val="000000"/>
          <w:sz w:val="24"/>
          <w:szCs w:val="24"/>
          <w:highlight w:val="none"/>
        </w:rPr>
      </w:r>
      <w:r/>
    </w:p>
    <w:p>
      <w:pPr>
        <w:pStyle w:val="99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p>
      <w:pPr>
        <w:pStyle w:val="99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p>
      <w:pPr>
        <w:pStyle w:val="99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p>
      <w:pPr>
        <w:pStyle w:val="996"/>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p>
      <w:pPr>
        <w:pStyle w:val="996"/>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96"/>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hint="eastAsia" w:ascii="宋体" w:hAnsi="宋体"/>
          <w:bCs/>
          <w:color w:val="000000"/>
          <w:sz w:val="24"/>
          <w:szCs w:val="24"/>
          <w:highlight w:val="none"/>
        </w:rPr>
      </w:r>
      <w:r/>
    </w:p>
    <w:p>
      <w:pPr>
        <w:pStyle w:val="996"/>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rPr>
          <w:rFonts w:hint="eastAsia" w:ascii="宋体" w:hAnsi="宋体"/>
          <w:bCs/>
          <w:color w:val="000000"/>
          <w:sz w:val="24"/>
          <w:szCs w:val="24"/>
          <w:highlight w:val="none"/>
        </w:rPr>
      </w:r>
      <w:r/>
    </w:p>
    <w:p>
      <w:pPr>
        <w:pStyle w:val="99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96"/>
        <w:ind w:firstLine="420"/>
        <w:spacing w:line="480" w:lineRule="auto"/>
        <w:rPr>
          <w:rFonts w:ascii="宋体"/>
          <w:bCs/>
          <w:color w:val="000000"/>
          <w:sz w:val="24"/>
          <w:szCs w:val="24"/>
          <w:highlight w:val="none"/>
        </w:rPr>
      </w:pPr>
      <w:r>
        <w:rPr>
          <w:rFonts w:hint="eastAsia" w:ascii="宋体" w:hAnsi="宋体"/>
          <w:bCs/>
          <w:color w:val="000000"/>
          <w:highlight w:val="none"/>
        </w:rPr>
        <w:t xml:space="preserve">（注：以上内容由投标单位根据采购要求自行完善。）</w:t>
      </w:r>
      <w:r>
        <w:rPr>
          <w:rFonts w:ascii="宋体"/>
          <w:bCs/>
          <w:color w:val="000000"/>
          <w:sz w:val="24"/>
          <w:szCs w:val="24"/>
          <w:highlight w:val="none"/>
        </w:rPr>
      </w:r>
      <w:r/>
    </w:p>
    <w:p>
      <w:pPr>
        <w:pStyle w:val="996"/>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rPr>
          <w:rFonts w:hint="eastAsia"/>
          <w:b/>
          <w:color w:val="000000"/>
          <w:sz w:val="28"/>
          <w:szCs w:val="28"/>
          <w:highlight w:val="none"/>
        </w:rPr>
      </w:r>
      <w:r/>
    </w:p>
    <w:p>
      <w:pPr>
        <w:pStyle w:val="99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99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9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9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rPr>
          <w:rFonts w:hint="eastAsia" w:ascii="黑体" w:eastAsia="黑体"/>
          <w:bCs/>
          <w:color w:val="000000"/>
          <w:sz w:val="24"/>
          <w:szCs w:val="24"/>
          <w:highlight w:val="none"/>
        </w:rPr>
      </w:r>
      <w:r/>
    </w:p>
    <w:p>
      <w:pPr>
        <w:pStyle w:val="996"/>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9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JSZC-320214-JZCG-G2026-0068</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96"/>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996"/>
              <w:jc w:val="center"/>
              <w:rPr>
                <w:rFonts w:hint="eastAsia" w:ascii="宋体" w:eastAsia="宋体"/>
                <w:b/>
                <w:bCs/>
                <w:color w:val="000000"/>
                <w:sz w:val="24"/>
                <w:szCs w:val="24"/>
                <w:highlight w:val="none"/>
                <w:lang w:eastAsia="zh-CN"/>
              </w:rPr>
            </w:pPr>
            <w:r>
              <w:rPr>
                <w:rFonts w:hint="eastAsia" w:ascii="宋体" w:hAnsi="宋体"/>
                <w:b/>
                <w:bCs/>
                <w:color w:val="000000"/>
                <w:sz w:val="24"/>
                <w:szCs w:val="24"/>
                <w:highlight w:val="none"/>
              </w:rPr>
              <w:t xml:space="preserve">投标总报价</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小写</w:t>
            </w:r>
            <w:r>
              <w:rPr>
                <w:rFonts w:ascii="宋体" w:hAnsi="宋体"/>
                <w:b/>
                <w:bCs/>
                <w:color w:val="000000"/>
                <w:sz w:val="24"/>
                <w:szCs w:val="24"/>
                <w:highlight w:val="none"/>
              </w:rPr>
              <w:t xml:space="preserve">)</w:t>
            </w:r>
            <w:r>
              <w:rPr>
                <w:rFonts w:hint="eastAsia" w:ascii="宋体" w:eastAsia="宋体"/>
                <w:b/>
                <w:bCs/>
                <w:color w:val="000000"/>
                <w:sz w:val="24"/>
                <w:szCs w:val="24"/>
                <w:highlight w:val="none"/>
                <w:lang w:eastAsia="zh-CN"/>
              </w:rPr>
            </w:r>
            <w:r/>
          </w:p>
        </w:tc>
      </w:tr>
      <w:tr>
        <w:trPr>
          <w:cantSplit/>
          <w:trHeight w:val="1630"/>
        </w:trPr>
        <w:tc>
          <w:tcPr>
            <w:tcW w:w="5697" w:type="dxa"/>
            <w:vAlign w:val="center"/>
            <w:textDirection w:val="lrTb"/>
            <w:noWrap w:val="false"/>
          </w:tcPr>
          <w:p>
            <w:pPr>
              <w:pStyle w:val="1111"/>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2026-2028年度无锡市新安中心幼儿园物业管理服务项目</w:t>
            </w:r>
            <w:r>
              <w:rPr>
                <w:rFonts w:hint="eastAsia" w:hAnsi="宋体" w:eastAsia="宋体"/>
                <w:bCs/>
                <w:color w:val="000000"/>
                <w:szCs w:val="24"/>
                <w:highlight w:val="none"/>
                <w:lang w:eastAsia="zh-CN"/>
              </w:rPr>
            </w:r>
            <w:r/>
          </w:p>
        </w:tc>
        <w:tc>
          <w:tcPr>
            <w:tcW w:w="3188" w:type="dxa"/>
            <w:vAlign w:val="center"/>
            <w:textDirection w:val="lrTb"/>
            <w:noWrap w:val="false"/>
          </w:tcPr>
          <w:p>
            <w:pPr>
              <w:pStyle w:val="1111"/>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996"/>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rPr>
                <w:rFonts w:ascii="宋体"/>
                <w:bCs/>
                <w:color w:val="000000"/>
                <w:sz w:val="24"/>
                <w:szCs w:val="24"/>
                <w:highlight w:val="none"/>
              </w:rPr>
            </w:r>
            <w:r/>
          </w:p>
        </w:tc>
      </w:tr>
    </w:tbl>
    <w:p>
      <w:pPr>
        <w:pStyle w:val="99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99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9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9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sz w:val="24"/>
          <w:szCs w:val="24"/>
          <w:highlight w:val="none"/>
        </w:rPr>
      </w:r>
      <w:r/>
    </w:p>
    <w:p>
      <w:pPr>
        <w:pStyle w:val="996"/>
        <w:spacing w:line="360" w:lineRule="auto"/>
        <w:rPr>
          <w:rFonts w:hint="eastAsia" w:ascii="宋体" w:hAnsi="宋体"/>
          <w:bCs/>
          <w:color w:val="000000"/>
          <w:highlight w:val="none"/>
          <w:u w:val="singl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End w:id="198"/>
      <w:r/>
      <w:bookmarkEnd w:id="199"/>
      <w:r/>
      <w:bookmarkEnd w:id="200"/>
      <w:r/>
      <w:bookmarkStart w:id="202" w:name="_Toc120614284"/>
      <w:r>
        <w:rPr>
          <w:rFonts w:hint="eastAsia" w:ascii="宋体" w:hAnsi="宋体"/>
          <w:bCs/>
          <w:color w:val="000000"/>
          <w:highlight w:val="none"/>
          <w:u w:val="single"/>
        </w:rPr>
      </w:r>
      <w:r/>
    </w:p>
    <w:p>
      <w:pPr>
        <w:pStyle w:val="996"/>
        <w:ind w:firstLine="3640"/>
        <w:jc w:val="both"/>
        <w:spacing w:line="400" w:lineRule="exact"/>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996"/>
        <w:ind w:right="0"/>
        <w:keepLines w:val="0"/>
        <w:keepNext w:val="0"/>
        <w:pageBreakBefore w:val="0"/>
        <w:spacing w:before="69" w:line="288" w:lineRule="auto"/>
        <w:widowControl/>
        <w:rPr>
          <w:rFonts w:ascii="宋体" w:hAnsi="宋体" w:eastAsia="宋体" w:cs="宋体"/>
          <w:color w:val="000000"/>
          <w:sz w:val="21"/>
          <w:szCs w:val="21"/>
          <w:highlight w:val="none"/>
          <w:lang w:val="en-US" w:eastAsia="zh-CN"/>
        </w:rPr>
      </w:pPr>
      <w:r>
        <w:rPr>
          <w:rFonts w:hint="eastAsia" w:ascii="黑体" w:hAnsi="Times New Roman" w:eastAsia="黑体" w:cs="Times New Roman"/>
          <w:bCs/>
          <w:color w:val="000000"/>
          <w:sz w:val="24"/>
          <w:szCs w:val="24"/>
          <w:highlight w:val="none"/>
          <w:lang w:eastAsia="zh-CN"/>
        </w:rPr>
        <w:t xml:space="preserve">项目编号：</w:t>
      </w:r>
      <w:r>
        <w:rPr>
          <w:rFonts w:hint="eastAsia" w:ascii="黑体" w:eastAsia="黑体"/>
          <w:bCs/>
          <w:color w:val="000000"/>
          <w:sz w:val="24"/>
          <w:szCs w:val="24"/>
          <w:highlight w:val="none"/>
          <w:lang w:eastAsia="zh-CN"/>
        </w:rPr>
        <w:t xml:space="preserve">JSZC-320214-JZCG-G2026-00</w:t>
      </w:r>
      <w:r>
        <w:rPr>
          <w:rFonts w:hint="eastAsia" w:ascii="黑体" w:eastAsia="黑体"/>
          <w:bCs/>
          <w:color w:val="000000"/>
          <w:sz w:val="24"/>
          <w:szCs w:val="24"/>
          <w:highlight w:val="none"/>
          <w:lang w:val="en-US" w:eastAsia="zh-CN"/>
        </w:rPr>
        <w:t xml:space="preserve">68</w:t>
      </w:r>
      <w:r>
        <w:rPr>
          <w:rFonts w:ascii="宋体" w:hAnsi="宋体" w:eastAsia="宋体" w:cs="宋体"/>
          <w:color w:val="000000"/>
          <w:sz w:val="21"/>
          <w:szCs w:val="21"/>
          <w:highlight w:val="none"/>
          <w:lang w:val="en-US" w:eastAsia="zh-CN"/>
        </w:rPr>
      </w:r>
      <w:r/>
    </w:p>
    <w:tbl>
      <w:tblPr>
        <w:tblStyle w:val="1116"/>
        <w:tblW w:w="94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11"/>
        <w:gridCol w:w="1770"/>
        <w:gridCol w:w="2075"/>
        <w:gridCol w:w="1950"/>
        <w:gridCol w:w="2335"/>
      </w:tblGrid>
      <w:tr>
        <w:trPr>
          <w:trHeight w:val="890"/>
        </w:trPr>
        <w:tc>
          <w:tcPr>
            <w:tcW w:w="1311" w:type="dxa"/>
            <w:vAlign w:val="top"/>
            <w:textDirection w:val="lrTb"/>
            <w:noWrap w:val="false"/>
          </w:tcPr>
          <w:p>
            <w:pPr>
              <w:pStyle w:val="996"/>
              <w:ind w:left="808" w:hanging="678"/>
              <w:jc w:val="center"/>
              <w:keepLines w:val="0"/>
              <w:keepNext w:val="0"/>
              <w:pageBreakBefore w:val="0"/>
              <w:spacing w:before="158"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序号</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keepLines w:val="0"/>
              <w:keepNext w:val="0"/>
              <w:pageBreakBefore w:val="0"/>
              <w:spacing w:before="157"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4"/>
                <w:sz w:val="21"/>
                <w:szCs w:val="21"/>
                <w:highlight w:val="none"/>
              </w:rPr>
              <w:t xml:space="preserve">项目名称</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996"/>
              <w:ind w:right="501"/>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z w:val="21"/>
                <w:szCs w:val="21"/>
                <w:highlight w:val="none"/>
              </w:rPr>
              <w:t xml:space="preserve"> </w:t>
            </w:r>
            <w:r>
              <w:rPr>
                <w:rFonts w:ascii="微软雅黑" w:hAnsi="微软雅黑" w:eastAsia="微软雅黑" w:cs="微软雅黑"/>
                <w:b/>
                <w:bCs/>
                <w:color w:val="000000"/>
                <w:spacing w:val="30"/>
                <w:sz w:val="21"/>
                <w:szCs w:val="21"/>
                <w:highlight w:val="none"/>
              </w:rPr>
              <w:t xml:space="preserve">（元/月）</w:t>
            </w:r>
            <w:r>
              <w:rPr>
                <w:rFonts w:ascii="微软雅黑" w:hAnsi="微软雅黑" w:eastAsia="微软雅黑" w:cs="微软雅黑"/>
                <w:color w:val="000000"/>
                <w:sz w:val="21"/>
                <w:szCs w:val="21"/>
                <w:highlight w:val="none"/>
              </w:rPr>
            </w:r>
            <w:r/>
          </w:p>
        </w:tc>
        <w:tc>
          <w:tcPr>
            <w:tcW w:w="1950" w:type="dxa"/>
            <w:vAlign w:val="top"/>
            <w:textDirection w:val="lrTb"/>
            <w:noWrap w:val="false"/>
          </w:tcPr>
          <w:p>
            <w:pPr>
              <w:pStyle w:val="996"/>
              <w:ind w:right="498"/>
              <w:keepLines w:val="0"/>
              <w:keepNext w:val="0"/>
              <w:pageBreakBefore w:val="0"/>
              <w:spacing w:before="159"/>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报价</w:t>
            </w:r>
            <w:r>
              <w:rPr>
                <w:rFonts w:ascii="微软雅黑" w:hAnsi="微软雅黑" w:eastAsia="微软雅黑" w:cs="微软雅黑"/>
                <w:b/>
                <w:bCs/>
                <w:color w:val="000000"/>
                <w:spacing w:val="30"/>
                <w:sz w:val="21"/>
                <w:szCs w:val="21"/>
                <w:highlight w:val="none"/>
              </w:rPr>
              <w:t xml:space="preserve">（元/年）</w:t>
            </w:r>
            <w:r>
              <w:rPr>
                <w:rFonts w:ascii="微软雅黑" w:hAnsi="微软雅黑" w:eastAsia="微软雅黑" w:cs="微软雅黑"/>
                <w:color w:val="000000"/>
                <w:sz w:val="21"/>
                <w:szCs w:val="21"/>
                <w:highlight w:val="none"/>
              </w:rPr>
            </w:r>
            <w:r/>
          </w:p>
        </w:tc>
        <w:tc>
          <w:tcPr>
            <w:tcW w:w="2335" w:type="dxa"/>
            <w:vAlign w:val="top"/>
            <w:textDirection w:val="lrTb"/>
            <w:noWrap w:val="false"/>
          </w:tcPr>
          <w:p>
            <w:pPr>
              <w:pStyle w:val="996"/>
              <w:jc w:val="left"/>
              <w:keepLines w:val="0"/>
              <w:keepNext w:val="0"/>
              <w:pageBreakBefore w:val="0"/>
              <w:spacing w:before="158" w:line="215"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8"/>
                <w:sz w:val="21"/>
                <w:szCs w:val="21"/>
                <w:highlight w:val="none"/>
              </w:rPr>
              <w:t xml:space="preserve">备注</w:t>
            </w:r>
            <w:r>
              <w:rPr>
                <w:rFonts w:ascii="微软雅黑" w:hAnsi="微软雅黑" w:eastAsia="微软雅黑" w:cs="微软雅黑"/>
                <w:color w:val="000000"/>
                <w:sz w:val="21"/>
                <w:szCs w:val="21"/>
                <w:highlight w:val="none"/>
              </w:rPr>
            </w:r>
            <w:r/>
          </w:p>
        </w:tc>
      </w:tr>
      <w:tr>
        <w:trPr>
          <w:trHeight w:val="795"/>
        </w:trPr>
        <w:tc>
          <w:tcPr>
            <w:tcW w:w="1311" w:type="dxa"/>
            <w:vAlign w:val="top"/>
            <w:textDirection w:val="lrTb"/>
            <w:noWrap w:val="false"/>
          </w:tcPr>
          <w:p>
            <w:pPr>
              <w:pStyle w:val="996"/>
              <w:ind w:left="118" w:firstLine="0"/>
              <w:jc w:val="center"/>
              <w:keepLines w:val="0"/>
              <w:keepNext w:val="0"/>
              <w:pageBreakBefore w:val="0"/>
              <w:spacing w:before="153"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1</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keepLines w:val="0"/>
              <w:keepNext w:val="0"/>
              <w:pageBreakBefore w:val="0"/>
              <w:spacing w:before="152"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人员费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71"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49"/>
        </w:trPr>
        <w:tc>
          <w:tcPr>
            <w:tcW w:w="1311" w:type="dxa"/>
            <w:vAlign w:val="top"/>
            <w:textDirection w:val="lrTb"/>
            <w:noWrap w:val="false"/>
          </w:tcPr>
          <w:p>
            <w:pPr>
              <w:pStyle w:val="996"/>
              <w:ind w:left="86" w:firstLine="0"/>
              <w:jc w:val="center"/>
              <w:keepLines w:val="0"/>
              <w:keepNext w:val="0"/>
              <w:pageBreakBefore w:val="0"/>
              <w:spacing w:before="156"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2</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7"/>
              <w:keepLines w:val="0"/>
              <w:keepNext w:val="0"/>
              <w:pageBreakBefore w:val="0"/>
              <w:spacing w:before="155"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行政办公费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75"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63"/>
        </w:trPr>
        <w:tc>
          <w:tcPr>
            <w:tcW w:w="1311" w:type="dxa"/>
            <w:vAlign w:val="top"/>
            <w:textDirection w:val="lrTb"/>
            <w:noWrap w:val="false"/>
          </w:tcPr>
          <w:p>
            <w:pPr>
              <w:pStyle w:val="996"/>
              <w:ind w:left="92"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3</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2"/>
                <w:sz w:val="21"/>
                <w:szCs w:val="21"/>
                <w:highlight w:val="none"/>
              </w:rPr>
              <w:t xml:space="preserve">服装费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eastAsia="宋体"/>
                <w:color w:val="000000"/>
                <w:sz w:val="21"/>
                <w:highlight w:val="none"/>
                <w:lang w:val="en-US" w:eastAsia="zh-CN"/>
              </w:rPr>
            </w:pPr>
            <w:r>
              <w:rPr>
                <w:rFonts w:hint="eastAsia" w:ascii="Arial"/>
                <w:color w:val="000000"/>
                <w:sz w:val="21"/>
                <w:highlight w:val="none"/>
                <w:lang w:val="en-US" w:eastAsia="zh-CN"/>
              </w:rPr>
              <w:t xml:space="preserve">   </w:t>
            </w:r>
            <w:r>
              <w:rPr>
                <w:rFonts w:ascii="Arial" w:eastAsia="宋体"/>
                <w:color w:val="000000"/>
                <w:sz w:val="21"/>
                <w:highlight w:val="none"/>
                <w:lang w:val="en-US" w:eastAsia="zh-CN"/>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76"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32"/>
        </w:trPr>
        <w:tc>
          <w:tcPr>
            <w:tcW w:w="1311" w:type="dxa"/>
            <w:vAlign w:val="top"/>
            <w:textDirection w:val="lrTb"/>
            <w:noWrap w:val="false"/>
          </w:tcPr>
          <w:p>
            <w:pPr>
              <w:pStyle w:val="996"/>
              <w:ind w:left="97" w:firstLine="0"/>
              <w:jc w:val="center"/>
              <w:keepLines w:val="0"/>
              <w:keepNext w:val="0"/>
              <w:pageBreakBefore w:val="0"/>
              <w:spacing w:before="160"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4</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9"/>
              <w:keepLines w:val="0"/>
              <w:keepNext w:val="0"/>
              <w:pageBreakBefore w:val="0"/>
              <w:spacing w:before="160"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5"/>
                <w:sz w:val="21"/>
                <w:szCs w:val="21"/>
                <w:highlight w:val="none"/>
              </w:rPr>
              <w:t xml:space="preserve">卫生清洁费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80" w:line="304"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827"/>
        </w:trPr>
        <w:tc>
          <w:tcPr>
            <w:tcW w:w="1311" w:type="dxa"/>
            <w:vAlign w:val="top"/>
            <w:textDirection w:val="lrTb"/>
            <w:noWrap w:val="false"/>
          </w:tcPr>
          <w:p>
            <w:pPr>
              <w:pStyle w:val="996"/>
              <w:ind w:left="128" w:firstLine="0"/>
              <w:jc w:val="center"/>
              <w:keepLines w:val="0"/>
              <w:keepNext w:val="0"/>
              <w:pageBreakBefore w:val="0"/>
              <w:spacing w:before="164"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5</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right="360"/>
              <w:keepLines w:val="0"/>
              <w:keepNext w:val="0"/>
              <w:pageBreakBefore w:val="0"/>
              <w:spacing w:before="162" w:line="239"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7"/>
                <w:sz w:val="21"/>
                <w:szCs w:val="21"/>
                <w:highlight w:val="none"/>
              </w:rPr>
              <w:t xml:space="preserve">器械、装备、设</w:t>
            </w:r>
            <w:r>
              <w:rPr>
                <w:rFonts w:hint="eastAsia" w:ascii="宋体" w:hAnsi="宋体" w:eastAsia="宋体" w:cs="宋体"/>
                <w:b/>
                <w:bCs/>
                <w:color w:val="000000"/>
                <w:spacing w:val="8"/>
                <w:sz w:val="21"/>
                <w:szCs w:val="21"/>
                <w:highlight w:val="none"/>
              </w:rPr>
              <w:t xml:space="preserve">备费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83" w:line="306"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799"/>
        </w:trPr>
        <w:tc>
          <w:tcPr>
            <w:tcW w:w="1311" w:type="dxa"/>
            <w:vAlign w:val="top"/>
            <w:textDirection w:val="lrTb"/>
            <w:noWrap w:val="false"/>
          </w:tcPr>
          <w:p>
            <w:pPr>
              <w:pStyle w:val="996"/>
              <w:ind w:left="99" w:firstLine="0"/>
              <w:jc w:val="center"/>
              <w:keepLines w:val="0"/>
              <w:keepNext w:val="0"/>
              <w:pageBreakBefore w:val="0"/>
              <w:spacing w:before="158"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6</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keepLines w:val="0"/>
              <w:keepNext w:val="0"/>
              <w:pageBreakBefore w:val="0"/>
              <w:spacing w:before="157"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6"/>
                <w:sz w:val="21"/>
                <w:szCs w:val="21"/>
                <w:highlight w:val="none"/>
              </w:rPr>
              <w:t xml:space="preserve">维修维保费</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78" w:line="308"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996"/>
              <w:ind w:left="99" w:firstLine="0"/>
              <w:jc w:val="center"/>
              <w:keepLines w:val="0"/>
              <w:keepNext w:val="0"/>
              <w:pageBreakBefore w:val="0"/>
              <w:spacing w:before="154" w:line="233"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7</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keepLines w:val="0"/>
              <w:keepNext w:val="0"/>
              <w:pageBreakBefore w:val="0"/>
              <w:spacing w:before="154"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合理利润</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96"/>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0"/>
        </w:trPr>
        <w:tc>
          <w:tcPr>
            <w:tcW w:w="1311" w:type="dxa"/>
            <w:vAlign w:val="top"/>
            <w:textDirection w:val="lrTb"/>
            <w:noWrap w:val="false"/>
          </w:tcPr>
          <w:p>
            <w:pPr>
              <w:pStyle w:val="996"/>
              <w:ind w:left="103" w:firstLine="0"/>
              <w:jc w:val="center"/>
              <w:keepLines w:val="0"/>
              <w:keepNext w:val="0"/>
              <w:pageBreakBefore w:val="0"/>
              <w:spacing w:before="157"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8</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8"/>
              <w:keepLines w:val="0"/>
              <w:keepNext w:val="0"/>
              <w:pageBreakBefore w:val="0"/>
              <w:spacing w:before="156" w:line="213"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税金</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96"/>
              <w:jc w:val="left"/>
              <w:keepLines w:val="0"/>
              <w:keepNext w:val="0"/>
              <w:pageBreakBefore w:val="0"/>
              <w:widowControl/>
              <w:rPr>
                <w:rFonts w:ascii="Arial"/>
                <w:color w:val="000000"/>
                <w:sz w:val="21"/>
                <w:highlight w:val="none"/>
              </w:rPr>
            </w:pPr>
            <w:r>
              <w:rPr>
                <w:rFonts w:ascii="Arial"/>
                <w:color w:val="000000"/>
                <w:sz w:val="21"/>
                <w:highlight w:val="none"/>
              </w:rPr>
            </w:r>
            <w:r/>
          </w:p>
        </w:tc>
      </w:tr>
      <w:tr>
        <w:trPr>
          <w:trHeight w:val="882"/>
        </w:trPr>
        <w:tc>
          <w:tcPr>
            <w:tcW w:w="1311" w:type="dxa"/>
            <w:vAlign w:val="top"/>
            <w:textDirection w:val="lrTb"/>
            <w:noWrap w:val="false"/>
          </w:tcPr>
          <w:p>
            <w:pPr>
              <w:pStyle w:val="996"/>
              <w:ind w:left="115" w:firstLine="0"/>
              <w:jc w:val="center"/>
              <w:keepLines w:val="0"/>
              <w:keepNext w:val="0"/>
              <w:pageBreakBefore w:val="0"/>
              <w:spacing w:before="159" w:line="231"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z w:val="21"/>
                <w:szCs w:val="21"/>
                <w:highlight w:val="none"/>
              </w:rPr>
              <w:t xml:space="preserve">9</w:t>
            </w:r>
            <w:r>
              <w:rPr>
                <w:rFonts w:ascii="微软雅黑" w:hAnsi="微软雅黑" w:eastAsia="微软雅黑" w:cs="微软雅黑"/>
                <w:color w:val="000000"/>
                <w:sz w:val="21"/>
                <w:szCs w:val="21"/>
                <w:highlight w:val="none"/>
              </w:rPr>
            </w:r>
            <w:r/>
          </w:p>
        </w:tc>
        <w:tc>
          <w:tcPr>
            <w:tcW w:w="1770" w:type="dxa"/>
            <w:vAlign w:val="top"/>
            <w:textDirection w:val="lrTb"/>
            <w:noWrap w:val="false"/>
          </w:tcPr>
          <w:p>
            <w:pPr>
              <w:pStyle w:val="996"/>
              <w:ind w:left="119"/>
              <w:keepLines w:val="0"/>
              <w:keepNext w:val="0"/>
              <w:pageBreakBefore w:val="0"/>
              <w:spacing w:before="158" w:line="214"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pacing w:val="14"/>
                <w:sz w:val="21"/>
                <w:szCs w:val="21"/>
                <w:highlight w:val="none"/>
              </w:rPr>
              <w:t xml:space="preserve">其他支出</w:t>
            </w:r>
            <w:r>
              <w:rPr>
                <w:rFonts w:hint="eastAsia" w:ascii="宋体" w:hAnsi="宋体" w:eastAsia="宋体" w:cs="宋体"/>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1117"/>
              <w:ind w:right="249"/>
              <w:jc w:val="left"/>
              <w:keepLines w:val="0"/>
              <w:keepNext w:val="0"/>
              <w:pageBreakBefore w:val="0"/>
              <w:spacing w:before="178" w:line="305" w:lineRule="auto"/>
              <w:widowControl/>
              <w:rPr>
                <w:color w:val="000000"/>
                <w:highlight w:val="none"/>
              </w:rPr>
            </w:pPr>
            <w:r>
              <w:rPr>
                <w:color w:val="000000"/>
                <w:spacing w:val="16"/>
                <w:highlight w:val="none"/>
              </w:rPr>
              <w:t xml:space="preserve">可自行列清单附</w:t>
            </w:r>
            <w:r>
              <w:rPr>
                <w:color w:val="000000"/>
                <w:highlight w:val="none"/>
              </w:rPr>
              <w:t xml:space="preserve">后</w:t>
            </w:r>
            <w:r>
              <w:rPr>
                <w:color w:val="000000"/>
                <w:highlight w:val="none"/>
              </w:rPr>
            </w:r>
            <w:r/>
          </w:p>
        </w:tc>
      </w:tr>
      <w:tr>
        <w:trPr>
          <w:trHeight w:val="530"/>
        </w:trPr>
        <w:tc>
          <w:tcPr>
            <w:tcW w:w="1311" w:type="dxa"/>
            <w:vAlign w:val="top"/>
            <w:textDirection w:val="lrTb"/>
            <w:noWrap w:val="false"/>
          </w:tcPr>
          <w:p>
            <w:pPr>
              <w:pStyle w:val="1117"/>
              <w:ind w:left="764"/>
              <w:keepLines w:val="0"/>
              <w:keepNext w:val="0"/>
              <w:pageBreakBefore w:val="0"/>
              <w:spacing w:before="180" w:line="330" w:lineRule="exact"/>
              <w:widowControl/>
              <w:rPr>
                <w:color w:val="000000"/>
                <w:highlight w:val="none"/>
              </w:rPr>
            </w:pPr>
            <w:r>
              <w:rPr>
                <w:color w:val="000000"/>
                <w:spacing w:val="-11"/>
                <w:position w:val="2"/>
                <w:highlight w:val="none"/>
              </w:rPr>
              <w:t xml:space="preserve">…</w:t>
            </w:r>
            <w:r>
              <w:rPr>
                <w:color w:val="000000"/>
                <w:spacing w:val="63"/>
                <w:position w:val="2"/>
                <w:highlight w:val="none"/>
              </w:rPr>
              <w:t xml:space="preserve"> </w:t>
            </w:r>
            <w:r>
              <w:rPr>
                <w:color w:val="000000"/>
                <w:spacing w:val="-11"/>
                <w:position w:val="2"/>
                <w:highlight w:val="none"/>
              </w:rPr>
              <w:t xml:space="preserve">…</w:t>
            </w:r>
            <w:r>
              <w:rPr>
                <w:color w:val="000000"/>
                <w:highlight w:val="none"/>
              </w:rPr>
            </w:r>
            <w:r/>
          </w:p>
        </w:tc>
        <w:tc>
          <w:tcPr>
            <w:tcW w:w="177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r>
      <w:tr>
        <w:trPr>
          <w:trHeight w:val="538"/>
        </w:trPr>
        <w:tc>
          <w:tcPr>
            <w:tcW w:w="1311"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770" w:type="dxa"/>
            <w:vAlign w:val="top"/>
            <w:textDirection w:val="lrTb"/>
            <w:noWrap w:val="false"/>
          </w:tcPr>
          <w:p>
            <w:pPr>
              <w:pStyle w:val="996"/>
              <w:ind w:left="118"/>
              <w:keepLines w:val="0"/>
              <w:keepNext w:val="0"/>
              <w:pageBreakBefore w:val="0"/>
              <w:spacing w:before="164" w:line="214" w:lineRule="auto"/>
              <w:widowControl/>
              <w:rPr>
                <w:rFonts w:ascii="微软雅黑" w:hAnsi="微软雅黑" w:eastAsia="微软雅黑" w:cs="微软雅黑"/>
                <w:color w:val="000000"/>
                <w:sz w:val="21"/>
                <w:szCs w:val="21"/>
                <w:highlight w:val="none"/>
              </w:rPr>
            </w:pPr>
            <w:r>
              <w:rPr>
                <w:rFonts w:ascii="微软雅黑" w:hAnsi="微软雅黑" w:eastAsia="微软雅黑" w:cs="微软雅黑"/>
                <w:b/>
                <w:bCs/>
                <w:color w:val="000000"/>
                <w:spacing w:val="19"/>
                <w:sz w:val="21"/>
                <w:szCs w:val="21"/>
                <w:highlight w:val="none"/>
              </w:rPr>
              <w:t xml:space="preserve">合计：</w:t>
            </w:r>
            <w:r>
              <w:rPr>
                <w:rFonts w:ascii="微软雅黑" w:hAnsi="微软雅黑" w:eastAsia="微软雅黑" w:cs="微软雅黑"/>
                <w:color w:val="000000"/>
                <w:sz w:val="21"/>
                <w:szCs w:val="21"/>
                <w:highlight w:val="none"/>
              </w:rPr>
            </w:r>
            <w:r/>
          </w:p>
        </w:tc>
        <w:tc>
          <w:tcPr>
            <w:tcW w:w="207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1950"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c>
          <w:tcPr>
            <w:tcW w:w="2335" w:type="dxa"/>
            <w:vAlign w:val="top"/>
            <w:textDirection w:val="lrTb"/>
            <w:noWrap w:val="false"/>
          </w:tcPr>
          <w:p>
            <w:pPr>
              <w:pStyle w:val="996"/>
              <w:keepLines w:val="0"/>
              <w:keepNext w:val="0"/>
              <w:pageBreakBefore w:val="0"/>
              <w:widowControl/>
              <w:rPr>
                <w:rFonts w:ascii="Arial"/>
                <w:color w:val="000000"/>
                <w:sz w:val="21"/>
                <w:highlight w:val="none"/>
              </w:rPr>
            </w:pPr>
            <w:r>
              <w:rPr>
                <w:rFonts w:ascii="Arial"/>
                <w:color w:val="000000"/>
                <w:sz w:val="21"/>
                <w:highlight w:val="none"/>
              </w:rPr>
            </w:r>
            <w:r/>
          </w:p>
        </w:tc>
      </w:tr>
    </w:tbl>
    <w:p>
      <w:pPr>
        <w:pStyle w:val="996"/>
        <w:ind w:left="7"/>
        <w:keepLines w:val="0"/>
        <w:keepNext w:val="0"/>
        <w:pageBreakBefore w:val="0"/>
        <w:spacing w:before="99" w:line="218" w:lineRule="auto"/>
        <w:widowControl/>
        <w:rPr>
          <w:rFonts w:ascii="宋体" w:hAnsi="宋体" w:eastAsia="宋体" w:cs="宋体"/>
          <w:color w:val="000000"/>
          <w:sz w:val="21"/>
          <w:szCs w:val="21"/>
          <w:highlight w:val="none"/>
        </w:rPr>
      </w:pPr>
      <w:r>
        <w:rPr>
          <w:rFonts w:ascii="宋体" w:hAnsi="宋体" w:eastAsia="宋体" w:cs="宋体"/>
          <w:color w:val="000000"/>
          <w:spacing w:val="13"/>
          <w:sz w:val="21"/>
          <w:szCs w:val="21"/>
          <w:highlight w:val="none"/>
        </w:rPr>
        <w:t xml:space="preserve">投标人名称（盖章</w:t>
      </w:r>
      <w:r>
        <w:rPr>
          <w:rFonts w:ascii="宋体" w:hAnsi="宋体" w:eastAsia="宋体" w:cs="宋体"/>
          <w:color w:val="000000"/>
          <w:spacing w:val="14"/>
          <w:sz w:val="21"/>
          <w:szCs w:val="21"/>
          <w:highlight w:val="none"/>
        </w:rPr>
        <w:t xml:space="preserve">）：</w:t>
      </w:r>
      <w:r>
        <w:rPr>
          <w:rFonts w:ascii="宋体" w:hAnsi="宋体" w:eastAsia="宋体" w:cs="宋体"/>
          <w:color w:val="000000"/>
          <w:sz w:val="21"/>
          <w:szCs w:val="21"/>
          <w:highlight w:val="none"/>
        </w:rPr>
      </w:r>
      <w:r/>
    </w:p>
    <w:p>
      <w:pPr>
        <w:pStyle w:val="996"/>
        <w:ind w:right="65"/>
        <w:jc w:val="both"/>
        <w:keepLines w:val="0"/>
        <w:keepNext w:val="0"/>
        <w:pageBreakBefore w:val="0"/>
        <w:spacing w:before="68" w:line="332" w:lineRule="auto"/>
        <w:widowControl/>
        <w:rPr>
          <w:rFonts w:ascii="宋体" w:hAnsi="宋体" w:eastAsia="宋体" w:cs="宋体"/>
          <w:color w:val="000000"/>
          <w:spacing w:val="20"/>
          <w:sz w:val="21"/>
          <w:szCs w:val="21"/>
          <w:highlight w:val="none"/>
        </w:rPr>
      </w:pPr>
      <w:r>
        <w:rPr>
          <w:rFonts w:ascii="宋体" w:hAnsi="宋体" w:eastAsia="宋体" w:cs="宋体"/>
          <w:color w:val="000000"/>
          <w:spacing w:val="20"/>
          <w:sz w:val="21"/>
          <w:szCs w:val="21"/>
          <w:highlight w:val="none"/>
        </w:rPr>
      </w:r>
      <w:r/>
    </w:p>
    <w:p>
      <w:pPr>
        <w:pStyle w:val="996"/>
        <w:ind w:right="65"/>
        <w:jc w:val="both"/>
        <w:keepLines w:val="0"/>
        <w:keepNext w:val="0"/>
        <w:pageBreakBefore w:val="0"/>
        <w:spacing w:before="68" w:line="332" w:lineRule="auto"/>
        <w:widowControl/>
        <w:rPr>
          <w:rFonts w:ascii="宋体" w:hAnsi="宋体" w:eastAsia="宋体" w:cs="宋体"/>
          <w:color w:val="000000"/>
          <w:sz w:val="21"/>
          <w:szCs w:val="21"/>
          <w:highlight w:val="none"/>
        </w:rPr>
      </w:pPr>
      <w:r>
        <w:rPr>
          <w:rFonts w:ascii="宋体" w:hAnsi="宋体" w:eastAsia="宋体" w:cs="宋体"/>
          <w:color w:val="000000"/>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spacing w:val="18"/>
          <w:sz w:val="21"/>
          <w:szCs w:val="21"/>
          <w:highlight w:val="none"/>
        </w:rPr>
        <w:t xml:space="preserve">素，一旦投标结束最终中标，总价固定，不予调整。</w:t>
      </w:r>
      <w:r>
        <w:rPr>
          <w:rFonts w:ascii="宋体" w:hAnsi="宋体" w:eastAsia="宋体" w:cs="宋体"/>
          <w:color w:val="000000"/>
          <w:sz w:val="21"/>
          <w:szCs w:val="21"/>
          <w:highlight w:val="none"/>
        </w:rPr>
      </w:r>
      <w:r/>
    </w:p>
    <w:p>
      <w:pPr>
        <w:pStyle w:val="996"/>
        <w:numPr>
          <w:ilvl w:val="0"/>
          <w:numId w:val="15"/>
        </w:numPr>
        <w:ind w:left="510" w:hanging="360"/>
        <w:tabs>
          <w:tab w:val="left" w:pos="510" w:leader="none"/>
        </w:tabs>
        <w:rPr>
          <w:rFonts w:ascii="宋体" w:hAnsi="宋体" w:eastAsia="宋体" w:cs="宋体"/>
          <w:color w:val="000000"/>
          <w:spacing w:val="-5"/>
          <w:sz w:val="21"/>
          <w:szCs w:val="21"/>
          <w:highlight w:val="none"/>
        </w:rPr>
      </w:pPr>
      <w:r>
        <w:rPr>
          <w:rFonts w:ascii="宋体" w:hAnsi="宋体" w:eastAsia="宋体" w:cs="宋体"/>
          <w:color w:val="000000"/>
          <w:spacing w:val="20"/>
          <w:sz w:val="21"/>
          <w:szCs w:val="21"/>
          <w:highlight w:val="none"/>
        </w:rPr>
        <w:t xml:space="preserve">上述报价表由投标单位参照，不限于此，可根据采购需求自行添加条目进行投报，或可自行列清单附</w:t>
      </w:r>
      <w:r>
        <w:rPr>
          <w:rFonts w:ascii="宋体" w:hAnsi="宋体" w:eastAsia="宋体" w:cs="宋体"/>
          <w:color w:val="000000"/>
          <w:spacing w:val="-5"/>
          <w:sz w:val="21"/>
          <w:szCs w:val="21"/>
          <w:highlight w:val="none"/>
        </w:rPr>
        <w:t xml:space="preserve">后。</w:t>
      </w:r>
      <w:r>
        <w:rPr>
          <w:rFonts w:ascii="宋体" w:hAnsi="宋体" w:eastAsia="宋体" w:cs="宋体"/>
          <w:color w:val="000000"/>
          <w:spacing w:val="-5"/>
          <w:sz w:val="21"/>
          <w:szCs w:val="21"/>
          <w:highlight w:val="none"/>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numPr>
          <w:ilvl w:val="0"/>
          <w:numId w:val="0"/>
        </w:numPr>
        <w:jc w:val="both"/>
        <w:widowControl w:val="off"/>
        <w:rPr>
          <w:rFonts w:ascii="宋体" w:hAnsi="宋体" w:eastAsia="宋体" w:cs="宋体"/>
          <w:color w:val="000000"/>
          <w:spacing w:val="-5"/>
          <w:sz w:val="21"/>
          <w:szCs w:val="21"/>
          <w:highlight w:val="none"/>
          <w:lang w:val="zh-CN"/>
        </w:rPr>
      </w:pPr>
      <w:r>
        <w:rPr>
          <w:rFonts w:ascii="宋体" w:hAnsi="宋体" w:eastAsia="宋体" w:cs="宋体"/>
          <w:color w:val="000000"/>
          <w:spacing w:val="-5"/>
          <w:sz w:val="21"/>
          <w:szCs w:val="21"/>
          <w:highlight w:val="none"/>
          <w:lang w:val="zh-CN"/>
        </w:rPr>
      </w:r>
      <w:r/>
    </w:p>
    <w:p>
      <w:pPr>
        <w:pStyle w:val="996"/>
        <w:spacing w:line="360" w:lineRule="auto"/>
        <w:rPr>
          <w:rFonts w:hint="eastAsia"/>
          <w:b/>
          <w:color w:val="000000"/>
          <w:sz w:val="28"/>
          <w:szCs w:val="28"/>
          <w:highlight w:val="none"/>
        </w:rPr>
      </w:pPr>
      <w:r>
        <w:rPr>
          <w:rFonts w:hint="eastAsia"/>
          <w:b/>
          <w:color w:val="000000"/>
          <w:sz w:val="28"/>
          <w:szCs w:val="28"/>
          <w:highlight w:val="none"/>
        </w:rPr>
      </w:r>
      <w:r/>
    </w:p>
    <w:p>
      <w:pPr>
        <w:pStyle w:val="996"/>
        <w:spacing w:line="360" w:lineRule="auto"/>
        <w:rPr>
          <w:rFonts w:hint="eastAsia"/>
          <w:b/>
          <w:color w:val="000000"/>
          <w:sz w:val="28"/>
          <w:szCs w:val="28"/>
          <w:highlight w:val="none"/>
        </w:rPr>
      </w:pPr>
      <w:r>
        <w:rPr>
          <w:rFonts w:hint="eastAsia"/>
          <w:b/>
          <w:color w:val="000000"/>
          <w:sz w:val="28"/>
          <w:szCs w:val="28"/>
          <w:highlight w:val="none"/>
        </w:rPr>
      </w:r>
      <w:r/>
    </w:p>
    <w:p>
      <w:pPr>
        <w:pStyle w:val="996"/>
        <w:spacing w:line="360" w:lineRule="auto"/>
        <w:rPr>
          <w:rFonts w:hint="eastAsia"/>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rPr>
          <w:rFonts w:hint="eastAsia"/>
          <w:b/>
          <w:color w:val="000000"/>
          <w:sz w:val="28"/>
          <w:szCs w:val="28"/>
          <w:highlight w:val="none"/>
        </w:rPr>
      </w:r>
      <w:r/>
    </w:p>
    <w:p>
      <w:pPr>
        <w:pStyle w:val="996"/>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96"/>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9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9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9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JSZC-320214-JZCG-G2026-0068</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96"/>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6"/>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6"/>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96"/>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9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6"/>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9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96"/>
              <w:jc w:val="center"/>
              <w:rPr>
                <w:rFonts w:ascii="宋体"/>
                <w:bCs/>
                <w:color w:val="000000"/>
                <w:highlight w:val="none"/>
              </w:rPr>
            </w:pPr>
            <w:r>
              <w:rPr>
                <w:rFonts w:ascii="宋体"/>
                <w:bCs/>
                <w:color w:val="000000"/>
                <w:highlight w:val="none"/>
              </w:rPr>
            </w:r>
            <w:r/>
          </w:p>
        </w:tc>
      </w:tr>
    </w:tbl>
    <w:p>
      <w:pPr>
        <w:pStyle w:val="996"/>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宋体" w:eastAsia="黑体"/>
          <w:b/>
          <w:color w:val="000000"/>
          <w:sz w:val="24"/>
          <w:szCs w:val="24"/>
          <w:highlight w:val="none"/>
        </w:rPr>
      </w:r>
      <w:r/>
    </w:p>
    <w:p>
      <w:pPr>
        <w:pStyle w:val="996"/>
        <w:rPr>
          <w:rFonts w:hint="eastAsia"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r>
      <w:r/>
    </w:p>
    <w:p>
      <w:pPr>
        <w:pStyle w:val="996"/>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pStyle w:val="996"/>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996"/>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rPr>
          <w:rFonts w:ascii="宋体" w:hAnsi="宋体"/>
          <w:bCs/>
          <w:color w:val="000000"/>
          <w:sz w:val="24"/>
          <w:szCs w:val="24"/>
          <w:highlight w:val="none"/>
        </w:rPr>
      </w:r>
      <w:r/>
    </w:p>
    <w:p>
      <w:pPr>
        <w:pStyle w:val="99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hAnsi="宋体"/>
          <w:bCs/>
          <w:color w:val="000000"/>
          <w:sz w:val="24"/>
          <w:szCs w:val="24"/>
          <w:highlight w:val="none"/>
        </w:rPr>
      </w:r>
      <w:r/>
    </w:p>
    <w:p>
      <w:pPr>
        <w:pStyle w:val="996"/>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pStyle w:val="996"/>
        <w:rPr>
          <w:rFonts w:hint="eastAsia"/>
          <w:b/>
          <w:color w:val="000000"/>
          <w:sz w:val="28"/>
          <w:szCs w:val="28"/>
          <w:highlight w:val="none"/>
        </w:rPr>
        <w:outlineLvl w:val="0"/>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996"/>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96"/>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996"/>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996"/>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JSZC-320214-JZCG-G2026-0068</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99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99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996"/>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99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996"/>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996"/>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99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996"/>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996"/>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996"/>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9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9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96"/>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99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996"/>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996"/>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996"/>
        <w:rPr>
          <w:rFonts w:hint="eastAsia" w:ascii="宋体" w:hAnsi="宋体"/>
          <w:bCs/>
          <w:color w:val="000000"/>
          <w:highlight w:val="none"/>
        </w:rPr>
      </w:pPr>
      <w:r>
        <w:rPr>
          <w:rFonts w:hint="eastAsia" w:ascii="宋体" w:hAnsi="宋体"/>
          <w:bCs/>
          <w:color w:val="000000"/>
          <w:highlight w:val="none"/>
        </w:rPr>
      </w:r>
      <w:r/>
    </w:p>
    <w:p>
      <w:pPr>
        <w:pStyle w:val="996"/>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996"/>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w:t>
      </w:r>
      <w:r>
        <w:rPr>
          <w:rFonts w:hint="eastAsia"/>
          <w:color w:val="000000"/>
          <w:highlight w:val="none"/>
        </w:rPr>
      </w:r>
      <w:r/>
    </w:p>
    <w:p>
      <w:pPr>
        <w:pStyle w:val="996"/>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996"/>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9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9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tabs>
        <w:tab w:val="center" w:pos="4153" w:leader="none"/>
        <w:tab w:val="right" w:pos="8306" w:leader="none"/>
      </w:tabs>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rPr>
                              <w:rStyle w:val="1068"/>
                              <w:rFonts w:ascii="宋体" w:hAnsi="宋体"/>
                            </w:rPr>
                          </w:pPr>
                          <w:r>
                            <w:rPr>
                              <w:rFonts w:ascii="宋体" w:hAnsi="宋体"/>
                            </w:rPr>
                            <w:fldChar w:fldCharType="begin"/>
                          </w:r>
                          <w:r>
                            <w:rPr>
                              <w:rStyle w:val="1068"/>
                              <w:rFonts w:ascii="宋体" w:hAnsi="宋体"/>
                            </w:rPr>
                            <w:instrText xml:space="preserve">PAGE  </w:instrText>
                          </w:r>
                          <w:r>
                            <w:rPr>
                              <w:rFonts w:ascii="宋体" w:hAnsi="宋体"/>
                            </w:rPr>
                            <w:fldChar w:fldCharType="separate"/>
                          </w:r>
                          <w:r>
                            <w:rPr>
                              <w:rStyle w:val="1068"/>
                              <w:rFonts w:ascii="宋体" w:hAnsi="宋体"/>
                            </w:rPr>
                            <w:t xml:space="preserve">１５</w:t>
                          </w:r>
                          <w:r>
                            <w:rPr>
                              <w:rFonts w:ascii="宋体" w:hAnsi="宋体"/>
                            </w:rPr>
                            <w:fldChar w:fldCharType="end"/>
                          </w:r>
                          <w:r>
                            <w:rPr>
                              <w:rStyle w:val="1068"/>
                              <w:rFonts w:ascii="宋体" w:hAnsi="宋体"/>
                            </w:rPr>
                          </w:r>
                          <w:r/>
                        </w:p>
                        <w:p>
                          <w:pPr>
                            <w:pStyle w:val="99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rPr>
                        <w:rStyle w:val="1068"/>
                        <w:rFonts w:ascii="宋体" w:hAnsi="宋体"/>
                      </w:rPr>
                    </w:pPr>
                    <w:r>
                      <w:rPr>
                        <w:rFonts w:ascii="宋体" w:hAnsi="宋体"/>
                      </w:rPr>
                      <w:fldChar w:fldCharType="begin"/>
                    </w:r>
                    <w:r>
                      <w:rPr>
                        <w:rStyle w:val="1068"/>
                        <w:rFonts w:ascii="宋体" w:hAnsi="宋体"/>
                      </w:rPr>
                      <w:instrText xml:space="preserve">PAGE  </w:instrText>
                    </w:r>
                    <w:r>
                      <w:rPr>
                        <w:rFonts w:ascii="宋体" w:hAnsi="宋体"/>
                      </w:rPr>
                      <w:fldChar w:fldCharType="separate"/>
                    </w:r>
                    <w:r>
                      <w:rPr>
                        <w:rStyle w:val="1068"/>
                        <w:rFonts w:ascii="宋体" w:hAnsi="宋体"/>
                      </w:rPr>
                      <w:t xml:space="preserve">１５</w:t>
                    </w:r>
                    <w:r>
                      <w:rPr>
                        <w:rFonts w:ascii="宋体" w:hAnsi="宋体"/>
                      </w:rPr>
                      <w:fldChar w:fldCharType="end"/>
                    </w:r>
                    <w:r>
                      <w:rPr>
                        <w:rStyle w:val="1068"/>
                        <w:rFonts w:ascii="宋体" w:hAnsi="宋体"/>
                      </w:rPr>
                    </w:r>
                    <w:r/>
                  </w:p>
                  <w:p>
                    <w:pPr>
                      <w:pStyle w:val="996"/>
                    </w:pPr>
                    <w:r/>
                    <w:r/>
                  </w:p>
                </w:txbxContent>
              </v:textbox>
            </v:shape>
          </w:pict>
        </mc:Fallback>
      </mc:AlternateContent>
    </w:r>
    <w:r>
      <w:rPr>
        <w:sz w:val="20"/>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rPr>
        <w:rStyle w:val="1068"/>
      </w:rPr>
      <w:framePr w:wrap="around" w:vAnchor="text" w:hAnchor="margin" w:xAlign="center" w:y="1"/>
    </w:pPr>
    <w:r>
      <w:fldChar w:fldCharType="begin"/>
    </w:r>
    <w:r>
      <w:rPr>
        <w:rStyle w:val="1068"/>
      </w:rPr>
      <w:instrText xml:space="preserve">PAGE  </w:instrText>
    </w:r>
    <w:r>
      <w:fldChar w:fldCharType="separate"/>
    </w:r>
    <w:r>
      <w:rPr>
        <w:rStyle w:val="1068"/>
      </w:rPr>
      <w:t xml:space="preserve">1</w:t>
    </w:r>
    <w:r>
      <w:fldChar w:fldCharType="end"/>
    </w:r>
    <w:r>
      <w:rPr>
        <w:rStyle w:val="1068"/>
      </w:rPr>
    </w:r>
    <w:r/>
  </w:p>
  <w:p>
    <w:pPr>
      <w:pStyle w:val="104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9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96"/>
        <w:ind w:left="1080" w:hanging="1080"/>
        <w:tabs>
          <w:tab w:val="num" w:pos="1080" w:leader="none"/>
        </w:tabs>
      </w:pPr>
      <w:rPr>
        <w:rFonts w:hint="eastAsia" w:cs="Times New Roman"/>
      </w:rPr>
    </w:lvl>
    <w:lvl w:ilvl="1">
      <w:start w:val="1"/>
      <w:numFmt w:val="decimal"/>
      <w:isLgl w:val="false"/>
      <w:suff w:val="tab"/>
      <w:lvlText w:val="%2."/>
      <w:lvlJc w:val="left"/>
      <w:pPr>
        <w:pStyle w:val="99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96"/>
        <w:ind w:left="1260" w:hanging="420"/>
        <w:tabs>
          <w:tab w:val="num" w:pos="1260" w:leader="none"/>
        </w:tabs>
      </w:pPr>
      <w:rPr>
        <w:rFonts w:cs="Times New Roman"/>
      </w:rPr>
    </w:lvl>
    <w:lvl w:ilvl="3">
      <w:start w:val="1"/>
      <w:numFmt w:val="decimal"/>
      <w:isLgl w:val="false"/>
      <w:suff w:val="tab"/>
      <w:lvlText w:val="%4."/>
      <w:lvlJc w:val="left"/>
      <w:pPr>
        <w:pStyle w:val="996"/>
        <w:ind w:left="1680" w:hanging="420"/>
        <w:tabs>
          <w:tab w:val="num" w:pos="1680" w:leader="none"/>
        </w:tabs>
      </w:pPr>
      <w:rPr>
        <w:rFonts w:cs="Times New Roman"/>
      </w:rPr>
    </w:lvl>
    <w:lvl w:ilvl="4">
      <w:start w:val="1"/>
      <w:numFmt w:val="lowerLetter"/>
      <w:isLgl w:val="false"/>
      <w:suff w:val="tab"/>
      <w:lvlText w:val="%5)"/>
      <w:lvlJc w:val="left"/>
      <w:pPr>
        <w:pStyle w:val="996"/>
        <w:ind w:left="2100" w:hanging="420"/>
        <w:tabs>
          <w:tab w:val="num" w:pos="2100" w:leader="none"/>
        </w:tabs>
      </w:pPr>
      <w:rPr>
        <w:rFonts w:cs="Times New Roman"/>
      </w:rPr>
    </w:lvl>
    <w:lvl w:ilvl="5">
      <w:start w:val="1"/>
      <w:numFmt w:val="lowerRoman"/>
      <w:isLgl w:val="false"/>
      <w:suff w:val="tab"/>
      <w:lvlText w:val="%6."/>
      <w:lvlJc w:val="right"/>
      <w:pPr>
        <w:pStyle w:val="996"/>
        <w:ind w:left="2520" w:hanging="420"/>
        <w:tabs>
          <w:tab w:val="num" w:pos="2520" w:leader="none"/>
        </w:tabs>
      </w:pPr>
      <w:rPr>
        <w:rFonts w:cs="Times New Roman"/>
      </w:rPr>
    </w:lvl>
    <w:lvl w:ilvl="6">
      <w:start w:val="1"/>
      <w:numFmt w:val="decimal"/>
      <w:isLgl w:val="false"/>
      <w:suff w:val="tab"/>
      <w:lvlText w:val="%7."/>
      <w:lvlJc w:val="left"/>
      <w:pPr>
        <w:pStyle w:val="996"/>
        <w:ind w:left="2940" w:hanging="420"/>
        <w:tabs>
          <w:tab w:val="num" w:pos="2940" w:leader="none"/>
        </w:tabs>
      </w:pPr>
      <w:rPr>
        <w:rFonts w:cs="Times New Roman"/>
      </w:rPr>
    </w:lvl>
    <w:lvl w:ilvl="7">
      <w:start w:val="1"/>
      <w:numFmt w:val="lowerLetter"/>
      <w:isLgl w:val="false"/>
      <w:suff w:val="tab"/>
      <w:lvlText w:val="%8)"/>
      <w:lvlJc w:val="left"/>
      <w:pPr>
        <w:pStyle w:val="996"/>
        <w:ind w:left="3360" w:hanging="420"/>
        <w:tabs>
          <w:tab w:val="num" w:pos="3360" w:leader="none"/>
        </w:tabs>
      </w:pPr>
      <w:rPr>
        <w:rFonts w:cs="Times New Roman"/>
      </w:rPr>
    </w:lvl>
    <w:lvl w:ilvl="8">
      <w:start w:val="1"/>
      <w:numFmt w:val="lowerRoman"/>
      <w:isLgl w:val="false"/>
      <w:suff w:val="tab"/>
      <w:lvlText w:val="%9."/>
      <w:lvlJc w:val="right"/>
      <w:pPr>
        <w:pStyle w:val="996"/>
        <w:ind w:left="3780" w:hanging="420"/>
        <w:tabs>
          <w:tab w:val="num" w:pos="3780" w:leader="none"/>
        </w:tabs>
      </w:pPr>
      <w:rPr>
        <w:rFonts w:cs="Times New Roman"/>
      </w:rPr>
    </w:lvl>
  </w:abstractNum>
  <w:abstractNum w:abstractNumId="3">
    <w:multiLevelType w:val="hybridMultilevel"/>
    <w:lvl w:ilvl="0">
      <w:start w:val="5"/>
      <w:numFmt w:val="decimal"/>
      <w:isLgl w:val="false"/>
      <w:suff w:val="tab"/>
      <w:lvlText w:val="%1."/>
      <w:lvlJc w:val="left"/>
      <w:pPr>
        <w:pStyle w:val="996"/>
        <w:tabs>
          <w:tab w:val="num" w:pos="312" w:leader="none"/>
        </w:tabs>
      </w:pPr>
    </w:lvl>
    <w:lvl w:ilvl="1">
      <w:start w:val="1"/>
      <w:numFmt w:val="bullet"/>
      <w:isLgl w:val="false"/>
      <w:suff w:val="tab"/>
      <w:lvlText w:val="o"/>
      <w:lvlJc w:val="left"/>
      <w:pPr>
        <w:pStyle w:val="996"/>
        <w:ind w:left="1440" w:hanging="360"/>
      </w:pPr>
      <w:rPr>
        <w:rFonts w:ascii="Courier New" w:hAnsi="Courier New" w:eastAsia="Courier New" w:cs="Courier New"/>
      </w:rPr>
    </w:lvl>
    <w:lvl w:ilvl="2">
      <w:start w:val="1"/>
      <w:numFmt w:val="bullet"/>
      <w:isLgl w:val="false"/>
      <w:suff w:val="tab"/>
      <w:lvlText w:val="§"/>
      <w:lvlJc w:val="left"/>
      <w:pPr>
        <w:pStyle w:val="996"/>
        <w:ind w:left="2160" w:hanging="360"/>
      </w:pPr>
      <w:rPr>
        <w:rFonts w:ascii="Wingdings" w:hAnsi="Wingdings" w:eastAsia="Wingdings" w:cs="Wingdings"/>
      </w:rPr>
    </w:lvl>
    <w:lvl w:ilvl="3">
      <w:start w:val="1"/>
      <w:numFmt w:val="bullet"/>
      <w:isLgl w:val="false"/>
      <w:suff w:val="tab"/>
      <w:lvlText w:val="·"/>
      <w:lvlJc w:val="left"/>
      <w:pPr>
        <w:pStyle w:val="996"/>
        <w:ind w:left="2880" w:hanging="360"/>
      </w:pPr>
      <w:rPr>
        <w:rFonts w:ascii="Symbol" w:hAnsi="Symbol" w:eastAsia="Symbol" w:cs="Symbol"/>
      </w:rPr>
    </w:lvl>
    <w:lvl w:ilvl="4">
      <w:start w:val="1"/>
      <w:numFmt w:val="bullet"/>
      <w:isLgl w:val="false"/>
      <w:suff w:val="tab"/>
      <w:lvlText w:val="o"/>
      <w:lvlJc w:val="left"/>
      <w:pPr>
        <w:pStyle w:val="996"/>
        <w:ind w:left="3600" w:hanging="360"/>
      </w:pPr>
      <w:rPr>
        <w:rFonts w:ascii="Courier New" w:hAnsi="Courier New" w:eastAsia="Courier New" w:cs="Courier New"/>
      </w:rPr>
    </w:lvl>
    <w:lvl w:ilvl="5">
      <w:start w:val="1"/>
      <w:numFmt w:val="bullet"/>
      <w:isLgl w:val="false"/>
      <w:suff w:val="tab"/>
      <w:lvlText w:val="§"/>
      <w:lvlJc w:val="left"/>
      <w:pPr>
        <w:pStyle w:val="996"/>
        <w:ind w:left="4320" w:hanging="360"/>
      </w:pPr>
      <w:rPr>
        <w:rFonts w:ascii="Wingdings" w:hAnsi="Wingdings" w:eastAsia="Wingdings" w:cs="Wingdings"/>
      </w:rPr>
    </w:lvl>
    <w:lvl w:ilvl="6">
      <w:start w:val="1"/>
      <w:numFmt w:val="bullet"/>
      <w:isLgl w:val="false"/>
      <w:suff w:val="tab"/>
      <w:lvlText w:val="·"/>
      <w:lvlJc w:val="left"/>
      <w:pPr>
        <w:pStyle w:val="996"/>
        <w:ind w:left="5040" w:hanging="360"/>
      </w:pPr>
      <w:rPr>
        <w:rFonts w:ascii="Symbol" w:hAnsi="Symbol" w:eastAsia="Symbol" w:cs="Symbol"/>
      </w:rPr>
    </w:lvl>
    <w:lvl w:ilvl="7">
      <w:start w:val="1"/>
      <w:numFmt w:val="bullet"/>
      <w:isLgl w:val="false"/>
      <w:suff w:val="tab"/>
      <w:lvlText w:val="o"/>
      <w:lvlJc w:val="left"/>
      <w:pPr>
        <w:pStyle w:val="996"/>
        <w:ind w:left="5760" w:hanging="360"/>
      </w:pPr>
      <w:rPr>
        <w:rFonts w:ascii="Courier New" w:hAnsi="Courier New" w:eastAsia="Courier New" w:cs="Courier New"/>
      </w:rPr>
    </w:lvl>
    <w:lvl w:ilvl="8">
      <w:start w:val="1"/>
      <w:numFmt w:val="bullet"/>
      <w:isLgl w:val="false"/>
      <w:suff w:val="tab"/>
      <w:lvlText w:val="§"/>
      <w:lvlJc w:val="left"/>
      <w:pPr>
        <w:pStyle w:val="996"/>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996"/>
        <w:tabs>
          <w:tab w:val="num" w:pos="312" w:leader="none"/>
        </w:tabs>
      </w:pPr>
    </w:lvl>
    <w:lvl w:ilvl="1">
      <w:start w:val="1"/>
      <w:numFmt w:val="bullet"/>
      <w:isLgl w:val="false"/>
      <w:suff w:val="tab"/>
      <w:lvlText w:val="o"/>
      <w:lvlJc w:val="left"/>
      <w:pPr>
        <w:pStyle w:val="996"/>
        <w:ind w:left="1440" w:hanging="360"/>
      </w:pPr>
      <w:rPr>
        <w:rFonts w:ascii="Courier New" w:hAnsi="Courier New" w:eastAsia="Courier New" w:cs="Courier New"/>
      </w:rPr>
    </w:lvl>
    <w:lvl w:ilvl="2">
      <w:start w:val="1"/>
      <w:numFmt w:val="bullet"/>
      <w:isLgl w:val="false"/>
      <w:suff w:val="tab"/>
      <w:lvlText w:val="§"/>
      <w:lvlJc w:val="left"/>
      <w:pPr>
        <w:pStyle w:val="996"/>
        <w:ind w:left="2160" w:hanging="360"/>
      </w:pPr>
      <w:rPr>
        <w:rFonts w:ascii="Wingdings" w:hAnsi="Wingdings" w:eastAsia="Wingdings" w:cs="Wingdings"/>
      </w:rPr>
    </w:lvl>
    <w:lvl w:ilvl="3">
      <w:start w:val="1"/>
      <w:numFmt w:val="bullet"/>
      <w:isLgl w:val="false"/>
      <w:suff w:val="tab"/>
      <w:lvlText w:val="·"/>
      <w:lvlJc w:val="left"/>
      <w:pPr>
        <w:pStyle w:val="996"/>
        <w:ind w:left="2880" w:hanging="360"/>
      </w:pPr>
      <w:rPr>
        <w:rFonts w:ascii="Symbol" w:hAnsi="Symbol" w:eastAsia="Symbol" w:cs="Symbol"/>
      </w:rPr>
    </w:lvl>
    <w:lvl w:ilvl="4">
      <w:start w:val="1"/>
      <w:numFmt w:val="bullet"/>
      <w:isLgl w:val="false"/>
      <w:suff w:val="tab"/>
      <w:lvlText w:val="o"/>
      <w:lvlJc w:val="left"/>
      <w:pPr>
        <w:pStyle w:val="996"/>
        <w:ind w:left="3600" w:hanging="360"/>
      </w:pPr>
      <w:rPr>
        <w:rFonts w:ascii="Courier New" w:hAnsi="Courier New" w:eastAsia="Courier New" w:cs="Courier New"/>
      </w:rPr>
    </w:lvl>
    <w:lvl w:ilvl="5">
      <w:start w:val="1"/>
      <w:numFmt w:val="bullet"/>
      <w:isLgl w:val="false"/>
      <w:suff w:val="tab"/>
      <w:lvlText w:val="§"/>
      <w:lvlJc w:val="left"/>
      <w:pPr>
        <w:pStyle w:val="996"/>
        <w:ind w:left="4320" w:hanging="360"/>
      </w:pPr>
      <w:rPr>
        <w:rFonts w:ascii="Wingdings" w:hAnsi="Wingdings" w:eastAsia="Wingdings" w:cs="Wingdings"/>
      </w:rPr>
    </w:lvl>
    <w:lvl w:ilvl="6">
      <w:start w:val="1"/>
      <w:numFmt w:val="bullet"/>
      <w:isLgl w:val="false"/>
      <w:suff w:val="tab"/>
      <w:lvlText w:val="·"/>
      <w:lvlJc w:val="left"/>
      <w:pPr>
        <w:pStyle w:val="996"/>
        <w:ind w:left="5040" w:hanging="360"/>
      </w:pPr>
      <w:rPr>
        <w:rFonts w:ascii="Symbol" w:hAnsi="Symbol" w:eastAsia="Symbol" w:cs="Symbol"/>
      </w:rPr>
    </w:lvl>
    <w:lvl w:ilvl="7">
      <w:start w:val="1"/>
      <w:numFmt w:val="bullet"/>
      <w:isLgl w:val="false"/>
      <w:suff w:val="tab"/>
      <w:lvlText w:val="o"/>
      <w:lvlJc w:val="left"/>
      <w:pPr>
        <w:pStyle w:val="996"/>
        <w:ind w:left="5760" w:hanging="360"/>
      </w:pPr>
      <w:rPr>
        <w:rFonts w:ascii="Courier New" w:hAnsi="Courier New" w:eastAsia="Courier New" w:cs="Courier New"/>
      </w:rPr>
    </w:lvl>
    <w:lvl w:ilvl="8">
      <w:start w:val="1"/>
      <w:numFmt w:val="bullet"/>
      <w:isLgl w:val="false"/>
      <w:suff w:val="tab"/>
      <w:lvlText w:val="§"/>
      <w:lvlJc w:val="left"/>
      <w:pPr>
        <w:pStyle w:val="996"/>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pStyle w:val="996"/>
      </w:pPr>
    </w:lvl>
    <w:lvl w:ilvl="1">
      <w:start w:val="1"/>
      <w:numFmt w:val="bullet"/>
      <w:isLgl w:val="false"/>
      <w:suff w:val="tab"/>
      <w:lvlText w:val="o"/>
      <w:lvlJc w:val="left"/>
      <w:pPr>
        <w:pStyle w:val="996"/>
        <w:ind w:left="1440" w:hanging="360"/>
      </w:pPr>
      <w:rPr>
        <w:rFonts w:ascii="Courier New" w:hAnsi="Courier New" w:eastAsia="Courier New" w:cs="Courier New"/>
      </w:rPr>
    </w:lvl>
    <w:lvl w:ilvl="2">
      <w:start w:val="1"/>
      <w:numFmt w:val="bullet"/>
      <w:isLgl w:val="false"/>
      <w:suff w:val="tab"/>
      <w:lvlText w:val="§"/>
      <w:lvlJc w:val="left"/>
      <w:pPr>
        <w:pStyle w:val="996"/>
        <w:ind w:left="2160" w:hanging="360"/>
      </w:pPr>
      <w:rPr>
        <w:rFonts w:ascii="Wingdings" w:hAnsi="Wingdings" w:eastAsia="Wingdings" w:cs="Wingdings"/>
      </w:rPr>
    </w:lvl>
    <w:lvl w:ilvl="3">
      <w:start w:val="1"/>
      <w:numFmt w:val="bullet"/>
      <w:isLgl w:val="false"/>
      <w:suff w:val="tab"/>
      <w:lvlText w:val="·"/>
      <w:lvlJc w:val="left"/>
      <w:pPr>
        <w:pStyle w:val="996"/>
        <w:ind w:left="2880" w:hanging="360"/>
      </w:pPr>
      <w:rPr>
        <w:rFonts w:ascii="Symbol" w:hAnsi="Symbol" w:eastAsia="Symbol" w:cs="Symbol"/>
      </w:rPr>
    </w:lvl>
    <w:lvl w:ilvl="4">
      <w:start w:val="1"/>
      <w:numFmt w:val="bullet"/>
      <w:isLgl w:val="false"/>
      <w:suff w:val="tab"/>
      <w:lvlText w:val="o"/>
      <w:lvlJc w:val="left"/>
      <w:pPr>
        <w:pStyle w:val="996"/>
        <w:ind w:left="3600" w:hanging="360"/>
      </w:pPr>
      <w:rPr>
        <w:rFonts w:ascii="Courier New" w:hAnsi="Courier New" w:eastAsia="Courier New" w:cs="Courier New"/>
      </w:rPr>
    </w:lvl>
    <w:lvl w:ilvl="5">
      <w:start w:val="1"/>
      <w:numFmt w:val="bullet"/>
      <w:isLgl w:val="false"/>
      <w:suff w:val="tab"/>
      <w:lvlText w:val="§"/>
      <w:lvlJc w:val="left"/>
      <w:pPr>
        <w:pStyle w:val="996"/>
        <w:ind w:left="4320" w:hanging="360"/>
      </w:pPr>
      <w:rPr>
        <w:rFonts w:ascii="Wingdings" w:hAnsi="Wingdings" w:eastAsia="Wingdings" w:cs="Wingdings"/>
      </w:rPr>
    </w:lvl>
    <w:lvl w:ilvl="6">
      <w:start w:val="1"/>
      <w:numFmt w:val="bullet"/>
      <w:isLgl w:val="false"/>
      <w:suff w:val="tab"/>
      <w:lvlText w:val="·"/>
      <w:lvlJc w:val="left"/>
      <w:pPr>
        <w:pStyle w:val="996"/>
        <w:ind w:left="5040" w:hanging="360"/>
      </w:pPr>
      <w:rPr>
        <w:rFonts w:ascii="Symbol" w:hAnsi="Symbol" w:eastAsia="Symbol" w:cs="Symbol"/>
      </w:rPr>
    </w:lvl>
    <w:lvl w:ilvl="7">
      <w:start w:val="1"/>
      <w:numFmt w:val="bullet"/>
      <w:isLgl w:val="false"/>
      <w:suff w:val="tab"/>
      <w:lvlText w:val="o"/>
      <w:lvlJc w:val="left"/>
      <w:pPr>
        <w:pStyle w:val="996"/>
        <w:ind w:left="5760" w:hanging="360"/>
      </w:pPr>
      <w:rPr>
        <w:rFonts w:ascii="Courier New" w:hAnsi="Courier New" w:eastAsia="Courier New" w:cs="Courier New"/>
      </w:rPr>
    </w:lvl>
    <w:lvl w:ilvl="8">
      <w:start w:val="1"/>
      <w:numFmt w:val="bullet"/>
      <w:isLgl w:val="false"/>
      <w:suff w:val="tab"/>
      <w:lvlText w:val="§"/>
      <w:lvlJc w:val="left"/>
      <w:pPr>
        <w:pStyle w:val="996"/>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99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77"/>
      <w:isLgl w:val="false"/>
      <w:suff w:val="tab"/>
      <w:lvlText w:val="附录%1."/>
      <w:lvlJc w:val="left"/>
      <w:pPr>
        <w:pStyle w:val="99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pStyle w:val="9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96"/>
        <w:ind w:left="510" w:hanging="360"/>
        <w:tabs>
          <w:tab w:val="num" w:pos="510" w:leader="none"/>
        </w:tabs>
      </w:pPr>
      <w:rPr>
        <w:rFonts w:hint="eastAsia" w:cs="Times New Roman"/>
      </w:rPr>
    </w:lvl>
    <w:lvl w:ilvl="1">
      <w:start w:val="1"/>
      <w:numFmt w:val="decimal"/>
      <w:isLgl w:val="false"/>
      <w:suff w:val="tab"/>
      <w:lvlText w:val="%2．"/>
      <w:lvlJc w:val="left"/>
      <w:pPr>
        <w:pStyle w:val="996"/>
        <w:ind w:left="1290" w:hanging="720"/>
        <w:tabs>
          <w:tab w:val="num" w:pos="1290" w:leader="none"/>
        </w:tabs>
      </w:pPr>
      <w:rPr>
        <w:rFonts w:hint="eastAsia" w:cs="Times New Roman"/>
      </w:rPr>
    </w:lvl>
    <w:lvl w:ilvl="2">
      <w:start w:val="3"/>
      <w:numFmt w:val="decimal"/>
      <w:isLgl w:val="false"/>
      <w:suff w:val="tab"/>
      <w:lvlText w:val="（%3）"/>
      <w:lvlJc w:val="left"/>
      <w:pPr>
        <w:pStyle w:val="996"/>
        <w:ind w:left="1140" w:hanging="720"/>
        <w:tabs>
          <w:tab w:val="num" w:pos="1140" w:leader="none"/>
        </w:tabs>
      </w:pPr>
      <w:rPr>
        <w:rFonts w:hint="eastAsia" w:cs="Times New Roman"/>
      </w:rPr>
    </w:lvl>
    <w:lvl w:ilvl="3">
      <w:start w:val="1"/>
      <w:numFmt w:val="decimal"/>
      <w:isLgl w:val="false"/>
      <w:suff w:val="tab"/>
      <w:lvlText w:val="（%4）"/>
      <w:lvlJc w:val="left"/>
      <w:pPr>
        <w:pStyle w:val="99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96"/>
        <w:ind w:left="2250" w:hanging="420"/>
        <w:tabs>
          <w:tab w:val="num" w:pos="2250" w:leader="none"/>
        </w:tabs>
      </w:pPr>
      <w:rPr>
        <w:rFonts w:hint="eastAsia"/>
        <w:b/>
        <w:lang w:val="en-US"/>
      </w:rPr>
    </w:lvl>
    <w:lvl w:ilvl="5">
      <w:start w:val="10"/>
      <w:numFmt w:val="japaneseCounting"/>
      <w:isLgl w:val="false"/>
      <w:suff w:val="tab"/>
      <w:lvlText w:val="（%6）"/>
      <w:lvlJc w:val="left"/>
      <w:pPr>
        <w:pStyle w:val="996"/>
        <w:ind w:left="2970" w:hanging="720"/>
      </w:pPr>
      <w:rPr>
        <w:rFonts w:cs="Times New Roman"/>
      </w:rPr>
    </w:lvl>
    <w:lvl w:ilvl="6">
      <w:start w:val="1"/>
      <w:numFmt w:val="decimal"/>
      <w:isLgl w:val="false"/>
      <w:suff w:val="tab"/>
      <w:lvlText w:val="（%7）"/>
      <w:lvlJc w:val="left"/>
      <w:pPr>
        <w:pStyle w:val="99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96"/>
        <w:ind w:left="3510" w:hanging="420"/>
        <w:tabs>
          <w:tab w:val="num" w:pos="3510" w:leader="none"/>
        </w:tabs>
      </w:pPr>
      <w:rPr>
        <w:rFonts w:cs="Times New Roman"/>
      </w:rPr>
    </w:lvl>
    <w:lvl w:ilvl="8">
      <w:start w:val="1"/>
      <w:numFmt w:val="lowerRoman"/>
      <w:isLgl w:val="false"/>
      <w:suff w:val="tab"/>
      <w:lvlText w:val="%9."/>
      <w:lvlJc w:val="right"/>
      <w:pPr>
        <w:pStyle w:val="996"/>
        <w:ind w:left="3930" w:hanging="420"/>
        <w:tabs>
          <w:tab w:val="num" w:pos="3930" w:leader="none"/>
        </w:tabs>
      </w:pPr>
      <w:rPr>
        <w:rFonts w:cs="Times New Roman"/>
      </w:rPr>
    </w:lvl>
  </w:abstractNum>
  <w:abstractNum w:abstractNumId="11">
    <w:multiLevelType w:val="hybridMultilevel"/>
    <w:lvl w:ilvl="0">
      <w:start w:val="1"/>
      <w:numFmt w:val="decimal"/>
      <w:pStyle w:val="1094"/>
      <w:isLgl w:val="false"/>
      <w:suff w:val="tab"/>
      <w:lvlText w:val="%1."/>
      <w:lvlJc w:val="left"/>
      <w:pPr>
        <w:pStyle w:val="996"/>
        <w:ind w:left="709" w:hanging="709"/>
        <w:tabs>
          <w:tab w:val="num" w:pos="709" w:leader="none"/>
        </w:tabs>
      </w:pPr>
      <w:rPr>
        <w:rFonts w:hint="eastAsia"/>
      </w:rPr>
    </w:lvl>
    <w:lvl w:ilvl="1">
      <w:start w:val="1"/>
      <w:numFmt w:val="decimal"/>
      <w:isLgl w:val="false"/>
      <w:suff w:val="tab"/>
      <w:lvlText w:val="%1.%2"/>
      <w:lvlJc w:val="left"/>
      <w:pPr>
        <w:pStyle w:val="996"/>
        <w:ind w:left="709" w:hanging="709"/>
        <w:tabs>
          <w:tab w:val="num" w:pos="709" w:leader="none"/>
        </w:tabs>
      </w:pPr>
      <w:rPr>
        <w:rFonts w:hint="eastAsia"/>
      </w:rPr>
    </w:lvl>
    <w:lvl w:ilvl="2">
      <w:start w:val="1"/>
      <w:numFmt w:val="decimal"/>
      <w:isLgl w:val="false"/>
      <w:suff w:val="tab"/>
      <w:lvlText w:val="%1.%2.%3."/>
      <w:lvlJc w:val="left"/>
      <w:pPr>
        <w:pStyle w:val="996"/>
        <w:ind w:left="425" w:hanging="425"/>
        <w:tabs>
          <w:tab w:val="num" w:pos="425" w:leader="none"/>
        </w:tabs>
      </w:pPr>
      <w:rPr>
        <w:rFonts w:hint="eastAsia"/>
      </w:rPr>
    </w:lvl>
    <w:lvl w:ilvl="3">
      <w:start w:val="1"/>
      <w:numFmt w:val="decimal"/>
      <w:isLgl w:val="false"/>
      <w:suff w:val="tab"/>
      <w:lvlText w:val="%1.%2.%3.%4."/>
      <w:lvlJc w:val="left"/>
      <w:pPr>
        <w:pStyle w:val="996"/>
        <w:ind w:left="851" w:hanging="851"/>
        <w:tabs>
          <w:tab w:val="num" w:pos="851" w:leader="none"/>
        </w:tabs>
      </w:pPr>
      <w:rPr>
        <w:rFonts w:hint="eastAsia"/>
      </w:rPr>
    </w:lvl>
    <w:lvl w:ilvl="4">
      <w:start w:val="1"/>
      <w:numFmt w:val="decimal"/>
      <w:isLgl w:val="false"/>
      <w:suff w:val="tab"/>
      <w:lvlText w:val="%1.%2.%3.%4.%5."/>
      <w:lvlJc w:val="left"/>
      <w:pPr>
        <w:pStyle w:val="996"/>
        <w:ind w:left="992" w:hanging="992"/>
        <w:tabs>
          <w:tab w:val="num" w:pos="992" w:leader="none"/>
        </w:tabs>
      </w:pPr>
      <w:rPr>
        <w:rFonts w:hint="eastAsia"/>
      </w:rPr>
    </w:lvl>
    <w:lvl w:ilvl="5">
      <w:start w:val="1"/>
      <w:numFmt w:val="decimal"/>
      <w:isLgl w:val="false"/>
      <w:suff w:val="tab"/>
      <w:lvlText w:val="%1.%2.%3.%4.%5.%6."/>
      <w:lvlJc w:val="left"/>
      <w:pPr>
        <w:pStyle w:val="996"/>
        <w:ind w:left="1134" w:hanging="1134"/>
        <w:tabs>
          <w:tab w:val="num" w:pos="1134" w:leader="none"/>
        </w:tabs>
      </w:pPr>
      <w:rPr>
        <w:rFonts w:hint="eastAsia"/>
      </w:rPr>
    </w:lvl>
    <w:lvl w:ilvl="6">
      <w:start w:val="1"/>
      <w:numFmt w:val="decimal"/>
      <w:isLgl w:val="false"/>
      <w:suff w:val="tab"/>
      <w:lvlText w:val="%1.%2.%3.%4.%5.%6.%7."/>
      <w:lvlJc w:val="left"/>
      <w:pPr>
        <w:pStyle w:val="996"/>
        <w:ind w:left="1276" w:hanging="1276"/>
        <w:tabs>
          <w:tab w:val="num" w:pos="1276" w:leader="none"/>
        </w:tabs>
      </w:pPr>
      <w:rPr>
        <w:rFonts w:hint="eastAsia"/>
      </w:rPr>
    </w:lvl>
    <w:lvl w:ilvl="7">
      <w:start w:val="1"/>
      <w:numFmt w:val="decimal"/>
      <w:isLgl w:val="false"/>
      <w:suff w:val="tab"/>
      <w:lvlText w:val="%1.%2.%3.%4.%5.%6.%7.%8."/>
      <w:lvlJc w:val="left"/>
      <w:pPr>
        <w:pStyle w:val="996"/>
        <w:ind w:left="1418" w:hanging="1418"/>
        <w:tabs>
          <w:tab w:val="num" w:pos="1418" w:leader="none"/>
        </w:tabs>
      </w:pPr>
      <w:rPr>
        <w:rFonts w:hint="eastAsia"/>
      </w:rPr>
    </w:lvl>
    <w:lvl w:ilvl="8">
      <w:start w:val="1"/>
      <w:numFmt w:val="decimal"/>
      <w:isLgl w:val="false"/>
      <w:suff w:val="tab"/>
      <w:lvlText w:val="%1.%2.%3.%4.%5.%6.%7.%8.%9."/>
      <w:lvlJc w:val="left"/>
      <w:pPr>
        <w:pStyle w:val="996"/>
        <w:ind w:left="1559" w:hanging="1559"/>
        <w:tabs>
          <w:tab w:val="num" w:pos="1559" w:leader="none"/>
        </w:tabs>
      </w:pPr>
      <w:rPr>
        <w:rFonts w:hint="eastAsia"/>
      </w:rPr>
    </w:lvl>
  </w:abstractNum>
  <w:abstractNum w:abstractNumId="12">
    <w:multiLevelType w:val="hybridMultilevel"/>
    <w:lvl w:ilvl="0">
      <w:start w:val="1"/>
      <w:numFmt w:val="decimal"/>
      <w:isLgl w:val="false"/>
      <w:suff w:val="nothing"/>
      <w:lvlText w:val="%1、"/>
      <w:lvlJc w:val="left"/>
      <w:pPr>
        <w:pStyle w:val="996"/>
      </w:pPr>
    </w:lvl>
    <w:lvl w:ilvl="1">
      <w:start w:val="1"/>
      <w:numFmt w:val="bullet"/>
      <w:isLgl w:val="false"/>
      <w:suff w:val="tab"/>
      <w:lvlText w:val="o"/>
      <w:lvlJc w:val="left"/>
      <w:pPr>
        <w:pStyle w:val="996"/>
        <w:ind w:left="1440" w:hanging="360"/>
      </w:pPr>
      <w:rPr>
        <w:rFonts w:ascii="Courier New" w:hAnsi="Courier New" w:eastAsia="Courier New" w:cs="Courier New"/>
      </w:rPr>
    </w:lvl>
    <w:lvl w:ilvl="2">
      <w:start w:val="1"/>
      <w:numFmt w:val="bullet"/>
      <w:isLgl w:val="false"/>
      <w:suff w:val="tab"/>
      <w:lvlText w:val="§"/>
      <w:lvlJc w:val="left"/>
      <w:pPr>
        <w:pStyle w:val="996"/>
        <w:ind w:left="2160" w:hanging="360"/>
      </w:pPr>
      <w:rPr>
        <w:rFonts w:ascii="Wingdings" w:hAnsi="Wingdings" w:eastAsia="Wingdings" w:cs="Wingdings"/>
      </w:rPr>
    </w:lvl>
    <w:lvl w:ilvl="3">
      <w:start w:val="1"/>
      <w:numFmt w:val="bullet"/>
      <w:isLgl w:val="false"/>
      <w:suff w:val="tab"/>
      <w:lvlText w:val="·"/>
      <w:lvlJc w:val="left"/>
      <w:pPr>
        <w:pStyle w:val="996"/>
        <w:ind w:left="2880" w:hanging="360"/>
      </w:pPr>
      <w:rPr>
        <w:rFonts w:ascii="Symbol" w:hAnsi="Symbol" w:eastAsia="Symbol" w:cs="Symbol"/>
      </w:rPr>
    </w:lvl>
    <w:lvl w:ilvl="4">
      <w:start w:val="1"/>
      <w:numFmt w:val="bullet"/>
      <w:isLgl w:val="false"/>
      <w:suff w:val="tab"/>
      <w:lvlText w:val="o"/>
      <w:lvlJc w:val="left"/>
      <w:pPr>
        <w:pStyle w:val="996"/>
        <w:ind w:left="3600" w:hanging="360"/>
      </w:pPr>
      <w:rPr>
        <w:rFonts w:ascii="Courier New" w:hAnsi="Courier New" w:eastAsia="Courier New" w:cs="Courier New"/>
      </w:rPr>
    </w:lvl>
    <w:lvl w:ilvl="5">
      <w:start w:val="1"/>
      <w:numFmt w:val="bullet"/>
      <w:isLgl w:val="false"/>
      <w:suff w:val="tab"/>
      <w:lvlText w:val="§"/>
      <w:lvlJc w:val="left"/>
      <w:pPr>
        <w:pStyle w:val="996"/>
        <w:ind w:left="4320" w:hanging="360"/>
      </w:pPr>
      <w:rPr>
        <w:rFonts w:ascii="Wingdings" w:hAnsi="Wingdings" w:eastAsia="Wingdings" w:cs="Wingdings"/>
      </w:rPr>
    </w:lvl>
    <w:lvl w:ilvl="6">
      <w:start w:val="1"/>
      <w:numFmt w:val="bullet"/>
      <w:isLgl w:val="false"/>
      <w:suff w:val="tab"/>
      <w:lvlText w:val="·"/>
      <w:lvlJc w:val="left"/>
      <w:pPr>
        <w:pStyle w:val="996"/>
        <w:ind w:left="5040" w:hanging="360"/>
      </w:pPr>
      <w:rPr>
        <w:rFonts w:ascii="Symbol" w:hAnsi="Symbol" w:eastAsia="Symbol" w:cs="Symbol"/>
      </w:rPr>
    </w:lvl>
    <w:lvl w:ilvl="7">
      <w:start w:val="1"/>
      <w:numFmt w:val="bullet"/>
      <w:isLgl w:val="false"/>
      <w:suff w:val="tab"/>
      <w:lvlText w:val="o"/>
      <w:lvlJc w:val="left"/>
      <w:pPr>
        <w:pStyle w:val="996"/>
        <w:ind w:left="5760" w:hanging="360"/>
      </w:pPr>
      <w:rPr>
        <w:rFonts w:ascii="Courier New" w:hAnsi="Courier New" w:eastAsia="Courier New" w:cs="Courier New"/>
      </w:rPr>
    </w:lvl>
    <w:lvl w:ilvl="8">
      <w:start w:val="1"/>
      <w:numFmt w:val="bullet"/>
      <w:isLgl w:val="false"/>
      <w:suff w:val="tab"/>
      <w:lvlText w:val="§"/>
      <w:lvlJc w:val="left"/>
      <w:pPr>
        <w:pStyle w:val="996"/>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1）"/>
      <w:lvlJc w:val="left"/>
      <w:pPr>
        <w:pStyle w:val="996"/>
        <w:ind w:left="1080" w:hanging="1080"/>
        <w:tabs>
          <w:tab w:val="num" w:pos="1080" w:leader="none"/>
        </w:tabs>
      </w:pPr>
      <w:rPr>
        <w:rFonts w:hint="eastAsia" w:cs="Times New Roman"/>
      </w:rPr>
    </w:lvl>
    <w:lvl w:ilvl="1">
      <w:start w:val="1"/>
      <w:numFmt w:val="decimal"/>
      <w:isLgl w:val="false"/>
      <w:suff w:val="tab"/>
      <w:lvlText w:val="%2."/>
      <w:lvlJc w:val="left"/>
      <w:pPr>
        <w:pStyle w:val="996"/>
        <w:ind w:left="780" w:hanging="360"/>
        <w:tabs>
          <w:tab w:val="num" w:pos="780" w:leader="none"/>
        </w:tabs>
      </w:pPr>
      <w:rPr>
        <w:rFonts w:cs="Times New Roman"/>
        <w:color w:val="000000"/>
      </w:rPr>
    </w:lvl>
    <w:lvl w:ilvl="2">
      <w:start w:val="1"/>
      <w:numFmt w:val="lowerRoman"/>
      <w:isLgl w:val="false"/>
      <w:suff w:val="tab"/>
      <w:lvlText w:val="%3."/>
      <w:lvlJc w:val="right"/>
      <w:pPr>
        <w:pStyle w:val="996"/>
        <w:ind w:left="1260" w:hanging="420"/>
        <w:tabs>
          <w:tab w:val="num" w:pos="1260" w:leader="none"/>
        </w:tabs>
      </w:pPr>
      <w:rPr>
        <w:rFonts w:cs="Times New Roman"/>
      </w:rPr>
    </w:lvl>
    <w:lvl w:ilvl="3">
      <w:start w:val="1"/>
      <w:numFmt w:val="decimal"/>
      <w:isLgl w:val="false"/>
      <w:suff w:val="tab"/>
      <w:lvlText w:val="%4."/>
      <w:lvlJc w:val="left"/>
      <w:pPr>
        <w:pStyle w:val="996"/>
        <w:ind w:left="1680" w:hanging="420"/>
        <w:tabs>
          <w:tab w:val="num" w:pos="1680" w:leader="none"/>
        </w:tabs>
      </w:pPr>
      <w:rPr>
        <w:rFonts w:cs="Times New Roman"/>
      </w:rPr>
    </w:lvl>
    <w:lvl w:ilvl="4">
      <w:start w:val="1"/>
      <w:numFmt w:val="lowerLetter"/>
      <w:isLgl w:val="false"/>
      <w:suff w:val="tab"/>
      <w:lvlText w:val="%5)"/>
      <w:lvlJc w:val="left"/>
      <w:pPr>
        <w:pStyle w:val="996"/>
        <w:ind w:left="2100" w:hanging="420"/>
        <w:tabs>
          <w:tab w:val="num" w:pos="2100" w:leader="none"/>
        </w:tabs>
      </w:pPr>
      <w:rPr>
        <w:rFonts w:cs="Times New Roman"/>
      </w:rPr>
    </w:lvl>
    <w:lvl w:ilvl="5">
      <w:start w:val="1"/>
      <w:numFmt w:val="lowerRoman"/>
      <w:isLgl w:val="false"/>
      <w:suff w:val="tab"/>
      <w:lvlText w:val="%6."/>
      <w:lvlJc w:val="right"/>
      <w:pPr>
        <w:pStyle w:val="996"/>
        <w:ind w:left="2520" w:hanging="420"/>
        <w:tabs>
          <w:tab w:val="num" w:pos="2520" w:leader="none"/>
        </w:tabs>
      </w:pPr>
      <w:rPr>
        <w:rFonts w:cs="Times New Roman"/>
      </w:rPr>
    </w:lvl>
    <w:lvl w:ilvl="6">
      <w:start w:val="1"/>
      <w:numFmt w:val="decimal"/>
      <w:isLgl w:val="false"/>
      <w:suff w:val="tab"/>
      <w:lvlText w:val="%7."/>
      <w:lvlJc w:val="left"/>
      <w:pPr>
        <w:pStyle w:val="996"/>
        <w:ind w:left="2940" w:hanging="420"/>
        <w:tabs>
          <w:tab w:val="num" w:pos="2940" w:leader="none"/>
        </w:tabs>
      </w:pPr>
      <w:rPr>
        <w:rFonts w:cs="Times New Roman"/>
      </w:rPr>
    </w:lvl>
    <w:lvl w:ilvl="7">
      <w:start w:val="1"/>
      <w:numFmt w:val="lowerLetter"/>
      <w:isLgl w:val="false"/>
      <w:suff w:val="tab"/>
      <w:lvlText w:val="%8)"/>
      <w:lvlJc w:val="left"/>
      <w:pPr>
        <w:pStyle w:val="996"/>
        <w:ind w:left="3360" w:hanging="420"/>
        <w:tabs>
          <w:tab w:val="num" w:pos="3360" w:leader="none"/>
        </w:tabs>
      </w:pPr>
      <w:rPr>
        <w:rFonts w:cs="Times New Roman"/>
      </w:rPr>
    </w:lvl>
    <w:lvl w:ilvl="8">
      <w:start w:val="1"/>
      <w:numFmt w:val="lowerRoman"/>
      <w:isLgl w:val="false"/>
      <w:suff w:val="tab"/>
      <w:lvlText w:val="%9."/>
      <w:lvlJc w:val="right"/>
      <w:pPr>
        <w:pStyle w:val="996"/>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996"/>
        <w:ind w:left="0" w:firstLine="0"/>
      </w:pPr>
      <w:rPr>
        <w:rFonts w:hint="eastAsia"/>
      </w:rPr>
    </w:lvl>
    <w:lvl w:ilvl="1">
      <w:start w:val="1"/>
      <w:numFmt w:val="decimal"/>
      <w:isLgl w:val="false"/>
      <w:suff w:val="nothing"/>
      <w:lvlText w:val="%2、"/>
      <w:lvlJc w:val="left"/>
      <w:pPr>
        <w:pStyle w:val="996"/>
        <w:ind w:left="0" w:firstLine="0"/>
      </w:pPr>
      <w:rPr>
        <w:rFonts w:hint="eastAsia"/>
      </w:rPr>
    </w:lvl>
    <w:lvl w:ilvl="2">
      <w:start w:val="1"/>
      <w:numFmt w:val="decimal"/>
      <w:isLgl w:val="false"/>
      <w:suff w:val="nothing"/>
      <w:lvlText w:val="%2.%3 "/>
      <w:lvlJc w:val="left"/>
      <w:pPr>
        <w:pStyle w:val="996"/>
        <w:ind w:left="0" w:firstLine="0"/>
      </w:pPr>
      <w:rPr>
        <w:rFonts w:hint="eastAsia"/>
      </w:rPr>
    </w:lvl>
    <w:lvl w:ilvl="3">
      <w:start w:val="1"/>
      <w:numFmt w:val="decimal"/>
      <w:isLgl w:val="false"/>
      <w:suff w:val="nothing"/>
      <w:lvlText w:val="%2.%3.%4 "/>
      <w:lvlJc w:val="left"/>
      <w:pPr>
        <w:pStyle w:val="996"/>
        <w:ind w:left="0" w:firstLine="0"/>
      </w:pPr>
      <w:rPr>
        <w:rFonts w:hint="eastAsia"/>
      </w:rPr>
    </w:lvl>
    <w:lvl w:ilvl="4">
      <w:start w:val="1"/>
      <w:numFmt w:val="decimal"/>
      <w:isLgl w:val="false"/>
      <w:suff w:val="nothing"/>
      <w:lvlText w:val="%2.%3.%4.%5 "/>
      <w:lvlJc w:val="left"/>
      <w:pPr>
        <w:pStyle w:val="996"/>
        <w:ind w:left="0" w:firstLine="0"/>
      </w:pPr>
      <w:rPr>
        <w:rFonts w:hint="eastAsia"/>
      </w:rPr>
    </w:lvl>
    <w:lvl w:ilvl="5">
      <w:start w:val="1"/>
      <w:numFmt w:val="decimal"/>
      <w:pStyle w:val="1002"/>
      <w:isLgl w:val="false"/>
      <w:suff w:val="nothing"/>
      <w:lvlText w:val=""/>
      <w:lvlJc w:val="left"/>
      <w:pPr>
        <w:pStyle w:val="996"/>
        <w:ind w:left="0" w:firstLine="0"/>
      </w:pPr>
      <w:rPr>
        <w:rFonts w:hint="eastAsia"/>
      </w:rPr>
    </w:lvl>
    <w:lvl w:ilvl="6">
      <w:start w:val="1"/>
      <w:numFmt w:val="decimal"/>
      <w:pStyle w:val="1003"/>
      <w:isLgl w:val="false"/>
      <w:suff w:val="nothing"/>
      <w:lvlText w:val=""/>
      <w:lvlJc w:val="left"/>
      <w:pPr>
        <w:pStyle w:val="996"/>
        <w:ind w:left="0" w:firstLine="0"/>
      </w:pPr>
      <w:rPr>
        <w:rFonts w:hint="eastAsia"/>
      </w:rPr>
    </w:lvl>
    <w:lvl w:ilvl="7">
      <w:start w:val="1"/>
      <w:numFmt w:val="decimal"/>
      <w:pStyle w:val="1004"/>
      <w:isLgl w:val="false"/>
      <w:suff w:val="nothing"/>
      <w:lvlText w:val=""/>
      <w:lvlJc w:val="left"/>
      <w:pPr>
        <w:pStyle w:val="996"/>
        <w:ind w:left="0" w:firstLine="0"/>
      </w:pPr>
      <w:rPr>
        <w:rFonts w:hint="eastAsia"/>
      </w:rPr>
    </w:lvl>
    <w:lvl w:ilvl="8">
      <w:start w:val="1"/>
      <w:numFmt w:val="decimal"/>
      <w:pStyle w:val="1005"/>
      <w:isLgl w:val="false"/>
      <w:suff w:val="nothing"/>
      <w:lvlText w:val=""/>
      <w:lvlJc w:val="left"/>
      <w:pPr>
        <w:pStyle w:val="996"/>
        <w:ind w:left="0" w:firstLine="0"/>
      </w:pPr>
      <w:rPr>
        <w:rFonts w:hint="eastAsia"/>
      </w:rPr>
    </w:lvl>
  </w:abstractNum>
  <w:abstractNum w:abstractNumId="15">
    <w:multiLevelType w:val="hybridMultilevel"/>
    <w:lvl w:ilvl="0">
      <w:start w:val="1"/>
      <w:numFmt w:val="decimal"/>
      <w:isLgl w:val="false"/>
      <w:suff w:val="tab"/>
      <w:lvlText w:val="%1."/>
      <w:lvlJc w:val="left"/>
      <w:pPr>
        <w:pStyle w:val="996"/>
        <w:ind w:left="510" w:hanging="360"/>
        <w:tabs>
          <w:tab w:val="num" w:pos="510" w:leader="none"/>
        </w:tabs>
      </w:pPr>
      <w:rPr>
        <w:rFonts w:hint="eastAsia" w:cs="Times New Roman"/>
      </w:rPr>
    </w:lvl>
    <w:lvl w:ilvl="1">
      <w:start w:val="1"/>
      <w:numFmt w:val="decimal"/>
      <w:isLgl w:val="false"/>
      <w:suff w:val="tab"/>
      <w:lvlText w:val="%2．"/>
      <w:lvlJc w:val="left"/>
      <w:pPr>
        <w:pStyle w:val="996"/>
        <w:ind w:left="1290" w:hanging="720"/>
        <w:tabs>
          <w:tab w:val="num" w:pos="1290" w:leader="none"/>
        </w:tabs>
      </w:pPr>
      <w:rPr>
        <w:rFonts w:hint="eastAsia" w:cs="Times New Roman"/>
      </w:rPr>
    </w:lvl>
    <w:lvl w:ilvl="2">
      <w:start w:val="3"/>
      <w:numFmt w:val="decimal"/>
      <w:isLgl w:val="false"/>
      <w:suff w:val="tab"/>
      <w:lvlText w:val="（%3）"/>
      <w:lvlJc w:val="left"/>
      <w:pPr>
        <w:pStyle w:val="996"/>
        <w:ind w:left="1140" w:hanging="720"/>
        <w:tabs>
          <w:tab w:val="num" w:pos="1140" w:leader="none"/>
        </w:tabs>
      </w:pPr>
      <w:rPr>
        <w:rFonts w:hint="eastAsia" w:cs="Times New Roman"/>
      </w:rPr>
    </w:lvl>
    <w:lvl w:ilvl="3">
      <w:start w:val="1"/>
      <w:numFmt w:val="decimal"/>
      <w:isLgl w:val="false"/>
      <w:suff w:val="tab"/>
      <w:lvlText w:val="（%4）"/>
      <w:lvlJc w:val="left"/>
      <w:pPr>
        <w:pStyle w:val="996"/>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96"/>
        <w:ind w:left="2250" w:hanging="420"/>
        <w:tabs>
          <w:tab w:val="num" w:pos="2250" w:leader="none"/>
        </w:tabs>
      </w:pPr>
      <w:rPr>
        <w:rFonts w:hint="eastAsia"/>
        <w:b/>
        <w:lang w:val="en-US"/>
      </w:rPr>
    </w:lvl>
    <w:lvl w:ilvl="5">
      <w:start w:val="10"/>
      <w:numFmt w:val="japaneseCounting"/>
      <w:isLgl w:val="false"/>
      <w:suff w:val="tab"/>
      <w:lvlText w:val="（%6）"/>
      <w:lvlJc w:val="left"/>
      <w:pPr>
        <w:pStyle w:val="996"/>
        <w:ind w:left="2970" w:hanging="720"/>
      </w:pPr>
      <w:rPr>
        <w:rFonts w:cs="Times New Roman"/>
      </w:rPr>
    </w:lvl>
    <w:lvl w:ilvl="6">
      <w:start w:val="1"/>
      <w:numFmt w:val="decimal"/>
      <w:isLgl w:val="false"/>
      <w:suff w:val="tab"/>
      <w:lvlText w:val="（%7）"/>
      <w:lvlJc w:val="left"/>
      <w:pPr>
        <w:pStyle w:val="996"/>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96"/>
        <w:ind w:left="3510" w:hanging="420"/>
        <w:tabs>
          <w:tab w:val="num" w:pos="3510" w:leader="none"/>
        </w:tabs>
      </w:pPr>
      <w:rPr>
        <w:rFonts w:cs="Times New Roman"/>
      </w:rPr>
    </w:lvl>
    <w:lvl w:ilvl="8">
      <w:start w:val="1"/>
      <w:numFmt w:val="lowerRoman"/>
      <w:isLgl w:val="false"/>
      <w:suff w:val="tab"/>
      <w:lvlText w:val="%9."/>
      <w:lvlJc w:val="right"/>
      <w:pPr>
        <w:pStyle w:val="996"/>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99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96"/>
        <w:ind w:left="840" w:hanging="420"/>
        <w:tabs>
          <w:tab w:val="num" w:pos="840" w:leader="none"/>
        </w:tabs>
      </w:pPr>
      <w:rPr>
        <w:rFonts w:cs="Times New Roman"/>
      </w:rPr>
    </w:lvl>
    <w:lvl w:ilvl="2">
      <w:start w:val="10"/>
      <w:numFmt w:val="decimal"/>
      <w:isLgl w:val="false"/>
      <w:suff w:val="tab"/>
      <w:lvlText w:val="%3."/>
      <w:lvlJc w:val="left"/>
      <w:pPr>
        <w:pStyle w:val="996"/>
        <w:ind w:left="1200" w:hanging="360"/>
        <w:tabs>
          <w:tab w:val="num" w:pos="1200" w:leader="none"/>
        </w:tabs>
      </w:pPr>
      <w:rPr>
        <w:rFonts w:cs="Times New Roman"/>
      </w:rPr>
    </w:lvl>
    <w:lvl w:ilvl="3">
      <w:start w:val="1"/>
      <w:numFmt w:val="decimal"/>
      <w:isLgl w:val="false"/>
      <w:suff w:val="tab"/>
      <w:lvlText w:val="%4."/>
      <w:lvlJc w:val="left"/>
      <w:pPr>
        <w:pStyle w:val="996"/>
        <w:ind w:left="1680" w:hanging="420"/>
        <w:tabs>
          <w:tab w:val="num" w:pos="1680" w:leader="none"/>
        </w:tabs>
      </w:pPr>
      <w:rPr>
        <w:rFonts w:cs="Times New Roman"/>
      </w:rPr>
    </w:lvl>
    <w:lvl w:ilvl="4">
      <w:start w:val="1"/>
      <w:numFmt w:val="lowerLetter"/>
      <w:isLgl w:val="false"/>
      <w:suff w:val="tab"/>
      <w:lvlText w:val="%5)"/>
      <w:lvlJc w:val="left"/>
      <w:pPr>
        <w:pStyle w:val="996"/>
        <w:ind w:left="2100" w:hanging="420"/>
        <w:tabs>
          <w:tab w:val="num" w:pos="2100" w:leader="none"/>
        </w:tabs>
      </w:pPr>
      <w:rPr>
        <w:rFonts w:cs="Times New Roman"/>
      </w:rPr>
    </w:lvl>
    <w:lvl w:ilvl="5">
      <w:start w:val="1"/>
      <w:numFmt w:val="lowerRoman"/>
      <w:isLgl w:val="false"/>
      <w:suff w:val="tab"/>
      <w:lvlText w:val="%6."/>
      <w:lvlJc w:val="right"/>
      <w:pPr>
        <w:pStyle w:val="996"/>
        <w:ind w:left="2520" w:hanging="420"/>
        <w:tabs>
          <w:tab w:val="num" w:pos="2520" w:leader="none"/>
        </w:tabs>
      </w:pPr>
      <w:rPr>
        <w:rFonts w:cs="Times New Roman"/>
      </w:rPr>
    </w:lvl>
    <w:lvl w:ilvl="6">
      <w:start w:val="1"/>
      <w:numFmt w:val="decimal"/>
      <w:isLgl w:val="false"/>
      <w:suff w:val="tab"/>
      <w:lvlText w:val="%7."/>
      <w:lvlJc w:val="left"/>
      <w:pPr>
        <w:pStyle w:val="996"/>
        <w:ind w:left="2940" w:hanging="420"/>
        <w:tabs>
          <w:tab w:val="num" w:pos="2940" w:leader="none"/>
        </w:tabs>
      </w:pPr>
      <w:rPr>
        <w:rFonts w:cs="Times New Roman"/>
      </w:rPr>
    </w:lvl>
    <w:lvl w:ilvl="7">
      <w:start w:val="1"/>
      <w:numFmt w:val="lowerLetter"/>
      <w:isLgl w:val="false"/>
      <w:suff w:val="tab"/>
      <w:lvlText w:val="%8)"/>
      <w:lvlJc w:val="left"/>
      <w:pPr>
        <w:pStyle w:val="996"/>
        <w:ind w:left="3360" w:hanging="420"/>
        <w:tabs>
          <w:tab w:val="num" w:pos="3360" w:leader="none"/>
        </w:tabs>
      </w:pPr>
      <w:rPr>
        <w:rFonts w:cs="Times New Roman"/>
      </w:rPr>
    </w:lvl>
    <w:lvl w:ilvl="8">
      <w:start w:val="1"/>
      <w:numFmt w:val="lowerRoman"/>
      <w:isLgl w:val="false"/>
      <w:suff w:val="tab"/>
      <w:lvlText w:val="%9."/>
      <w:lvlJc w:val="right"/>
      <w:pPr>
        <w:pStyle w:val="996"/>
        <w:ind w:left="3780" w:hanging="420"/>
        <w:tabs>
          <w:tab w:val="num" w:pos="3780" w:leader="none"/>
        </w:tabs>
      </w:pPr>
      <w:rPr>
        <w:rFonts w:cs="Times New Roman"/>
      </w:rPr>
    </w:lvl>
  </w:abstractNum>
  <w:abstractNum w:abstractNumId="17">
    <w:multiLevelType w:val="hybridMultilevel"/>
    <w:lvl w:ilvl="0">
      <w:start w:val="1"/>
      <w:numFmt w:val="decimal"/>
      <w:isLgl w:val="false"/>
      <w:suff w:val="nothing"/>
      <w:lvlText w:val="（%1）"/>
      <w:lvlJc w:val="left"/>
      <w:pPr>
        <w:pStyle w:val="99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tab"/>
      <w:lvlText w:val="第%1章"/>
      <w:lvlJc w:val="left"/>
      <w:pPr>
        <w:pStyle w:val="99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1"/>
  </w:num>
  <w:num w:numId="4">
    <w:abstractNumId w:val="18"/>
  </w:num>
  <w:num w:numId="5">
    <w:abstractNumId w:val="9"/>
  </w:num>
  <w:num w:numId="6">
    <w:abstractNumId w:val="6"/>
  </w:num>
  <w:num w:numId="7">
    <w:abstractNumId w:val="4"/>
  </w:num>
  <w:num w:numId="8">
    <w:abstractNumId w:val="12"/>
  </w:num>
  <w:num w:numId="9">
    <w:abstractNumId w:val="3"/>
  </w:num>
  <w:num w:numId="10">
    <w:abstractNumId w:val="1"/>
  </w:num>
  <w:num w:numId="11">
    <w:abstractNumId w:val="7"/>
  </w:num>
  <w:num w:numId="12">
    <w:abstractNumId w:val="13"/>
  </w:num>
  <w:num w:numId="13">
    <w:abstractNumId w:val="2"/>
  </w:num>
  <w:num w:numId="14">
    <w:abstractNumId w:val="10"/>
  </w:num>
  <w:num w:numId="15">
    <w:abstractNumId w:val="15"/>
  </w:num>
  <w:num w:numId="16">
    <w:abstractNumId w:val="5"/>
  </w:num>
  <w:num w:numId="17">
    <w:abstractNumId w:val="17"/>
  </w:num>
  <w:num w:numId="18">
    <w:abstractNumId w:val="0"/>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name w:val="Heading 1"/>
    <w:basedOn w:val="996"/>
    <w:next w:val="996"/>
    <w:link w:val="819"/>
    <w:uiPriority w:val="9"/>
    <w:qFormat/>
    <w:pPr>
      <w:keepLines/>
      <w:keepNext/>
      <w:spacing w:before="480" w:after="200"/>
      <w:outlineLvl w:val="0"/>
    </w:pPr>
    <w:rPr>
      <w:rFonts w:ascii="Arial" w:hAnsi="Arial" w:eastAsia="Arial" w:cs="Arial"/>
      <w:sz w:val="40"/>
      <w:szCs w:val="40"/>
    </w:rPr>
  </w:style>
  <w:style w:type="character" w:styleId="819">
    <w:name w:val="Heading 1 Char"/>
    <w:link w:val="818"/>
    <w:uiPriority w:val="9"/>
    <w:rPr>
      <w:rFonts w:ascii="Arial" w:hAnsi="Arial" w:eastAsia="Arial" w:cs="Arial"/>
      <w:sz w:val="40"/>
      <w:szCs w:val="40"/>
    </w:rPr>
  </w:style>
  <w:style w:type="paragraph" w:styleId="820">
    <w:name w:val="Heading 2"/>
    <w:basedOn w:val="996"/>
    <w:next w:val="996"/>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link w:val="820"/>
    <w:uiPriority w:val="9"/>
    <w:rPr>
      <w:rFonts w:ascii="Arial" w:hAnsi="Arial" w:eastAsia="Arial" w:cs="Arial"/>
      <w:sz w:val="34"/>
    </w:rPr>
  </w:style>
  <w:style w:type="paragraph" w:styleId="822">
    <w:name w:val="Heading 3"/>
    <w:basedOn w:val="996"/>
    <w:next w:val="996"/>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link w:val="822"/>
    <w:uiPriority w:val="9"/>
    <w:rPr>
      <w:rFonts w:ascii="Arial" w:hAnsi="Arial" w:eastAsia="Arial" w:cs="Arial"/>
      <w:sz w:val="30"/>
      <w:szCs w:val="30"/>
    </w:rPr>
  </w:style>
  <w:style w:type="paragraph" w:styleId="824">
    <w:name w:val="Heading 4"/>
    <w:basedOn w:val="996"/>
    <w:next w:val="996"/>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link w:val="824"/>
    <w:uiPriority w:val="9"/>
    <w:rPr>
      <w:rFonts w:ascii="Arial" w:hAnsi="Arial" w:eastAsia="Arial" w:cs="Arial"/>
      <w:b/>
      <w:bCs/>
      <w:sz w:val="26"/>
      <w:szCs w:val="26"/>
    </w:rPr>
  </w:style>
  <w:style w:type="paragraph" w:styleId="826">
    <w:name w:val="Heading 5"/>
    <w:basedOn w:val="996"/>
    <w:next w:val="996"/>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link w:val="826"/>
    <w:uiPriority w:val="9"/>
    <w:rPr>
      <w:rFonts w:ascii="Arial" w:hAnsi="Arial" w:eastAsia="Arial" w:cs="Arial"/>
      <w:b/>
      <w:bCs/>
      <w:sz w:val="24"/>
      <w:szCs w:val="24"/>
    </w:rPr>
  </w:style>
  <w:style w:type="paragraph" w:styleId="828">
    <w:name w:val="Heading 6"/>
    <w:basedOn w:val="996"/>
    <w:next w:val="996"/>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link w:val="828"/>
    <w:uiPriority w:val="9"/>
    <w:rPr>
      <w:rFonts w:ascii="Arial" w:hAnsi="Arial" w:eastAsia="Arial" w:cs="Arial"/>
      <w:b/>
      <w:bCs/>
      <w:sz w:val="22"/>
      <w:szCs w:val="22"/>
    </w:rPr>
  </w:style>
  <w:style w:type="paragraph" w:styleId="830">
    <w:name w:val="Heading 7"/>
    <w:basedOn w:val="996"/>
    <w:next w:val="996"/>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link w:val="830"/>
    <w:uiPriority w:val="9"/>
    <w:rPr>
      <w:rFonts w:ascii="Arial" w:hAnsi="Arial" w:eastAsia="Arial" w:cs="Arial"/>
      <w:b/>
      <w:bCs/>
      <w:i/>
      <w:iCs/>
      <w:sz w:val="22"/>
      <w:szCs w:val="22"/>
    </w:rPr>
  </w:style>
  <w:style w:type="paragraph" w:styleId="832">
    <w:name w:val="Heading 8"/>
    <w:basedOn w:val="996"/>
    <w:next w:val="996"/>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link w:val="832"/>
    <w:uiPriority w:val="9"/>
    <w:rPr>
      <w:rFonts w:ascii="Arial" w:hAnsi="Arial" w:eastAsia="Arial" w:cs="Arial"/>
      <w:i/>
      <w:iCs/>
      <w:sz w:val="22"/>
      <w:szCs w:val="22"/>
    </w:rPr>
  </w:style>
  <w:style w:type="paragraph" w:styleId="834">
    <w:name w:val="Heading 9"/>
    <w:basedOn w:val="996"/>
    <w:next w:val="996"/>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link w:val="834"/>
    <w:uiPriority w:val="9"/>
    <w:rPr>
      <w:rFonts w:ascii="Arial" w:hAnsi="Arial" w:eastAsia="Arial" w:cs="Arial"/>
      <w:i/>
      <w:iCs/>
      <w:sz w:val="21"/>
      <w:szCs w:val="21"/>
    </w:rPr>
  </w:style>
  <w:style w:type="paragraph" w:styleId="836">
    <w:name w:val="List Paragraph"/>
    <w:basedOn w:val="996"/>
    <w:uiPriority w:val="34"/>
    <w:qFormat/>
    <w:pPr>
      <w:contextualSpacing/>
      <w:ind w:left="720"/>
    </w:pPr>
  </w:style>
  <w:style w:type="paragraph" w:styleId="837">
    <w:name w:val="No Spacing"/>
    <w:uiPriority w:val="1"/>
    <w:qFormat/>
    <w:pPr>
      <w:spacing w:before="0" w:after="0" w:line="240" w:lineRule="auto"/>
    </w:pPr>
  </w:style>
  <w:style w:type="paragraph" w:styleId="838">
    <w:name w:val="Title"/>
    <w:basedOn w:val="996"/>
    <w:next w:val="996"/>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6"/>
    <w:next w:val="996"/>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6"/>
    <w:next w:val="996"/>
    <w:link w:val="843"/>
    <w:uiPriority w:val="29"/>
    <w:qFormat/>
    <w:pPr>
      <w:ind w:left="720" w:right="720"/>
    </w:pPr>
    <w:rPr>
      <w:i/>
    </w:rPr>
  </w:style>
  <w:style w:type="character" w:styleId="843">
    <w:name w:val="Quote Char"/>
    <w:link w:val="842"/>
    <w:uiPriority w:val="29"/>
    <w:rPr>
      <w:i/>
    </w:rPr>
  </w:style>
  <w:style w:type="paragraph" w:styleId="844">
    <w:name w:val="Intense Quote"/>
    <w:basedOn w:val="996"/>
    <w:next w:val="996"/>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6"/>
    <w:link w:val="847"/>
    <w:uiPriority w:val="99"/>
    <w:unhideWhenUsed/>
    <w:pPr>
      <w:spacing w:after="0" w:line="240" w:lineRule="auto"/>
      <w:tabs>
        <w:tab w:val="center" w:pos="7143" w:leader="none"/>
        <w:tab w:val="right" w:pos="14287" w:leader="none"/>
      </w:tabs>
    </w:pPr>
  </w:style>
  <w:style w:type="character" w:styleId="847">
    <w:name w:val="Header Char"/>
    <w:link w:val="846"/>
    <w:uiPriority w:val="99"/>
  </w:style>
  <w:style w:type="paragraph" w:styleId="848">
    <w:name w:val="Footer"/>
    <w:basedOn w:val="996"/>
    <w:link w:val="851"/>
    <w:uiPriority w:val="99"/>
    <w:unhideWhenUsed/>
    <w:pPr>
      <w:spacing w:after="0" w:line="240" w:lineRule="auto"/>
      <w:tabs>
        <w:tab w:val="center" w:pos="7143" w:leader="none"/>
        <w:tab w:val="right" w:pos="14287" w:leader="none"/>
      </w:tabs>
    </w:pPr>
  </w:style>
  <w:style w:type="character" w:styleId="849">
    <w:name w:val="Footer Char"/>
    <w:link w:val="848"/>
    <w:uiPriority w:val="99"/>
  </w:style>
  <w:style w:type="paragraph" w:styleId="850">
    <w:name w:val="Caption"/>
    <w:basedOn w:val="996"/>
    <w:next w:val="996"/>
    <w:uiPriority w:val="35"/>
    <w:semiHidden/>
    <w:unhideWhenUsed/>
    <w:qFormat/>
    <w:pPr>
      <w:spacing w:line="276" w:lineRule="auto"/>
    </w:pPr>
    <w:rPr>
      <w:b/>
      <w:bCs/>
      <w:color w:val="4f81bd" w:themeColor="accent1"/>
      <w:sz w:val="18"/>
      <w:szCs w:val="18"/>
    </w:rPr>
  </w:style>
  <w:style w:type="character" w:styleId="851">
    <w:name w:val="Caption Char"/>
    <w:basedOn w:val="850"/>
    <w:link w:val="848"/>
    <w:uiPriority w:val="99"/>
  </w:style>
  <w:style w:type="table" w:styleId="85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8">
    <w:name w:val="Hyperlink"/>
    <w:uiPriority w:val="99"/>
    <w:unhideWhenUsed/>
    <w:rPr>
      <w:color w:val="0000ff" w:themeColor="hyperlink"/>
      <w:u w:val="single"/>
    </w:rPr>
  </w:style>
  <w:style w:type="paragraph" w:styleId="979">
    <w:name w:val="footnote text"/>
    <w:basedOn w:val="996"/>
    <w:link w:val="980"/>
    <w:uiPriority w:val="99"/>
    <w:semiHidden/>
    <w:unhideWhenUsed/>
    <w:pPr>
      <w:spacing w:after="40" w:line="240" w:lineRule="auto"/>
    </w:pPr>
    <w:rPr>
      <w:sz w:val="18"/>
    </w:rPr>
  </w:style>
  <w:style w:type="character" w:styleId="980">
    <w:name w:val="Footnote Text Char"/>
    <w:link w:val="979"/>
    <w:uiPriority w:val="99"/>
    <w:rPr>
      <w:sz w:val="18"/>
    </w:rPr>
  </w:style>
  <w:style w:type="character" w:styleId="981">
    <w:name w:val="footnote reference"/>
    <w:uiPriority w:val="99"/>
    <w:unhideWhenUsed/>
    <w:rPr>
      <w:vertAlign w:val="superscript"/>
    </w:rPr>
  </w:style>
  <w:style w:type="paragraph" w:styleId="982">
    <w:name w:val="endnote text"/>
    <w:basedOn w:val="996"/>
    <w:link w:val="983"/>
    <w:uiPriority w:val="99"/>
    <w:semiHidden/>
    <w:unhideWhenUsed/>
    <w:pPr>
      <w:spacing w:after="0" w:line="240" w:lineRule="auto"/>
    </w:pPr>
    <w:rPr>
      <w:sz w:val="20"/>
    </w:rPr>
  </w:style>
  <w:style w:type="character" w:styleId="983">
    <w:name w:val="Endnote Text Char"/>
    <w:link w:val="982"/>
    <w:uiPriority w:val="99"/>
    <w:rPr>
      <w:sz w:val="20"/>
    </w:rPr>
  </w:style>
  <w:style w:type="character" w:styleId="984">
    <w:name w:val="endnote reference"/>
    <w:uiPriority w:val="99"/>
    <w:semiHidden/>
    <w:unhideWhenUsed/>
    <w:rPr>
      <w:vertAlign w:val="superscript"/>
    </w:rPr>
  </w:style>
  <w:style w:type="paragraph" w:styleId="985">
    <w:name w:val="toc 1"/>
    <w:basedOn w:val="996"/>
    <w:next w:val="996"/>
    <w:uiPriority w:val="39"/>
    <w:unhideWhenUsed/>
    <w:pPr>
      <w:ind w:left="0" w:right="0" w:firstLine="0"/>
      <w:spacing w:after="57"/>
    </w:pPr>
  </w:style>
  <w:style w:type="paragraph" w:styleId="986">
    <w:name w:val="toc 2"/>
    <w:basedOn w:val="996"/>
    <w:next w:val="996"/>
    <w:uiPriority w:val="39"/>
    <w:unhideWhenUsed/>
    <w:pPr>
      <w:ind w:left="283" w:right="0" w:firstLine="0"/>
      <w:spacing w:after="57"/>
    </w:pPr>
  </w:style>
  <w:style w:type="paragraph" w:styleId="987">
    <w:name w:val="toc 3"/>
    <w:basedOn w:val="996"/>
    <w:next w:val="996"/>
    <w:uiPriority w:val="39"/>
    <w:unhideWhenUsed/>
    <w:pPr>
      <w:ind w:left="567" w:right="0" w:firstLine="0"/>
      <w:spacing w:after="57"/>
    </w:pPr>
  </w:style>
  <w:style w:type="paragraph" w:styleId="988">
    <w:name w:val="toc 4"/>
    <w:basedOn w:val="996"/>
    <w:next w:val="996"/>
    <w:uiPriority w:val="39"/>
    <w:unhideWhenUsed/>
    <w:pPr>
      <w:ind w:left="850" w:right="0" w:firstLine="0"/>
      <w:spacing w:after="57"/>
    </w:pPr>
  </w:style>
  <w:style w:type="paragraph" w:styleId="989">
    <w:name w:val="toc 5"/>
    <w:basedOn w:val="996"/>
    <w:next w:val="996"/>
    <w:uiPriority w:val="39"/>
    <w:unhideWhenUsed/>
    <w:pPr>
      <w:ind w:left="1134" w:right="0" w:firstLine="0"/>
      <w:spacing w:after="57"/>
    </w:pPr>
  </w:style>
  <w:style w:type="paragraph" w:styleId="990">
    <w:name w:val="toc 6"/>
    <w:basedOn w:val="996"/>
    <w:next w:val="996"/>
    <w:uiPriority w:val="39"/>
    <w:unhideWhenUsed/>
    <w:pPr>
      <w:ind w:left="1417" w:right="0" w:firstLine="0"/>
      <w:spacing w:after="57"/>
    </w:pPr>
  </w:style>
  <w:style w:type="paragraph" w:styleId="991">
    <w:name w:val="toc 7"/>
    <w:basedOn w:val="996"/>
    <w:next w:val="996"/>
    <w:uiPriority w:val="39"/>
    <w:unhideWhenUsed/>
    <w:pPr>
      <w:ind w:left="1701" w:right="0" w:firstLine="0"/>
      <w:spacing w:after="57"/>
    </w:pPr>
  </w:style>
  <w:style w:type="paragraph" w:styleId="992">
    <w:name w:val="toc 8"/>
    <w:basedOn w:val="996"/>
    <w:next w:val="996"/>
    <w:uiPriority w:val="39"/>
    <w:unhideWhenUsed/>
    <w:pPr>
      <w:ind w:left="1984" w:right="0" w:firstLine="0"/>
      <w:spacing w:after="57"/>
    </w:pPr>
  </w:style>
  <w:style w:type="paragraph" w:styleId="993">
    <w:name w:val="toc 9"/>
    <w:basedOn w:val="996"/>
    <w:next w:val="996"/>
    <w:uiPriority w:val="39"/>
    <w:unhideWhenUsed/>
    <w:pPr>
      <w:ind w:left="2268" w:right="0" w:firstLine="0"/>
      <w:spacing w:after="57"/>
    </w:p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next w:val="996"/>
    <w:link w:val="996"/>
    <w:qFormat/>
    <w:pPr>
      <w:jc w:val="both"/>
      <w:widowControl w:val="off"/>
    </w:pPr>
    <w:rPr>
      <w:rFonts w:ascii="Times New Roman" w:hAnsi="Times New Roman"/>
      <w:sz w:val="21"/>
      <w:szCs w:val="21"/>
      <w:lang w:val="en-US" w:eastAsia="zh-CN" w:bidi="ar-SA"/>
    </w:rPr>
  </w:style>
  <w:style w:type="paragraph" w:styleId="997">
    <w:name w:val="标题 1"/>
    <w:basedOn w:val="996"/>
    <w:next w:val="996"/>
    <w:link w:val="1008"/>
    <w:qFormat/>
    <w:pPr>
      <w:jc w:val="center"/>
      <w:keepNext/>
      <w:outlineLvl w:val="0"/>
    </w:pPr>
    <w:rPr>
      <w:rFonts w:ascii="楷体_GB2312" w:eastAsia="楷体_GB2312"/>
      <w:sz w:val="28"/>
      <w:szCs w:val="28"/>
    </w:rPr>
  </w:style>
  <w:style w:type="paragraph" w:styleId="998">
    <w:name w:val="标题 2"/>
    <w:basedOn w:val="996"/>
    <w:next w:val="1010"/>
    <w:link w:val="1009"/>
    <w:qFormat/>
    <w:pPr>
      <w:jc w:val="center"/>
      <w:keepLines/>
      <w:keepNext/>
      <w:spacing w:before="260" w:after="260" w:line="416" w:lineRule="auto"/>
      <w:outlineLvl w:val="1"/>
    </w:pPr>
    <w:rPr>
      <w:rFonts w:ascii="Arial" w:hAnsi="Arial" w:eastAsia="幼圆"/>
      <w:b/>
      <w:bCs/>
      <w:sz w:val="44"/>
      <w:szCs w:val="44"/>
    </w:rPr>
  </w:style>
  <w:style w:type="paragraph" w:styleId="999">
    <w:name w:val="标题 3"/>
    <w:basedOn w:val="996"/>
    <w:next w:val="1010"/>
    <w:link w:val="1012"/>
    <w:qFormat/>
    <w:pPr>
      <w:keepLines/>
      <w:keepNext/>
      <w:spacing w:before="260" w:after="260" w:line="416" w:lineRule="auto"/>
      <w:outlineLvl w:val="2"/>
    </w:pPr>
    <w:rPr>
      <w:b/>
      <w:bCs/>
      <w:sz w:val="32"/>
      <w:szCs w:val="32"/>
    </w:rPr>
  </w:style>
  <w:style w:type="paragraph" w:styleId="1000">
    <w:name w:val="标题 4"/>
    <w:basedOn w:val="996"/>
    <w:next w:val="1010"/>
    <w:link w:val="1013"/>
    <w:qFormat/>
    <w:pPr>
      <w:keepLines/>
      <w:keepNext/>
      <w:spacing w:before="280" w:after="290" w:line="376" w:lineRule="auto"/>
      <w:outlineLvl w:val="3"/>
    </w:pPr>
    <w:rPr>
      <w:rFonts w:ascii="Arial" w:hAnsi="Arial" w:eastAsia="黑体"/>
      <w:b/>
      <w:bCs/>
      <w:sz w:val="28"/>
      <w:szCs w:val="28"/>
    </w:rPr>
  </w:style>
  <w:style w:type="paragraph" w:styleId="1001">
    <w:name w:val="标题 5"/>
    <w:basedOn w:val="996"/>
    <w:next w:val="1010"/>
    <w:link w:val="1014"/>
    <w:qFormat/>
    <w:pPr>
      <w:keepNext/>
      <w:outlineLvl w:val="4"/>
    </w:pPr>
    <w:rPr>
      <w:rFonts w:ascii="宋体"/>
      <w:color w:val="000000"/>
      <w:sz w:val="28"/>
      <w:szCs w:val="28"/>
    </w:rPr>
  </w:style>
  <w:style w:type="paragraph" w:styleId="1002">
    <w:name w:val="标题 6"/>
    <w:basedOn w:val="996"/>
    <w:next w:val="996"/>
    <w:link w:val="1015"/>
    <w:qFormat/>
    <w:pPr>
      <w:numPr>
        <w:ilvl w:val="5"/>
        <w:numId w:val="1"/>
      </w:numPr>
      <w:keepLines/>
      <w:keepNext/>
      <w:spacing w:before="240" w:after="64" w:line="320" w:lineRule="auto"/>
      <w:outlineLvl w:val="5"/>
    </w:pPr>
    <w:rPr>
      <w:rFonts w:ascii="Arial" w:hAnsi="Arial" w:eastAsia="黑体"/>
      <w:b/>
      <w:bCs/>
      <w:sz w:val="24"/>
      <w:szCs w:val="24"/>
    </w:rPr>
  </w:style>
  <w:style w:type="paragraph" w:styleId="1003">
    <w:name w:val="标题 7"/>
    <w:basedOn w:val="996"/>
    <w:next w:val="996"/>
    <w:link w:val="1016"/>
    <w:qFormat/>
    <w:pPr>
      <w:numPr>
        <w:ilvl w:val="6"/>
        <w:numId w:val="1"/>
      </w:numPr>
      <w:keepLines/>
      <w:keepNext/>
      <w:spacing w:before="240" w:after="64" w:line="320" w:lineRule="auto"/>
      <w:outlineLvl w:val="6"/>
    </w:pPr>
    <w:rPr>
      <w:b/>
      <w:bCs/>
      <w:sz w:val="24"/>
      <w:szCs w:val="24"/>
    </w:rPr>
  </w:style>
  <w:style w:type="paragraph" w:styleId="1004">
    <w:name w:val="标题 8"/>
    <w:basedOn w:val="996"/>
    <w:next w:val="996"/>
    <w:link w:val="1017"/>
    <w:qFormat/>
    <w:pPr>
      <w:numPr>
        <w:ilvl w:val="7"/>
        <w:numId w:val="1"/>
      </w:numPr>
      <w:keepLines/>
      <w:keepNext/>
      <w:spacing w:before="240" w:after="64" w:line="320" w:lineRule="auto"/>
      <w:outlineLvl w:val="7"/>
    </w:pPr>
    <w:rPr>
      <w:rFonts w:ascii="Arial" w:hAnsi="Arial" w:eastAsia="黑体"/>
      <w:sz w:val="24"/>
      <w:szCs w:val="24"/>
    </w:rPr>
  </w:style>
  <w:style w:type="paragraph" w:styleId="1005">
    <w:name w:val="标题 9"/>
    <w:basedOn w:val="996"/>
    <w:next w:val="996"/>
    <w:link w:val="1018"/>
    <w:qFormat/>
    <w:pPr>
      <w:numPr>
        <w:ilvl w:val="8"/>
        <w:numId w:val="1"/>
      </w:numPr>
      <w:keepLines/>
      <w:keepNext/>
      <w:spacing w:before="240" w:after="64" w:line="320" w:lineRule="auto"/>
      <w:outlineLvl w:val="8"/>
    </w:pPr>
    <w:rPr>
      <w:rFonts w:ascii="Arial" w:hAnsi="Arial" w:eastAsia="黑体"/>
      <w:sz w:val="20"/>
    </w:rPr>
  </w:style>
  <w:style w:type="character" w:styleId="1006">
    <w:name w:val="默认段落字体"/>
    <w:next w:val="1006"/>
    <w:link w:val="996"/>
    <w:uiPriority w:val="1"/>
    <w:unhideWhenUsed/>
  </w:style>
  <w:style w:type="table" w:styleId="1007">
    <w:name w:val="普通表格"/>
    <w:next w:val="1007"/>
    <w:link w:val="996"/>
    <w:uiPriority w:val="99"/>
    <w:unhideWhenUsed/>
    <w:tblPr/>
  </w:style>
  <w:style w:type="character" w:styleId="1008">
    <w:name w:val="标题 1 Char"/>
    <w:next w:val="1008"/>
    <w:link w:val="997"/>
    <w:rPr>
      <w:rFonts w:ascii="楷体_GB2312" w:hAnsi="Times New Roman" w:eastAsia="楷体_GB2312" w:cs="Times New Roman"/>
      <w:sz w:val="28"/>
      <w:szCs w:val="28"/>
    </w:rPr>
  </w:style>
  <w:style w:type="character" w:styleId="1009">
    <w:name w:val="标题 2 Char"/>
    <w:next w:val="1009"/>
    <w:link w:val="998"/>
    <w:rPr>
      <w:rFonts w:ascii="Arial" w:hAnsi="Arial" w:eastAsia="幼圆" w:cs="Arial"/>
      <w:b/>
      <w:bCs/>
      <w:sz w:val="44"/>
      <w:szCs w:val="44"/>
    </w:rPr>
  </w:style>
  <w:style w:type="paragraph" w:styleId="1010">
    <w:name w:val="正文缩进"/>
    <w:basedOn w:val="996"/>
    <w:next w:val="1010"/>
    <w:link w:val="1011"/>
    <w:pPr>
      <w:ind w:firstLine="420"/>
    </w:pPr>
    <w:rPr>
      <w:sz w:val="20"/>
    </w:rPr>
  </w:style>
  <w:style w:type="character" w:styleId="1011">
    <w:name w:val="正文缩进 Char"/>
    <w:next w:val="1011"/>
    <w:link w:val="1010"/>
    <w:rPr>
      <w:rFonts w:ascii="Times New Roman" w:hAnsi="Times New Roman" w:eastAsia="宋体" w:cs="Times New Roman"/>
      <w:szCs w:val="21"/>
    </w:rPr>
  </w:style>
  <w:style w:type="character" w:styleId="1012">
    <w:name w:val="标题 3 Char"/>
    <w:next w:val="1012"/>
    <w:link w:val="999"/>
    <w:rPr>
      <w:rFonts w:ascii="Times New Roman" w:hAnsi="Times New Roman" w:eastAsia="宋体" w:cs="Times New Roman"/>
      <w:b/>
      <w:bCs/>
      <w:sz w:val="32"/>
      <w:szCs w:val="32"/>
    </w:rPr>
  </w:style>
  <w:style w:type="character" w:styleId="1013">
    <w:name w:val="标题 4 Char"/>
    <w:next w:val="1013"/>
    <w:link w:val="1000"/>
    <w:rPr>
      <w:rFonts w:ascii="Arial" w:hAnsi="Arial" w:eastAsia="黑体" w:cs="Arial"/>
      <w:b/>
      <w:bCs/>
      <w:sz w:val="28"/>
      <w:szCs w:val="28"/>
    </w:rPr>
  </w:style>
  <w:style w:type="character" w:styleId="1014">
    <w:name w:val="标题 5 Char"/>
    <w:next w:val="1014"/>
    <w:link w:val="1001"/>
    <w:rPr>
      <w:rFonts w:ascii="宋体" w:hAnsi="Times New Roman" w:eastAsia="宋体" w:cs="Times New Roman"/>
      <w:color w:val="000000"/>
      <w:sz w:val="28"/>
      <w:szCs w:val="28"/>
    </w:rPr>
  </w:style>
  <w:style w:type="character" w:styleId="1015">
    <w:name w:val="标题 6 Char"/>
    <w:next w:val="1015"/>
    <w:link w:val="1002"/>
    <w:rPr>
      <w:rFonts w:ascii="Arial" w:hAnsi="Arial" w:eastAsia="黑体" w:cs="Times New Roman"/>
      <w:b/>
      <w:bCs/>
      <w:sz w:val="24"/>
      <w:szCs w:val="24"/>
    </w:rPr>
  </w:style>
  <w:style w:type="character" w:styleId="1016">
    <w:name w:val="标题 7 Char"/>
    <w:next w:val="1016"/>
    <w:link w:val="1003"/>
    <w:rPr>
      <w:rFonts w:ascii="Times New Roman" w:hAnsi="Times New Roman" w:eastAsia="宋体" w:cs="Times New Roman"/>
      <w:b/>
      <w:bCs/>
      <w:sz w:val="24"/>
      <w:szCs w:val="24"/>
    </w:rPr>
  </w:style>
  <w:style w:type="character" w:styleId="1017">
    <w:name w:val="标题 8 Char"/>
    <w:next w:val="1017"/>
    <w:link w:val="1004"/>
    <w:rPr>
      <w:rFonts w:ascii="Arial" w:hAnsi="Arial" w:eastAsia="黑体" w:cs="Times New Roman"/>
      <w:sz w:val="24"/>
      <w:szCs w:val="24"/>
    </w:rPr>
  </w:style>
  <w:style w:type="character" w:styleId="1018">
    <w:name w:val="标题 9 Char"/>
    <w:next w:val="1018"/>
    <w:link w:val="1005"/>
    <w:rPr>
      <w:rFonts w:ascii="Arial" w:hAnsi="Arial" w:eastAsia="黑体" w:cs="Times New Roman"/>
      <w:szCs w:val="21"/>
    </w:rPr>
  </w:style>
  <w:style w:type="paragraph" w:styleId="1019">
    <w:name w:val="列表 3"/>
    <w:basedOn w:val="996"/>
    <w:next w:val="1019"/>
    <w:link w:val="996"/>
    <w:pPr>
      <w:ind w:left="100" w:hanging="200"/>
    </w:pPr>
  </w:style>
  <w:style w:type="paragraph" w:styleId="1020">
    <w:name w:val="目录 7"/>
    <w:basedOn w:val="996"/>
    <w:next w:val="996"/>
    <w:link w:val="996"/>
    <w:semiHidden/>
    <w:pPr>
      <w:ind w:left="1260"/>
      <w:jc w:val="left"/>
    </w:pPr>
  </w:style>
  <w:style w:type="paragraph" w:styleId="1021">
    <w:name w:val="文档结构图"/>
    <w:basedOn w:val="996"/>
    <w:next w:val="1021"/>
    <w:link w:val="1022"/>
    <w:semiHidden/>
    <w:pPr>
      <w:shd w:val="clear" w:color="auto" w:fill="000080"/>
    </w:pPr>
    <w:rPr>
      <w:sz w:val="20"/>
    </w:rPr>
  </w:style>
  <w:style w:type="character" w:styleId="1022">
    <w:name w:val="文档结构图 Char"/>
    <w:next w:val="1022"/>
    <w:link w:val="1021"/>
    <w:semiHidden/>
    <w:rPr>
      <w:rFonts w:ascii="Times New Roman" w:hAnsi="Times New Roman" w:eastAsia="宋体" w:cs="Times New Roman"/>
      <w:szCs w:val="21"/>
      <w:shd w:val="clear" w:color="auto" w:fill="000080"/>
    </w:rPr>
  </w:style>
  <w:style w:type="paragraph" w:styleId="1023">
    <w:name w:val="批注文字"/>
    <w:basedOn w:val="996"/>
    <w:next w:val="1023"/>
    <w:link w:val="1024"/>
    <w:semiHidden/>
    <w:pPr>
      <w:jc w:val="left"/>
    </w:pPr>
    <w:rPr>
      <w:sz w:val="20"/>
    </w:rPr>
  </w:style>
  <w:style w:type="character" w:styleId="1024">
    <w:name w:val="批注文字 Char"/>
    <w:next w:val="1024"/>
    <w:link w:val="1023"/>
    <w:semiHidden/>
    <w:rPr>
      <w:rFonts w:ascii="Times New Roman" w:hAnsi="Times New Roman" w:eastAsia="宋体" w:cs="Times New Roman"/>
      <w:szCs w:val="21"/>
    </w:rPr>
  </w:style>
  <w:style w:type="paragraph" w:styleId="1025">
    <w:name w:val="正文文本 3"/>
    <w:basedOn w:val="996"/>
    <w:next w:val="1025"/>
    <w:link w:val="1026"/>
    <w:rPr>
      <w:rFonts w:ascii="仿宋_GB2312" w:hAnsi="Arial" w:eastAsia="仿宋_GB2312"/>
      <w:sz w:val="32"/>
      <w:szCs w:val="32"/>
    </w:rPr>
  </w:style>
  <w:style w:type="character" w:styleId="1026">
    <w:name w:val="正文文本 3 Char"/>
    <w:next w:val="1026"/>
    <w:link w:val="1025"/>
    <w:rPr>
      <w:rFonts w:ascii="仿宋_GB2312" w:hAnsi="Arial" w:eastAsia="仿宋_GB2312" w:cs="Times New Roman"/>
      <w:sz w:val="32"/>
      <w:szCs w:val="32"/>
    </w:rPr>
  </w:style>
  <w:style w:type="paragraph" w:styleId="1027">
    <w:name w:val="正文文本"/>
    <w:basedOn w:val="996"/>
    <w:next w:val="1027"/>
    <w:link w:val="1028"/>
    <w:rPr>
      <w:rFonts w:ascii="楷体_GB2312" w:hAnsi="Arial" w:eastAsia="楷体_GB2312"/>
      <w:sz w:val="28"/>
      <w:szCs w:val="28"/>
    </w:rPr>
  </w:style>
  <w:style w:type="character" w:styleId="1028">
    <w:name w:val="正文文本 Char"/>
    <w:next w:val="1028"/>
    <w:link w:val="1027"/>
    <w:rPr>
      <w:rFonts w:ascii="楷体_GB2312" w:hAnsi="Arial" w:eastAsia="楷体_GB2312" w:cs="Times New Roman"/>
      <w:sz w:val="28"/>
      <w:szCs w:val="28"/>
    </w:rPr>
  </w:style>
  <w:style w:type="paragraph" w:styleId="1029">
    <w:name w:val="正文文本缩进"/>
    <w:basedOn w:val="996"/>
    <w:next w:val="1029"/>
    <w:link w:val="1030"/>
    <w:pPr>
      <w:ind w:firstLine="645"/>
    </w:pPr>
    <w:rPr>
      <w:rFonts w:ascii="楷体_GB2312" w:eastAsia="楷体_GB2312"/>
      <w:sz w:val="32"/>
      <w:szCs w:val="32"/>
    </w:rPr>
  </w:style>
  <w:style w:type="character" w:styleId="1030">
    <w:name w:val="正文文本缩进 Char"/>
    <w:next w:val="1030"/>
    <w:link w:val="1029"/>
    <w:rPr>
      <w:rFonts w:ascii="楷体_GB2312" w:hAnsi="Times New Roman" w:eastAsia="楷体_GB2312" w:cs="Times New Roman"/>
      <w:sz w:val="32"/>
      <w:szCs w:val="32"/>
    </w:rPr>
  </w:style>
  <w:style w:type="paragraph" w:styleId="1031">
    <w:name w:val="列表 2"/>
    <w:basedOn w:val="996"/>
    <w:next w:val="1031"/>
    <w:link w:val="996"/>
    <w:pPr>
      <w:ind w:left="100" w:hanging="200"/>
    </w:pPr>
  </w:style>
  <w:style w:type="paragraph" w:styleId="1032">
    <w:name w:val="目录 5"/>
    <w:basedOn w:val="996"/>
    <w:next w:val="996"/>
    <w:link w:val="996"/>
    <w:semiHidden/>
    <w:pPr>
      <w:ind w:left="840"/>
      <w:jc w:val="left"/>
    </w:pPr>
  </w:style>
  <w:style w:type="paragraph" w:styleId="1033">
    <w:name w:val="目录 3"/>
    <w:basedOn w:val="996"/>
    <w:next w:val="996"/>
    <w:link w:val="996"/>
    <w:semiHidden/>
    <w:pPr>
      <w:ind w:left="420"/>
      <w:jc w:val="left"/>
    </w:pPr>
    <w:rPr>
      <w:i/>
      <w:iCs/>
      <w:szCs w:val="24"/>
    </w:rPr>
  </w:style>
  <w:style w:type="paragraph" w:styleId="1034">
    <w:name w:val="纯文本"/>
    <w:basedOn w:val="996"/>
    <w:next w:val="1034"/>
    <w:link w:val="1035"/>
    <w:rPr>
      <w:rFonts w:ascii="宋体" w:hAnsi="Courier New"/>
      <w:sz w:val="20"/>
    </w:rPr>
  </w:style>
  <w:style w:type="character" w:styleId="1035">
    <w:name w:val="纯文本 Char"/>
    <w:next w:val="1035"/>
    <w:link w:val="1034"/>
    <w:rPr>
      <w:rFonts w:ascii="宋体" w:hAnsi="Courier New" w:eastAsia="宋体" w:cs="Courier New"/>
      <w:szCs w:val="21"/>
    </w:rPr>
  </w:style>
  <w:style w:type="paragraph" w:styleId="1036">
    <w:name w:val="目录 8"/>
    <w:basedOn w:val="996"/>
    <w:next w:val="996"/>
    <w:link w:val="996"/>
    <w:semiHidden/>
    <w:pPr>
      <w:ind w:left="1470"/>
      <w:jc w:val="left"/>
    </w:pPr>
  </w:style>
  <w:style w:type="paragraph" w:styleId="1037">
    <w:name w:val="日期"/>
    <w:basedOn w:val="996"/>
    <w:next w:val="996"/>
    <w:link w:val="1038"/>
    <w:rPr>
      <w:sz w:val="24"/>
      <w:szCs w:val="24"/>
    </w:rPr>
  </w:style>
  <w:style w:type="character" w:styleId="1038">
    <w:name w:val="日期 Char"/>
    <w:next w:val="1038"/>
    <w:link w:val="1037"/>
    <w:rPr>
      <w:rFonts w:ascii="Times New Roman" w:hAnsi="Times New Roman" w:eastAsia="宋体" w:cs="Times New Roman"/>
      <w:sz w:val="24"/>
      <w:szCs w:val="24"/>
    </w:rPr>
  </w:style>
  <w:style w:type="paragraph" w:styleId="1039">
    <w:name w:val="正文文本缩进 2"/>
    <w:basedOn w:val="996"/>
    <w:next w:val="1039"/>
    <w:link w:val="1040"/>
    <w:pPr>
      <w:ind w:left="630" w:firstLine="645"/>
    </w:pPr>
    <w:rPr>
      <w:rFonts w:ascii="Arial" w:hAnsi="Arial" w:eastAsia="仿宋_GB2312"/>
      <w:sz w:val="32"/>
      <w:szCs w:val="32"/>
    </w:rPr>
  </w:style>
  <w:style w:type="character" w:styleId="1040">
    <w:name w:val="正文文本缩进 2 Char"/>
    <w:next w:val="1040"/>
    <w:link w:val="1039"/>
    <w:rPr>
      <w:rFonts w:ascii="Arial" w:hAnsi="Arial" w:eastAsia="仿宋_GB2312" w:cs="Arial"/>
      <w:sz w:val="32"/>
      <w:szCs w:val="32"/>
    </w:rPr>
  </w:style>
  <w:style w:type="paragraph" w:styleId="1041">
    <w:name w:val="批注框文本"/>
    <w:basedOn w:val="996"/>
    <w:next w:val="1041"/>
    <w:link w:val="1042"/>
    <w:semiHidden/>
    <w:rPr>
      <w:sz w:val="18"/>
      <w:szCs w:val="18"/>
    </w:rPr>
  </w:style>
  <w:style w:type="character" w:styleId="1042">
    <w:name w:val="批注框文本 Char"/>
    <w:next w:val="1042"/>
    <w:link w:val="1041"/>
    <w:semiHidden/>
    <w:rPr>
      <w:rFonts w:ascii="Times New Roman" w:hAnsi="Times New Roman" w:eastAsia="宋体" w:cs="Times New Roman"/>
      <w:sz w:val="18"/>
      <w:szCs w:val="18"/>
    </w:rPr>
  </w:style>
  <w:style w:type="paragraph" w:styleId="1043">
    <w:name w:val="页脚"/>
    <w:basedOn w:val="996"/>
    <w:next w:val="1043"/>
    <w:link w:val="1044"/>
    <w:pPr>
      <w:jc w:val="left"/>
      <w:tabs>
        <w:tab w:val="center" w:pos="4153" w:leader="none"/>
        <w:tab w:val="right" w:pos="8306" w:leader="none"/>
      </w:tabs>
    </w:pPr>
    <w:rPr>
      <w:sz w:val="18"/>
      <w:szCs w:val="18"/>
    </w:rPr>
  </w:style>
  <w:style w:type="character" w:styleId="1044">
    <w:name w:val="页脚 Char"/>
    <w:next w:val="1044"/>
    <w:link w:val="1043"/>
    <w:rPr>
      <w:rFonts w:ascii="Times New Roman" w:hAnsi="Times New Roman" w:eastAsia="宋体" w:cs="Times New Roman"/>
      <w:sz w:val="18"/>
      <w:szCs w:val="18"/>
    </w:rPr>
  </w:style>
  <w:style w:type="paragraph" w:styleId="1045">
    <w:name w:val="页眉"/>
    <w:basedOn w:val="996"/>
    <w:next w:val="1045"/>
    <w:link w:val="1046"/>
    <w:uiPriority w:val="99"/>
    <w:qFormat/>
    <w:pPr>
      <w:jc w:val="center"/>
      <w:tabs>
        <w:tab w:val="center" w:pos="4153" w:leader="none"/>
        <w:tab w:val="right" w:pos="8306" w:leader="none"/>
      </w:tabs>
      <w:pBdr>
        <w:bottom w:val="single" w:color="000000" w:sz="6" w:space="1"/>
      </w:pBdr>
    </w:pPr>
    <w:rPr>
      <w:sz w:val="18"/>
      <w:szCs w:val="18"/>
    </w:rPr>
  </w:style>
  <w:style w:type="character" w:styleId="1046">
    <w:name w:val="页眉 Char"/>
    <w:next w:val="1046"/>
    <w:link w:val="1045"/>
    <w:uiPriority w:val="99"/>
    <w:qFormat/>
    <w:rPr>
      <w:rFonts w:ascii="Times New Roman" w:hAnsi="Times New Roman" w:eastAsia="宋体" w:cs="Times New Roman"/>
      <w:sz w:val="18"/>
      <w:szCs w:val="18"/>
    </w:rPr>
  </w:style>
  <w:style w:type="paragraph" w:styleId="1047">
    <w:name w:val="目录 1"/>
    <w:basedOn w:val="996"/>
    <w:next w:val="996"/>
    <w:link w:val="996"/>
    <w:semiHidden/>
    <w:pPr>
      <w:jc w:val="left"/>
      <w:spacing w:before="120" w:after="120" w:line="400" w:lineRule="exact"/>
      <w:tabs>
        <w:tab w:val="right" w:pos="8720" w:leader="dot"/>
      </w:tabs>
    </w:pPr>
    <w:rPr>
      <w:rFonts w:ascii="宋体" w:hAnsi="宋体"/>
      <w:caps/>
      <w:sz w:val="24"/>
      <w:szCs w:val="24"/>
    </w:rPr>
  </w:style>
  <w:style w:type="paragraph" w:styleId="1048">
    <w:name w:val="目录 4"/>
    <w:basedOn w:val="996"/>
    <w:next w:val="996"/>
    <w:link w:val="996"/>
    <w:semiHidden/>
    <w:pPr>
      <w:ind w:left="630"/>
      <w:jc w:val="left"/>
    </w:pPr>
  </w:style>
  <w:style w:type="paragraph" w:styleId="1049">
    <w:name w:val="列表"/>
    <w:basedOn w:val="996"/>
    <w:next w:val="1049"/>
    <w:link w:val="996"/>
    <w:pPr>
      <w:ind w:left="200" w:hanging="200"/>
    </w:pPr>
  </w:style>
  <w:style w:type="paragraph" w:styleId="1050">
    <w:name w:val="目录 6"/>
    <w:basedOn w:val="996"/>
    <w:next w:val="996"/>
    <w:link w:val="996"/>
    <w:semiHidden/>
    <w:pPr>
      <w:ind w:left="1050"/>
      <w:jc w:val="left"/>
    </w:pPr>
  </w:style>
  <w:style w:type="paragraph" w:styleId="1051">
    <w:name w:val="正文文本缩进 3"/>
    <w:basedOn w:val="996"/>
    <w:next w:val="1051"/>
    <w:link w:val="1052"/>
    <w:pPr>
      <w:ind w:left="645" w:firstLine="645"/>
    </w:pPr>
    <w:rPr>
      <w:rFonts w:ascii="Arial" w:hAnsi="Arial" w:eastAsia="仿宋_GB2312"/>
      <w:color w:val="ffff00"/>
      <w:sz w:val="32"/>
      <w:szCs w:val="32"/>
    </w:rPr>
  </w:style>
  <w:style w:type="character" w:styleId="1052">
    <w:name w:val="正文文本缩进 3 Char"/>
    <w:next w:val="1052"/>
    <w:link w:val="1051"/>
    <w:rPr>
      <w:rFonts w:ascii="Arial" w:hAnsi="Arial" w:eastAsia="仿宋_GB2312" w:cs="Arial"/>
      <w:color w:val="ffff00"/>
      <w:sz w:val="32"/>
      <w:szCs w:val="32"/>
    </w:rPr>
  </w:style>
  <w:style w:type="paragraph" w:styleId="1053">
    <w:name w:val="图表目录"/>
    <w:basedOn w:val="996"/>
    <w:next w:val="996"/>
    <w:link w:val="996"/>
    <w:semiHidden/>
    <w:pPr>
      <w:ind w:left="840" w:hanging="420"/>
    </w:pPr>
  </w:style>
  <w:style w:type="paragraph" w:styleId="1054">
    <w:name w:val="目录 2"/>
    <w:basedOn w:val="996"/>
    <w:next w:val="996"/>
    <w:link w:val="996"/>
    <w:semiHidden/>
    <w:pPr>
      <w:ind w:left="210"/>
      <w:jc w:val="left"/>
    </w:pPr>
    <w:rPr>
      <w:smallCaps/>
      <w:szCs w:val="24"/>
    </w:rPr>
  </w:style>
  <w:style w:type="paragraph" w:styleId="1055">
    <w:name w:val="目录 9"/>
    <w:basedOn w:val="996"/>
    <w:next w:val="996"/>
    <w:link w:val="996"/>
    <w:semiHidden/>
    <w:pPr>
      <w:ind w:left="1680"/>
      <w:jc w:val="left"/>
    </w:pPr>
  </w:style>
  <w:style w:type="paragraph" w:styleId="1056">
    <w:name w:val="正文文本 2"/>
    <w:basedOn w:val="996"/>
    <w:next w:val="1056"/>
    <w:link w:val="1057"/>
    <w:pPr>
      <w:jc w:val="center"/>
      <w:widowControl/>
    </w:pPr>
    <w:rPr>
      <w:rFonts w:ascii="楷体_GB2312" w:eastAsia="楷体_GB2312"/>
      <w:sz w:val="28"/>
      <w:szCs w:val="28"/>
    </w:rPr>
  </w:style>
  <w:style w:type="character" w:styleId="1057">
    <w:name w:val="正文文本 2 Char"/>
    <w:next w:val="1057"/>
    <w:link w:val="1056"/>
    <w:rPr>
      <w:rFonts w:ascii="楷体_GB2312" w:hAnsi="Times New Roman" w:eastAsia="楷体_GB2312" w:cs="Times New Roman"/>
      <w:sz w:val="28"/>
      <w:szCs w:val="28"/>
    </w:rPr>
  </w:style>
  <w:style w:type="paragraph" w:styleId="1058">
    <w:name w:val="普通(网站)"/>
    <w:basedOn w:val="996"/>
    <w:next w:val="1058"/>
    <w:link w:val="996"/>
    <w:uiPriority w:val="99"/>
    <w:pPr>
      <w:jc w:val="left"/>
      <w:spacing w:before="100" w:beforeAutospacing="1" w:after="100" w:afterAutospacing="1"/>
      <w:widowControl/>
    </w:pPr>
    <w:rPr>
      <w:rFonts w:ascii="宋体" w:hAnsi="宋体" w:cs="宋体"/>
      <w:sz w:val="24"/>
      <w:szCs w:val="24"/>
    </w:rPr>
  </w:style>
  <w:style w:type="paragraph" w:styleId="1059">
    <w:name w:val="索引 1"/>
    <w:basedOn w:val="996"/>
    <w:next w:val="996"/>
    <w:link w:val="996"/>
    <w:semiHidden/>
    <w:pPr>
      <w:spacing w:line="240" w:lineRule="atLeast"/>
    </w:pPr>
    <w:rPr>
      <w:b/>
      <w:bCs/>
    </w:rPr>
  </w:style>
  <w:style w:type="paragraph" w:styleId="1060">
    <w:name w:val="批注主题"/>
    <w:basedOn w:val="1023"/>
    <w:next w:val="1023"/>
    <w:link w:val="1061"/>
    <w:semiHidden/>
    <w:rPr>
      <w:b/>
      <w:bCs/>
    </w:rPr>
  </w:style>
  <w:style w:type="character" w:styleId="1061">
    <w:name w:val="批注主题 Char"/>
    <w:next w:val="1061"/>
    <w:link w:val="1060"/>
    <w:semiHidden/>
    <w:rPr>
      <w:rFonts w:ascii="Times New Roman" w:hAnsi="Times New Roman" w:eastAsia="宋体" w:cs="Times New Roman"/>
      <w:b/>
      <w:bCs/>
      <w:szCs w:val="21"/>
    </w:rPr>
  </w:style>
  <w:style w:type="paragraph" w:styleId="1062">
    <w:name w:val="正文首行缩进"/>
    <w:basedOn w:val="996"/>
    <w:next w:val="1062"/>
    <w:link w:val="1063"/>
    <w:pPr>
      <w:ind w:firstLine="200"/>
      <w:spacing w:line="360" w:lineRule="auto"/>
    </w:pPr>
    <w:rPr>
      <w:rFonts w:ascii="仿宋_GB2312" w:eastAsia="仿宋_GB2312"/>
      <w:sz w:val="30"/>
      <w:szCs w:val="30"/>
    </w:rPr>
  </w:style>
  <w:style w:type="character" w:styleId="1063">
    <w:name w:val="正文首行缩进 Char"/>
    <w:next w:val="1063"/>
    <w:link w:val="1062"/>
    <w:rPr>
      <w:rFonts w:ascii="仿宋_GB2312" w:hAnsi="Times New Roman" w:eastAsia="仿宋_GB2312" w:cs="Times New Roman"/>
      <w:sz w:val="30"/>
      <w:szCs w:val="30"/>
    </w:rPr>
  </w:style>
  <w:style w:type="paragraph" w:styleId="1064">
    <w:name w:val="正文首行缩进 2"/>
    <w:basedOn w:val="1029"/>
    <w:next w:val="1064"/>
    <w:link w:val="1065"/>
    <w:pPr>
      <w:ind w:firstLine="420"/>
      <w:spacing w:line="360" w:lineRule="auto"/>
    </w:pPr>
    <w:rPr>
      <w:rFonts w:ascii="宋体" w:hAnsi="宋体" w:eastAsia="宋体"/>
      <w:szCs w:val="20"/>
    </w:rPr>
  </w:style>
  <w:style w:type="character" w:styleId="1065">
    <w:name w:val="正文首行缩进 2 Char"/>
    <w:next w:val="1065"/>
    <w:link w:val="1064"/>
    <w:rPr>
      <w:rFonts w:ascii="宋体" w:hAnsi="宋体" w:eastAsia="宋体" w:cs="Times New Roman"/>
      <w:sz w:val="32"/>
      <w:szCs w:val="20"/>
    </w:rPr>
  </w:style>
  <w:style w:type="table" w:styleId="1066">
    <w:name w:val="网格型"/>
    <w:basedOn w:val="1007"/>
    <w:next w:val="1066"/>
    <w:link w:val="996"/>
    <w:pPr>
      <w:jc w:val="both"/>
      <w:widowControl w:val="off"/>
    </w:pPr>
    <w:rPr>
      <w:rFonts w:ascii="Times New Roman" w:hAnsi="Times New Roman" w:eastAsia="宋体" w:cs="Times New Roman"/>
      <w:sz w:val="20"/>
      <w:szCs w:val="20"/>
    </w:rPr>
    <w:tblPr/>
  </w:style>
  <w:style w:type="character" w:styleId="1067">
    <w:name w:val="要点"/>
    <w:next w:val="1067"/>
    <w:link w:val="996"/>
    <w:qFormat/>
    <w:rPr>
      <w:b/>
      <w:bCs/>
    </w:rPr>
  </w:style>
  <w:style w:type="character" w:styleId="1068">
    <w:name w:val="页码"/>
    <w:next w:val="1068"/>
    <w:link w:val="996"/>
  </w:style>
  <w:style w:type="character" w:styleId="1069">
    <w:name w:val="已访问的超链接"/>
    <w:next w:val="1069"/>
    <w:link w:val="996"/>
    <w:rPr>
      <w:color w:val="800080"/>
      <w:u w:val="single"/>
    </w:rPr>
  </w:style>
  <w:style w:type="character" w:styleId="1070">
    <w:name w:val="HTML 打字机"/>
    <w:next w:val="1070"/>
    <w:link w:val="996"/>
    <w:uiPriority w:val="99"/>
    <w:rPr>
      <w:rFonts w:ascii="宋体" w:hAnsi="宋体" w:eastAsia="宋体" w:cs="宋体"/>
      <w:sz w:val="24"/>
      <w:szCs w:val="24"/>
    </w:rPr>
  </w:style>
  <w:style w:type="character" w:styleId="1071">
    <w:name w:val="超链接"/>
    <w:next w:val="1071"/>
    <w:link w:val="996"/>
    <w:rPr>
      <w:color w:val="0000ff"/>
      <w:u w:val="single"/>
    </w:rPr>
  </w:style>
  <w:style w:type="character" w:styleId="1072">
    <w:name w:val="批注引用"/>
    <w:next w:val="1072"/>
    <w:link w:val="996"/>
    <w:semiHidden/>
    <w:rPr>
      <w:sz w:val="21"/>
      <w:szCs w:val="21"/>
    </w:rPr>
  </w:style>
  <w:style w:type="paragraph" w:styleId="1073">
    <w:name w:val="正文文本11"/>
    <w:basedOn w:val="996"/>
    <w:next w:val="1073"/>
    <w:link w:val="996"/>
    <w:qFormat/>
    <w:rPr>
      <w:sz w:val="18"/>
      <w:szCs w:val="20"/>
    </w:rPr>
  </w:style>
  <w:style w:type="paragraph" w:styleId="1074">
    <w:name w:val="正文文本1"/>
    <w:basedOn w:val="996"/>
    <w:next w:val="1074"/>
    <w:link w:val="996"/>
    <w:qFormat/>
    <w:rPr>
      <w:rFonts w:ascii="楷体_GB2312" w:hAnsi="Arial" w:eastAsia="楷体_GB2312"/>
      <w:sz w:val="28"/>
      <w:szCs w:val="28"/>
    </w:rPr>
  </w:style>
  <w:style w:type="character" w:styleId="1075">
    <w:name w:val="font5 Char"/>
    <w:next w:val="1075"/>
    <w:link w:val="996"/>
    <w:rPr>
      <w:rFonts w:ascii="宋体" w:hAnsi="宋体" w:eastAsia="宋体"/>
      <w:sz w:val="28"/>
      <w:szCs w:val="28"/>
      <w:lang w:val="en-US" w:eastAsia="zh-CN" w:bidi="ar-SA"/>
    </w:rPr>
  </w:style>
  <w:style w:type="character" w:styleId="1076">
    <w:name w:val="二级目录 Char"/>
    <w:next w:val="1076"/>
    <w:link w:val="1077"/>
    <w:rPr>
      <w:b/>
      <w:sz w:val="30"/>
      <w:szCs w:val="28"/>
      <w:lang w:val="en-US" w:eastAsia="zh-CN" w:bidi="ar-SA"/>
    </w:rPr>
  </w:style>
  <w:style w:type="paragraph" w:styleId="1077">
    <w:name w:val="二级目录"/>
    <w:next w:val="996"/>
    <w:link w:val="1076"/>
    <w:pPr>
      <w:numPr>
        <w:ilvl w:val="0"/>
        <w:numId w:val="2"/>
      </w:numPr>
      <w:tabs>
        <w:tab w:val="left" w:pos="907" w:leader="none"/>
        <w:tab w:val="left" w:pos="1145" w:leader="none"/>
      </w:tabs>
      <w:outlineLvl w:val="1"/>
    </w:pPr>
    <w:rPr>
      <w:b/>
      <w:sz w:val="30"/>
      <w:szCs w:val="28"/>
      <w:lang w:val="en-US" w:eastAsia="zh-CN" w:bidi="ar-SA"/>
    </w:rPr>
  </w:style>
  <w:style w:type="character" w:styleId="1078">
    <w:name w:val="列出段落 Char,Bullet List Char,numbered Char,FooterText Char,List Paragraph1 Char,Paragraphe de liste1 Char"/>
    <w:next w:val="1078"/>
    <w:link w:val="1079"/>
    <w:rPr>
      <w:rFonts w:ascii="Calibri" w:hAnsi="Calibri"/>
      <w:sz w:val="24"/>
      <w:szCs w:val="24"/>
      <w:lang w:eastAsia="en-US" w:bidi="en-US"/>
    </w:rPr>
  </w:style>
  <w:style w:type="paragraph" w:styleId="1079">
    <w:name w:val="列出段落1"/>
    <w:basedOn w:val="996"/>
    <w:next w:val="1079"/>
    <w:link w:val="1078"/>
    <w:qFormat/>
    <w:pPr>
      <w:contextualSpacing/>
      <w:ind w:left="720"/>
      <w:jc w:val="left"/>
      <w:widowControl/>
    </w:pPr>
    <w:rPr>
      <w:rFonts w:ascii="Calibri" w:hAnsi="Calibri"/>
      <w:sz w:val="24"/>
      <w:szCs w:val="24"/>
      <w:lang w:eastAsia="en-US" w:bidi="en-US"/>
    </w:rPr>
  </w:style>
  <w:style w:type="paragraph" w:styleId="1080">
    <w:name w:val="Body Text(ch)"/>
    <w:basedOn w:val="996"/>
    <w:next w:val="1027"/>
    <w:link w:val="996"/>
    <w:pPr>
      <w:spacing w:after="120"/>
    </w:pPr>
    <w:rPr>
      <w:rFonts w:ascii="宋体" w:hAnsi="Arial"/>
      <w:bCs/>
      <w:iCs/>
      <w:szCs w:val="24"/>
    </w:rPr>
  </w:style>
  <w:style w:type="paragraph" w:styleId="1081">
    <w:name w:val="xl27"/>
    <w:basedOn w:val="996"/>
    <w:next w:val="1081"/>
    <w:link w:val="9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2">
    <w:name w:val="xl26"/>
    <w:basedOn w:val="996"/>
    <w:next w:val="1082"/>
    <w:link w:val="99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3">
    <w:name w:val="Char"/>
    <w:basedOn w:val="996"/>
    <w:next w:val="1083"/>
    <w:link w:val="996"/>
    <w:pPr>
      <w:ind w:firstLine="200"/>
      <w:tabs>
        <w:tab w:val="left" w:pos="360" w:leader="none"/>
      </w:tabs>
    </w:pPr>
    <w:rPr>
      <w:sz w:val="28"/>
      <w:szCs w:val="30"/>
    </w:rPr>
  </w:style>
  <w:style w:type="paragraph" w:styleId="1084">
    <w:name w:val=" Char"/>
    <w:basedOn w:val="1021"/>
    <w:next w:val="1084"/>
    <w:link w:val="996"/>
    <w:rPr>
      <w:rFonts w:ascii="Tahoma" w:hAnsi="Tahoma"/>
      <w:sz w:val="24"/>
      <w:szCs w:val="24"/>
    </w:rPr>
  </w:style>
  <w:style w:type="paragraph" w:styleId="1085">
    <w:name w:val="普通正文"/>
    <w:basedOn w:val="996"/>
    <w:next w:val="1085"/>
    <w:link w:val="996"/>
    <w:pPr>
      <w:ind w:firstLine="480"/>
      <w:jc w:val="left"/>
      <w:spacing w:before="120" w:after="120" w:line="360" w:lineRule="auto"/>
    </w:pPr>
    <w:rPr>
      <w:rFonts w:ascii="Arial" w:hAnsi="Arial"/>
      <w:sz w:val="24"/>
      <w:szCs w:val="24"/>
    </w:rPr>
  </w:style>
  <w:style w:type="paragraph" w:styleId="1086">
    <w:name w:val="table_lines"/>
    <w:basedOn w:val="996"/>
    <w:next w:val="1086"/>
    <w:link w:val="996"/>
    <w:pPr>
      <w:jc w:val="left"/>
      <w:widowControl/>
    </w:pPr>
    <w:rPr>
      <w:sz w:val="20"/>
      <w:szCs w:val="20"/>
      <w:lang w:val="de-DE" w:eastAsia="de-DE"/>
    </w:rPr>
  </w:style>
  <w:style w:type="paragraph" w:styleId="1087">
    <w:name w:val="附录1"/>
    <w:next w:val="1087"/>
    <w:link w:val="99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88">
    <w:name w:val="font7"/>
    <w:basedOn w:val="996"/>
    <w:next w:val="1088"/>
    <w:link w:val="996"/>
    <w:pPr>
      <w:jc w:val="left"/>
      <w:spacing w:before="100" w:beforeAutospacing="1" w:after="100" w:afterAutospacing="1"/>
      <w:widowControl/>
    </w:pPr>
    <w:rPr>
      <w:rFonts w:hint="eastAsia" w:ascii="宋体" w:hAnsi="宋体"/>
      <w:sz w:val="18"/>
      <w:szCs w:val="18"/>
    </w:rPr>
  </w:style>
  <w:style w:type="paragraph" w:styleId="1089">
    <w:name w:val=" Char Char Char Char"/>
    <w:basedOn w:val="1021"/>
    <w:next w:val="1089"/>
    <w:link w:val="996"/>
    <w:pPr>
      <w:spacing w:line="360" w:lineRule="auto"/>
    </w:pPr>
    <w:rPr>
      <w:rFonts w:ascii="Tahoma" w:hAnsi="Tahoma"/>
      <w:sz w:val="24"/>
      <w:szCs w:val="24"/>
    </w:rPr>
  </w:style>
  <w:style w:type="paragraph" w:styleId="1090">
    <w:name w:val="列出段落"/>
    <w:basedOn w:val="996"/>
    <w:next w:val="1090"/>
    <w:link w:val="996"/>
    <w:uiPriority w:val="99"/>
    <w:qFormat/>
    <w:pPr>
      <w:contextualSpacing/>
      <w:ind w:left="720"/>
      <w:jc w:val="left"/>
      <w:widowControl/>
    </w:pPr>
    <w:rPr>
      <w:rFonts w:ascii="Calibri" w:hAnsi="Calibri"/>
      <w:sz w:val="24"/>
      <w:szCs w:val="24"/>
      <w:lang w:eastAsia="en-US" w:bidi="en-US"/>
    </w:rPr>
  </w:style>
  <w:style w:type="paragraph" w:styleId="1091">
    <w:name w:val="4"/>
    <w:basedOn w:val="996"/>
    <w:next w:val="1051"/>
    <w:link w:val="996"/>
    <w:pPr>
      <w:ind w:firstLine="420"/>
      <w:spacing w:line="360" w:lineRule="auto"/>
    </w:pPr>
    <w:rPr>
      <w:color w:val="ff0000"/>
      <w:sz w:val="24"/>
      <w:szCs w:val="24"/>
    </w:rPr>
  </w:style>
  <w:style w:type="paragraph" w:styleId="1092">
    <w:name w:val="普通 (Web)"/>
    <w:basedOn w:val="996"/>
    <w:next w:val="1092"/>
    <w:link w:val="996"/>
    <w:pPr>
      <w:jc w:val="left"/>
      <w:spacing w:before="100" w:beforeAutospacing="1" w:after="100" w:afterAutospacing="1"/>
      <w:widowControl/>
    </w:pPr>
    <w:rPr>
      <w:rFonts w:ascii="宋体" w:hAnsi="宋体"/>
      <w:sz w:val="24"/>
      <w:szCs w:val="24"/>
    </w:rPr>
  </w:style>
  <w:style w:type="paragraph" w:styleId="1093">
    <w:name w:val=" Char Char Char Char Char Char Char Char Char Char"/>
    <w:basedOn w:val="996"/>
    <w:next w:val="1093"/>
    <w:link w:val="996"/>
    <w:pPr>
      <w:spacing w:line="360" w:lineRule="auto"/>
    </w:pPr>
    <w:rPr>
      <w:sz w:val="24"/>
      <w:szCs w:val="20"/>
    </w:rPr>
  </w:style>
  <w:style w:type="paragraph" w:styleId="1094">
    <w:name w:val="样式1"/>
    <w:basedOn w:val="996"/>
    <w:next w:val="1094"/>
    <w:link w:val="996"/>
    <w:pPr>
      <w:numPr>
        <w:ilvl w:val="0"/>
        <w:numId w:val="3"/>
      </w:numPr>
      <w:tabs>
        <w:tab w:val="left" w:pos="709" w:leader="none"/>
      </w:tabs>
    </w:pPr>
    <w:rPr>
      <w:rFonts w:ascii="宋体" w:hAnsi="宋体"/>
    </w:rPr>
  </w:style>
  <w:style w:type="paragraph" w:styleId="1095">
    <w:name w:val="font6"/>
    <w:basedOn w:val="996"/>
    <w:next w:val="1095"/>
    <w:link w:val="996"/>
    <w:pPr>
      <w:jc w:val="left"/>
      <w:spacing w:before="100" w:beforeAutospacing="1" w:after="100" w:afterAutospacing="1"/>
      <w:widowControl/>
    </w:pPr>
    <w:rPr>
      <w:rFonts w:hint="eastAsia" w:ascii="宋体" w:hAnsi="宋体"/>
      <w:sz w:val="28"/>
      <w:szCs w:val="28"/>
      <w:u w:val="single"/>
    </w:rPr>
  </w:style>
  <w:style w:type="paragraph" w:styleId="1096">
    <w:name w:val="xl25"/>
    <w:basedOn w:val="996"/>
    <w:next w:val="1096"/>
    <w:link w:val="99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7">
    <w:name w:val="图标"/>
    <w:basedOn w:val="996"/>
    <w:next w:val="996"/>
    <w:link w:val="99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8">
    <w:name w:val="标题3"/>
    <w:basedOn w:val="996"/>
    <w:next w:val="996"/>
    <w:link w:val="996"/>
    <w:pPr>
      <w:ind w:firstLine="624"/>
      <w:spacing w:line="590" w:lineRule="atLeast"/>
    </w:pPr>
    <w:rPr>
      <w:rFonts w:ascii="方正黑体_GBK" w:eastAsia="方正黑体_GBK"/>
      <w:sz w:val="32"/>
      <w:szCs w:val="32"/>
    </w:rPr>
  </w:style>
  <w:style w:type="paragraph" w:styleId="1099">
    <w:name w:val="xl24"/>
    <w:basedOn w:val="996"/>
    <w:next w:val="1099"/>
    <w:link w:val="99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0">
    <w:name w:val="xl29"/>
    <w:basedOn w:val="996"/>
    <w:next w:val="1100"/>
    <w:link w:val="99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1">
    <w:name w:val="Char Char Char Char Char Char Char Char"/>
    <w:basedOn w:val="996"/>
    <w:next w:val="1101"/>
    <w:link w:val="996"/>
    <w:pPr>
      <w:jc w:val="left"/>
      <w:spacing w:after="160" w:line="240" w:lineRule="exact"/>
      <w:widowControl/>
    </w:pPr>
    <w:rPr>
      <w:rFonts w:ascii="Verdana" w:hAnsi="Verdana"/>
      <w:sz w:val="20"/>
      <w:szCs w:val="20"/>
      <w:lang w:eastAsia="en-US"/>
    </w:rPr>
  </w:style>
  <w:style w:type="paragraph" w:styleId="1102">
    <w:name w:val="xl28"/>
    <w:basedOn w:val="996"/>
    <w:next w:val="1102"/>
    <w:link w:val="99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3">
    <w:name w:val=" Char Char Char Char Char Char Char Char"/>
    <w:basedOn w:val="996"/>
    <w:next w:val="1103"/>
    <w:link w:val="996"/>
    <w:pPr>
      <w:jc w:val="left"/>
      <w:spacing w:after="160" w:line="240" w:lineRule="exact"/>
      <w:widowControl/>
    </w:pPr>
    <w:rPr>
      <w:rFonts w:ascii="Verdana" w:hAnsi="Verdana"/>
      <w:sz w:val="20"/>
      <w:szCs w:val="20"/>
      <w:lang w:eastAsia="en-US"/>
    </w:rPr>
  </w:style>
  <w:style w:type="paragraph" w:styleId="1104">
    <w:name w:val="xl30"/>
    <w:basedOn w:val="996"/>
    <w:next w:val="1104"/>
    <w:link w:val="996"/>
    <w:pPr>
      <w:jc w:val="center"/>
      <w:spacing w:before="100" w:beforeAutospacing="1" w:after="100" w:afterAutospacing="1"/>
      <w:widowControl/>
    </w:pPr>
    <w:rPr>
      <w:rFonts w:ascii="宋体" w:hAnsi="宋体"/>
      <w:b/>
      <w:bCs/>
      <w:sz w:val="36"/>
      <w:szCs w:val="36"/>
    </w:rPr>
  </w:style>
  <w:style w:type="paragraph" w:styleId="1105">
    <w:name w:val="Char Char Char Char"/>
    <w:basedOn w:val="1021"/>
    <w:next w:val="1105"/>
    <w:link w:val="996"/>
    <w:pPr>
      <w:spacing w:line="360" w:lineRule="auto"/>
    </w:pPr>
    <w:rPr>
      <w:rFonts w:ascii="Tahoma" w:hAnsi="Tahoma"/>
      <w:sz w:val="24"/>
      <w:szCs w:val="24"/>
    </w:rPr>
  </w:style>
  <w:style w:type="paragraph" w:styleId="1106">
    <w:name w:val="table_1stline"/>
    <w:basedOn w:val="996"/>
    <w:next w:val="1106"/>
    <w:link w:val="996"/>
    <w:pPr>
      <w:jc w:val="left"/>
      <w:spacing w:before="120"/>
      <w:widowControl/>
    </w:pPr>
    <w:rPr>
      <w:bCs/>
      <w:sz w:val="20"/>
      <w:szCs w:val="20"/>
      <w:lang w:val="de-DE" w:eastAsia="de-DE"/>
    </w:rPr>
  </w:style>
  <w:style w:type="paragraph" w:styleId="1107">
    <w:name w:val="font5"/>
    <w:basedOn w:val="996"/>
    <w:next w:val="1107"/>
    <w:link w:val="996"/>
    <w:pPr>
      <w:jc w:val="left"/>
      <w:spacing w:before="100" w:beforeAutospacing="1" w:after="100" w:afterAutospacing="1"/>
      <w:widowControl/>
    </w:pPr>
    <w:rPr>
      <w:rFonts w:hint="eastAsia" w:ascii="宋体" w:hAnsi="宋体"/>
      <w:sz w:val="28"/>
      <w:szCs w:val="28"/>
    </w:rPr>
  </w:style>
  <w:style w:type="paragraph" w:styleId="1108">
    <w:name w:val="标题1"/>
    <w:basedOn w:val="996"/>
    <w:next w:val="996"/>
    <w:link w:val="996"/>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9">
    <w:name w:val="修订"/>
    <w:next w:val="1109"/>
    <w:link w:val="996"/>
    <w:uiPriority w:val="99"/>
    <w:semiHidden/>
    <w:rPr>
      <w:rFonts w:ascii="Times New Roman" w:hAnsi="Times New Roman"/>
      <w:sz w:val="21"/>
      <w:szCs w:val="21"/>
      <w:lang w:val="en-US" w:eastAsia="zh-CN" w:bidi="ar-SA"/>
    </w:rPr>
  </w:style>
  <w:style w:type="paragraph" w:styleId="1110">
    <w:name w:val="无间隔"/>
    <w:next w:val="1110"/>
    <w:link w:val="996"/>
    <w:uiPriority w:val="99"/>
    <w:qFormat/>
    <w:pPr>
      <w:jc w:val="both"/>
      <w:widowControl w:val="off"/>
    </w:pPr>
    <w:rPr>
      <w:rFonts w:ascii="Times New Roman" w:hAnsi="Times New Roman"/>
      <w:sz w:val="21"/>
      <w:szCs w:val="21"/>
      <w:lang w:val="en-US" w:eastAsia="zh-CN" w:bidi="ar-SA"/>
    </w:rPr>
  </w:style>
  <w:style w:type="paragraph" w:styleId="1111">
    <w:name w:val="普通文字"/>
    <w:basedOn w:val="996"/>
    <w:next w:val="996"/>
    <w:link w:val="996"/>
    <w:uiPriority w:val="99"/>
    <w:rPr>
      <w:rFonts w:ascii="宋体" w:hAnsi="Times New Roman" w:eastAsia="宋体" w:cs="Times New Roman"/>
      <w:sz w:val="24"/>
      <w:szCs w:val="20"/>
      <w:u w:val="none"/>
    </w:rPr>
  </w:style>
  <w:style w:type="paragraph" w:styleId="1112">
    <w:name w:val="目录 111"/>
    <w:basedOn w:val="996"/>
    <w:next w:val="996"/>
    <w:link w:val="996"/>
    <w:uiPriority w:val="39"/>
    <w:unhideWhenUsed/>
    <w:qFormat/>
    <w:pPr>
      <w:jc w:val="left"/>
      <w:spacing w:after="100" w:line="259" w:lineRule="auto"/>
      <w:widowControl/>
    </w:pPr>
    <w:rPr>
      <w:rFonts w:ascii="Calibri" w:hAnsi="Calibri" w:eastAsia="宋体"/>
      <w:sz w:val="22"/>
      <w:szCs w:val="22"/>
    </w:rPr>
  </w:style>
  <w:style w:type="paragraph" w:styleId="1113">
    <w:name w:val="正文首行缩进1"/>
    <w:basedOn w:val="1074"/>
    <w:next w:val="1113"/>
    <w:link w:val="996"/>
    <w:uiPriority w:val="99"/>
    <w:unhideWhenUsed/>
    <w:qFormat/>
    <w:pPr>
      <w:ind w:firstLine="420"/>
      <w:spacing w:after="120"/>
    </w:pPr>
    <w:rPr>
      <w:rFonts w:ascii="Times New Roman"/>
      <w:bCs w:val="0"/>
      <w:sz w:val="21"/>
    </w:rPr>
  </w:style>
  <w:style w:type="table" w:styleId="1114">
    <w:name w:val="网格型11"/>
    <w:basedOn w:val="1115"/>
    <w:next w:val="1114"/>
    <w:link w:val="996"/>
    <w:uiPriority w:val="59"/>
    <w:qFormat/>
    <w:tblPr/>
  </w:style>
  <w:style w:type="table" w:styleId="1115">
    <w:name w:val="普通表格11"/>
    <w:next w:val="1115"/>
    <w:link w:val="996"/>
    <w:semiHidden/>
    <w:qFormat/>
    <w:tblPr/>
  </w:style>
  <w:style w:type="table" w:styleId="1116">
    <w:name w:val="Table Normal"/>
    <w:next w:val="1116"/>
    <w:link w:val="996"/>
    <w:unhideWhenUsed/>
    <w:qFormat/>
    <w:rPr>
      <w:rFonts w:ascii="Arial" w:hAnsi="Arial" w:cs="Arial"/>
      <w:color w:val="000000"/>
      <w:szCs w:val="21"/>
      <w:lang w:eastAsia="en-US"/>
    </w:rPr>
    <w:tblPr/>
  </w:style>
  <w:style w:type="paragraph" w:styleId="1117">
    <w:name w:val="Table Text"/>
    <w:basedOn w:val="996"/>
    <w:next w:val="1117"/>
    <w:link w:val="996"/>
    <w:semiHidden/>
    <w:qFormat/>
    <w:pPr>
      <w:jc w:val="left"/>
      <w:widowControl/>
    </w:pPr>
    <w:rPr>
      <w:rFonts w:ascii="宋体" w:hAnsi="宋体" w:cs="宋体"/>
      <w:color w:val="000000"/>
      <w:szCs w:val="21"/>
      <w:lang w:eastAsia="en-US"/>
    </w:rPr>
  </w:style>
  <w:style w:type="character" w:styleId="1118">
    <w:name w:val="font31"/>
    <w:basedOn w:val="1006"/>
    <w:next w:val="1118"/>
    <w:link w:val="996"/>
    <w:qFormat/>
    <w:rPr>
      <w:rFonts w:hint="eastAsia" w:ascii="仿宋" w:hAnsi="仿宋" w:eastAsia="仿宋" w:cs="仿宋"/>
      <w:color w:val="000000"/>
      <w:sz w:val="32"/>
      <w:szCs w:val="32"/>
      <w:u w:val="none"/>
    </w:rPr>
  </w:style>
  <w:style w:type="paragraph" w:styleId="1119">
    <w:name w:val="正文首行缩进 21"/>
    <w:basedOn w:val="1120"/>
    <w:next w:val="1122"/>
    <w:link w:val="996"/>
    <w:uiPriority w:val="99"/>
    <w:unhideWhenUsed/>
    <w:qFormat/>
    <w:pPr>
      <w:ind w:firstLine="420"/>
    </w:pPr>
  </w:style>
  <w:style w:type="paragraph" w:styleId="1120">
    <w:name w:val="正文文本缩进1"/>
    <w:basedOn w:val="996"/>
    <w:next w:val="1121"/>
    <w:link w:val="996"/>
    <w:uiPriority w:val="99"/>
    <w:qFormat/>
    <w:pPr>
      <w:ind w:firstLine="576"/>
    </w:pPr>
    <w:rPr>
      <w:sz w:val="20"/>
    </w:rPr>
  </w:style>
  <w:style w:type="paragraph" w:styleId="1121">
    <w:name w:val="寄信人地址1"/>
    <w:basedOn w:val="996"/>
    <w:next w:val="1121"/>
    <w:link w:val="996"/>
    <w:uiPriority w:val="99"/>
    <w:unhideWhenUsed/>
    <w:qFormat/>
    <w:rPr>
      <w:rFonts w:hint="eastAsia" w:ascii="Arial" w:hAnsi="Arial"/>
      <w:sz w:val="24"/>
    </w:rPr>
  </w:style>
  <w:style w:type="paragraph" w:styleId="1122">
    <w:name w:val="列表1"/>
    <w:basedOn w:val="996"/>
    <w:next w:val="1122"/>
    <w:link w:val="996"/>
    <w:qFormat/>
    <w:pPr>
      <w:ind w:left="200" w:hanging="200"/>
    </w:pPr>
  </w:style>
  <w:style w:type="character" w:styleId="1123" w:default="1">
    <w:name w:val="Default Paragraph Font"/>
    <w:uiPriority w:val="1"/>
    <w:semiHidden/>
    <w:unhideWhenUsed/>
  </w:style>
  <w:style w:type="numbering" w:styleId="1124" w:default="1">
    <w:name w:val="No List"/>
    <w:uiPriority w:val="99"/>
    <w:semiHidden/>
    <w:unhideWhenUsed/>
  </w:style>
  <w:style w:type="table" w:styleId="11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王丽娜</cp:lastModifiedBy>
  <cp:revision>64</cp:revision>
  <dcterms:created xsi:type="dcterms:W3CDTF">2023-03-16T02:16:00Z</dcterms:created>
  <dcterms:modified xsi:type="dcterms:W3CDTF">2026-07-20T02:46:38Z</dcterms:modified>
</cp:coreProperties>
</file>