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9"/>
        <w:spacing w:line="36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jc w:val="center"/>
        <w:spacing w:line="360" w:lineRule="auto"/>
        <w:shd w:val="clear" w:color="auto" w:fill="ffffff"/>
        <w:widowControl/>
        <w:rPr>
          <w:rFonts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t xml:space="preserve">南京医科大学附属口腔医院</w:t>
      </w:r>
      <w:r/>
    </w:p>
    <w:p>
      <w:pPr>
        <w:jc w:val="center"/>
        <w:spacing w:line="360" w:lineRule="auto"/>
        <w:shd w:val="clear" w:color="auto" w:fill="ffffff"/>
        <w:widowControl/>
        <w:rPr>
          <w:rFonts w:ascii="宋体"/>
          <w:color w:val="000000" w:themeColor="text1"/>
          <w:sz w:val="32"/>
          <w:szCs w:val="32"/>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t xml:space="preserve">口腔显微镜设备</w:t>
      </w:r>
      <w:r/>
    </w:p>
    <w:p>
      <w:pPr>
        <w:jc w:val="center"/>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716405" cy="2131060"/>
                <wp:effectExtent l="0" t="0" r="10795" b="2540"/>
                <wp:docPr id="9" name="图片 2"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descr="我的插图-1"/>
                        <pic:cNvPicPr>
                          <a:picLocks noChangeAspect="1"/>
                        </pic:cNvPicPr>
                        <pic:nvPr/>
                      </pic:nvPicPr>
                      <pic:blipFill>
                        <a:blip r:embed="rId18"/>
                        <a:stretch/>
                      </pic:blipFill>
                      <pic:spPr bwMode="auto">
                        <a:xfrm>
                          <a:off x="0" y="0"/>
                          <a:ext cx="1716405" cy="2131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35.2pt;height:167.8pt;mso-wrap-distance-left:0.0pt;mso-wrap-distance-top:0.0pt;mso-wrap-distance-right:0.0pt;mso-wrap-distance-bottom:0.0pt;" stroked="f">
                <v:path textboxrect="0,0,0,0"/>
                <v:imagedata r:id="rId18" o:title=""/>
              </v:shape>
            </w:pict>
          </mc:Fallback>
        </mc:AlternateContent>
      </w:r>
      <w:r/>
    </w:p>
    <w:p>
      <w:pPr>
        <w:jc w:val="center"/>
        <w:spacing w:line="360" w:lineRule="auto"/>
        <w:widowControl/>
        <w:rPr>
          <w:rFonts w:ascii="宋体"/>
          <w:b/>
          <w:color w:val="000000" w:themeColor="text1"/>
          <w:sz w:val="72"/>
          <w:szCs w:val="72"/>
          <w:highlight w:val="none"/>
          <w14:textFill>
            <w14:solidFill>
              <w14:schemeClr w14:val="tx1"/>
            </w14:solidFill>
          </w14:textFill>
        </w:rPr>
      </w:pPr>
      <w:r>
        <w:rPr>
          <w:rFonts w:hint="eastAsia" w:ascii="宋体" w:hAnsi="宋体"/>
          <w:b/>
          <w:color w:val="000000" w:themeColor="text1"/>
          <w:sz w:val="72"/>
          <w:szCs w:val="72"/>
          <w:highlight w:val="none"/>
          <w14:textFill>
            <w14:solidFill>
              <w14:schemeClr w14:val="tx1"/>
            </w14:solidFill>
          </w14:textFill>
        </w:rPr>
        <w:t xml:space="preserve">招标文件</w:t>
      </w:r>
      <w:r/>
    </w:p>
    <w:p>
      <w:pPr>
        <w:jc w:val="center"/>
        <w:spacing w:line="360" w:lineRule="auto"/>
        <w:widowControl/>
        <w:rPr>
          <w:rFonts w:hint="eastAsia" w:ascii="宋体" w:eastAsia="宋体"/>
          <w:b/>
          <w:color w:val="000000" w:themeColor="text1"/>
          <w:sz w:val="36"/>
          <w:szCs w:val="36"/>
          <w:highlight w:val="none"/>
          <w:lang w:eastAsia="zh-CN"/>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项目编号：</w:t>
      </w:r>
      <w:r>
        <w:rPr>
          <w:rFonts w:hint="eastAsia" w:ascii="宋体" w:hAnsi="宋体"/>
          <w:b/>
          <w:color w:val="000000" w:themeColor="text1"/>
          <w:sz w:val="32"/>
          <w:szCs w:val="32"/>
          <w:highlight w:val="none"/>
          <w:lang w:eastAsia="zh-CN"/>
          <w14:textFill>
            <w14:solidFill>
              <w14:schemeClr w14:val="tx1"/>
            </w14:solidFill>
          </w14:textFill>
        </w:rPr>
        <w:t xml:space="preserve">JSZC-320000-SNZX-G2026-0115</w:t>
      </w:r>
      <w:r/>
    </w:p>
    <w:p>
      <w:pPr>
        <w:pStyle w:val="979"/>
        <w:spacing w:line="360" w:lineRule="auto"/>
        <w:rPr>
          <w:rFonts w:ascii="宋体"/>
          <w:b/>
          <w:color w:val="000000" w:themeColor="text1"/>
          <w:sz w:val="36"/>
          <w:szCs w:val="36"/>
          <w:highlight w:val="none"/>
          <w14:textFill>
            <w14:solidFill>
              <w14:schemeClr w14:val="tx1"/>
            </w14:solidFill>
          </w14:textFill>
        </w:rPr>
      </w:pPr>
      <w:r>
        <w:rPr>
          <w:rFonts w:ascii="宋体"/>
          <w:b/>
          <w:color w:val="000000" w:themeColor="text1"/>
          <w:sz w:val="36"/>
          <w:szCs w:val="36"/>
          <w:highlight w:val="none"/>
          <w14:textFill>
            <w14:solidFill>
              <w14:schemeClr w14:val="tx1"/>
            </w14:solidFill>
          </w14:textFill>
        </w:rPr>
      </w:r>
      <w:r/>
    </w:p>
    <w:p>
      <w:pPr>
        <w:pStyle w:val="979"/>
        <w:spacing w:line="360" w:lineRule="auto"/>
        <w:rPr>
          <w:rFonts w:ascii="宋体"/>
          <w:b/>
          <w:color w:val="000000" w:themeColor="text1"/>
          <w:sz w:val="36"/>
          <w:szCs w:val="36"/>
          <w:highlight w:val="none"/>
          <w14:textFill>
            <w14:solidFill>
              <w14:schemeClr w14:val="tx1"/>
            </w14:solidFill>
          </w14:textFill>
        </w:rPr>
      </w:pPr>
      <w:r>
        <w:rPr>
          <w:rFonts w:ascii="宋体"/>
          <w:b/>
          <w:color w:val="000000" w:themeColor="text1"/>
          <w:sz w:val="36"/>
          <w:szCs w:val="36"/>
          <w:highlight w:val="none"/>
          <w14:textFill>
            <w14:solidFill>
              <w14:schemeClr w14:val="tx1"/>
            </w14:solidFill>
          </w14:textFill>
        </w:rPr>
      </w:r>
      <w:r/>
    </w:p>
    <w:p>
      <w:pPr>
        <w:pStyle w:val="979"/>
        <w:spacing w:line="360" w:lineRule="auto"/>
        <w:rPr>
          <w:rFonts w:ascii="宋体"/>
          <w:b/>
          <w:color w:val="000000" w:themeColor="text1"/>
          <w:sz w:val="36"/>
          <w:szCs w:val="36"/>
          <w:highlight w:val="none"/>
          <w14:textFill>
            <w14:solidFill>
              <w14:schemeClr w14:val="tx1"/>
            </w14:solidFill>
          </w14:textFill>
        </w:rPr>
      </w:pPr>
      <w:r>
        <w:rPr>
          <w:rFonts w:ascii="宋体"/>
          <w:b/>
          <w:color w:val="000000" w:themeColor="text1"/>
          <w:sz w:val="36"/>
          <w:szCs w:val="36"/>
          <w:highlight w:val="none"/>
          <w14:textFill>
            <w14:solidFill>
              <w14:schemeClr w14:val="tx1"/>
            </w14:solidFill>
          </w14:textFill>
        </w:rPr>
      </w:r>
      <w:r/>
    </w:p>
    <w:p>
      <w:pPr>
        <w:ind w:firstLine="904"/>
        <w:spacing w:line="360" w:lineRule="auto"/>
        <w:widowControl/>
        <w:rPr>
          <w:rFonts w:asci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采购人：</w:t>
      </w:r>
      <w:r>
        <w:rPr>
          <w:rFonts w:ascii="宋体" w:hAnsi="宋体"/>
          <w:b/>
          <w:color w:val="000000" w:themeColor="text1"/>
          <w:sz w:val="36"/>
          <w:szCs w:val="36"/>
          <w:highlight w:val="none"/>
          <w14:textFill>
            <w14:solidFill>
              <w14:schemeClr w14:val="tx1"/>
            </w14:solidFill>
          </w14:textFill>
        </w:rPr>
        <w:t xml:space="preserve">南京医科大学附属口腔医院</w:t>
      </w:r>
      <w:r/>
    </w:p>
    <w:p>
      <w:pPr>
        <w:ind w:firstLine="904"/>
        <w:spacing w:line="360" w:lineRule="auto"/>
        <w:widowControl/>
        <w:rPr>
          <w:rFonts w:asci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招标代理机构：南京苏宁工程咨询有限公司</w:t>
      </w:r>
      <w:r/>
    </w:p>
    <w:p>
      <w:pPr>
        <w:ind w:firstLine="904"/>
        <w:spacing w:line="360" w:lineRule="auto"/>
        <w:shd w:val="clear" w:color="auto" w:fill="ffffff"/>
        <w:widowControl/>
        <w:rPr>
          <w:color w:val="000000" w:themeColor="text1"/>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日期：二〇二六年八月</w:t>
      </w:r>
      <w:r/>
    </w:p>
    <w:p>
      <w:pPr>
        <w:jc w:val="center"/>
        <w:spacing w:line="360" w:lineRule="auto"/>
        <w:rPr>
          <w:rFonts w:ascii="黑体" w:eastAsia="黑体"/>
          <w:color w:val="000000" w:themeColor="text1"/>
          <w:sz w:val="36"/>
          <w:szCs w:val="36"/>
          <w:highlight w:val="none"/>
          <w14:textFill>
            <w14:solidFill>
              <w14:schemeClr w14:val="tx1"/>
            </w14:solidFill>
          </w14:textFill>
        </w:rPr>
        <w:sectPr>
          <w:headerReference w:type="default" r:id="rId9"/>
          <w:footerReference w:type="default" r:id="rId10"/>
          <w:footnotePr/>
          <w:endnotePr>
            <w:numFmt w:val="decimal"/>
          </w:endnotePr>
          <w:type w:val="nextPage"/>
          <w:pgSz w:w="11906" w:h="16838" w:orient="portrait"/>
          <w:pgMar w:top="850" w:right="850" w:bottom="850" w:left="1417" w:header="340" w:footer="720" w:gutter="0"/>
          <w:cols w:num="1" w:sep="0" w:space="720" w:equalWidth="1"/>
          <w:docGrid w:linePitch="360"/>
        </w:sectPr>
      </w:pPr>
      <w:r>
        <w:rPr>
          <w:rFonts w:ascii="黑体" w:eastAsia="黑体"/>
          <w:color w:val="000000" w:themeColor="text1"/>
          <w:sz w:val="36"/>
          <w:szCs w:val="36"/>
          <w:highlight w:val="none"/>
          <w14:textFill>
            <w14:solidFill>
              <w14:schemeClr w14:val="tx1"/>
            </w14:solidFill>
          </w14:textFill>
        </w:rPr>
      </w:r>
      <w:r/>
    </w:p>
    <w:p>
      <w:pPr>
        <w:jc w:val="cente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第一章 投标邀请</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color w:val="000000" w:themeColor="text1"/>
          <w:szCs w:val="21"/>
          <w:highlight w:val="none"/>
          <w14:textFill>
            <w14:solidFill>
              <w14:schemeClr w14:val="tx1"/>
            </w14:solidFill>
          </w14:textFill>
        </w:rPr>
        <w:t xml:space="preserve">项目概况</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color w:val="000000" w:themeColor="text1"/>
          <w:szCs w:val="21"/>
          <w:highlight w:val="none"/>
          <w:u w:val="single"/>
          <w14:textFill>
            <w14:solidFill>
              <w14:schemeClr w14:val="tx1"/>
            </w14:solidFill>
          </w14:textFill>
        </w:rPr>
        <w:t xml:space="preserve">南京医科大学附属口腔医院口腔显微镜设备</w:t>
      </w:r>
      <w:r>
        <w:rPr>
          <w:rFonts w:hint="eastAsia" w:ascii="宋体" w:hAnsi="宋体" w:cs="宋体"/>
          <w:color w:val="000000" w:themeColor="text1"/>
          <w:szCs w:val="21"/>
          <w:highlight w:val="none"/>
          <w14:textFill>
            <w14:solidFill>
              <w14:schemeClr w14:val="tx1"/>
            </w14:solidFill>
          </w14:textFill>
        </w:rPr>
        <w:t xml:space="preserve">招标项目的潜在投标人应在</w:t>
      </w:r>
      <w:r>
        <w:rPr>
          <w:rFonts w:hint="eastAsia" w:ascii="宋体" w:hAnsi="宋体" w:cs="宋体"/>
          <w:color w:val="000000" w:themeColor="text1"/>
          <w:szCs w:val="21"/>
          <w:highlight w:val="none"/>
          <w:u w:val="single"/>
          <w14:textFill>
            <w14:solidFill>
              <w14:schemeClr w14:val="tx1"/>
            </w14:solidFill>
          </w14:textFill>
        </w:rPr>
        <w:t xml:space="preserve">江苏政府采购网</w:t>
      </w:r>
      <w:r>
        <w:rPr>
          <w:rFonts w:hint="eastAsia" w:ascii="宋体" w:hAnsi="宋体" w:cs="宋体"/>
          <w:color w:val="000000" w:themeColor="text1"/>
          <w:szCs w:val="21"/>
          <w:highlight w:val="none"/>
          <w14:textFill>
            <w14:solidFill>
              <w14:schemeClr w14:val="tx1"/>
            </w14:solidFill>
          </w14:textFill>
        </w:rPr>
        <w:t xml:space="preserve">获取招标文件，并于</w:t>
      </w:r>
      <w:r>
        <w:rPr>
          <w:rFonts w:hint="eastAsia" w:ascii="宋体" w:hAnsi="宋体" w:cs="宋体"/>
          <w:color w:val="000000" w:themeColor="text1"/>
          <w:szCs w:val="21"/>
          <w:highlight w:val="none"/>
          <w:u w:val="single"/>
          <w14:textFill>
            <w14:solidFill>
              <w14:schemeClr w14:val="tx1"/>
            </w14:solidFill>
          </w14:textFill>
        </w:rPr>
        <w:t xml:space="preserve">2026年</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9</w:t>
      </w:r>
      <w:r>
        <w:rPr>
          <w:rFonts w:hint="eastAsia" w:ascii="宋体" w:hAnsi="宋体" w:cs="宋体"/>
          <w:color w:val="000000" w:themeColor="text1"/>
          <w:szCs w:val="21"/>
          <w:highlight w:val="none"/>
          <w:u w:val="single"/>
          <w14:textFill>
            <w14:solidFill>
              <w14:schemeClr w14:val="tx1"/>
            </w14:solidFill>
          </w14:textFill>
        </w:rPr>
        <w:t xml:space="preserve">月</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3</w:t>
      </w:r>
      <w:r>
        <w:rPr>
          <w:rFonts w:hint="eastAsia" w:ascii="宋体" w:hAnsi="宋体" w:cs="宋体"/>
          <w:color w:val="000000" w:themeColor="text1"/>
          <w:szCs w:val="21"/>
          <w:highlight w:val="none"/>
          <w:u w:val="single"/>
          <w14:textFill>
            <w14:solidFill>
              <w14:schemeClr w14:val="tx1"/>
            </w14:solidFill>
          </w14:textFill>
        </w:rPr>
        <w:t xml:space="preserve">日</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9</w:t>
      </w:r>
      <w:r>
        <w:rPr>
          <w:rFonts w:hint="eastAsia" w:ascii="宋体" w:hAnsi="宋体" w:cs="宋体"/>
          <w:color w:val="000000" w:themeColor="text1"/>
          <w:szCs w:val="21"/>
          <w:highlight w:val="none"/>
          <w:u w:val="single"/>
          <w14:textFill>
            <w14:solidFill>
              <w14:schemeClr w14:val="tx1"/>
            </w14:solidFill>
          </w14:textFill>
        </w:rPr>
        <w:t xml:space="preserve">点</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30</w:t>
      </w:r>
      <w:r>
        <w:rPr>
          <w:rFonts w:hint="eastAsia" w:ascii="宋体" w:hAnsi="宋体" w:cs="宋体"/>
          <w:color w:val="000000" w:themeColor="text1"/>
          <w:szCs w:val="21"/>
          <w:highlight w:val="none"/>
          <w:u w:val="single"/>
          <w14:textFill>
            <w14:solidFill>
              <w14:schemeClr w14:val="tx1"/>
            </w14:solidFill>
          </w14:textFill>
        </w:rPr>
        <w:t xml:space="preserve">分</w:t>
      </w:r>
      <w:r>
        <w:rPr>
          <w:rFonts w:hint="eastAsia" w:ascii="宋体" w:hAnsi="宋体" w:cs="宋体"/>
          <w:color w:val="000000" w:themeColor="text1"/>
          <w:szCs w:val="21"/>
          <w:highlight w:val="none"/>
          <w14:textFill>
            <w14:solidFill>
              <w14:schemeClr w14:val="tx1"/>
            </w14:solidFill>
          </w14:textFill>
        </w:rPr>
        <w:t xml:space="preserve">（北京时间）前递交投标文件。</w:t>
      </w:r>
      <w:r/>
    </w:p>
    <w:p>
      <w:pPr>
        <w:jc w:val="left"/>
        <w:spacing w:line="360" w:lineRule="auto"/>
        <w:rPr>
          <w:rFonts w:ascii="宋体" w:hAnsi="宋体" w:cs="宋体"/>
          <w:color w:val="000000" w:themeColor="text1"/>
          <w:szCs w:val="21"/>
          <w:highlight w:val="none"/>
          <w14:textFill>
            <w14:solidFill>
              <w14:schemeClr w14:val="tx1"/>
            </w14:solidFill>
          </w14:textFill>
        </w:rPr>
      </w:pPr>
      <w:r/>
      <w:bookmarkStart w:id="0" w:name="_Toc35393621"/>
      <w:r/>
      <w:bookmarkStart w:id="1" w:name="_Toc28359002"/>
      <w:r/>
      <w:bookmarkStart w:id="2" w:name="_Toc28359079"/>
      <w:r/>
      <w:bookmarkStart w:id="3" w:name="_Toc35393790"/>
      <w:r/>
      <w:bookmarkStart w:id="4" w:name="_Hlk24379207"/>
      <w:r>
        <w:rPr>
          <w:rFonts w:hint="eastAsia" w:ascii="宋体" w:hAnsi="宋体" w:cs="宋体"/>
          <w:color w:val="000000" w:themeColor="text1"/>
          <w:szCs w:val="21"/>
          <w:highlight w:val="none"/>
          <w14:textFill>
            <w14:solidFill>
              <w14:schemeClr w14:val="tx1"/>
            </w14:solidFill>
          </w14:textFill>
        </w:rPr>
        <w:t xml:space="preserve">一、项目基本情况</w:t>
      </w:r>
      <w:bookmarkEnd w:id="0"/>
      <w:r/>
      <w:bookmarkEnd w:id="1"/>
      <w:r/>
      <w:bookmarkEnd w:id="2"/>
      <w:r/>
      <w:bookmarkEnd w:id="3"/>
      <w:r/>
      <w:r/>
    </w:p>
    <w:p>
      <w:pPr>
        <w:ind w:firstLine="420"/>
        <w:jc w:val="left"/>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r>
        <w:rPr>
          <w:rFonts w:hint="eastAsia" w:ascii="宋体" w:hAnsi="宋体" w:cs="宋体"/>
          <w:color w:val="000000" w:themeColor="text1"/>
          <w:szCs w:val="21"/>
          <w:highlight w:val="none"/>
          <w:lang w:eastAsia="zh-CN"/>
          <w14:textFill>
            <w14:solidFill>
              <w14:schemeClr w14:val="tx1"/>
            </w14:solidFill>
          </w14:textFill>
        </w:rPr>
        <w:t xml:space="preserve">JSZC-320000-SNZX-G2026-0115</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bookmarkEnd w:id="4"/>
      <w:r>
        <w:rPr>
          <w:rFonts w:hint="eastAsia" w:ascii="宋体" w:hAnsi="宋体" w:cs="宋体"/>
          <w:color w:val="000000" w:themeColor="text1"/>
          <w:szCs w:val="21"/>
          <w:highlight w:val="none"/>
          <w14:textFill>
            <w14:solidFill>
              <w14:schemeClr w14:val="tx1"/>
            </w14:solidFill>
          </w14:textFill>
        </w:rPr>
        <w:t xml:space="preserve">：南京医科大学附属口腔医院口腔显微镜设备</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预算金额：145万元</w:t>
      </w:r>
      <w:bookmarkStart w:id="38" w:name="_GoBack"/>
      <w:r/>
      <w:bookmarkEnd w:id="38"/>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最高限价：145万元，投标报价超过最高限价的为无效投标。</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采购需求：南京医科大学附属口腔医院拟采购口腔显微镜设备8台，具体详见招标文件。</w:t>
      </w:r>
      <w:r/>
    </w:p>
    <w:p>
      <w:pPr>
        <w:ind w:firstLine="420"/>
        <w:jc w:val="left"/>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合同履行期限（交货期）：</w:t>
      </w:r>
      <w:bookmarkStart w:id="5" w:name="_Toc35393791"/>
      <w:r/>
      <w:bookmarkStart w:id="6" w:name="_Toc28359080"/>
      <w:r/>
      <w:bookmarkStart w:id="7" w:name="_Toc35393622"/>
      <w:r/>
      <w:bookmarkStart w:id="8" w:name="_Toc28359003"/>
      <w:r>
        <w:rPr>
          <w:rFonts w:hint="eastAsia" w:ascii="宋体" w:hAnsi="宋体" w:cs="宋体"/>
          <w:color w:val="000000" w:themeColor="text1"/>
          <w:szCs w:val="21"/>
          <w:highlight w:val="none"/>
          <w14:textFill>
            <w14:solidFill>
              <w14:schemeClr w14:val="tx1"/>
            </w14:solidFill>
          </w14:textFill>
        </w:rPr>
        <w:t xml:space="preserve">合同签订后≤30天完成全部设备到货安装。</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本项目（是/否）接受联合体投标：否</w:t>
      </w:r>
      <w:bookmarkEnd w:id="5"/>
      <w:r/>
      <w:bookmarkEnd w:id="6"/>
      <w:r/>
      <w:bookmarkEnd w:id="7"/>
      <w:r/>
      <w:bookmarkEnd w:id="8"/>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二、申请人的资格要求：</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bookmarkStart w:id="9" w:name="_Toc35393623"/>
      <w:r/>
      <w:bookmarkStart w:id="10" w:name="_Toc35393792"/>
      <w:r/>
      <w:bookmarkStart w:id="11" w:name="_Toc28359082"/>
      <w:r/>
      <w:bookmarkStart w:id="12" w:name="_Toc28359005"/>
      <w:r/>
      <w:bookmarkStart w:id="13" w:name="_Toc35393624"/>
      <w:r/>
      <w:bookmarkStart w:id="14" w:name="_Toc35393793"/>
      <w:r>
        <w:rPr>
          <w:rFonts w:hint="eastAsia" w:ascii="宋体" w:hAnsi="宋体" w:cs="宋体"/>
          <w:color w:val="000000" w:themeColor="text1"/>
          <w:szCs w:val="21"/>
          <w:highlight w:val="none"/>
          <w14:textFill>
            <w14:solidFill>
              <w14:schemeClr w14:val="tx1"/>
            </w14:solidFill>
          </w14:textFill>
        </w:rPr>
        <w:t xml:space="preserve">（一）满足《中华人民共和国政府采购法》第二十二条规定；</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1.具有独立承担民事责任的能力（提供法人或者其他组织的营业执照；供应商为自然人的，提供其身份证）；</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2.具有良好的商业信誉和健全的财务会计制度（提供评审前六个月内银行出具的资信证明，或评审前六个月内任意一个月的财务状况报告（至少包括资产负债表和利润表），或上一年度经审计的财务报告）；</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3.具有履行合同所必需的设备和专业技术能力（供应商根据履行采购项目合同需要，提供履行合同所必需的设备和专业技术能力的证明材料或声明）；</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有依法缴纳税收和社会保障资金的良好记录（提供投标截止时间前六个月内任意一个月的纳税证明文件（依法免缴的应提供相应文件说明）；并提供投标截止时间前六个月内任意一个月的依法为员工缴纳社会保障资金的证明材料（依法不需要缴纳社会保障资金的应提供相应文件说明））；</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5.参加政府采购活动前三年内，在经营活动中没有重大违法记录（提供承诺书）；</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6.法律、行政法规规定的其他条件：无。</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注：①第5条所称重大违法记录，是指供应商因违法经营受到刑事处罚或者责令停产停业、吊销许可证或者执照、较大数额罚款等行政处罚。②供应商在参加政府采购活动前3年内因违法经营被禁止在一定期限内参加政府采购活动，期限届满的，可以参加政府采购活动。</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（二）落实政府采购政策需满足的资格要求：本项目不专门面向中小微企业采购，执行价格扣除优惠政策，具体内容详见采购文件第三章。</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（三）本项目的特定资格要求：</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（1）须根据投标产品的类别，提供有效的《医疗器械经营许可证》或医疗器械经营备案凭证，需提供复印件并加盖投标人公章；</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（2）须根据投标产品的类别，提供有效的《医疗器械生产许可证》或医疗器械生产备案凭证，需提供复印件并加盖投标人公章；</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（四）拒绝下述供应商参加本次采购活动：</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（1）供应商单位负责人为同一人或者存在直接控股、管理关系的不同供应商，不得参加同一合同项下的采购活动。</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（2）凡为采购项目提供整体设计、规范编制或者项目管理、监理、检测等服务的供应商，不得再参加本项目的采购活动。</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（3）拒绝列入失信被执行人、重大税收违法失信主体、政府采购严重违法失信行为记录名单中的供应商参加本项目的采购活动。</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（五）本项目不接受进口产品投标。（注：本文件所称进口产品是指通过中国海关报关验放进入中国境内且产自关境外的产品）</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三、获取招标文件</w:t>
      </w:r>
      <w:bookmarkEnd w:id="9"/>
      <w:r/>
      <w:bookmarkEnd w:id="10"/>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时间：自招标文件公告发布之日起5个工作日</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地点：江苏政府采购网</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方式：网上下载</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售价：0.00元</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四、提交投标文件</w:t>
      </w:r>
      <w:bookmarkEnd w:id="11"/>
      <w:r/>
      <w:bookmarkEnd w:id="12"/>
      <w:r>
        <w:rPr>
          <w:rFonts w:hint="eastAsia" w:ascii="宋体" w:hAnsi="宋体" w:cs="宋体"/>
          <w:color w:val="000000" w:themeColor="text1"/>
          <w:szCs w:val="21"/>
          <w:highlight w:val="none"/>
          <w14:textFill>
            <w14:solidFill>
              <w14:schemeClr w14:val="tx1"/>
            </w14:solidFill>
          </w14:textFill>
        </w:rPr>
        <w:t xml:space="preserve">截止时间、开标时间和地点</w:t>
      </w:r>
      <w:bookmarkEnd w:id="13"/>
      <w:r/>
      <w:bookmarkEnd w:id="14"/>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截止时间及开标时间：</w:t>
      </w:r>
      <w:r>
        <w:rPr>
          <w:rFonts w:hint="eastAsia" w:ascii="宋体" w:hAnsi="宋体" w:cs="宋体"/>
          <w:color w:val="000000" w:themeColor="text1"/>
          <w:szCs w:val="21"/>
          <w:highlight w:val="none"/>
          <w:u w:val="single"/>
          <w14:textFill>
            <w14:solidFill>
              <w14:schemeClr w14:val="tx1"/>
            </w14:solidFill>
          </w14:textFill>
        </w:rPr>
        <w:t xml:space="preserve">2026年</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9</w:t>
      </w:r>
      <w:r>
        <w:rPr>
          <w:rFonts w:hint="eastAsia" w:ascii="宋体" w:hAnsi="宋体" w:cs="宋体"/>
          <w:color w:val="000000" w:themeColor="text1"/>
          <w:szCs w:val="21"/>
          <w:highlight w:val="none"/>
          <w:u w:val="single"/>
          <w14:textFill>
            <w14:solidFill>
              <w14:schemeClr w14:val="tx1"/>
            </w14:solidFill>
          </w14:textFill>
        </w:rPr>
        <w:t xml:space="preserve">月</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3</w:t>
      </w:r>
      <w:r>
        <w:rPr>
          <w:rFonts w:hint="eastAsia" w:ascii="宋体" w:hAnsi="宋体" w:cs="宋体"/>
          <w:color w:val="000000" w:themeColor="text1"/>
          <w:szCs w:val="21"/>
          <w:highlight w:val="none"/>
          <w:u w:val="single"/>
          <w14:textFill>
            <w14:solidFill>
              <w14:schemeClr w14:val="tx1"/>
            </w14:solidFill>
          </w14:textFill>
        </w:rPr>
        <w:t xml:space="preserve">日</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9</w:t>
      </w:r>
      <w:r>
        <w:rPr>
          <w:rFonts w:hint="eastAsia" w:ascii="宋体" w:hAnsi="宋体" w:cs="宋体"/>
          <w:color w:val="000000" w:themeColor="text1"/>
          <w:szCs w:val="21"/>
          <w:highlight w:val="none"/>
          <w:u w:val="single"/>
          <w14:textFill>
            <w14:solidFill>
              <w14:schemeClr w14:val="tx1"/>
            </w14:solidFill>
          </w14:textFill>
        </w:rPr>
        <w:t xml:space="preserve">点</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30</w:t>
      </w:r>
      <w:r>
        <w:rPr>
          <w:rFonts w:hint="eastAsia" w:ascii="宋体" w:hAnsi="宋体" w:cs="宋体"/>
          <w:color w:val="000000" w:themeColor="text1"/>
          <w:szCs w:val="21"/>
          <w:highlight w:val="none"/>
          <w:u w:val="single"/>
          <w14:textFill>
            <w14:solidFill>
              <w14:schemeClr w14:val="tx1"/>
            </w14:solidFill>
          </w14:textFill>
        </w:rPr>
        <w:t xml:space="preserve">分（北京时间）</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地点：</w:t>
      </w:r>
      <w:r>
        <w:rPr>
          <w:rFonts w:hint="eastAsia" w:ascii="宋体" w:hAnsi="宋体" w:cs="宋体"/>
          <w:color w:val="000000" w:themeColor="text1"/>
          <w:szCs w:val="21"/>
          <w:highlight w:val="none"/>
          <w:u w:val="single"/>
          <w14:textFill>
            <w14:solidFill>
              <w14:schemeClr w14:val="tx1"/>
            </w14:solidFill>
          </w14:textFill>
        </w:rPr>
        <w:t xml:space="preserve">江苏省政府采购交易系统(以下简称“苏采云系统”)网上开标大厅。</w:t>
      </w:r>
      <w:r/>
    </w:p>
    <w:p>
      <w:pPr>
        <w:jc w:val="left"/>
        <w:spacing w:line="360" w:lineRule="auto"/>
        <w:rPr>
          <w:rFonts w:ascii="宋体" w:hAnsi="宋体" w:cs="宋体"/>
          <w:color w:val="000000" w:themeColor="text1"/>
          <w:szCs w:val="21"/>
          <w:highlight w:val="none"/>
          <w14:textFill>
            <w14:solidFill>
              <w14:schemeClr w14:val="tx1"/>
            </w14:solidFill>
          </w14:textFill>
        </w:rPr>
      </w:pPr>
      <w:r/>
      <w:bookmarkStart w:id="15" w:name="_Toc28359084"/>
      <w:r/>
      <w:bookmarkStart w:id="16" w:name="_Toc35393625"/>
      <w:r/>
      <w:bookmarkStart w:id="17" w:name="_Toc35393794"/>
      <w:r/>
      <w:bookmarkStart w:id="18" w:name="_Toc28359007"/>
      <w:r>
        <w:rPr>
          <w:rFonts w:hint="eastAsia" w:ascii="宋体" w:hAnsi="宋体" w:cs="宋体"/>
          <w:color w:val="000000" w:themeColor="text1"/>
          <w:szCs w:val="21"/>
          <w:highlight w:val="none"/>
          <w14:textFill>
            <w14:solidFill>
              <w14:schemeClr w14:val="tx1"/>
            </w14:solidFill>
          </w14:textFill>
        </w:rPr>
        <w:t xml:space="preserve">五、公告期限</w:t>
      </w:r>
      <w:bookmarkEnd w:id="15"/>
      <w:r/>
      <w:bookmarkEnd w:id="16"/>
      <w:r/>
      <w:bookmarkEnd w:id="17"/>
      <w:r/>
      <w:bookmarkEnd w:id="18"/>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自本公告发布之日起5个工作日。</w:t>
      </w:r>
      <w:r/>
    </w:p>
    <w:p>
      <w:pPr>
        <w:jc w:val="left"/>
        <w:spacing w:line="360" w:lineRule="auto"/>
        <w:rPr>
          <w:rFonts w:ascii="宋体" w:hAnsi="宋体" w:cs="宋体"/>
          <w:color w:val="000000" w:themeColor="text1"/>
          <w:szCs w:val="21"/>
          <w:highlight w:val="none"/>
          <w14:textFill>
            <w14:solidFill>
              <w14:schemeClr w14:val="tx1"/>
            </w14:solidFill>
          </w14:textFill>
        </w:rPr>
      </w:pPr>
      <w:r/>
      <w:bookmarkStart w:id="19" w:name="_Toc35393626"/>
      <w:r/>
      <w:bookmarkStart w:id="20" w:name="_Toc35393795"/>
      <w:r>
        <w:rPr>
          <w:rFonts w:hint="eastAsia" w:ascii="宋体" w:hAnsi="宋体" w:cs="宋体"/>
          <w:color w:val="000000" w:themeColor="text1"/>
          <w:szCs w:val="21"/>
          <w:highlight w:val="none"/>
          <w14:textFill>
            <w14:solidFill>
              <w14:schemeClr w14:val="tx1"/>
            </w14:solidFill>
          </w14:textFill>
        </w:rPr>
        <w:t xml:space="preserve">六、其他补充事宜</w:t>
      </w:r>
      <w:bookmarkEnd w:id="19"/>
      <w:r/>
      <w:bookmarkEnd w:id="20"/>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1.本项目成交后不允许转包、分包。</w:t>
      </w:r>
      <w:r/>
    </w:p>
    <w:p>
      <w:pPr>
        <w:ind w:firstLine="420"/>
        <w:jc w:val="left"/>
        <w:spacing w:line="360" w:lineRule="auto"/>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2.本项目是否专门面向中小企业：否</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3.本项目采购标的所属行业为：</w:t>
      </w:r>
      <w:r>
        <w:rPr>
          <w:rFonts w:hint="eastAsia" w:ascii="宋体" w:hAnsi="宋体" w:cs="宋体"/>
          <w:color w:val="000000" w:themeColor="text1"/>
          <w:szCs w:val="21"/>
          <w:highlight w:val="none"/>
          <w14:textFill>
            <w14:solidFill>
              <w14:schemeClr w14:val="tx1"/>
            </w14:solidFill>
          </w14:textFill>
        </w:rPr>
        <w:t xml:space="preserve">根据《关于印发中小企业划型标准规定的通知》(工信部联企业(2011)300 号)及《国家统计局关于印发(统计上大中小微型企业划分办法(2017)〉的通知》(国统字(2017〕213 号)等文件规定，本项目所属行业为“工业”。</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4.集中勘察或答疑：</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bookmarkStart w:id="21" w:name="_Toc35393796"/>
      <w:r/>
      <w:bookmarkStart w:id="22" w:name="_Toc35393627"/>
      <w:r/>
      <w:bookmarkStart w:id="23" w:name="_Toc28359085"/>
      <w:r/>
      <w:bookmarkStart w:id="24" w:name="_Toc28359008"/>
      <w:r>
        <w:rPr>
          <w:rFonts w:hint="eastAsia" w:ascii="宋体" w:hAnsi="宋体" w:cs="宋体"/>
          <w:color w:val="000000" w:themeColor="text1"/>
          <w:szCs w:val="21"/>
          <w:highlight w:val="none"/>
          <w14:textFill>
            <w14:solidFill>
              <w14:schemeClr w14:val="tx1"/>
            </w14:solidFill>
          </w14:textFill>
        </w:rPr>
        <w:t xml:space="preserve">5.公告媒体</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（1）本采购公告在江苏政府采购网（http://www.ccgp-jiangsu.gov.cn/）公示发布，敬请各投标人关注；</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（2）若有关本次采购存在变动或修改，敬请各投标人及时关注江苏政府采购网（http://www.ccgp-jiangsu.gov.cn/）发布的关于本项目的信息更正公告。</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6.采购项目需要落实的政府采购政策：</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（1）政府采购促进中小企业发展</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（2）政府采购支持监狱企业发展</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（3）政府采购促进残疾人就业</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（4）政府采购鼓励采购节能环保产品</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http://www.ccgp-jiangsu.gov.cn/jiangsu/zlxz/ee/ee3a4bc5a3454aa2b0d9312230633ce9.html</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8.潜在供应商访问电子招标响应交易平台的网络地址和方法：</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（2）潜在供应商访问“苏采云”系统的网络地址和方法：“苏采云”系统的网址：http://jszfcg.jsczt.cn/。</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（3）“CA数字证书”的获取：</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（4）采购文件（后缀名为“.kedt”）、供应商操作手册及政府采购客户端工具可通过“苏采云”系统--已报名项目--报名详情页面内相应链接进行下载。</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（5）招标代理机构（采购代理机构）将数据电文形式的采购文件加载至“苏采云”系统，供潜在供应商下载或者查阅。</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（6）请潜在投标单位提前安装相应的控件（详见《江苏省政府采购管理交易系统（苏采云）供应商操作手册》）并使用谷歌浏览器登录“苏采云”系统参与不见面开评标。</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七、对本次招标提出询问，请按以下方式联系。</w:t>
      </w:r>
      <w:bookmarkEnd w:id="21"/>
      <w:r/>
      <w:bookmarkEnd w:id="22"/>
      <w:r/>
      <w:bookmarkEnd w:id="23"/>
      <w:r/>
      <w:bookmarkEnd w:id="24"/>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1.采购人信息</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bookmarkStart w:id="25" w:name="_Toc28359009"/>
      <w:r/>
      <w:bookmarkStart w:id="26" w:name="_Toc28359086"/>
      <w:r>
        <w:rPr>
          <w:rFonts w:hint="eastAsia" w:ascii="宋体" w:hAnsi="宋体" w:cs="宋体"/>
          <w:color w:val="000000" w:themeColor="text1"/>
          <w:szCs w:val="21"/>
          <w:highlight w:val="none"/>
          <w14:textFill>
            <w14:solidFill>
              <w14:schemeClr w14:val="tx1"/>
            </w14:solidFill>
          </w14:textFill>
        </w:rPr>
        <w:t xml:space="preserve">单位名称：南京医科大学附属口腔医院</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单位地址：上海路1号</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联系人：傅老师</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联系电话：025-69593201</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2.采购代理机构信息</w:t>
      </w:r>
      <w:bookmarkEnd w:id="25"/>
      <w:r/>
      <w:bookmarkEnd w:id="26"/>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单位名称：南京苏宁工程咨询有限公司</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单位地址：南京市鼓楼区中山路99号12楼1212室</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w:t>
      </w:r>
      <w:bookmarkStart w:id="27" w:name="_Toc28359087"/>
      <w:r/>
      <w:bookmarkStart w:id="28" w:name="_Toc28359010"/>
      <w:r>
        <w:rPr>
          <w:rFonts w:hint="eastAsia" w:ascii="宋体" w:hAnsi="宋体" w:cs="宋体"/>
          <w:color w:val="000000" w:themeColor="text1"/>
          <w:szCs w:val="21"/>
          <w:highlight w:val="none"/>
          <w14:textFill>
            <w14:solidFill>
              <w14:schemeClr w14:val="tx1"/>
            </w14:solidFill>
          </w14:textFill>
        </w:rPr>
        <w:t xml:space="preserve">李佳蓉025-84200809</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3.项目联系方式</w:t>
      </w:r>
      <w:bookmarkEnd w:id="27"/>
      <w:r/>
      <w:bookmarkEnd w:id="28"/>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项目联系人：李佳蓉 </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联系电话：025-84200809</w:t>
      </w:r>
      <w:r/>
    </w:p>
    <w:p>
      <w:pPr>
        <w:ind w:firstLine="422"/>
        <w:jc w:val="left"/>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ind w:firstLine="422"/>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请贵单位领取本次采购文件后，认真阅读各项内容，进行必要的投标准备，按文件的要求详细填写和编制响应文件，并按以上确定的时间、地点准时参加投标。</w:t>
      </w:r>
      <w:r/>
    </w:p>
    <w:p>
      <w:pPr>
        <w:jc w:val="center"/>
        <w:spacing w:line="360" w:lineRule="auto"/>
        <w:rPr>
          <w:rFonts w:ascii="宋体" w:hAnsi="宋体" w:cs="宋体"/>
          <w:color w:val="000000" w:themeColor="text1"/>
          <w:sz w:val="36"/>
          <w:szCs w:val="36"/>
          <w:highlight w:val="none"/>
          <w:lang w:val="zh-CN"/>
          <w14:textFill>
            <w14:solidFill>
              <w14:schemeClr w14:val="tx1"/>
            </w14:solidFill>
          </w14:textFill>
        </w:rPr>
        <w:sectPr>
          <w:footerReference w:type="default" r:id="rId11"/>
          <w:footnotePr/>
          <w:endnotePr>
            <w:numFmt w:val="decimal"/>
          </w:endnotePr>
          <w:type w:val="nextPage"/>
          <w:pgSz w:w="11906" w:h="16838" w:orient="portrait"/>
          <w:pgMar w:top="850" w:right="850" w:bottom="850" w:left="1417" w:header="340" w:footer="720" w:gutter="0"/>
          <w:rtlGutter/>
          <w:cols w:num="1" w:sep="0" w:space="720" w:equalWidth="1"/>
          <w:docGrid w:linePitch="360"/>
        </w:sectPr>
      </w:pPr>
      <w:r>
        <w:rPr>
          <w:rFonts w:ascii="宋体" w:hAnsi="宋体" w:cs="宋体"/>
          <w:color w:val="000000" w:themeColor="text1"/>
          <w:sz w:val="36"/>
          <w:szCs w:val="36"/>
          <w:highlight w:val="none"/>
          <w:lang w:val="zh-CN"/>
          <w14:textFill>
            <w14:solidFill>
              <w14:schemeClr w14:val="tx1"/>
            </w14:solidFill>
          </w14:textFill>
        </w:rPr>
      </w:r>
      <w:r/>
    </w:p>
    <w:p>
      <w:pPr>
        <w:jc w:val="cente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第二章 供应商须知</w:t>
      </w:r>
      <w:r/>
    </w:p>
    <w:p>
      <w:pPr>
        <w:ind w:firstLine="422"/>
        <w:jc w:val="left"/>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一、总则</w:t>
      </w:r>
      <w:r/>
    </w:p>
    <w:p>
      <w:pPr>
        <w:ind w:firstLine="420"/>
        <w:jc w:val="left"/>
        <w:spacing w:line="288" w:lineRule="auto"/>
        <w:rPr>
          <w:rFonts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1、适用法律</w:t>
      </w:r>
      <w:r/>
    </w:p>
    <w:p>
      <w:pPr>
        <w:ind w:firstLine="420"/>
        <w:jc w:val="left"/>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 《中华人民共和国政府采购法》、《中华人民共和国政府采购法实施条例》、《政府采购货物和服务招标投标管理办法》等有关法律、规章和规定等。</w:t>
      </w:r>
      <w:r/>
    </w:p>
    <w:p>
      <w:pPr>
        <w:ind w:firstLine="422"/>
        <w:jc w:val="left"/>
        <w:spacing w:line="288" w:lineRule="auto"/>
        <w:rPr>
          <w:rFonts w:ascii="宋体" w:hAnsi="宋体" w:cs="宋体"/>
          <w:b/>
          <w:color w:val="000000" w:themeColor="text1"/>
          <w:szCs w:val="21"/>
          <w:highlight w:val="none"/>
          <w:lang w:val="zh-CN"/>
          <w14:textFill>
            <w14:solidFill>
              <w14:schemeClr w14:val="tx1"/>
            </w14:solidFill>
          </w14:textFill>
        </w:rPr>
        <w:outlineLvl w:val="0"/>
      </w:pPr>
      <w:r>
        <w:rPr>
          <w:rFonts w:hint="eastAsia" w:ascii="宋体" w:hAnsi="宋体" w:cs="宋体"/>
          <w:b/>
          <w:color w:val="000000" w:themeColor="text1"/>
          <w:szCs w:val="21"/>
          <w:highlight w:val="none"/>
          <w:lang w:val="zh-CN"/>
          <w14:textFill>
            <w14:solidFill>
              <w14:schemeClr w14:val="tx1"/>
            </w14:solidFill>
          </w14:textFill>
        </w:rPr>
        <w:t xml:space="preserve">2、定义</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2.1 “</w:t>
      </w:r>
      <w:r>
        <w:rPr>
          <w:rFonts w:hint="eastAsia" w:ascii="宋体" w:hAnsi="宋体" w:cs="宋体"/>
          <w:bCs/>
          <w:color w:val="000000" w:themeColor="text1"/>
          <w:szCs w:val="21"/>
          <w:highlight w:val="none"/>
          <w:lang w:val="zh-CN"/>
          <w14:textFill>
            <w14:solidFill>
              <w14:schemeClr w14:val="tx1"/>
            </w14:solidFill>
          </w14:textFill>
        </w:rPr>
        <w:t xml:space="preserve">供应商”</w:t>
      </w:r>
      <w:r>
        <w:rPr>
          <w:rFonts w:hint="eastAsia" w:ascii="宋体" w:hAnsi="宋体" w:cs="宋体"/>
          <w:bCs/>
          <w:color w:val="000000" w:themeColor="text1"/>
          <w:highlight w:val="none"/>
          <w14:textFill>
            <w14:solidFill>
              <w14:schemeClr w14:val="tx1"/>
            </w14:solidFill>
          </w14:textFill>
        </w:rPr>
        <w:t xml:space="preserve">是指参加投标竞争，并符合招标文件规定资格条件的法人、其他组织或者自然人。</w:t>
      </w:r>
      <w:r/>
    </w:p>
    <w:p>
      <w:pPr>
        <w:ind w:firstLine="420"/>
        <w:jc w:val="left"/>
        <w:spacing w:line="288"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2.2 “产品”指本招标文件中所述产品</w:t>
      </w:r>
      <w:r>
        <w:rPr>
          <w:rFonts w:hint="eastAsia" w:ascii="宋体" w:hAnsi="宋体" w:cs="宋体"/>
          <w:color w:val="000000" w:themeColor="text1"/>
          <w:szCs w:val="21"/>
          <w:highlight w:val="none"/>
          <w:lang w:val="zh-CN"/>
          <w14:textFill>
            <w14:solidFill>
              <w14:schemeClr w14:val="tx1"/>
            </w14:solidFill>
          </w14:textFill>
        </w:rPr>
        <w:t xml:space="preserve">及相关服务。</w:t>
      </w:r>
      <w:r/>
    </w:p>
    <w:p>
      <w:pPr>
        <w:ind w:firstLine="420"/>
        <w:jc w:val="left"/>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2.3 “用户或使用单位”是指使用服务的单位。</w:t>
      </w:r>
      <w:r/>
    </w:p>
    <w:p>
      <w:pPr>
        <w:ind w:firstLine="422"/>
        <w:jc w:val="left"/>
        <w:spacing w:line="288"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3、政策功能</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3.1中小供应商政策</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2017〕213号）。</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（2）政府采购支持监狱和戒毒供应商发展政策，监狱和戒毒供应商提供的产品和服务在评标时将获得优势，参加投标的监狱和戒毒供应商，应当 提供由省级以上监狱管理局、戒毒管理局（含新疆生产建设兵团）出具的属于监狱供应商的证明文件，监狱和戒毒供应商享受政府采购支持政 策的要求详见财库〔2014〕68号。</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（3）政府采购促进残疾人就业政策，残疾人福利性单位提供的产品和服务在评标时将获得优势，参加投标的残疾人福利性单位，应当提供 《残疾人福利性单位声明函》，残疾人福利性单位享受政府采购支持政策的要求详见财库〔2017〕141号。</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（4）强制采购节能产品、信息安全产品，优先采购环境标志产品。节能产品是指列入财政部、国家发展和改革委员会制定的节能产品品目 政府采购清单，且经过认定的节能产品；信息安全产品是指列入国家质检总局 国家认监委《信息安全产品强制性认证目录》，并获得强 制性产品认证证书的产品；环境标志产品是指列入财政部、国家环保总局制定的环境标志产品品目政府采购清单，且经过认证的环境标志 产品。</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（5）提供的产品属于信息安全产品的，供应商应当选择经国家认证的信息安全产品投标，并提供由中国信息安全认证中心按国家标准认证 颁发的有效认证证书复印件。</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（6）提供的产品属于政府强制采购节能产品的，供应商应当选择经过认证的节能产品投标，并提供有效的节能产品认证证书复印件。</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（7）提供的产品属于环境标志产品的,供应商应当选择经过认证的环境标志产品投标,并提供有效的环境标志产品认证证书复印件。</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3.2</w:t>
      </w:r>
      <w:r>
        <w:rPr>
          <w:rFonts w:hint="eastAsia" w:ascii="宋体" w:hAnsi="宋体" w:cs="宋体"/>
          <w:bCs/>
          <w:color w:val="000000" w:themeColor="text1"/>
          <w:szCs w:val="21"/>
          <w:highlight w:val="none"/>
          <w14:textFill>
            <w14:solidFill>
              <w14:schemeClr w14:val="tx1"/>
            </w14:solidFill>
          </w14:textFill>
        </w:rPr>
        <w:t xml:space="preserve"> </w:t>
      </w:r>
      <w:r>
        <w:rPr>
          <w:rFonts w:hint="eastAsia" w:ascii="宋体" w:hAnsi="宋体" w:cs="宋体"/>
          <w:bCs/>
          <w:color w:val="000000" w:themeColor="text1"/>
          <w:szCs w:val="21"/>
          <w:highlight w:val="none"/>
          <w:lang w:val="zh-CN"/>
          <w14:textFill>
            <w14:solidFill>
              <w14:schemeClr w14:val="tx1"/>
            </w14:solidFill>
          </w14:textFill>
        </w:rPr>
        <w:t xml:space="preserve">政府采购中实施本国产品标准及相关政策</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lang w:val="zh-CN"/>
          <w14:textFill>
            <w14:solidFill>
              <w14:schemeClr w14:val="tx1"/>
            </w14:solidFill>
          </w14:textFill>
        </w:rPr>
        <w:t xml:space="preserve">）本项目对采购本国产品给予政策支持，具体内容见招标文件“第五章 评标方法与评标标准”。</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2</w:t>
      </w:r>
      <w:r>
        <w:rPr>
          <w:rFonts w:hint="eastAsia" w:ascii="宋体" w:hAnsi="宋体" w:cs="宋体"/>
          <w:bCs/>
          <w:color w:val="000000" w:themeColor="text1"/>
          <w:szCs w:val="21"/>
          <w:highlight w:val="none"/>
          <w:lang w:val="zh-CN"/>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3</w:t>
      </w:r>
      <w:r>
        <w:rPr>
          <w:rFonts w:hint="eastAsia" w:ascii="宋体" w:hAnsi="宋体" w:cs="宋体"/>
          <w:bCs/>
          <w:color w:val="000000" w:themeColor="text1"/>
          <w:szCs w:val="21"/>
          <w:highlight w:val="none"/>
          <w:lang w:val="zh-CN"/>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3.3 </w:t>
      </w:r>
      <w:r>
        <w:rPr>
          <w:rFonts w:hint="eastAsia" w:ascii="宋体" w:hAnsi="宋体" w:cs="宋体"/>
          <w:bCs/>
          <w:color w:val="000000" w:themeColor="text1"/>
          <w:szCs w:val="21"/>
          <w:highlight w:val="none"/>
          <w:lang w:val="zh-CN"/>
          <w14:textFill>
            <w14:solidFill>
              <w14:schemeClr w14:val="tx1"/>
            </w14:solidFill>
          </w14:textFill>
        </w:rPr>
        <w:t xml:space="preserve">未按要求提供相关材料的，不享受相关政策。</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 进口产品政策</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（1）除在</w:t>
      </w:r>
      <w:r>
        <w:rPr>
          <w:rFonts w:hint="eastAsia" w:ascii="宋体" w:hAnsi="宋体" w:cs="宋体"/>
          <w:bCs/>
          <w:color w:val="000000" w:themeColor="text1"/>
          <w:szCs w:val="21"/>
          <w:highlight w:val="none"/>
          <w14:textFill>
            <w14:solidFill>
              <w14:schemeClr w14:val="tx1"/>
            </w14:solidFill>
          </w14:textFill>
        </w:rPr>
        <w:t xml:space="preserve">采购</w:t>
      </w:r>
      <w:r>
        <w:rPr>
          <w:rFonts w:hint="eastAsia" w:ascii="宋体" w:hAnsi="宋体" w:cs="宋体"/>
          <w:bCs/>
          <w:color w:val="000000" w:themeColor="text1"/>
          <w:szCs w:val="21"/>
          <w:highlight w:val="none"/>
          <w:lang w:val="zh-CN"/>
          <w14:textFill>
            <w14:solidFill>
              <w14:schemeClr w14:val="tx1"/>
            </w14:solidFill>
          </w14:textFill>
        </w:rPr>
        <w:t xml:space="preserve">文件另有规定外，不允许进口产品参加。进口产品认定依照《财政部关于政府采购进口产品管理有关问题的通知》（财办库〔2008〕248 号）的规定。</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（2）允许进口产品参加的，满足需求的国内产品可以参加。</w:t>
      </w:r>
      <w:r/>
    </w:p>
    <w:p>
      <w:pPr>
        <w:ind w:firstLine="420"/>
        <w:jc w:val="left"/>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（3）允许进口产品参加的，优先采购向我国企业转让技术、与我国企业签订消化吸收再创新方案的供应商的进口产品。</w:t>
      </w:r>
      <w:r/>
    </w:p>
    <w:p>
      <w:pPr>
        <w:ind w:firstLine="413"/>
        <w:spacing w:line="288"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二、招标文件</w:t>
      </w:r>
      <w:r/>
    </w:p>
    <w:p>
      <w:pPr>
        <w:ind w:firstLine="420"/>
        <w:spacing w:line="288"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4、招标文件组成</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4.1 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4.2 招标的最小单位是包。招标服务数量及技术要求中未分包的，供应商对要求提供的服务不得部分投标；招标服务数量及技术要求中已经分包的，应当以包为单位投标。</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4.3 招标文件如果要求供应商提交备选投标方案的，供应商可以提交备选方案；否则，备选方案将被拒绝。</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5、招标文件的澄清、修改</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5.1 招标代理对已发出的招标文件进行必要澄清或者修改的，将在招标文件要求提交投标文件截止时间</w:t>
      </w:r>
      <w:r>
        <w:rPr>
          <w:rFonts w:hint="eastAsia" w:ascii="宋体" w:hAnsi="宋体" w:cs="宋体"/>
          <w:b/>
          <w:bCs/>
          <w:iCs/>
          <w:color w:val="000000" w:themeColor="text1"/>
          <w:szCs w:val="21"/>
          <w:highlight w:val="none"/>
          <w:u w:val="single"/>
          <w:lang w:val="zh-CN"/>
          <w14:textFill>
            <w14:solidFill>
              <w14:schemeClr w14:val="tx1"/>
            </w14:solidFill>
          </w14:textFill>
        </w:rPr>
        <w:t xml:space="preserve">十五日</w:t>
      </w:r>
      <w:r>
        <w:rPr>
          <w:rFonts w:hint="eastAsia" w:ascii="宋体" w:hAnsi="宋体" w:cs="宋体"/>
          <w:color w:val="000000" w:themeColor="text1"/>
          <w:szCs w:val="21"/>
          <w:highlight w:val="none"/>
          <w:lang w:val="zh-CN"/>
          <w14:textFill>
            <w14:solidFill>
              <w14:schemeClr w14:val="tx1"/>
            </w14:solidFill>
          </w14:textFill>
        </w:rPr>
        <w:t xml:space="preserve">前，在原招标公告媒体发布更正公告，该澄清或者修改的内容为招标文件的组成部分。</w:t>
      </w:r>
      <w:r/>
    </w:p>
    <w:p>
      <w:pPr>
        <w:ind w:firstLine="420"/>
        <w:spacing w:line="288"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5.2 招标代理在招标文件要求提交投标文件截止时间前，有权决定延长投标截止时间和开标时间，并</w:t>
      </w:r>
      <w:r>
        <w:rPr>
          <w:rFonts w:hint="eastAsia" w:ascii="宋体" w:hAnsi="宋体" w:cs="宋体"/>
          <w:color w:val="000000" w:themeColor="text1"/>
          <w:highlight w:val="none"/>
          <w14:textFill>
            <w14:solidFill>
              <w14:schemeClr w14:val="tx1"/>
            </w14:solidFill>
          </w14:textFill>
        </w:rPr>
        <w:t xml:space="preserve">在原采购信息发布媒体上发布变更公告。</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.3 供应商应在投标截止时间前关注</w:t>
      </w:r>
      <w:r>
        <w:rPr>
          <w:rFonts w:hint="eastAsia" w:ascii="宋体" w:hAnsi="宋体" w:cs="宋体"/>
          <w:color w:val="000000" w:themeColor="text1"/>
          <w:highlight w:val="none"/>
          <w14:textFill>
            <w14:solidFill>
              <w14:schemeClr w14:val="tx1"/>
            </w14:solidFill>
          </w14:textFill>
        </w:rPr>
        <w:t xml:space="preserve">原采购信息发布媒体上</w:t>
      </w:r>
      <w:r>
        <w:rPr>
          <w:rFonts w:hint="eastAsia" w:ascii="宋体" w:hAnsi="宋体" w:cs="宋体"/>
          <w:color w:val="000000" w:themeColor="text1"/>
          <w:szCs w:val="21"/>
          <w:highlight w:val="none"/>
          <w:lang w:val="zh-CN"/>
          <w14:textFill>
            <w14:solidFill>
              <w14:schemeClr w14:val="tx1"/>
            </w14:solidFill>
          </w14:textFill>
        </w:rPr>
        <w:t xml:space="preserve">有关本招标项目有无变更公告。</w:t>
      </w:r>
      <w:r>
        <w:rPr>
          <w:rFonts w:hint="eastAsia" w:ascii="宋体" w:hAnsi="宋体"/>
          <w:bCs/>
          <w:color w:val="000000" w:themeColor="text1"/>
          <w:szCs w:val="21"/>
          <w:highlight w:val="none"/>
          <w14:textFill>
            <w14:solidFill>
              <w14:schemeClr w14:val="tx1"/>
            </w14:solidFill>
          </w14:textFill>
        </w:rPr>
        <w:t xml:space="preserve">根据更正公告内容自行决定是否需要重新制作和提交投标文件，并承担由此产生的相应责任。</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三、投标</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6、投标文件的语言、计量单位、货币和编制</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6.1 供应商提交的投标文件、技术文件和资料，包括图纸中的说明，以及供应商与招标代理就有关投标的所有来往函电均应使用中文。投标文件中若有英文或其他语言文字的资料，应提供相应的中文翻译资料。对不同文本投标文件的解释发生异议的，以中文文本为准。</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6.2 供应商所使用的计量单位应为国家法定计量单位。</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6.3 供应商应用人民币报价。投标产品如果是进口产品的，应提供人民币与外币之间的汇率。</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6.4 </w:t>
      </w:r>
      <w:r>
        <w:rPr>
          <w:rFonts w:hint="eastAsia" w:ascii="宋体" w:hAnsi="宋体"/>
          <w:bCs/>
          <w:color w:val="000000" w:themeColor="text1"/>
          <w:szCs w:val="21"/>
          <w:highlight w:val="none"/>
          <w14:textFill>
            <w14:solidFill>
              <w14:schemeClr w14:val="tx1"/>
            </w14:solidFill>
          </w14:textFill>
        </w:rPr>
        <w:t xml:space="preserve">如标书制作工具中格式和内容与“江苏政府采购网”发布的招标文件不一致，以“江苏政府采购网”发布的招标文件为准。</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6.5 供应商应在投标文件中写清相应的项目编号、项目名称、供应商全称、地址、电话、传真等。</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6.6 供应商所使用的技术标准应遵循国家最新标准及规范。</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w:t>
      </w:r>
      <w:r>
        <w:rPr>
          <w:rFonts w:hint="eastAsia" w:ascii="宋体" w:hAnsi="宋体" w:cs="宋体"/>
          <w:b/>
          <w:bCs/>
          <w:color w:val="000000" w:themeColor="text1"/>
          <w:szCs w:val="21"/>
          <w:highlight w:val="none"/>
          <w:lang w:val="zh-CN"/>
          <w14:textFill>
            <w14:solidFill>
              <w14:schemeClr w14:val="tx1"/>
            </w14:solidFill>
          </w14:textFill>
        </w:rPr>
        <w:t xml:space="preserve">、联合投标</w:t>
      </w:r>
      <w:r/>
    </w:p>
    <w:p>
      <w:pPr>
        <w:ind w:firstLine="420"/>
        <w:spacing w:line="288" w:lineRule="auto"/>
        <w:rPr>
          <w:rFonts w:ascii="宋体" w:hAnsi="宋体" w:cs="宋体"/>
          <w:bCs/>
          <w:color w:val="000000" w:themeColor="text1"/>
          <w:szCs w:val="21"/>
          <w:highlight w:val="none"/>
          <w14:textFill>
            <w14:solidFill>
              <w14:schemeClr w14:val="tx1"/>
            </w14:solidFill>
          </w14:textFill>
        </w:rPr>
        <w:outlineLvl w:val="0"/>
      </w:pPr>
      <w:r>
        <w:rPr>
          <w:rFonts w:hint="eastAsia" w:ascii="宋体" w:hAnsi="宋体" w:cs="宋体"/>
          <w:bCs/>
          <w:color w:val="000000" w:themeColor="text1"/>
          <w:szCs w:val="21"/>
          <w:highlight w:val="none"/>
          <w14:textFill>
            <w14:solidFill>
              <w14:schemeClr w14:val="tx1"/>
            </w14:solidFill>
          </w14:textFill>
        </w:rPr>
        <w:t xml:space="preserve">本次招标不接受联合体投标。</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8、投标费用</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8.1 供应商应自行承担所有与准备和参加投标有关的费用</w:t>
      </w:r>
      <w:r>
        <w:rPr>
          <w:rFonts w:hint="eastAsia"/>
          <w:color w:val="000000" w:themeColor="text1"/>
          <w:highlight w:val="none"/>
          <w14:textFill>
            <w14:solidFill>
              <w14:schemeClr w14:val="tx1"/>
            </w14:solidFill>
          </w14:textFill>
        </w:rPr>
        <w:t xml:space="preserve">，无论采购结果如何，代理机构和采购人在任何情况下均无义务和责任承担这些费用</w:t>
      </w:r>
      <w:r>
        <w:rPr>
          <w:color w:val="000000" w:themeColor="text1"/>
          <w:highlight w:val="none"/>
          <w14:textFill>
            <w14:solidFill>
              <w14:schemeClr w14:val="tx1"/>
            </w14:solidFill>
          </w14:textFill>
        </w:rPr>
        <w:t xml:space="preserve">。</w:t>
      </w:r>
      <w:r/>
    </w:p>
    <w:p>
      <w:pPr>
        <w:ind w:firstLine="420"/>
        <w:spacing w:line="288"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8.2. 因采购人南京医科大学附属口腔医院经过公开遴选并和代理机构签订了年度代理协议，本项目招标代理服务费用（含专家评审费）按单个项目的中标金额为基础，参照“计价格[2002]1980号文件和发改委[2003]857号文件</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收费标准的成交折扣四折收取。如计算出的代理服务费低于4500元的，则按4500元收取；如计算出的代理服务费高于20000元的，则按20000元收取。代理服务收费按差额定率累进法计算。跨年度项目按年度成交金额计算。</w:t>
      </w:r>
      <w:r/>
    </w:p>
    <w:p>
      <w:pPr>
        <w:ind w:firstLine="420"/>
        <w:spacing w:line="288"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其中本项目专家评审费2000元由采购人南京医科大学附属口腔医院支付。</w:t>
      </w:r>
      <w:r/>
    </w:p>
    <w:p>
      <w:pPr>
        <w:ind w:firstLine="420"/>
        <w:spacing w:line="288"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因此本项目代理服务费实际缴纳金额为按以上方式计算后扣减专家评审费金额，由中标、成交供应商支付。请投标人综合考虑在投标报价中，后期采购人不单独列支，必须在领取中标通知书前向招标代理机构支付招标服务费。</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9、投标文件组成</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9.1 </w:t>
      </w:r>
      <w:r>
        <w:rPr>
          <w:rFonts w:hint="eastAsia" w:ascii="宋体" w:hAnsi="宋体" w:cs="宋体"/>
          <w:color w:val="000000" w:themeColor="text1"/>
          <w:szCs w:val="21"/>
          <w:highlight w:val="none"/>
          <w14:textFill>
            <w14:solidFill>
              <w14:schemeClr w14:val="tx1"/>
            </w14:solidFill>
          </w14:textFill>
        </w:rPr>
        <w:t xml:space="preserve">供应商应当根据招标文件要求编制投标文件，投标文件应对招标文件提出的要求和条件作出实质性响应，并在</w:t>
      </w:r>
      <w:r>
        <w:rPr>
          <w:rFonts w:hint="eastAsia" w:ascii="宋体" w:hAnsi="宋体" w:cs="宋体"/>
          <w:color w:val="000000" w:themeColor="text1"/>
          <w:szCs w:val="21"/>
          <w:highlight w:val="none"/>
          <w:lang w:val="zh-CN"/>
          <w14:textFill>
            <w14:solidFill>
              <w14:schemeClr w14:val="tx1"/>
            </w14:solidFill>
          </w14:textFill>
        </w:rPr>
        <w:t xml:space="preserve">《商务条款偏离表》和《技术条款偏离表》等处</w:t>
      </w:r>
      <w:r>
        <w:rPr>
          <w:rFonts w:hint="eastAsia" w:ascii="宋体" w:hAnsi="宋体" w:cs="宋体"/>
          <w:color w:val="000000" w:themeColor="text1"/>
          <w:szCs w:val="21"/>
          <w:highlight w:val="none"/>
          <w14:textFill>
            <w14:solidFill>
              <w14:schemeClr w14:val="tx1"/>
            </w14:solidFill>
          </w14:textFill>
        </w:rPr>
        <w:t xml:space="preserve">逐条标明满足与否。</w:t>
      </w:r>
      <w:r/>
    </w:p>
    <w:p>
      <w:pPr>
        <w:ind w:firstLine="411"/>
        <w:spacing w:line="288" w:lineRule="auto"/>
        <w:rPr>
          <w:rFonts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9.2 供应商根据招标文件载明的标的采购项目实际情况，拟在中标后将中标项目的非主体、非关键性工作交由他人完成的，应当在投标文件中载明。</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rPr>
          <w:rFonts w:hint="eastAsia" w:ascii="宋体" w:hAnsi="宋体" w:cs="宋体"/>
          <w:color w:val="000000" w:themeColor="text1"/>
          <w:szCs w:val="21"/>
          <w:highlight w:val="none"/>
          <w:lang w:val="zh-CN"/>
          <w14:textFill>
            <w14:solidFill>
              <w14:schemeClr w14:val="tx1"/>
            </w14:solidFill>
          </w14:textFill>
        </w:rPr>
        <w:t xml:space="preserve">.3 投标文件由商务部分、技术部分、价格部分，以及其他部分组成。</w:t>
      </w:r>
      <w:r/>
    </w:p>
    <w:p>
      <w:pPr>
        <w:ind w:firstLine="422"/>
        <w:spacing w:line="288"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10、投标文件的商务部分</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10.1 商务部分是证明供应商有资格参加投标和中标后有能力履行合同的文件，</w:t>
      </w:r>
      <w:r>
        <w:rPr>
          <w:rFonts w:hint="eastAsia" w:ascii="宋体" w:hAnsi="宋体" w:cs="宋体"/>
          <w:color w:val="000000" w:themeColor="text1"/>
          <w:szCs w:val="21"/>
          <w:highlight w:val="none"/>
          <w14:textFill>
            <w14:solidFill>
              <w14:schemeClr w14:val="tx1"/>
            </w14:solidFill>
          </w14:textFill>
        </w:rPr>
        <w:t xml:space="preserve">这些文件应能满足招标的要求</w:t>
      </w:r>
      <w:r>
        <w:rPr>
          <w:rFonts w:hint="eastAsia" w:ascii="宋体" w:hAnsi="宋体" w:cs="宋体"/>
          <w:color w:val="000000" w:themeColor="text1"/>
          <w:szCs w:val="21"/>
          <w:highlight w:val="none"/>
          <w:lang w:val="zh-CN"/>
          <w14:textFill>
            <w14:solidFill>
              <w14:schemeClr w14:val="tx1"/>
            </w14:solidFill>
          </w14:textFill>
        </w:rPr>
        <w:t xml:space="preserve">，包括但不限于下列文件，其中</w:t>
      </w:r>
      <w:r>
        <w:rPr>
          <w:rFonts w:hint="eastAsia" w:ascii="宋体" w:hAnsi="宋体"/>
          <w:b/>
          <w:bCs/>
          <w:i/>
          <w:color w:val="000000" w:themeColor="text1"/>
          <w:sz w:val="24"/>
          <w:highlight w:val="none"/>
          <w:u w:val="single"/>
          <w14:textFill>
            <w14:solidFill>
              <w14:schemeClr w14:val="tx1"/>
            </w14:solidFill>
          </w14:textFill>
        </w:rPr>
        <w:t xml:space="preserve">本招标文件中斜体加粗且有下划线部分为实质性要求和条件，</w:t>
      </w:r>
      <w:r>
        <w:rPr>
          <w:rFonts w:hint="eastAsia" w:ascii="宋体" w:hAnsi="宋体" w:cs="宋体"/>
          <w:color w:val="000000" w:themeColor="text1"/>
          <w:szCs w:val="21"/>
          <w:highlight w:val="none"/>
          <w:lang w:val="zh-CN"/>
          <w14:textFill>
            <w14:solidFill>
              <w14:schemeClr w14:val="tx1"/>
            </w14:solidFill>
          </w14:textFill>
        </w:rPr>
        <w:t xml:space="preserve">不得有缺失或无效。</w:t>
      </w:r>
      <w:r/>
    </w:p>
    <w:p>
      <w:pPr>
        <w:ind w:firstLine="420"/>
        <w:spacing w:line="288" w:lineRule="auto"/>
        <w:rPr>
          <w:rFonts w:ascii="宋体" w:hAnsi="宋体"/>
          <w:b/>
          <w:bCs/>
          <w:i/>
          <w:color w:val="000000" w:themeColor="text1"/>
          <w:sz w:val="24"/>
          <w:highlight w:val="none"/>
          <w:u w:val="single"/>
          <w14:textFill>
            <w14:solidFill>
              <w14:schemeClr w14:val="tx1"/>
            </w14:solidFill>
          </w14:textFill>
        </w:rPr>
      </w:pPr>
      <w:r>
        <w:rPr>
          <w:rFonts w:hint="eastAsia" w:ascii="宋体" w:hAnsi="宋体"/>
          <w:b/>
          <w:bCs/>
          <w:i/>
          <w:color w:val="000000" w:themeColor="text1"/>
          <w:sz w:val="24"/>
          <w:highlight w:val="none"/>
          <w:u w:val="single"/>
          <w14:textFill>
            <w14:solidFill>
              <w14:schemeClr w14:val="tx1"/>
            </w14:solidFill>
          </w14:textFill>
        </w:rPr>
        <w:t xml:space="preserve">（1）投标函（投标申请及声明）；</w:t>
      </w:r>
      <w:r/>
    </w:p>
    <w:p>
      <w:pPr>
        <w:ind w:firstLine="420"/>
        <w:spacing w:line="288" w:lineRule="auto"/>
        <w:rPr>
          <w:rFonts w:ascii="宋体" w:hAnsi="宋体"/>
          <w:b/>
          <w:bCs/>
          <w:i/>
          <w:color w:val="000000" w:themeColor="text1"/>
          <w:sz w:val="24"/>
          <w:highlight w:val="none"/>
          <w:u w:val="single"/>
          <w14:textFill>
            <w14:solidFill>
              <w14:schemeClr w14:val="tx1"/>
            </w14:solidFill>
          </w14:textFill>
        </w:rPr>
      </w:pPr>
      <w:r>
        <w:rPr>
          <w:rFonts w:hint="eastAsia" w:ascii="宋体" w:hAnsi="宋体"/>
          <w:b/>
          <w:bCs/>
          <w:i/>
          <w:color w:val="000000" w:themeColor="text1"/>
          <w:sz w:val="24"/>
          <w:highlight w:val="none"/>
          <w:u w:val="single"/>
          <w14:textFill>
            <w14:solidFill>
              <w14:schemeClr w14:val="tx1"/>
            </w14:solidFill>
          </w14:textFill>
        </w:rPr>
        <w:t xml:space="preserve">（2）法定代表人授权委托书及委托代理人的身份证复印件； </w:t>
      </w:r>
      <w:r/>
    </w:p>
    <w:p>
      <w:pPr>
        <w:ind w:firstLine="420"/>
        <w:spacing w:line="288" w:lineRule="auto"/>
        <w:rPr>
          <w:rFonts w:ascii="宋体" w:hAnsi="宋体"/>
          <w:b/>
          <w:bCs/>
          <w:i/>
          <w:color w:val="000000" w:themeColor="text1"/>
          <w:sz w:val="24"/>
          <w:highlight w:val="none"/>
          <w:u w:val="single"/>
          <w14:textFill>
            <w14:solidFill>
              <w14:schemeClr w14:val="tx1"/>
            </w14:solidFill>
          </w14:textFill>
        </w:rPr>
      </w:pPr>
      <w:r>
        <w:rPr>
          <w:rFonts w:hint="eastAsia" w:ascii="宋体" w:hAnsi="宋体"/>
          <w:b/>
          <w:bCs/>
          <w:i/>
          <w:color w:val="000000" w:themeColor="text1"/>
          <w:sz w:val="24"/>
          <w:highlight w:val="none"/>
          <w:u w:val="single"/>
          <w14:textFill>
            <w14:solidFill>
              <w14:schemeClr w14:val="tx1"/>
            </w14:solidFill>
          </w14:textFill>
        </w:rPr>
        <w:t xml:space="preserve">（3）第一章投标邀请中二、申请人的资格要求：（一）满足《中华人民共和国政府采购法》第二十二条规定的资格条件证明文件； </w:t>
      </w:r>
      <w:r/>
    </w:p>
    <w:p>
      <w:pPr>
        <w:ind w:firstLine="420"/>
        <w:spacing w:line="288" w:lineRule="auto"/>
        <w:rPr>
          <w:rFonts w:ascii="宋体" w:hAnsi="宋体"/>
          <w:b/>
          <w:bCs/>
          <w:i/>
          <w:color w:val="000000" w:themeColor="text1"/>
          <w:sz w:val="24"/>
          <w:highlight w:val="none"/>
          <w:u w:val="single"/>
          <w14:textFill>
            <w14:solidFill>
              <w14:schemeClr w14:val="tx1"/>
            </w14:solidFill>
          </w14:textFill>
        </w:rPr>
      </w:pPr>
      <w:r>
        <w:rPr>
          <w:rFonts w:hint="eastAsia" w:ascii="宋体" w:hAnsi="宋体"/>
          <w:b/>
          <w:bCs/>
          <w:i/>
          <w:color w:val="000000" w:themeColor="text1"/>
          <w:sz w:val="24"/>
          <w:highlight w:val="none"/>
          <w:u w:val="single"/>
          <w14:textFill>
            <w14:solidFill>
              <w14:schemeClr w14:val="tx1"/>
            </w14:solidFill>
          </w14:textFill>
        </w:rPr>
        <w:t xml:space="preserve">（4）第一章投标邀请中二、申请人的资格要求：（二）落实政府采购政策需满足的资格要求证明文件（如本项目专门面向中/小/微）；</w:t>
      </w:r>
      <w:r/>
    </w:p>
    <w:p>
      <w:pPr>
        <w:ind w:firstLine="420"/>
        <w:spacing w:line="288" w:lineRule="auto"/>
        <w:rPr>
          <w:rFonts w:ascii="宋体" w:hAnsi="宋体"/>
          <w:b/>
          <w:bCs/>
          <w:i/>
          <w:color w:val="000000" w:themeColor="text1"/>
          <w:sz w:val="24"/>
          <w:highlight w:val="none"/>
          <w:u w:val="single"/>
          <w14:textFill>
            <w14:solidFill>
              <w14:schemeClr w14:val="tx1"/>
            </w14:solidFill>
          </w14:textFill>
        </w:rPr>
      </w:pPr>
      <w:r>
        <w:rPr>
          <w:rFonts w:hint="eastAsia" w:ascii="宋体" w:hAnsi="宋体"/>
          <w:b/>
          <w:bCs/>
          <w:i/>
          <w:color w:val="000000" w:themeColor="text1"/>
          <w:sz w:val="24"/>
          <w:highlight w:val="none"/>
          <w:u w:val="single"/>
          <w14:textFill>
            <w14:solidFill>
              <w14:schemeClr w14:val="tx1"/>
            </w14:solidFill>
          </w14:textFill>
        </w:rPr>
        <w:t xml:space="preserve">（5）</w:t>
      </w:r>
      <w:r>
        <w:rPr>
          <w:rFonts w:hint="eastAsia" w:ascii="宋体" w:hAnsi="宋体"/>
          <w:b/>
          <w:bCs/>
          <w:i/>
          <w:color w:val="000000" w:themeColor="text1"/>
          <w:sz w:val="24"/>
          <w:highlight w:val="none"/>
          <w:u w:val="single"/>
          <w:lang w:val="zh-CN"/>
          <w14:textFill>
            <w14:solidFill>
              <w14:schemeClr w14:val="tx1"/>
            </w14:solidFill>
          </w14:textFill>
        </w:rPr>
        <w:t xml:space="preserve">第一章投标邀请中</w:t>
      </w:r>
      <w:r>
        <w:rPr>
          <w:rFonts w:hint="eastAsia" w:ascii="宋体" w:hAnsi="宋体"/>
          <w:b/>
          <w:bCs/>
          <w:i/>
          <w:color w:val="000000" w:themeColor="text1"/>
          <w:sz w:val="24"/>
          <w:highlight w:val="none"/>
          <w:u w:val="single"/>
          <w14:textFill>
            <w14:solidFill>
              <w14:schemeClr w14:val="tx1"/>
            </w14:solidFill>
          </w14:textFill>
        </w:rPr>
        <w:t xml:space="preserve">二、申请人的资格要求：（三）</w:t>
      </w:r>
      <w:r>
        <w:rPr>
          <w:rFonts w:hint="eastAsia" w:ascii="宋体" w:hAnsi="宋体"/>
          <w:b/>
          <w:bCs/>
          <w:i/>
          <w:color w:val="000000" w:themeColor="text1"/>
          <w:sz w:val="24"/>
          <w:highlight w:val="none"/>
          <w:u w:val="single"/>
          <w:lang w:val="zh-CN"/>
          <w14:textFill>
            <w14:solidFill>
              <w14:schemeClr w14:val="tx1"/>
            </w14:solidFill>
          </w14:textFill>
        </w:rPr>
        <w:t xml:space="preserve">采购人根据采购项目的特殊要求规定的特定条件证明文件</w:t>
      </w:r>
      <w:r>
        <w:rPr>
          <w:rFonts w:hint="eastAsia" w:ascii="宋体" w:hAnsi="宋体"/>
          <w:b/>
          <w:bCs/>
          <w:i/>
          <w:color w:val="000000" w:themeColor="text1"/>
          <w:sz w:val="24"/>
          <w:highlight w:val="none"/>
          <w:u w:val="single"/>
          <w14:textFill>
            <w14:solidFill>
              <w14:schemeClr w14:val="tx1"/>
            </w14:solidFill>
          </w14:textFill>
        </w:rPr>
        <w:t xml:space="preserve">（若有）；  </w:t>
      </w:r>
      <w:r/>
    </w:p>
    <w:p>
      <w:pPr>
        <w:ind w:firstLine="420"/>
        <w:spacing w:line="288" w:lineRule="auto"/>
        <w:rPr>
          <w:rFonts w:ascii="宋体" w:hAnsi="宋体"/>
          <w:b/>
          <w:bCs/>
          <w:i/>
          <w:color w:val="000000" w:themeColor="text1"/>
          <w:sz w:val="24"/>
          <w:highlight w:val="none"/>
          <w:u w:val="single"/>
          <w14:textFill>
            <w14:solidFill>
              <w14:schemeClr w14:val="tx1"/>
            </w14:solidFill>
          </w14:textFill>
        </w:rPr>
      </w:pPr>
      <w:r>
        <w:rPr>
          <w:rFonts w:hint="eastAsia" w:ascii="宋体" w:hAnsi="宋体"/>
          <w:b/>
          <w:bCs/>
          <w:i/>
          <w:color w:val="000000" w:themeColor="text1"/>
          <w:sz w:val="24"/>
          <w:highlight w:val="none"/>
          <w:u w:val="single"/>
          <w14:textFill>
            <w14:solidFill>
              <w14:schemeClr w14:val="tx1"/>
            </w14:solidFill>
          </w14:textFill>
        </w:rPr>
        <w:t xml:space="preserve">（6）开标一览表；</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t xml:space="preserve">）《商务条款偏离表》； </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8</w:t>
      </w:r>
      <w:r>
        <w:rPr>
          <w:color w:val="000000" w:themeColor="text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合同条款</w:t>
      </w:r>
      <w:r/>
    </w:p>
    <w:p>
      <w:pPr>
        <w:ind w:firstLine="420"/>
        <w:spacing w:line="288"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w:t>
      </w:r>
      <w:r>
        <w:rPr>
          <w:color w:val="000000" w:themeColor="text1"/>
          <w:highlight w:val="none"/>
          <w14:textFill>
            <w14:solidFill>
              <w14:schemeClr w14:val="tx1"/>
            </w14:solidFill>
          </w14:textFill>
        </w:rPr>
        <w:t xml:space="preserve">供应商认为需要提供的其他资格证明文件和商务资料。</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11、投标文件的技术部分</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11.1 技术部分是证明</w:t>
      </w:r>
      <w:r>
        <w:rPr>
          <w:rFonts w:hint="eastAsia" w:ascii="宋体" w:hAnsi="宋体" w:cs="宋体"/>
          <w:color w:val="000000" w:themeColor="text1"/>
          <w:szCs w:val="21"/>
          <w:highlight w:val="none"/>
          <w14:textFill>
            <w14:solidFill>
              <w14:schemeClr w14:val="tx1"/>
            </w14:solidFill>
          </w14:textFill>
        </w:rPr>
        <w:t xml:space="preserve">供应商提供的产品和服务是合格的、并符合招标文件要求的证明文件，以及</w:t>
      </w:r>
      <w:r>
        <w:rPr>
          <w:rFonts w:hint="eastAsia" w:ascii="宋体" w:hAnsi="宋体" w:cs="宋体"/>
          <w:color w:val="000000" w:themeColor="text1"/>
          <w:szCs w:val="21"/>
          <w:highlight w:val="none"/>
          <w:lang w:val="zh-CN"/>
          <w14:textFill>
            <w14:solidFill>
              <w14:schemeClr w14:val="tx1"/>
            </w14:solidFill>
          </w14:textFill>
        </w:rPr>
        <w:t xml:space="preserve">对投标报价表中的服务的详细说明，这些文件可以是文字资料、图纸和数据等。</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11.2 若技术性能无特殊说明，则按国家有关部门最新颁布的标准及规范为准；</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11.3 提供的服务如与招标文件要求有不符之处，应说明其差别之所在，并在《技术条款偏离表》中逐条予以说明。</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11.4 投标文件应按照招标文件要求提供技术资料、文件和有关证明，包括但不限于其中</w:t>
      </w:r>
      <w:r>
        <w:rPr>
          <w:rFonts w:hint="eastAsia" w:ascii="宋体" w:hAnsi="宋体"/>
          <w:b/>
          <w:bCs/>
          <w:i/>
          <w:color w:val="000000" w:themeColor="text1"/>
          <w:sz w:val="24"/>
          <w:highlight w:val="none"/>
          <w:u w:val="single"/>
          <w14:textFill>
            <w14:solidFill>
              <w14:schemeClr w14:val="tx1"/>
            </w14:solidFill>
          </w14:textFill>
        </w:rPr>
        <w:t xml:space="preserve">本招标文件中斜体加粗且有下划线部分为实质性要求和条件，</w:t>
      </w:r>
      <w:r>
        <w:rPr>
          <w:rFonts w:hint="eastAsia" w:ascii="宋体" w:hAnsi="宋体" w:cs="宋体"/>
          <w:color w:val="000000" w:themeColor="text1"/>
          <w:szCs w:val="21"/>
          <w:highlight w:val="none"/>
          <w:lang w:val="zh-CN"/>
          <w14:textFill>
            <w14:solidFill>
              <w14:schemeClr w14:val="tx1"/>
            </w14:solidFill>
          </w14:textFill>
        </w:rPr>
        <w:t xml:space="preserve">不得有缺失或无效：</w:t>
      </w:r>
      <w:r/>
    </w:p>
    <w:p>
      <w:pPr>
        <w:ind w:firstLine="420"/>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（1）技术说明或服务方案；</w:t>
      </w:r>
      <w:r/>
    </w:p>
    <w:p>
      <w:pPr>
        <w:ind w:firstLine="420"/>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（2）《技术条款偏离表》； </w:t>
      </w:r>
      <w:r/>
    </w:p>
    <w:p>
      <w:pPr>
        <w:ind w:firstLine="420"/>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（3）服务承诺； </w:t>
      </w:r>
      <w:r/>
    </w:p>
    <w:p>
      <w:pPr>
        <w:ind w:firstLine="420"/>
        <w:spacing w:line="288" w:lineRule="auto"/>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（4）投标人拟投入本项目的设备、人员情况； </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（5）供应商认为需要提供的其他技术资料。</w:t>
      </w:r>
      <w:r/>
    </w:p>
    <w:p>
      <w:pPr>
        <w:ind w:firstLine="420"/>
        <w:spacing w:line="288"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12、投标文件的价格部分</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12.1</w:t>
      </w:r>
      <w:r>
        <w:rPr>
          <w:rFonts w:hint="eastAsia" w:ascii="宋体" w:hAnsi="宋体" w:cs="宋体"/>
          <w:color w:val="000000" w:themeColor="text1"/>
          <w:szCs w:val="21"/>
          <w:highlight w:val="none"/>
          <w14:textFill>
            <w14:solidFill>
              <w14:schemeClr w14:val="tx1"/>
            </w14:solidFill>
          </w14:textFill>
        </w:rPr>
        <w:t xml:space="preserve">价格部分是对服务价格构成的说明，招标文件如没有特别说明的话，对每一项服务仅接受一个价格。投标人应按照招标文件规定格式填报投标分项报价表。</w:t>
      </w:r>
      <w:r/>
    </w:p>
    <w:p>
      <w:pPr>
        <w:ind w:firstLine="420"/>
        <w:spacing w:line="288"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12.2</w:t>
      </w:r>
      <w:r>
        <w:rPr>
          <w:rFonts w:hint="eastAsia" w:ascii="宋体" w:hAnsi="宋体" w:cs="宋体"/>
          <w:color w:val="000000" w:themeColor="text1"/>
          <w:szCs w:val="21"/>
          <w:highlight w:val="none"/>
          <w14:textFill>
            <w14:solidFill>
              <w14:schemeClr w14:val="tx1"/>
            </w14:solidFill>
          </w14:textFill>
        </w:rPr>
        <w:t xml:space="preserve">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rFonts w:hint="eastAsia" w:ascii="宋体" w:hAnsi="宋体" w:cs="宋体"/>
          <w:b/>
          <w:color w:val="000000" w:themeColor="text1"/>
          <w:szCs w:val="21"/>
          <w:highlight w:val="none"/>
          <w14:textFill>
            <w14:solidFill>
              <w14:schemeClr w14:val="tx1"/>
            </w14:solidFill>
          </w14:textFill>
        </w:rPr>
        <w:t xml:space="preserve">。</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12.3供应商的任何错漏、优惠、竞争性报价不得作为减轻责任、减少服务、增加收费、降低质量的理由。</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12.4供应商应在《开标一览表》、《分项报价</w:t>
      </w:r>
      <w:r>
        <w:rPr>
          <w:rFonts w:hint="eastAsia" w:ascii="宋体" w:hAnsi="宋体" w:cs="宋体"/>
          <w:color w:val="000000" w:themeColor="text1"/>
          <w:szCs w:val="21"/>
          <w:highlight w:val="none"/>
          <w14:textFill>
            <w14:solidFill>
              <w14:schemeClr w14:val="tx1"/>
            </w14:solidFill>
          </w14:textFill>
        </w:rPr>
        <w:t xml:space="preserve">表</w:t>
      </w:r>
      <w:r>
        <w:rPr>
          <w:rFonts w:hint="eastAsia" w:ascii="宋体" w:hAnsi="宋体" w:cs="宋体"/>
          <w:color w:val="000000" w:themeColor="text1"/>
          <w:szCs w:val="21"/>
          <w:highlight w:val="none"/>
          <w:lang w:val="zh-CN"/>
          <w14:textFill>
            <w14:solidFill>
              <w14:schemeClr w14:val="tx1"/>
            </w14:solidFill>
          </w14:textFill>
        </w:rPr>
        <w:t xml:space="preserve">》等标明提供</w:t>
      </w:r>
      <w:r>
        <w:rPr>
          <w:rFonts w:hint="eastAsia" w:ascii="宋体" w:hAnsi="宋体" w:cs="宋体"/>
          <w:color w:val="000000" w:themeColor="text1"/>
          <w:szCs w:val="21"/>
          <w:highlight w:val="none"/>
          <w14:textFill>
            <w14:solidFill>
              <w14:schemeClr w14:val="tx1"/>
            </w14:solidFill>
          </w14:textFill>
        </w:rPr>
        <w:t xml:space="preserve">货物和</w:t>
      </w:r>
      <w:r>
        <w:rPr>
          <w:rFonts w:hint="eastAsia" w:ascii="宋体" w:hAnsi="宋体" w:cs="宋体"/>
          <w:color w:val="000000" w:themeColor="text1"/>
          <w:szCs w:val="21"/>
          <w:highlight w:val="none"/>
          <w:lang w:val="zh-CN"/>
          <w14:textFill>
            <w14:solidFill>
              <w14:schemeClr w14:val="tx1"/>
            </w14:solidFill>
          </w14:textFill>
        </w:rPr>
        <w:t xml:space="preserve">服务的单价、总价以及分项报价。供应商系小企业（含小型、微型企业），并由本企业提供服务，须在《开标一览表》、《分项报价</w:t>
      </w:r>
      <w:r>
        <w:rPr>
          <w:rFonts w:hint="eastAsia" w:ascii="宋体" w:hAnsi="宋体" w:cs="宋体"/>
          <w:color w:val="000000" w:themeColor="text1"/>
          <w:szCs w:val="21"/>
          <w:highlight w:val="none"/>
          <w14:textFill>
            <w14:solidFill>
              <w14:schemeClr w14:val="tx1"/>
            </w14:solidFill>
          </w14:textFill>
        </w:rPr>
        <w:t xml:space="preserve">表》</w:t>
      </w:r>
      <w:r>
        <w:rPr>
          <w:rFonts w:hint="eastAsia" w:ascii="宋体" w:hAnsi="宋体" w:cs="宋体"/>
          <w:color w:val="000000" w:themeColor="text1"/>
          <w:szCs w:val="21"/>
          <w:highlight w:val="none"/>
          <w:lang w:val="zh-CN"/>
          <w14:textFill>
            <w14:solidFill>
              <w14:schemeClr w14:val="tx1"/>
            </w14:solidFill>
          </w14:textFill>
        </w:rPr>
        <w:t xml:space="preserve">中注明,供应商应当如实申报,否则评标委员会有权取消其小微企业优惠政策。</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2.5</w:t>
      </w:r>
      <w:r>
        <w:rPr>
          <w:rFonts w:hint="eastAsia" w:ascii="宋体" w:hAnsi="宋体" w:cs="宋体"/>
          <w:color w:val="000000" w:themeColor="text1"/>
          <w:szCs w:val="21"/>
          <w:highlight w:val="none"/>
          <w:lang w:val="zh-CN"/>
          <w14:textFill>
            <w14:solidFill>
              <w14:schemeClr w14:val="tx1"/>
            </w14:solidFill>
          </w14:textFill>
        </w:rPr>
        <w:t xml:space="preserve">《开标一览表》须加盖电子公章。</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12.6</w:t>
      </w:r>
      <w:r>
        <w:rPr>
          <w:rFonts w:hint="eastAsia" w:ascii="宋体" w:hAnsi="宋体" w:cs="宋体"/>
          <w:color w:val="000000" w:themeColor="text1"/>
          <w:szCs w:val="21"/>
          <w:highlight w:val="none"/>
          <w:lang w:val="zh-CN"/>
          <w14:textFill>
            <w14:solidFill>
              <w14:schemeClr w14:val="tx1"/>
            </w14:solidFill>
          </w14:textFill>
        </w:rPr>
        <w:t xml:space="preserve">评审中出现下列情形之一的，评审委员会应当启动异常低价投标（响应）审查程序：</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（3）投标（响应）报价低于采购项目最高限价45%的，即投标（响应）报价&lt;采购项目最高限价×45%；</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（4）评审委员会基于专业判断，认为供应商报价过低，有可能影响产品质量或者不能诚信履约的其他情形。</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2.7</w:t>
      </w:r>
      <w:r>
        <w:rPr>
          <w:rFonts w:hint="eastAsia" w:ascii="宋体" w:hAnsi="宋体" w:cs="宋体"/>
          <w:color w:val="000000" w:themeColor="text1"/>
          <w:szCs w:val="21"/>
          <w:highlight w:val="none"/>
          <w:lang w:val="zh-CN"/>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12.8启动异常低价投标（响应）审查程序后，评标委员会将通过“苏采云”系统要求供应商作出必要的说明，并规定回复时间。供应商说明应当采用通过“苏采云”系统（使用“CA数字证书”，加盖电子签章）形式。</w:t>
      </w:r>
      <w:r/>
    </w:p>
    <w:p>
      <w:pPr>
        <w:ind w:firstLine="420"/>
        <w:spacing w:line="288"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13、投标文件的其他部分</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13.1其他部分由供应商根据编制投标文件需要提供的其他相关文件。</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14、投标保证金：无</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15、投标有效期</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15.1 自开标之日起60天内投标有效。</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15.2 在特殊情况下，在原投标有效期截止之前，招标代理可要求供应商同意延长投标有效期，这种要求与答复均以书面形式提交。供应商可拒绝这种要求，并且不影响保证金退还。接受延长投标有效期的供应商将不会要求和允许修正其投标。</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16、投标文件的签署</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16.1 </w:t>
      </w:r>
      <w:r>
        <w:rPr>
          <w:rFonts w:hint="eastAsia" w:ascii="宋体" w:hAnsi="宋体" w:cs="宋体"/>
          <w:color w:val="000000" w:themeColor="text1"/>
          <w:szCs w:val="21"/>
          <w:highlight w:val="none"/>
          <w14:textFill>
            <w14:solidFill>
              <w14:schemeClr w14:val="tx1"/>
            </w14:solidFill>
          </w14:textFill>
        </w:rPr>
        <w:t xml:space="preserve">投标文件应加盖响应供应商公章，招标文件中注明须签字的地方应由供应商的法定代表人或委托代理人签字。</w:t>
      </w:r>
      <w:r/>
    </w:p>
    <w:p>
      <w:pPr>
        <w:ind w:firstLine="420"/>
        <w:spacing w:line="288" w:lineRule="auto"/>
        <w:rPr>
          <w:rFonts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16.2 </w:t>
      </w:r>
      <w:r>
        <w:rPr>
          <w:rFonts w:hint="eastAsia" w:ascii="宋体" w:hAnsi="宋体" w:cs="宋体"/>
          <w:bCs/>
          <w:color w:val="000000" w:themeColor="text1"/>
          <w:highlight w:val="none"/>
          <w14:textFill>
            <w14:solidFill>
              <w14:schemeClr w14:val="tx1"/>
            </w14:solidFill>
          </w14:textFill>
        </w:rPr>
        <w:t xml:space="preserve">除投标人对错处做必要修改外，投标文件不得行间插字、涂改或增删。如有修改错漏处，必须由投标文件签署人签字或盖章。</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17、投标文件的密封和递交</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17.1 </w:t>
      </w:r>
      <w:r>
        <w:rPr>
          <w:rFonts w:hint="eastAsia" w:ascii="宋体" w:hAnsi="宋体" w:cs="宋体"/>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17.2投标人应当按照《操作手册》规定，在苏采云系统规定的时间内对投标文件进行解密。</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17.3 所有投标人使用 CA 证书在递交响应文件截止后，解密各自响应文件，投标人不足3家的，不得评标。</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17.4 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部分投标文件未解密的，其他投标文件的评标可以继续进行。</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17.5 代理机构有权通过修改招标文件酌情延长投标截止时间，在此情况下，投标人的所有权利和义务均以延长后新的截止时间为准。</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18、有下列情形之一的投标文件将拒收：</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18.1 在招标文件要求提交投标文件的截止时间之后</w:t>
      </w:r>
      <w:r>
        <w:rPr>
          <w:rFonts w:hint="eastAsia" w:ascii="宋体" w:hAnsi="宋体" w:cs="宋体"/>
          <w:color w:val="000000" w:themeColor="text1"/>
          <w:szCs w:val="21"/>
          <w:highlight w:val="none"/>
          <w14:textFill>
            <w14:solidFill>
              <w14:schemeClr w14:val="tx1"/>
            </w14:solidFill>
          </w14:textFill>
        </w:rPr>
        <w:t xml:space="preserve">上传</w:t>
      </w:r>
      <w:r>
        <w:rPr>
          <w:rFonts w:hint="eastAsia" w:ascii="宋体" w:hAnsi="宋体" w:cs="宋体"/>
          <w:color w:val="000000" w:themeColor="text1"/>
          <w:szCs w:val="21"/>
          <w:highlight w:val="none"/>
          <w:lang w:val="zh-CN"/>
          <w14:textFill>
            <w14:solidFill>
              <w14:schemeClr w14:val="tx1"/>
            </w14:solidFill>
          </w14:textFill>
        </w:rPr>
        <w:t xml:space="preserve">的。</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19、投标文件的修改和撤回</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19.1 </w:t>
      </w:r>
      <w:r>
        <w:rPr>
          <w:rFonts w:hint="eastAsia" w:ascii="宋体" w:hAnsi="宋体" w:cs="宋体"/>
          <w:color w:val="000000" w:themeColor="text1"/>
          <w:szCs w:val="21"/>
          <w:highlight w:val="none"/>
          <w14:textFill>
            <w14:solidFill>
              <w14:schemeClr w14:val="tx1"/>
            </w14:solidFill>
          </w14:textFill>
        </w:rPr>
        <w:t xml:space="preserve">投标文件的修改</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19.1.1 投标人可在投标截止时间前对其电子投标文件进行修改，具体操作方法见《操作手册》。</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19.1.2 投标截止时间之后，投标人不得对其电子投标文件作任何修改。</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19.2 投标文件的撤回</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19.2.1 投标人可在投标截止时间前撤回其电子投标文件，具体操作方法见《操作手册》。</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19.2.2 投标人撤回电子投标文件，则认为其不再参与本项目投标活动。</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19.2.3 在投标截止时间至招标文件中规定的投标有效期满之间的这段时间内，投标人不得撤回其投标。</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四、开标、评标与</w:t>
      </w:r>
      <w:r>
        <w:rPr>
          <w:rFonts w:hint="eastAsia" w:ascii="宋体" w:hAnsi="宋体" w:cs="宋体"/>
          <w:b/>
          <w:bCs/>
          <w:color w:val="000000" w:themeColor="text1"/>
          <w:highlight w:val="none"/>
          <w:lang w:val="zh-CN"/>
          <w14:textFill>
            <w14:solidFill>
              <w14:schemeClr w14:val="tx1"/>
            </w14:solidFill>
          </w14:textFill>
        </w:rPr>
        <w:t xml:space="preserve">确定中标供应商</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20、开标</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20.1 </w:t>
      </w:r>
      <w:r>
        <w:rPr>
          <w:rFonts w:hint="eastAsia" w:ascii="宋体" w:hAnsi="宋体" w:cs="宋体"/>
          <w:color w:val="000000" w:themeColor="text1"/>
          <w:szCs w:val="21"/>
          <w:highlight w:val="none"/>
          <w14:textFill>
            <w14:solidFill>
              <w14:schemeClr w14:val="tx1"/>
            </w14:solidFill>
          </w14:textFill>
        </w:rPr>
        <w:t xml:space="preserve">代理机构将在招标文件确定的时间和地点进行公开开标。投标人按照《操作手册》规定参加开标活动，并在苏采云系统规定的时间内对投标文件进行解密。苏采云系统公布各投标人名称和投标价格。</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20.2 </w:t>
      </w:r>
      <w:r>
        <w:rPr>
          <w:rFonts w:hint="eastAsia" w:ascii="宋体" w:hAnsi="宋体" w:cs="宋体"/>
          <w:color w:val="000000" w:themeColor="text1"/>
          <w:szCs w:val="21"/>
          <w:highlight w:val="none"/>
          <w14:textFill>
            <w14:solidFill>
              <w14:schemeClr w14:val="tx1"/>
            </w14:solidFill>
          </w14:textFill>
        </w:rPr>
        <w:t xml:space="preserve">投标人在开标过程中涉及到的投标文件解密、开标结果确认等工作，应按照《操作手册》规定执行。</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rPr>
          <w:rFonts w:hint="eastAsia" w:ascii="宋体" w:hAnsi="宋体" w:cs="宋体"/>
          <w:color w:val="000000" w:themeColor="text1"/>
          <w:szCs w:val="21"/>
          <w:highlight w:val="none"/>
          <w:lang w:val="zh-CN"/>
          <w14:textFill>
            <w14:solidFill>
              <w14:schemeClr w14:val="tx1"/>
            </w14:solidFill>
          </w14:textFill>
        </w:rPr>
        <w:t xml:space="preserve">.3 </w:t>
      </w:r>
      <w:r>
        <w:rPr>
          <w:rFonts w:hint="eastAsia" w:ascii="宋体" w:hAnsi="宋体" w:cs="宋体"/>
          <w:color w:val="000000" w:themeColor="text1"/>
          <w:szCs w:val="21"/>
          <w:highlight w:val="none"/>
          <w14:textFill>
            <w14:solidFill>
              <w14:schemeClr w14:val="tx1"/>
            </w14:solidFill>
          </w14:textFill>
        </w:rPr>
        <w:t xml:space="preserve">投标人如果对开标过程和开标结果有疑义，应当根据《操作手册》规定提出，苏采云系统中《开标记录表》公布后5分钟内未提出的，视同认可开标结果。</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20.4 投标截止时间结束后参加投标的供应商不足三家的，除采购任务取消情形外，招标代理报经监管部门批准后，可变更为竞争性谈判、竞争性磋商或者单一来源方式采购。如果变更为竞争性谈判或竞争性磋商采购的，招标代理根据招标文件中的采购需求编制竞争性谈判文件或竞争性磋商文件，只与该两家供应商进行竞争性谈判采购或竞争性磋商。</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21、评标</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21.1</w:t>
      </w:r>
      <w:r>
        <w:rPr>
          <w:rFonts w:hint="eastAsia" w:ascii="宋体" w:hAnsi="宋体" w:cs="宋体"/>
          <w:b/>
          <w:bCs/>
          <w:color w:val="000000" w:themeColor="text1"/>
          <w:szCs w:val="21"/>
          <w:highlight w:val="none"/>
          <w:lang w:val="zh-CN"/>
          <w14:textFill>
            <w14:solidFill>
              <w14:schemeClr w14:val="tx1"/>
            </w14:solidFill>
          </w14:textFill>
        </w:rPr>
        <w:t xml:space="preserve"> 评标组织</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21.1.1评标工作由招标代理负责组织，具体评标事务由依法组建的评标委员会负责，并独立履行</w:t>
      </w:r>
      <w:r>
        <w:rPr>
          <w:rFonts w:hint="eastAsia" w:ascii="宋体" w:hAnsi="宋体" w:cs="宋体"/>
          <w:color w:val="000000" w:themeColor="text1"/>
          <w:szCs w:val="21"/>
          <w:highlight w:val="none"/>
          <w14:textFill>
            <w14:solidFill>
              <w14:schemeClr w14:val="tx1"/>
            </w14:solidFill>
          </w14:textFill>
        </w:rPr>
        <w:t xml:space="preserve">下列职责：</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（1）审查、评价投标文件是否符合招标文件的商务、技术等实质性要求；</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（2）要求投标人对投标文件有关事项作出澄清或者说明；</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（3）对投标文件进行比较和评价；</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（4）推荐中标候选人或根据采购人委托协议直接确定中标人；</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（5）向采购人、财政部门报告评标中发现的违法行为。</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21.1.2 </w:t>
      </w:r>
      <w:r>
        <w:rPr>
          <w:rFonts w:hint="eastAsia" w:ascii="宋体" w:hAnsi="宋体" w:cs="宋体"/>
          <w:color w:val="000000" w:themeColor="text1"/>
          <w:szCs w:val="21"/>
          <w:highlight w:val="none"/>
          <w:lang w:val="zh-CN"/>
          <w14:textFill>
            <w14:solidFill>
              <w14:schemeClr w14:val="tx1"/>
            </w14:solidFill>
          </w14:textFill>
        </w:rPr>
        <w:t xml:space="preserve">评标委员会由采购人代表和有关技术、经济等方面的专家组成，独立开展评审工作。</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21.2 评标程序</w:t>
      </w:r>
      <w:r/>
    </w:p>
    <w:p>
      <w:pPr>
        <w:ind w:firstLine="420"/>
        <w:spacing w:line="288"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21.2.1 投标文件的资格审查。</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21.2.1.1 采购人代表将依法对投标人的资格进行审查。</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21.2.1.2 资格性审查：依据法律法规和招标文件的规定，对投标文件中的资格证明文件进行审查，以 确定投标供应商是否具备投标资格。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21.2.1.3 在进行资格性审查的同时，将在“信用中国”网站（www.creditchina.gov.cn）、“中国政府采购网"(www.ccgp.gov.cn)对投标人是否被列入失信被执行人、重大税收违法失信主体、政府采购严重违法失信行为记录名单的情况进行查询，以确定投标供应商是否具备投标资格。查询结果将以网页打印的形式留存并归档。</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21.2.1.4 投标文件有下列情况之一的，在资格性审查时按照无效投标处理：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（1）不具备招标文件中规定资格条件的；</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 供应商被“信用中国”网站（www.creditchina.gov.cn）、“中国政府采购网"(www.ccgp.gov.cn) 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 </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t xml:space="preserve">21.2.2 投标文件的符合性审查。</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21.2.2.1 评标委员会将依据法律法规和招标文件的规定，对投标文件的有效性、完整性和对招标文件 的响应程度进行审查，以确定是否对招标文件的实质性要求作出响应。</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21.2.2.2 实质性要求是指本招标文件中</w:t>
      </w:r>
      <w:r>
        <w:rPr>
          <w:rFonts w:hint="eastAsia" w:ascii="宋体" w:hAnsi="宋体"/>
          <w:b/>
          <w:bCs/>
          <w:i/>
          <w:color w:val="000000" w:themeColor="text1"/>
          <w:sz w:val="24"/>
          <w:highlight w:val="none"/>
          <w:u w:val="single"/>
          <w14:textFill>
            <w14:solidFill>
              <w14:schemeClr w14:val="tx1"/>
            </w14:solidFill>
          </w14:textFill>
        </w:rPr>
        <w:t xml:space="preserve">斜体加粗且有下划线部分</w:t>
      </w:r>
      <w:r>
        <w:rPr>
          <w:color w:val="000000" w:themeColor="text1"/>
          <w:highlight w:val="none"/>
          <w14:textFill>
            <w14:solidFill>
              <w14:schemeClr w14:val="tx1"/>
            </w14:solidFill>
          </w14:textFill>
        </w:rPr>
        <w:t xml:space="preserve">的商务和技术要求。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21.2.2.3 如果投标文件实质上没有响应招标文件的要求，评标委员会将予以拒绝，投标人不得通过修改或撤销不合要求的偏离或保留而使其投标成为实质性响应的投标。</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21.2.2.4 投标文件有下列情况之一的，在符合性审查时按照无效投标处理： </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（1）供应商在苏采云系统规定的时间内未成功解密电子投标文件的。</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（2）供应商未按照采购文件要求上传电子投标文件的。</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（3）供应商不具备采购文件中规定资格要求的；</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（4）供应商在报价时采用选择性报价；</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（5）报价超过采购文件中规定的预算金额或者最高限价的；</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（6）投标文件含有采购人不能接受的附加条件的；</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（7）不同供应商的投标文件由同一单位或者个人编制；</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（8）不同供应商委托同一单位或者个人办理投标事宜；</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（9）不同供应商的投标文件载明的项目管理成员或联系人员为同一人；</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（10）不同供应商的投标文件异常一致或者报价呈规律性差异；</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（11）不同供应商的投标文件相互混装；</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（12）不同供应商的负责人为同一人或者存在控股、管理关系的；</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（13）未通过符合性检查的；</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磋商小组认定供应商的报价明显低于其他通过符合性审查供应商的报价，有可能影响产品质量或者不能诚信履约，且供应商不能应磋商小组要求在规定的回复时间内通过“苏采云”系统作出必要的说明证明其报价合理性的；</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（15）未按文件要求签署、盖章的；</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（16）不符合采购文件中规定的其它实质性要求的；</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 ，以一个供应商的身份共同参加政府采购活动的，联合体成员存在不良信用记录的，视同联合体存在不良信用记录；</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（18）不符合法律、法规和磋商文件规定的其他实质性要求的。</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21.2.2.5 在评标期间，出现符合专业条件的供应商或者对招标文件作出实质性响应的供应商不足三家情形的，比照 </w:t>
      </w:r>
      <w:r>
        <w:rPr>
          <w:rFonts w:hint="eastAsia"/>
          <w:color w:val="000000" w:themeColor="text1"/>
          <w:highlight w:val="none"/>
          <w14:textFill>
            <w14:solidFill>
              <w14:schemeClr w14:val="tx1"/>
            </w14:solidFill>
          </w14:textFill>
        </w:rPr>
        <w:t xml:space="preserve">20.4</w:t>
      </w:r>
      <w:r>
        <w:rPr>
          <w:color w:val="000000" w:themeColor="text1"/>
          <w:highlight w:val="none"/>
          <w14:textFill>
            <w14:solidFill>
              <w14:schemeClr w14:val="tx1"/>
            </w14:solidFill>
          </w14:textFill>
        </w:rPr>
        <w:t xml:space="preserve"> 款执行。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21.2.2.6 有下列情形之一的予以废标，同时将废标理由通知所有供应商：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（1）符合专业条件的供应商或者对招标文件作实质性响应的供应商不足三家的；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（2）出现影响采购公正的违法、违规行为的；</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（3）供应商的报价均超过了采购预算或最高限价的，采购人不能支付的；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（4）因重大变故，采购任务取消的；</w:t>
      </w:r>
      <w:r/>
    </w:p>
    <w:p>
      <w:pPr>
        <w:ind w:firstLine="420"/>
        <w:spacing w:line="288" w:lineRule="auto"/>
        <w:widowControl/>
        <w:rPr>
          <w:rFonts w:ascii="宋体" w:hAnsi="宋体" w:cs="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评委会认定招标文件存在歧义、重大缺陷导致评审工作无法进行。</w:t>
      </w:r>
      <w:r/>
    </w:p>
    <w:p>
      <w:pPr>
        <w:ind w:firstLine="420"/>
        <w:spacing w:line="288"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（6）预留份额的采购项目或采购包，通过发布公告方式邀请供应商后，符合资格条件的中小企业数量不足3家的。</w:t>
      </w:r>
      <w:r/>
    </w:p>
    <w:p>
      <w:pPr>
        <w:ind w:firstLine="420"/>
        <w:spacing w:line="288" w:lineRule="auto"/>
        <w:widowControl/>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（7）因苏采云系统故障造成开标不成功。</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21.2.3 投标文件的进一步评审。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21.2.3.1 评标委员会将对确定为实质性响应的投标文件进行进一步评审，看其是否有计算上或累加上 的算术错误，修正错误的原则如下：</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）《开标一览表》（报价表）内容与投标文件中相应内容不一致的，以《开标一览表》（报价表）为准。</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）投标文件、《开标一览表》（报价表）中报价的大写金额与小写金额不一致的，以大写金额为准。</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）单价金额小数点或者百分比有明显错位的，以《开标一览表》（报价表）的总价为准，并修改单价；</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）总价金额与按单价汇总金额不一致的，以单价金额计算结果为准；</w:t>
      </w:r>
      <w:r>
        <w:rPr>
          <w:color w:val="000000" w:themeColor="text1"/>
          <w:highlight w:val="none"/>
          <w14:textFill>
            <w14:solidFill>
              <w14:schemeClr w14:val="tx1"/>
            </w14:solidFill>
          </w14:textFill>
        </w:rPr>
        <w:t xml:space="preserve">只有在评委会认为单价有明显的小数点错误时，才能以标出的总价为准，并修改单价。</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）同时出现21.2.3.1中两种以上不一致的,按照（</w:t>
      </w: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的顺序修正。</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lang w:val="zh-CN"/>
          <w14:textFill>
            <w14:solidFill>
              <w14:schemeClr w14:val="tx1"/>
            </w14:solidFill>
          </w14:textFill>
        </w:rPr>
        <w:t xml:space="preserve">）对不同文字文本投标文件的解释发生异议的，以中文文本为准。</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21.2.3.2 评标委员会将按上述修正错误的方法</w:t>
      </w:r>
      <w:r>
        <w:rPr>
          <w:rFonts w:hint="eastAsia"/>
          <w:color w:val="000000" w:themeColor="text1"/>
          <w:highlight w:val="none"/>
          <w14:textFill>
            <w14:solidFill>
              <w14:schemeClr w14:val="tx1"/>
            </w14:solidFill>
          </w14:textFill>
        </w:rPr>
        <w:t xml:space="preserve">修正</w:t>
      </w:r>
      <w:r>
        <w:rPr>
          <w:color w:val="000000" w:themeColor="text1"/>
          <w:highlight w:val="none"/>
          <w14:textFill>
            <w14:solidFill>
              <w14:schemeClr w14:val="tx1"/>
            </w14:solidFill>
          </w14:textFill>
        </w:rPr>
        <w:t xml:space="preserve">投标文件中的投标价，</w:t>
      </w:r>
      <w:r>
        <w:rPr>
          <w:rFonts w:hint="eastAsia" w:ascii="宋体" w:hAnsi="宋体" w:cs="宋体"/>
          <w:color w:val="000000" w:themeColor="text1"/>
          <w:szCs w:val="21"/>
          <w:highlight w:val="none"/>
          <w:lang w:val="zh-CN"/>
          <w14:textFill>
            <w14:solidFill>
              <w14:schemeClr w14:val="tx1"/>
            </w14:solidFill>
          </w14:textFill>
        </w:rPr>
        <w:t xml:space="preserve">修正后的报价由法定代表人或其授权的代表通过“苏采云”系统确认后产生约束力，投标人不确认的，投标无效。</w:t>
      </w:r>
      <w:r>
        <w:rPr>
          <w:color w:val="000000" w:themeColor="text1"/>
          <w:highlight w:val="none"/>
          <w14:textFill>
            <w14:solidFill>
              <w14:schemeClr w14:val="tx1"/>
            </w14:solidFill>
          </w14:textFill>
        </w:rPr>
        <w:t xml:space="preserve">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21.2.3.3 评委会将允许修正投标文件中不构成重大偏离的、微小的、非正规的、不一致的或不规则的地方，但这些修改不能影响任何投标人相应的名次排列。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21.2.3.4 澄清有关问题。对投标文件中含义不明确、同类问题表述不一致或者明显文字错误的内容， 评标委员会可以要求供应商作出必要的澄清、说明或者补正。供应商的澄清、说明、补正不得超出投标文件的范围或者改变投标文件的实质性内容。</w:t>
      </w:r>
      <w:r/>
    </w:p>
    <w:p>
      <w:pPr>
        <w:ind w:firstLine="420"/>
        <w:spacing w:line="288" w:lineRule="auto"/>
        <w:widowControl/>
        <w:rPr>
          <w:rFonts w:ascii="宋体" w:hAnsi="宋体" w:cs="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 xml:space="preserve">21.2.3.5 </w:t>
      </w:r>
      <w:r>
        <w:rPr>
          <w:rFonts w:hint="eastAsia" w:ascii="宋体" w:hAnsi="宋体" w:cs="宋体"/>
          <w:color w:val="000000" w:themeColor="text1"/>
          <w:szCs w:val="21"/>
          <w:highlight w:val="none"/>
          <w14:textFill>
            <w14:solidFill>
              <w14:schemeClr w14:val="tx1"/>
            </w14:solidFill>
          </w14:textFill>
        </w:rPr>
        <w:t xml:space="preserve">需要供应商进行澄清、说明和补正的，评标委员会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spacing w:line="288" w:lineRule="auto"/>
        <w:widowControl/>
        <w:rPr>
          <w:rFonts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21.2.3.6</w:t>
      </w:r>
      <w:r>
        <w:rPr>
          <w:rFonts w:hint="eastAsia" w:ascii="宋体" w:hAnsi="宋体" w:cs="宋体"/>
          <w:color w:val="000000" w:themeColor="text1"/>
          <w:szCs w:val="21"/>
          <w:highlight w:val="none"/>
          <w14:textFill>
            <w14:solidFill>
              <w14:schemeClr w14:val="tx1"/>
            </w14:solidFill>
          </w14:textFill>
        </w:rPr>
        <w:t xml:space="preserve">接到评标委员会澄清、说明和补正要求的供应商如未按规定做出澄清、说明和补正，其风险由供应商自行承担。供应商拒不按照要求对响应件进行澄清、说明或者补正的，视其放弃该项权利。</w:t>
      </w:r>
      <w:r/>
    </w:p>
    <w:p>
      <w:pPr>
        <w:ind w:firstLine="420"/>
        <w:spacing w:line="288"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21.2.3.7 </w:t>
      </w:r>
      <w:r>
        <w:rPr>
          <w:color w:val="000000" w:themeColor="text1"/>
          <w:highlight w:val="none"/>
          <w14:textFill>
            <w14:solidFill>
              <w14:schemeClr w14:val="tx1"/>
            </w14:solidFill>
          </w14:textFill>
        </w:rPr>
        <w:t xml:space="preserve">比较与评价。按照招标文件中规定的评标方法和标准，对资格性检查和符合性检查合格的投 标文件进行商务和技术评估，综合比较与评价。</w:t>
      </w:r>
      <w:r/>
    </w:p>
    <w:p>
      <w:pPr>
        <w:ind w:firstLine="420"/>
        <w:spacing w:line="288" w:lineRule="auto"/>
        <w:widowControl/>
        <w:rPr>
          <w:rFonts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20.2.3.8 </w:t>
      </w:r>
      <w:r>
        <w:rPr>
          <w:rFonts w:hint="eastAsia" w:ascii="宋体" w:hAnsi="宋体" w:cs="宋体"/>
          <w:color w:val="000000" w:themeColor="text1"/>
          <w:szCs w:val="21"/>
          <w:highlight w:val="none"/>
          <w14:textFill>
            <w14:solidFill>
              <w14:schemeClr w14:val="tx1"/>
            </w14:solidFill>
          </w14:textFill>
        </w:rPr>
        <w:t xml:space="preserve">投标人在开、评标全过程中应保持通讯畅通，及时登录苏采云系统查阅、答复相关信息，并安排专人与代理机构及评委会联系。</w:t>
      </w:r>
      <w:r/>
    </w:p>
    <w:p>
      <w:pPr>
        <w:ind w:firstLine="420"/>
        <w:spacing w:line="288" w:lineRule="auto"/>
        <w:widowControl/>
        <w:rPr>
          <w:rFonts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20.2.3.9 </w:t>
      </w:r>
      <w:r>
        <w:rPr>
          <w:rFonts w:hint="eastAsia" w:ascii="宋体" w:hAnsi="宋体" w:cs="宋体"/>
          <w:color w:val="000000" w:themeColor="text1"/>
          <w:szCs w:val="21"/>
          <w:highlight w:val="none"/>
          <w14:textFill>
            <w14:solidFill>
              <w14:schemeClr w14:val="tx1"/>
            </w14:solidFill>
          </w14:textFill>
        </w:rPr>
        <w:t xml:space="preserve">如出现投标截止时间后参加投标的供应商或者对招标文件作出实质性响应的供应商不足三家的情况，按政府采购相关规定执行。</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21.3 评标方法和标准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21.3.1 采用综合评分法。即在投标文件满足招标文件全部实质性要求前提下，且按照评审因素的量化指标评审得分最高的投标人为中标人的评标方法。</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21.3.2 综合评分的主要因素是：价格、技术、商务等。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21.3.3</w:t>
      </w: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 xml:space="preserve">评分标准详见文件第三章。</w:t>
      </w:r>
      <w:r/>
    </w:p>
    <w:p>
      <w:pPr>
        <w:ind w:firstLine="422"/>
        <w:spacing w:line="288" w:lineRule="auto"/>
        <w:rPr>
          <w:rFonts w:ascii="宋体" w:hAnsi="宋体" w:cs="宋体"/>
          <w:b/>
          <w:bCs/>
          <w:color w:val="000000" w:themeColor="text1"/>
          <w:highlight w:val="none"/>
          <w:lang w:val="zh-CN"/>
          <w14:textFill>
            <w14:solidFill>
              <w14:schemeClr w14:val="tx1"/>
            </w14:solidFill>
          </w14:textFill>
        </w:rPr>
      </w:pPr>
      <w:r>
        <w:rPr>
          <w:rFonts w:hint="eastAsia" w:ascii="宋体" w:hAnsi="宋体" w:cs="宋体"/>
          <w:b/>
          <w:bCs/>
          <w:color w:val="000000" w:themeColor="text1"/>
          <w:highlight w:val="none"/>
          <w:lang w:val="zh-CN"/>
          <w14:textFill>
            <w14:solidFill>
              <w14:schemeClr w14:val="tx1"/>
            </w14:solidFill>
          </w14:textFill>
        </w:rPr>
        <w:t xml:space="preserve">22、确定中标供应商</w:t>
      </w:r>
      <w:r/>
    </w:p>
    <w:p>
      <w:pPr>
        <w:ind w:firstLine="411"/>
        <w:spacing w:line="288"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22.1 在综合比较与评价后按照得分由高到低顺序对供应商进行排序。评标委员会按综合得分排名推荐3名中标候选人。得分相同的，按投标报价由低到高顺序排列。得分且报价相同的，按技术指标（总体方案）优劣顺序排列。</w:t>
      </w:r>
      <w:r/>
    </w:p>
    <w:p>
      <w:pPr>
        <w:ind w:firstLine="411"/>
        <w:spacing w:line="288"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22.2 按以下第（</w:t>
      </w:r>
      <w:r>
        <w:rPr>
          <w:rFonts w:hint="eastAsia"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lang w:val="zh-CN"/>
          <w14:textFill>
            <w14:solidFill>
              <w14:schemeClr w14:val="tx1"/>
            </w14:solidFill>
          </w14:textFill>
        </w:rPr>
        <w:t xml:space="preserve">）种方式确定中标供应商</w:t>
      </w:r>
      <w:r/>
    </w:p>
    <w:p>
      <w:pPr>
        <w:ind w:firstLine="411"/>
        <w:spacing w:line="288"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（1）评标委员会直接确定排名第一的中标候选人为中标供应商；</w:t>
      </w:r>
      <w:r/>
    </w:p>
    <w:p>
      <w:pPr>
        <w:ind w:firstLine="411"/>
        <w:spacing w:line="288"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（2）采购人在评标委员会推荐的中标候选人中按顺序确定中标供应商。</w:t>
      </w:r>
      <w:r/>
    </w:p>
    <w:p>
      <w:pPr>
        <w:ind w:firstLine="411"/>
        <w:spacing w:line="288"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ind w:firstLine="411"/>
        <w:spacing w:line="288"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22.3 中标供应商确定之日起两个工作日内，将在财政部门指定的政府采购信息发布媒体上公告。</w:t>
      </w:r>
      <w:r/>
    </w:p>
    <w:p>
      <w:pPr>
        <w:ind w:firstLine="411"/>
        <w:spacing w:line="288"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22.4 《中标通知书》对采购人和中标供应商具有同等法律效力。</w:t>
      </w:r>
      <w:r/>
    </w:p>
    <w:p>
      <w:pPr>
        <w:ind w:firstLine="411"/>
        <w:spacing w:line="288"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22.5 《中标通知书》发出后，中标供应商无正当理由不与采购人签订合同的，应当依法承担法律责任。</w:t>
      </w:r>
      <w:r/>
    </w:p>
    <w:p>
      <w:pPr>
        <w:ind w:firstLine="411"/>
        <w:spacing w:line="288"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22.6</w:t>
      </w:r>
      <w:r>
        <w:rPr>
          <w:rFonts w:hint="eastAsia"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lang w:val="zh-CN"/>
          <w14:textFill>
            <w14:solidFill>
              <w14:schemeClr w14:val="tx1"/>
            </w14:solidFill>
          </w14:textFill>
        </w:rPr>
        <w:t xml:space="preserve">代理机构和评标委员会对未中标的供应商不作未中标原因的解释。</w:t>
      </w:r>
      <w:r/>
    </w:p>
    <w:p>
      <w:pPr>
        <w:ind w:firstLine="413"/>
        <w:spacing w:line="288"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23</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编写评标报告</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23.1 评标委员会根据全体评标成员签字的原始评标记录和评标结果编写评标报告。</w:t>
      </w:r>
      <w:r/>
    </w:p>
    <w:p>
      <w:pPr>
        <w:ind w:firstLine="420"/>
        <w:spacing w:line="288"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24、评标过程的保密性</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24.1 招标代理将采取必要措施，保证评标在严格保密的情况下进行。</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24.2 任何单位和个人不得非法干预、影响评标办法的确定，以及评标过程和结果。</w:t>
      </w:r>
      <w:r/>
    </w:p>
    <w:p>
      <w:pPr>
        <w:ind w:firstLine="420"/>
        <w:spacing w:line="288"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24.3 凡是与审查、澄清、评价和比较投标的有关资料等，均不向供应商及与评标无关的其他人员透露。</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五、签订合同</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25、签订合同</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25.1 采购人应当自中标通知书发出之日起30日内，按照招标文件和中标人投标文件的规定与中标人签订书面合同。所签订的合同不得对招标文件确定事项和中标人投标文件作实质性修改。</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25.2</w:t>
      </w:r>
      <w:r>
        <w:rPr>
          <w:rFonts w:hint="eastAsia" w:ascii="宋体" w:hAnsi="宋体" w:cs="宋体"/>
          <w:color w:val="000000" w:themeColor="text1"/>
          <w:szCs w:val="21"/>
          <w:highlight w:val="none"/>
          <w14:textFill>
            <w14:solidFill>
              <w14:schemeClr w14:val="tx1"/>
            </w14:solidFill>
          </w14:textFill>
        </w:rPr>
        <w:t xml:space="preserve">采购人不得向中标人提出任何不合理的要求作为签订合同的条件，不得与中标人私下订立背离合同实质性内容的协议。</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六、询问、质疑、投诉和诚实信用</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26、询问</w:t>
      </w:r>
      <w:r/>
    </w:p>
    <w:p>
      <w:pPr>
        <w:ind w:firstLine="420"/>
        <w:spacing w:line="288"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26.1 供应商对招标活动事项有疑问的，可以向招标代理或采购人提出询问，招标代理或采购人将在两个工作日内作出答复，但答复的内容不涉及商业秘密</w:t>
      </w:r>
      <w:r>
        <w:rPr>
          <w:rFonts w:hint="eastAsia" w:ascii="宋体" w:hAnsi="宋体" w:cs="宋体"/>
          <w:b/>
          <w:color w:val="000000" w:themeColor="text1"/>
          <w:szCs w:val="21"/>
          <w:highlight w:val="none"/>
          <w:lang w:val="zh-CN"/>
          <w14:textFill>
            <w14:solidFill>
              <w14:schemeClr w14:val="tx1"/>
            </w14:solidFill>
          </w14:textFill>
        </w:rPr>
        <w:t xml:space="preserve">。</w:t>
      </w:r>
      <w:r/>
    </w:p>
    <w:p>
      <w:pPr>
        <w:ind w:firstLine="420"/>
        <w:spacing w:line="288"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27、质疑</w:t>
      </w:r>
      <w:r/>
    </w:p>
    <w:p>
      <w:pPr>
        <w:ind w:firstLine="420"/>
        <w:spacing w:line="288"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27.1 </w:t>
      </w:r>
      <w:r>
        <w:rPr>
          <w:rFonts w:hint="eastAsia" w:ascii="宋体" w:hAnsi="宋体" w:cs="宋体"/>
          <w:color w:val="000000" w:themeColor="text1"/>
          <w:szCs w:val="21"/>
          <w:highlight w:val="none"/>
          <w14:textFill>
            <w14:solidFill>
              <w14:schemeClr w14:val="tx1"/>
            </w14:solidFill>
          </w14:textFill>
        </w:rPr>
        <w:t xml:space="preserve">供应商认为招标文件、采购过程和中标结果使自己的合法权益受到损害的，可以在知道或者应当知道其权益受到损害之日起七个工作日内一次性提出针对同一采购程序环节的质疑，质疑文件原件以书面形式送达招标代理。</w:t>
      </w:r>
      <w:r/>
    </w:p>
    <w:p>
      <w:pPr>
        <w:ind w:firstLine="409"/>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27.2 </w:t>
      </w:r>
      <w:r>
        <w:rPr>
          <w:rFonts w:hint="eastAsia" w:ascii="宋体" w:hAnsi="宋体" w:cs="宋体"/>
          <w:color w:val="000000" w:themeColor="text1"/>
          <w:szCs w:val="21"/>
          <w:highlight w:val="none"/>
          <w14:textFill>
            <w14:solidFill>
              <w14:schemeClr w14:val="tx1"/>
            </w14:solidFill>
          </w14:textFill>
        </w:rPr>
        <w:t xml:space="preserve">质疑供应商的质疑行为应符合财政部94号令相关规定，质疑供应商是指直接参加本次投标活动的供应商，未参加投标活动的供应商或在投标活动中自身权益未受到损害的供应商所提出的质疑不予受理。</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27.3 质疑必须以参加投标供应商法定代表人或授权代表（投标文件中所确定的）原件送达的方式提交，否则，招标代理有权不予受理。</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27.4上述应知其权益受到损害之日是指：</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（1）对招标文件提出质疑的，为</w:t>
      </w:r>
      <w:r>
        <w:rPr>
          <w:rFonts w:hint="eastAsia" w:ascii="宋体" w:hAnsi="宋体" w:cs="宋体"/>
          <w:color w:val="000000" w:themeColor="text1"/>
          <w:szCs w:val="21"/>
          <w:highlight w:val="none"/>
          <w14:textFill>
            <w14:solidFill>
              <w14:schemeClr w14:val="tx1"/>
            </w14:solidFill>
          </w14:textFill>
        </w:rPr>
        <w:t xml:space="preserve">招</w:t>
      </w:r>
      <w:r>
        <w:rPr>
          <w:rFonts w:hint="eastAsia" w:ascii="宋体" w:hAnsi="宋体" w:cs="宋体"/>
          <w:color w:val="000000" w:themeColor="text1"/>
          <w:szCs w:val="21"/>
          <w:highlight w:val="none"/>
          <w:lang w:val="zh-CN"/>
          <w14:textFill>
            <w14:solidFill>
              <w14:schemeClr w14:val="tx1"/>
            </w14:solidFill>
          </w14:textFill>
        </w:rPr>
        <w:t xml:space="preserve">标文件公告期限届满之日起计算；</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（2）对采购过程提出质疑的，自采购程序环节结束之日起计算；</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（3）对中标结果提出质疑的，自中标结果公告期限届满之日起计算。  </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27.5 质疑文件应包括以下主要内容，并按照“谁主张、谁举证”的原则，附上相关证明材料。否则，招标代理或采购人不予受理：</w:t>
      </w:r>
      <w:r/>
    </w:p>
    <w:p>
      <w:pPr>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（1）质疑项目名称、项目编号、包号、招标公告发布时间、开标时间；</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（2）提起质疑的日期、具体的质疑事项及事实根据（具体条款）；</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（4）质疑供应商名称、地址、邮编、联系人、联系电话（包括座机、手机、传真号码等）；</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（5）质疑文件应当署名，质疑人为自然人的，应当由本人签字并附有效身份证明；质疑人为法人或其他组织的，应当由法定代表人签字并加盖单位公章。</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（6）供应商委托代理质疑的，应当向被质疑人提交授权委托书，并载明委托代理的具体权限和事项。</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27.6 招标代理在收到供应商的书面质疑后将及时组织调查核实，在七个工作日内作出答复，并以书面或在网站公告形式通知质疑供应商和其他有关供应商，答复的内容不涉及商业秘密。</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27.7 </w:t>
      </w:r>
      <w:r>
        <w:rPr>
          <w:rFonts w:hint="eastAsia" w:ascii="宋体" w:hAnsi="宋体" w:cs="宋体"/>
          <w:color w:val="000000" w:themeColor="text1"/>
          <w:szCs w:val="21"/>
          <w:highlight w:val="none"/>
          <w:lang w:val="zh-CN"/>
          <w14:textFill>
            <w14:solidFill>
              <w14:schemeClr w14:val="tx1"/>
            </w14:solidFill>
          </w14:textFill>
        </w:rPr>
        <w:t xml:space="preserve">招标代理遵循“谁过错谁负担”的原则，有过错的一方承担调查论证费用。</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28、投诉</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28.1 质疑供应商对招标代理的答复不满意，或招标代理未在规定的时间内作出答复的，可以在答复期满后</w:t>
      </w:r>
      <w:r>
        <w:rPr>
          <w:rFonts w:hint="eastAsia" w:ascii="宋体" w:hAnsi="宋体" w:cs="宋体"/>
          <w:b/>
          <w:bCs/>
          <w:color w:val="000000" w:themeColor="text1"/>
          <w:szCs w:val="21"/>
          <w:highlight w:val="none"/>
          <w:lang w:val="zh-CN"/>
          <w14:textFill>
            <w14:solidFill>
              <w14:schemeClr w14:val="tx1"/>
            </w14:solidFill>
          </w14:textFill>
        </w:rPr>
        <w:t xml:space="preserve">十五个工作日内</w:t>
      </w:r>
      <w:r>
        <w:rPr>
          <w:rFonts w:hint="eastAsia" w:ascii="宋体" w:hAnsi="宋体" w:cs="宋体"/>
          <w:color w:val="000000" w:themeColor="text1"/>
          <w:szCs w:val="21"/>
          <w:highlight w:val="none"/>
          <w:lang w:val="zh-CN"/>
          <w14:textFill>
            <w14:solidFill>
              <w14:schemeClr w14:val="tx1"/>
            </w14:solidFill>
          </w14:textFill>
        </w:rPr>
        <w:t xml:space="preserve">向采购项目同级财政部门投诉。</w:t>
      </w:r>
      <w:r/>
    </w:p>
    <w:p>
      <w:pPr>
        <w:ind w:firstLine="420"/>
        <w:spacing w:line="288"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29、诚实信用</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29.1 供应商之间不得相互串通投标报价，不得妨碍其他供应商的公平竞争，不得损害采购人和其他供应商的合法权益。</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29.2 供应商不得以向招标代理工作人员、评标委员会成员行贿或者采取其他不正当手段谋取中标。经查实供应商有此行为的，</w:t>
      </w:r>
      <w:r>
        <w:rPr>
          <w:rFonts w:hint="eastAsia" w:ascii="宋体" w:hAnsi="宋体" w:cs="宋体"/>
          <w:color w:val="000000" w:themeColor="text1"/>
          <w:highlight w:val="none"/>
          <w14:textFill>
            <w14:solidFill>
              <w14:schemeClr w14:val="tx1"/>
            </w14:solidFill>
          </w14:textFill>
        </w:rPr>
        <w:t xml:space="preserve">政府采购管理部门将供应商列入不良行为记录名单，按照《政府采购法》有关规定处理。</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29.3 供应商提出书面质疑必须有理、有据，不得虚假质疑和恶意质疑，并对质疑内容的真实性承担责任。一经查实，招标代理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r/>
    </w:p>
    <w:p>
      <w:pPr>
        <w:ind w:firstLine="420"/>
        <w:spacing w:line="288"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29.4 供应商不得虚假承诺，否则，按照提供虚假材料谋取中标成交处理。</w:t>
      </w:r>
      <w:r/>
    </w:p>
    <w:p>
      <w:pPr>
        <w:ind w:firstLine="420"/>
        <w:spacing w:line="288" w:lineRule="auto"/>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29.5 供应商应自觉遵守开标、评标纪律，扰乱开标评标现场秩序的，属于失信行为，根据《江苏省政府采购供应商监督管理暂行办法》，失信行为将被记入供应商诚信档案。</w:t>
      </w:r>
      <w:r/>
    </w:p>
    <w:p>
      <w:pPr>
        <w:jc w:val="center"/>
        <w:spacing w:line="360" w:lineRule="auto"/>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clear="all"/>
      </w:r>
      <w:r>
        <w:rPr>
          <w:rFonts w:hint="eastAsia" w:ascii="宋体" w:hAnsi="宋体" w:cs="宋体"/>
          <w:b/>
          <w:color w:val="000000" w:themeColor="text1"/>
          <w:sz w:val="36"/>
          <w:szCs w:val="36"/>
          <w:highlight w:val="none"/>
          <w14:textFill>
            <w14:solidFill>
              <w14:schemeClr w14:val="tx1"/>
            </w14:solidFill>
          </w14:textFill>
        </w:rPr>
        <w:t xml:space="preserve">第三章 评标标准</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本项目采用综合评分法，评分统计方法采用百分制（满分100分），将全部评委评分直接进行算术平均，小数点后保留2位。</w:t>
      </w:r>
      <w:r>
        <w:rPr>
          <w:rFonts w:hint="eastAsia" w:ascii="宋体" w:hAnsi="宋体"/>
          <w:bCs/>
          <w:color w:val="000000" w:themeColor="text1"/>
          <w:sz w:val="24"/>
          <w:highlight w:val="none"/>
          <w14:textFill>
            <w14:solidFill>
              <w14:schemeClr w14:val="tx1"/>
            </w14:solidFill>
          </w14:textFill>
        </w:rPr>
        <w:t xml:space="preserve">得分相同的，按投标报价由低到高顺序排列。得分且报价相同的，按技术指标（</w:t>
      </w:r>
      <w:r>
        <w:rPr>
          <w:rFonts w:hint="eastAsia" w:cs="宋体" w:asciiTheme="minorEastAsia" w:hAnsiTheme="minorEastAsia"/>
          <w:color w:val="000000" w:themeColor="text1"/>
          <w:sz w:val="24"/>
          <w:highlight w:val="none"/>
          <w14:textFill>
            <w14:solidFill>
              <w14:schemeClr w14:val="tx1"/>
            </w14:solidFill>
          </w14:textFill>
        </w:rPr>
        <w:t xml:space="preserve">总体方案</w:t>
      </w:r>
      <w:r>
        <w:rPr>
          <w:rFonts w:hint="eastAsia" w:ascii="宋体" w:hAnsi="宋体"/>
          <w:bCs/>
          <w:color w:val="000000" w:themeColor="text1"/>
          <w:sz w:val="24"/>
          <w:highlight w:val="none"/>
          <w14:textFill>
            <w14:solidFill>
              <w14:schemeClr w14:val="tx1"/>
            </w14:solidFill>
          </w14:textFill>
        </w:rPr>
        <w:t xml:space="preserve">）优劣顺序排列。</w:t>
      </w:r>
      <w:r/>
    </w:p>
    <w:tbl>
      <w:tblPr>
        <w:tblStyle w:val="968"/>
        <w:tblW w:w="49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3"/>
        <w:gridCol w:w="8070"/>
        <w:gridCol w:w="844"/>
      </w:tblGrid>
      <w:tr>
        <w:trPr>
          <w:jc w:val="center"/>
        </w:trPr>
        <w:tc>
          <w:tcPr>
            <w:tcW w:w="460"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序号</w:t>
            </w:r>
            <w:r/>
          </w:p>
        </w:tc>
        <w:tc>
          <w:tcPr>
            <w:tcW w:w="4110"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评审因素</w:t>
            </w:r>
            <w:r/>
          </w:p>
        </w:tc>
        <w:tc>
          <w:tcPr>
            <w:tcW w:w="428"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分值</w:t>
            </w:r>
            <w:r/>
          </w:p>
        </w:tc>
      </w:tr>
      <w:tr>
        <w:trPr>
          <w:jc w:val="center"/>
        </w:trPr>
        <w:tc>
          <w:tcPr>
            <w:gridSpan w:val="3"/>
            <w:tcW w:w="5000"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（一）价格分（30分）</w:t>
            </w:r>
            <w:r/>
          </w:p>
        </w:tc>
      </w:tr>
      <w:tr>
        <w:trPr>
          <w:jc w:val="center"/>
        </w:trPr>
        <w:tc>
          <w:tcPr>
            <w:shd w:val="clear" w:color="auto" w:fill="auto"/>
            <w:tcW w:w="460"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w:t>
            </w:r>
            <w:r/>
          </w:p>
        </w:tc>
        <w:tc>
          <w:tcPr>
            <w:tcW w:w="4110" w:type="pct"/>
            <w:vAlign w:val="center"/>
            <w:textDirection w:val="lrTb"/>
            <w:noWrap w:val="false"/>
          </w:tcPr>
          <w:p>
            <w:pP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价格分采用低价优先法计算，即满足采购文件要求且投标价格最低的投标人投标报价为评标基准价，其价格分为满分30分，其它投标人的价格分统一按照以下公式计算：投标报价得分=（评标基准价/该投标人的响应报价）×30分。分值保留小数点后2位。</w:t>
            </w:r>
            <w:r/>
          </w:p>
        </w:tc>
        <w:tc>
          <w:tcPr>
            <w:tcW w:w="428"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30分</w:t>
            </w:r>
            <w:r/>
          </w:p>
        </w:tc>
      </w:tr>
      <w:tr>
        <w:trPr>
          <w:jc w:val="center"/>
          <w:trHeight w:val="288"/>
        </w:trPr>
        <w:tc>
          <w:tcPr>
            <w:gridSpan w:val="3"/>
            <w:tcW w:w="5000"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（二）技术参数及性能服务等（39分）</w:t>
            </w:r>
            <w:r/>
          </w:p>
        </w:tc>
      </w:tr>
      <w:tr>
        <w:trPr>
          <w:jc w:val="center"/>
        </w:trPr>
        <w:tc>
          <w:tcPr>
            <w:tcW w:w="460"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2.1</w:t>
            </w:r>
            <w:r/>
          </w:p>
        </w:tc>
        <w:tc>
          <w:tcPr>
            <w:tcW w:w="4110" w:type="pct"/>
            <w:vAlign w:val="center"/>
            <w:textDirection w:val="lrTb"/>
            <w:noWrap w:val="false"/>
          </w:tcPr>
          <w:p>
            <w:pP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参与供应商对采购文件具体项目需求的响应程度：全部响应即满足采购文件第四章项目需求中</w:t>
            </w:r>
            <w:r>
              <w:rPr>
                <w:rFonts w:hint="eastAsia" w:ascii="宋体" w:hAnsi="宋体" w:cs="宋体"/>
                <w:bCs/>
                <w:color w:val="000000" w:themeColor="text1"/>
                <w:sz w:val="24"/>
                <w:highlight w:val="none"/>
                <w14:textFill>
                  <w14:solidFill>
                    <w14:schemeClr w14:val="tx1"/>
                  </w14:solidFill>
                </w14:textFill>
              </w:rPr>
              <w:t xml:space="preserve">“二、项目具体参数要求 ”</w:t>
            </w:r>
            <w:r>
              <w:rPr>
                <w:rFonts w:hint="eastAsia" w:ascii="宋体" w:hAnsi="宋体"/>
                <w:bCs/>
                <w:color w:val="000000" w:themeColor="text1"/>
                <w:sz w:val="24"/>
                <w:highlight w:val="none"/>
                <w14:textFill>
                  <w14:solidFill>
                    <w14:schemeClr w14:val="tx1"/>
                  </w14:solidFill>
                </w14:textFill>
              </w:rPr>
              <w:t xml:space="preserve">和“三、商务要求”要求的得27分，</w:t>
            </w:r>
            <w:r>
              <w:rPr>
                <w:rFonts w:hint="eastAsia" w:ascii="宋体" w:hAnsi="宋体"/>
                <w:b/>
                <w:bCs/>
                <w:i/>
                <w:color w:val="000000" w:themeColor="text1"/>
                <w:sz w:val="24"/>
                <w:highlight w:val="none"/>
                <w:u w:val="single"/>
                <w14:textFill>
                  <w14:solidFill>
                    <w14:schemeClr w14:val="tx1"/>
                  </w14:solidFill>
                </w14:textFill>
              </w:rPr>
              <w:t xml:space="preserve">斜体加粗且有下划线部分为实质性要求和条件，如不满足则为无效响应。</w:t>
            </w:r>
            <w:r>
              <w:rPr>
                <w:rFonts w:hint="eastAsia" w:ascii="宋体" w:hAnsi="宋体"/>
                <w:bCs/>
                <w:color w:val="000000" w:themeColor="text1"/>
                <w:sz w:val="24"/>
                <w:highlight w:val="none"/>
                <w14:textFill>
                  <w14:solidFill>
                    <w14:schemeClr w14:val="tx1"/>
                  </w14:solidFill>
                </w14:textFill>
              </w:rPr>
              <w:t xml:space="preserve">打"★"项有负偏离的，每项扣3分；其他有负偏离的每项扣1分；扣完为止。（供应商需按照本采购文件第四章</w:t>
            </w:r>
            <w:r>
              <w:rPr>
                <w:rFonts w:hint="eastAsia" w:ascii="宋体" w:hAnsi="宋体" w:cs="宋体"/>
                <w:bCs/>
                <w:color w:val="000000" w:themeColor="text1"/>
                <w:sz w:val="24"/>
                <w:highlight w:val="none"/>
                <w14:textFill>
                  <w14:solidFill>
                    <w14:schemeClr w14:val="tx1"/>
                  </w14:solidFill>
                </w14:textFill>
              </w:rPr>
              <w:t xml:space="preserve">“二、项目具体参数要求”</w:t>
            </w:r>
            <w:r>
              <w:rPr>
                <w:rFonts w:hint="eastAsia" w:ascii="宋体" w:hAnsi="宋体"/>
                <w:bCs/>
                <w:color w:val="000000" w:themeColor="text1"/>
                <w:sz w:val="24"/>
                <w:highlight w:val="none"/>
                <w14:textFill>
                  <w14:solidFill>
                    <w14:schemeClr w14:val="tx1"/>
                  </w14:solidFill>
                </w14:textFill>
              </w:rPr>
              <w:t xml:space="preserve">和“三、商务要求”，在“技术条款偏离表”和“商务条款偏离表”中如实逐项填列所响应产品的参数及服务承诺，如采购文件要求提供相应证明材料的，应在偏离表中注明证明材料所在响应文件的页码位置，否则评审小组有权做负偏离处理）。</w:t>
            </w:r>
            <w:r/>
          </w:p>
        </w:tc>
        <w:tc>
          <w:tcPr>
            <w:tcW w:w="428"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27分</w:t>
            </w:r>
            <w:r/>
          </w:p>
        </w:tc>
      </w:tr>
      <w:tr>
        <w:trPr>
          <w:jc w:val="center"/>
        </w:trPr>
        <w:tc>
          <w:tcPr>
            <w:tcW w:w="460"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2.2</w:t>
            </w:r>
            <w:r/>
          </w:p>
        </w:tc>
        <w:tc>
          <w:tcPr>
            <w:tcW w:w="4110" w:type="pct"/>
            <w:vAlign w:val="center"/>
            <w:textDirection w:val="lrTb"/>
            <w:noWrap w:val="false"/>
          </w:tcPr>
          <w:p>
            <w:pPr>
              <w:spacing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产品优势：</w:t>
            </w:r>
            <w:r/>
          </w:p>
          <w:p>
            <w:pP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投标人需按照采购文件要求提供所投产品的先进性、创新性、优越性，功能拓展性证明材料，评审小组进行综合评分：</w:t>
            </w:r>
            <w:r/>
          </w:p>
          <w:p>
            <w:pP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资料全面，产品介绍清晰、详细且能够充分反应出产品相关优势的，得6分；资料较为全面，基本满足项目要求的，得</w:t>
            </w: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分；资料不完整，未能体现出产品性能优势的，得1 分；未提供的，不得分。</w:t>
            </w:r>
            <w:r/>
          </w:p>
        </w:tc>
        <w:tc>
          <w:tcPr>
            <w:tcW w:w="428"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6分</w:t>
            </w:r>
            <w:r/>
          </w:p>
        </w:tc>
      </w:tr>
      <w:tr>
        <w:trPr>
          <w:jc w:val="center"/>
        </w:trPr>
        <w:tc>
          <w:tcPr>
            <w:tcW w:w="460"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2.3</w:t>
            </w:r>
            <w:r/>
          </w:p>
        </w:tc>
        <w:tc>
          <w:tcPr>
            <w:shd w:val="clear" w:color="auto" w:fill="auto"/>
            <w:tcW w:w="4110" w:type="pct"/>
            <w:vAlign w:val="center"/>
            <w:textDirection w:val="lrTb"/>
            <w:noWrap w:val="false"/>
          </w:tcPr>
          <w:p>
            <w:p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产品工艺：</w:t>
            </w:r>
            <w:r/>
          </w:p>
          <w:p>
            <w:pP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投标人需按照采购文件要求提供所投产品制造工艺、材质、外观及安全性、可靠性、稳定性及适用性证明材料，评审小组进行综合评分：</w:t>
            </w:r>
            <w:r/>
          </w:p>
          <w:p>
            <w:pP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优于采购文件要求的得6分，完全符合采购文件要求的得4分，基本满足采购文件要求的得1分，未提供的不得分。</w:t>
            </w:r>
            <w:r/>
          </w:p>
        </w:tc>
        <w:tc>
          <w:tcPr>
            <w:tcW w:w="428"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6分</w:t>
            </w:r>
            <w:r/>
          </w:p>
        </w:tc>
      </w:tr>
      <w:tr>
        <w:trPr>
          <w:jc w:val="center"/>
        </w:trPr>
        <w:tc>
          <w:tcPr>
            <w:gridSpan w:val="3"/>
            <w:tcW w:w="5000"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（三）总体方案（22分）</w:t>
            </w:r>
            <w:r/>
          </w:p>
        </w:tc>
      </w:tr>
      <w:tr>
        <w:trPr>
          <w:jc w:val="center"/>
          <w:trHeight w:val="1668"/>
        </w:trPr>
        <w:tc>
          <w:tcPr>
            <w:tcW w:w="460"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3.1</w:t>
            </w:r>
            <w:r/>
          </w:p>
        </w:tc>
        <w:tc>
          <w:tcPr>
            <w:shd w:val="clear" w:color="auto" w:fill="auto"/>
            <w:tcW w:w="4110" w:type="pct"/>
            <w:vAlign w:val="center"/>
            <w:textDirection w:val="lrTb"/>
            <w:noWrap w:val="false"/>
          </w:tcPr>
          <w:p>
            <w:p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项目实施方案：</w:t>
            </w:r>
            <w:r/>
          </w:p>
          <w:p>
            <w:p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投标人应根据采购文件要求提供具体详实的项目实施方案，方案优于采购文件要求的得6分，完全符合采购文件要求的得4分，基本满足采购文件要求的得1分，不符合或未提供的不得分。</w:t>
            </w:r>
            <w:r/>
          </w:p>
        </w:tc>
        <w:tc>
          <w:tcPr>
            <w:shd w:val="clear" w:color="auto" w:fill="auto"/>
            <w:tcW w:w="428"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6分</w:t>
            </w:r>
            <w:r/>
          </w:p>
        </w:tc>
      </w:tr>
      <w:tr>
        <w:trPr>
          <w:jc w:val="center"/>
        </w:trPr>
        <w:tc>
          <w:tcPr>
            <w:tcW w:w="460"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3.2</w:t>
            </w:r>
            <w:r/>
          </w:p>
        </w:tc>
        <w:tc>
          <w:tcPr>
            <w:shd w:val="clear" w:color="auto" w:fill="auto"/>
            <w:tcW w:w="4110" w:type="pct"/>
            <w:vAlign w:val="center"/>
            <w:textDirection w:val="lrTb"/>
            <w:noWrap w:val="false"/>
          </w:tcPr>
          <w:p>
            <w:p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项目培训方案：</w:t>
            </w:r>
            <w:r/>
          </w:p>
          <w:p>
            <w:pP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投标人应根据采购文件要求提供具体详实的项目培训方案，方案优于采购文件要求的得5分，完全符合采购文件要求的得3分，基本满足采购文件要求的得1分，不符合或未提供的不得分。</w:t>
            </w:r>
            <w:r/>
          </w:p>
        </w:tc>
        <w:tc>
          <w:tcPr>
            <w:shd w:val="clear" w:color="auto" w:fill="auto"/>
            <w:tcW w:w="428"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5分</w:t>
            </w:r>
            <w:r/>
          </w:p>
        </w:tc>
      </w:tr>
      <w:tr>
        <w:trPr>
          <w:jc w:val="center"/>
        </w:trPr>
        <w:tc>
          <w:tcPr>
            <w:tcW w:w="460"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3.3</w:t>
            </w:r>
            <w:r/>
          </w:p>
        </w:tc>
        <w:tc>
          <w:tcPr>
            <w:shd w:val="clear" w:color="auto" w:fill="auto"/>
            <w:tcW w:w="4110" w:type="pct"/>
            <w:vAlign w:val="center"/>
            <w:textDirection w:val="lrTb"/>
            <w:noWrap w:val="false"/>
          </w:tcPr>
          <w:p>
            <w:p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售后服务方案：</w:t>
            </w:r>
            <w:r/>
          </w:p>
          <w:p>
            <w:pP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投标人应根据采购文件要求提供具体详实的项目售后服务承诺方案，方案优于采购文件要求的得6分，完全符合采购文件要求的得4分，基本满足采购文件要求的得1分，不符合或未提供的不得分。</w:t>
            </w:r>
            <w:r/>
          </w:p>
        </w:tc>
        <w:tc>
          <w:tcPr>
            <w:shd w:val="clear" w:color="auto" w:fill="auto"/>
            <w:tcW w:w="428"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6分</w:t>
            </w:r>
            <w:r/>
          </w:p>
        </w:tc>
      </w:tr>
      <w:tr>
        <w:trPr>
          <w:jc w:val="center"/>
        </w:trPr>
        <w:tc>
          <w:tcPr>
            <w:tcW w:w="460"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3.4</w:t>
            </w:r>
            <w:r/>
          </w:p>
        </w:tc>
        <w:tc>
          <w:tcPr>
            <w:shd w:val="clear" w:color="auto" w:fill="auto"/>
            <w:tcW w:w="4110" w:type="pct"/>
            <w:vAlign w:val="center"/>
            <w:textDirection w:val="lrTb"/>
            <w:noWrap w:val="false"/>
          </w:tcPr>
          <w:p>
            <w:pPr>
              <w:spacing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设备巡检维护方案：</w:t>
            </w:r>
            <w:r/>
          </w:p>
          <w:p>
            <w:pP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投标人应根据采购文件要求提供具体详实的设备巡检维护方案，</w:t>
            </w:r>
            <w:r>
              <w:rPr>
                <w:rFonts w:hint="eastAsia" w:ascii="宋体" w:hAnsi="宋体" w:cs="宋体"/>
                <w:color w:val="000000" w:themeColor="text1"/>
                <w:sz w:val="24"/>
                <w:highlight w:val="none"/>
                <w14:textFill>
                  <w14:solidFill>
                    <w14:schemeClr w14:val="tx1"/>
                  </w14:solidFill>
                </w14:textFill>
              </w:rPr>
              <w:t xml:space="preserve">方案优于采购文件要求的得5分，完全符合采购文件要求的，得3分，基本符合采购文件要求的，得1分，未提供不得分。</w:t>
            </w:r>
            <w:r/>
          </w:p>
        </w:tc>
        <w:tc>
          <w:tcPr>
            <w:shd w:val="clear" w:color="auto" w:fill="auto"/>
            <w:tcW w:w="428"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5分</w:t>
            </w:r>
            <w:r/>
          </w:p>
        </w:tc>
      </w:tr>
      <w:tr>
        <w:trPr>
          <w:jc w:val="center"/>
        </w:trPr>
        <w:tc>
          <w:tcPr>
            <w:gridSpan w:val="3"/>
            <w:tcW w:w="5000"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（四）投标人履约能力（9分）</w:t>
            </w:r>
            <w:r/>
          </w:p>
        </w:tc>
      </w:tr>
      <w:tr>
        <w:trPr>
          <w:jc w:val="center"/>
        </w:trPr>
        <w:tc>
          <w:tcPr>
            <w:tcW w:w="460"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4.1</w:t>
            </w:r>
            <w:r/>
          </w:p>
        </w:tc>
        <w:tc>
          <w:tcPr>
            <w:tcW w:w="4110" w:type="pct"/>
            <w:vAlign w:val="center"/>
            <w:textDirection w:val="lrTb"/>
            <w:noWrap w:val="false"/>
          </w:tcPr>
          <w:p>
            <w:pPr>
              <w:spacing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质保期：</w:t>
            </w:r>
            <w:r/>
          </w:p>
          <w:p>
            <w:p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在满足采购文件质保要求的基础上（整机质保期8年），承诺质保期每延长一年加1分，最多得2分。</w:t>
            </w:r>
            <w:r>
              <w:rPr>
                <w:rFonts w:hint="eastAsia" w:ascii="宋体" w:hAnsi="宋体" w:cs="宋体"/>
                <w:b/>
                <w:color w:val="000000" w:themeColor="text1"/>
                <w:sz w:val="24"/>
                <w:highlight w:val="none"/>
                <w14:textFill>
                  <w14:solidFill>
                    <w14:schemeClr w14:val="tx1"/>
                  </w14:solidFill>
                </w14:textFill>
              </w:rPr>
              <w:t xml:space="preserve">（提供所投产品制造厂商或投标人针对本项目的售后服务质保承诺函并加盖公章）</w:t>
            </w:r>
            <w:r/>
          </w:p>
        </w:tc>
        <w:tc>
          <w:tcPr>
            <w:tcW w:w="428"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2分</w:t>
            </w:r>
            <w:r/>
          </w:p>
        </w:tc>
      </w:tr>
      <w:tr>
        <w:trPr>
          <w:jc w:val="center"/>
        </w:trPr>
        <w:tc>
          <w:tcPr>
            <w:tcW w:w="460"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4.2</w:t>
            </w:r>
            <w:r/>
          </w:p>
        </w:tc>
        <w:tc>
          <w:tcPr>
            <w:tcW w:w="4110" w:type="pct"/>
            <w:vAlign w:val="center"/>
            <w:textDirection w:val="lrTb"/>
            <w:noWrap w:val="false"/>
          </w:tcPr>
          <w:p>
            <w:pPr>
              <w:spacing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质保期后维修服务承诺：</w:t>
            </w:r>
            <w:r/>
          </w:p>
          <w:p>
            <w:pP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响应供应商承诺在质保期过后，终生维修，对于产品维修只收取基本材料备件费，不收取工时费的，得1分</w:t>
            </w:r>
            <w:r>
              <w:rPr>
                <w:rFonts w:hint="eastAsia" w:ascii="宋体" w:hAnsi="宋体"/>
                <w:b/>
                <w:color w:val="000000" w:themeColor="text1"/>
                <w:sz w:val="24"/>
                <w:highlight w:val="none"/>
                <w14:textFill>
                  <w14:solidFill>
                    <w14:schemeClr w14:val="tx1"/>
                  </w14:solidFill>
                </w14:textFill>
              </w:rPr>
              <w:t xml:space="preserve">（需提供满足要求的承诺函盖章原件）</w:t>
            </w:r>
            <w:r>
              <w:rPr>
                <w:rFonts w:hint="eastAsia" w:ascii="宋体" w:hAnsi="宋体"/>
                <w:bCs/>
                <w:color w:val="000000" w:themeColor="text1"/>
                <w:sz w:val="24"/>
                <w:highlight w:val="none"/>
                <w14:textFill>
                  <w14:solidFill>
                    <w14:schemeClr w14:val="tx1"/>
                  </w14:solidFill>
                </w14:textFill>
              </w:rPr>
              <w:t xml:space="preserve">；未按要求承诺的不得分。</w:t>
            </w:r>
            <w:r/>
          </w:p>
        </w:tc>
        <w:tc>
          <w:tcPr>
            <w:tcW w:w="428"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1分</w:t>
            </w:r>
            <w:r/>
          </w:p>
        </w:tc>
      </w:tr>
      <w:tr>
        <w:trPr>
          <w:jc w:val="center"/>
          <w:trHeight w:val="1818"/>
        </w:trPr>
        <w:tc>
          <w:tcPr>
            <w:tcW w:w="460"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4.3</w:t>
            </w:r>
            <w:r/>
          </w:p>
        </w:tc>
        <w:tc>
          <w:tcPr>
            <w:tcW w:w="4110" w:type="pct"/>
            <w:vAlign w:val="center"/>
            <w:textDirection w:val="lrTb"/>
            <w:noWrap w:val="false"/>
          </w:tcPr>
          <w:p>
            <w:pPr>
              <w:spacing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业绩：</w:t>
            </w:r>
            <w:r/>
          </w:p>
          <w:p>
            <w:pP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投标人2023年8月1日至今有过类似项目供货安装成功案例（成功案例中的产品型号须与投标人所投产品型号一致），提供一个得1分，最高得5分。</w:t>
            </w:r>
            <w:r>
              <w:rPr>
                <w:rFonts w:hint="eastAsia" w:ascii="宋体" w:hAnsi="宋体" w:cs="宋体"/>
                <w:b/>
                <w:color w:val="000000" w:themeColor="text1"/>
                <w:sz w:val="24"/>
                <w:highlight w:val="none"/>
                <w14:textFill>
                  <w14:solidFill>
                    <w14:schemeClr w14:val="tx1"/>
                  </w14:solidFill>
                </w14:textFill>
              </w:rPr>
              <w:t xml:space="preserve">（提供有效合同复印件，并加盖公章，有效案例时间以合同签订时间为准，复印件应清晰可见主要内容）。</w:t>
            </w:r>
            <w:r/>
          </w:p>
        </w:tc>
        <w:tc>
          <w:tcPr>
            <w:tcW w:w="428"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5分</w:t>
            </w:r>
            <w:r/>
          </w:p>
        </w:tc>
      </w:tr>
      <w:tr>
        <w:trPr>
          <w:jc w:val="center"/>
          <w:trHeight w:val="559"/>
        </w:trPr>
        <w:tc>
          <w:tcPr>
            <w:tcW w:w="460" w:type="pct"/>
            <w:vAlign w:val="center"/>
            <w:textDirection w:val="lrTb"/>
            <w:noWrap w:val="false"/>
          </w:tcPr>
          <w:p>
            <w:pPr>
              <w:jc w:val="center"/>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4.4</w:t>
            </w:r>
            <w:r/>
          </w:p>
        </w:tc>
        <w:tc>
          <w:tcPr>
            <w:tcW w:w="4110" w:type="pct"/>
            <w:vAlign w:val="center"/>
            <w:textDirection w:val="lrTb"/>
            <w:noWrap w:val="false"/>
          </w:tcPr>
          <w:p>
            <w:pPr>
              <w:spacing w:line="40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主要材料及备品备件价格：</w:t>
            </w:r>
            <w:r/>
          </w:p>
          <w:p>
            <w:pPr>
              <w:spacing w:line="400" w:lineRule="exact"/>
              <w:rPr>
                <w:color w:val="000000" w:themeColor="text1"/>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列出</w:t>
            </w:r>
            <w:r>
              <w:rPr>
                <w:rFonts w:hint="eastAsia" w:ascii="宋体" w:hAnsi="宋体" w:cs="宋体"/>
                <w:color w:val="000000" w:themeColor="text1"/>
                <w:sz w:val="24"/>
                <w:highlight w:val="none"/>
                <w14:textFill>
                  <w14:solidFill>
                    <w14:schemeClr w14:val="tx1"/>
                  </w14:solidFill>
                </w14:textFill>
              </w:rPr>
              <w:t xml:space="preserve">质保期后主要易损件和备品备件清单、报价及折扣。所列清单齐全，且承诺按市场价的折扣≤85%的，得1分；未按要求提供或承诺的，不得分。</w:t>
            </w:r>
            <w:r>
              <w:rPr>
                <w:rFonts w:hint="eastAsia" w:ascii="宋体" w:hAnsi="宋体" w:cs="宋体"/>
                <w:b/>
                <w:bCs/>
                <w:color w:val="000000" w:themeColor="text1"/>
                <w:sz w:val="24"/>
                <w:highlight w:val="none"/>
                <w14:textFill>
                  <w14:solidFill>
                    <w14:schemeClr w14:val="tx1"/>
                  </w14:solidFill>
                </w14:textFill>
              </w:rPr>
              <w:t xml:space="preserve">（提供清单和承诺函并加盖公章，清单格式详见第六章附件，承诺书格式自拟）</w:t>
            </w:r>
            <w:r/>
          </w:p>
          <w:p>
            <w:pPr>
              <w:spacing w:line="400" w:lineRule="exact"/>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注：结算金额=市场价×折扣</w:t>
            </w:r>
            <w:r/>
          </w:p>
        </w:tc>
        <w:tc>
          <w:tcPr>
            <w:tcW w:w="428" w:type="pct"/>
            <w:vAlign w:val="center"/>
            <w:textDirection w:val="lrTb"/>
            <w:noWrap w:val="false"/>
          </w:tcPr>
          <w:p>
            <w:pPr>
              <w:jc w:val="cente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1分</w:t>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说明：</w:t>
      </w:r>
      <w:r/>
    </w:p>
    <w:p>
      <w:pPr>
        <w:ind w:firstLine="420"/>
        <w:jc w:val="left"/>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一、小微企业的价格扣除</w:t>
      </w:r>
      <w:r/>
    </w:p>
    <w:p>
      <w:pPr>
        <w:ind w:firstLine="420"/>
        <w:jc w:val="left"/>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420"/>
        <w:jc w:val="left"/>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2.价格扣除比例或者价格分加分比例对小型企业和微型企业同等对待，不作区分。</w:t>
      </w:r>
      <w:r/>
    </w:p>
    <w:p>
      <w:pPr>
        <w:ind w:firstLine="420"/>
        <w:jc w:val="left"/>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二、监狱和戒毒企业的价格扣除</w:t>
      </w:r>
      <w:r/>
    </w:p>
    <w:p>
      <w:pPr>
        <w:ind w:firstLine="420"/>
        <w:jc w:val="left"/>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1.本项目对监狱和戒毒企业（简称监狱企业）视同小型、微型企业，享受相同的价格扣除优惠政策。</w:t>
      </w:r>
      <w:r/>
    </w:p>
    <w:p>
      <w:pPr>
        <w:ind w:firstLine="420"/>
        <w:jc w:val="left"/>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2.监狱企业需提供由省级以上监狱管理局、戒毒管理局（含新疆生产建设兵团）出具的属于监狱企业的证明文件。</w:t>
      </w:r>
      <w:r/>
    </w:p>
    <w:p>
      <w:pPr>
        <w:ind w:firstLine="420"/>
        <w:jc w:val="left"/>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3.监狱企业标准请参照《关于政府采购支持监狱企业发展有关问题的通知》（财库〔2014〕68号）。</w:t>
      </w:r>
      <w:r/>
    </w:p>
    <w:p>
      <w:pPr>
        <w:ind w:firstLine="420"/>
        <w:jc w:val="left"/>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三、残疾人福利性单位的价格扣除</w:t>
      </w:r>
      <w:r/>
    </w:p>
    <w:p>
      <w:pPr>
        <w:ind w:firstLine="420"/>
        <w:jc w:val="left"/>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1.本项目对残疾人福利性单位视同小型、微型企业，享受相同的价格扣除优惠政策。</w:t>
      </w:r>
      <w:r/>
    </w:p>
    <w:p>
      <w:pPr>
        <w:ind w:firstLine="420"/>
        <w:jc w:val="left"/>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2.残疾人福利性单位需按照招标文件的要求提供《残疾人福利性单位声明函》。</w:t>
      </w:r>
      <w:r/>
    </w:p>
    <w:p>
      <w:pPr>
        <w:ind w:firstLine="420"/>
        <w:jc w:val="left"/>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3.残疾人福利性单位标准请参照《关于促进残疾人就业政府采购政策的通知》（财库〔2017〕141号）。</w:t>
      </w:r>
      <w:r/>
    </w:p>
    <w:p>
      <w:pPr>
        <w:ind w:firstLine="420"/>
        <w:jc w:val="left"/>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四、监狱企业、残疾人福利性单位属于小型、微型企业的，不重复享受政策。</w:t>
      </w:r>
      <w:r/>
    </w:p>
    <w:p>
      <w:pPr>
        <w:ind w:firstLine="420"/>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五、采购本国产品的支持政策</w:t>
      </w:r>
      <w:r/>
    </w:p>
    <w:p>
      <w:pPr>
        <w:ind w:firstLine="420"/>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 本项目政府采购活动中既有本国产品又有非本国产品参与竞争的，依法对本国产品给予价格评审优惠，对本国产品的报价给予20%的价格扣除，用扣除后的价格参与评审。</w:t>
      </w:r>
      <w:r/>
    </w:p>
    <w:p>
      <w:pPr>
        <w:ind w:firstLine="420"/>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及附件”中的“目录五、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3、供应商需按照招标文件的要求提供《关于符合本国产品标准的声明函》（以下简称《声明函》），如不提供将不享受本国产品价格评审优惠。</w:t>
      </w:r>
      <w:r/>
    </w:p>
    <w:p>
      <w:pPr>
        <w:ind w:firstLine="420"/>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left"/>
        <w:spacing w:line="360" w:lineRule="auto"/>
        <w:rPr>
          <w:rFonts w:ascii="宋体" w:hAnsi="宋体" w:cs="宋体"/>
          <w:bCs/>
          <w:color w:val="000000" w:themeColor="text1"/>
          <w:sz w:val="22"/>
          <w:szCs w:val="22"/>
          <w:highlight w:val="none"/>
          <w14:textFill>
            <w14:solidFill>
              <w14:schemeClr w14:val="tx1"/>
            </w14:solidFill>
          </w14:textFill>
        </w:rPr>
        <w:sectPr>
          <w:footerReference w:type="default" r:id="rId12"/>
          <w:footnotePr/>
          <w:endnotePr/>
          <w:type w:val="nextPage"/>
          <w:pgSz w:w="11906" w:h="16838" w:orient="portrait"/>
          <w:pgMar w:top="850" w:right="850" w:bottom="850" w:left="1418" w:header="340" w:footer="397" w:gutter="0"/>
          <w:cols w:num="1" w:sep="0" w:space="720" w:equalWidth="1"/>
          <w:docGrid w:linePitch="360"/>
        </w:sectPr>
      </w:pPr>
      <w:r>
        <w:rPr>
          <w:rFonts w:hint="eastAsia" w:ascii="宋体" w:hAnsi="宋体" w:cs="宋体"/>
          <w:bCs/>
          <w:color w:val="000000" w:themeColor="text1"/>
          <w:highlight w:val="none"/>
          <w14:textFill>
            <w14:solidFill>
              <w14:schemeClr w14:val="tx1"/>
            </w14:solidFill>
          </w14:textFill>
        </w:rPr>
        <w:t xml:space="preserve">六、除评分标准中另有说明外，所有认证、证明和业绩均以有效的证明文件的复印件为依据。</w:t>
      </w:r>
      <w:r/>
    </w:p>
    <w:p>
      <w:pPr>
        <w:jc w:val="center"/>
        <w:keepNext/>
        <w:spacing w:line="360" w:lineRule="auto"/>
        <w:rPr>
          <w:rFonts w:ascii="黑体" w:eastAsia="黑体"/>
          <w:bCs/>
          <w:color w:val="000000" w:themeColor="text1"/>
          <w:sz w:val="44"/>
          <w:szCs w:val="28"/>
          <w:highlight w:val="none"/>
          <w14:textFill>
            <w14:solidFill>
              <w14:schemeClr w14:val="tx1"/>
            </w14:solidFill>
          </w14:textFill>
        </w:rPr>
        <w:outlineLvl w:val="0"/>
      </w:pPr>
      <w:r/>
      <w:bookmarkStart w:id="29" w:name="_Toc18960"/>
      <w:r/>
      <w:bookmarkStart w:id="30" w:name="_Toc324237156"/>
      <w:r>
        <w:rPr>
          <w:rFonts w:hint="eastAsia" w:ascii="黑体" w:eastAsia="黑体"/>
          <w:bCs/>
          <w:color w:val="000000" w:themeColor="text1"/>
          <w:sz w:val="44"/>
          <w:szCs w:val="28"/>
          <w:highlight w:val="none"/>
          <w14:textFill>
            <w14:solidFill>
              <w14:schemeClr w14:val="tx1"/>
            </w14:solidFill>
          </w14:textFill>
        </w:rPr>
        <w:t xml:space="preserve">第四章 项目需求</w:t>
      </w:r>
      <w:r/>
    </w:p>
    <w:p>
      <w:pPr>
        <w:jc w:val="center"/>
        <w:keepLines/>
        <w:keepNext/>
        <w:spacing w:line="480" w:lineRule="exact"/>
        <w:rPr>
          <w:rFonts w:ascii="宋体" w:hAnsi="宋体" w:cs="宋体"/>
          <w:b/>
          <w:bCs/>
          <w:color w:val="000000" w:themeColor="text1"/>
          <w:sz w:val="28"/>
          <w:szCs w:val="28"/>
          <w:highlight w:val="none"/>
          <w14:textFill>
            <w14:solidFill>
              <w14:schemeClr w14:val="tx1"/>
            </w14:solidFill>
          </w14:textFill>
        </w:rPr>
        <w:outlineLvl w:val="2"/>
      </w:pPr>
      <w:r>
        <w:rPr>
          <w:rFonts w:hint="eastAsia" w:ascii="宋体" w:hAnsi="宋体" w:cs="宋体"/>
          <w:b/>
          <w:bCs/>
          <w:color w:val="000000" w:themeColor="text1"/>
          <w:sz w:val="28"/>
          <w:szCs w:val="28"/>
          <w:highlight w:val="none"/>
          <w14:textFill>
            <w14:solidFill>
              <w14:schemeClr w14:val="tx1"/>
            </w14:solidFill>
          </w14:textFill>
        </w:rPr>
        <w:t xml:space="preserve">（第一部分：技术部分要求）</w:t>
      </w:r>
      <w:bookmarkEnd w:id="29"/>
      <w:r/>
      <w:bookmarkEnd w:id="30"/>
      <w:r/>
      <w:r/>
    </w:p>
    <w:p>
      <w:pPr>
        <w:keepLines/>
        <w:keepNext/>
        <w:spacing w:before="120" w:after="120" w:line="360" w:lineRule="auto"/>
        <w:rPr>
          <w:rFonts w:ascii="Calibri" w:hAnsi="Calibri"/>
          <w:b/>
          <w:bCs/>
          <w:color w:val="000000" w:themeColor="text1"/>
          <w:sz w:val="24"/>
          <w:highlight w:val="none"/>
          <w14:textFill>
            <w14:solidFill>
              <w14:schemeClr w14:val="tx1"/>
            </w14:solidFill>
          </w14:textFill>
        </w:rPr>
        <w:outlineLvl w:val="2"/>
      </w:pPr>
      <w:r>
        <w:rPr>
          <w:rFonts w:hint="eastAsia"/>
          <w:b/>
          <w:color w:val="000000" w:themeColor="text1"/>
          <w:sz w:val="24"/>
          <w:highlight w:val="none"/>
          <w14:textFill>
            <w14:solidFill>
              <w14:schemeClr w14:val="tx1"/>
            </w14:solidFill>
          </w14:textFill>
        </w:rPr>
        <w:t xml:space="preserve">一、</w:t>
      </w:r>
      <w:bookmarkStart w:id="31" w:name="_Hlk213770435"/>
      <w:r>
        <w:rPr>
          <w:rFonts w:hint="eastAsia" w:ascii="Calibri" w:hAnsi="Calibri"/>
          <w:b/>
          <w:bCs/>
          <w:color w:val="000000" w:themeColor="text1"/>
          <w:sz w:val="24"/>
          <w:highlight w:val="none"/>
          <w14:textFill>
            <w14:solidFill>
              <w14:schemeClr w14:val="tx1"/>
            </w14:solidFill>
          </w14:textFill>
        </w:rPr>
        <w:t xml:space="preserve">项目总体要求</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1、本项技术要求提出的是</w:t>
      </w:r>
      <w:r>
        <w:rPr>
          <w:rFonts w:hint="eastAsia" w:ascii="宋体" w:hAnsi="宋体" w:cs="宋体"/>
          <w:b/>
          <w:bCs/>
          <w:color w:val="000000" w:themeColor="text1"/>
          <w:sz w:val="24"/>
          <w:highlight w:val="none"/>
          <w14:textFill>
            <w14:solidFill>
              <w14:schemeClr w14:val="tx1"/>
            </w14:solidFill>
          </w14:textFill>
        </w:rPr>
        <w:t xml:space="preserve">最低限度</w:t>
      </w:r>
      <w:r>
        <w:rPr>
          <w:rFonts w:hint="eastAsia" w:ascii="宋体" w:hAnsi="宋体" w:cs="宋体"/>
          <w:bCs/>
          <w:color w:val="000000" w:themeColor="text1"/>
          <w:sz w:val="24"/>
          <w:highlight w:val="none"/>
          <w14:textFill>
            <w14:solidFill>
              <w14:schemeClr w14:val="tx1"/>
            </w14:solidFill>
          </w14:textFill>
        </w:rPr>
        <w:t xml:space="preserve">的技术条件。</w:t>
      </w:r>
      <w:r/>
    </w:p>
    <w:p>
      <w:pPr>
        <w:ind w:firstLine="42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
          <w:i/>
          <w:iCs/>
          <w:color w:val="000000" w:themeColor="text1"/>
          <w:sz w:val="24"/>
          <w:highlight w:val="none"/>
          <w:u w:val="single"/>
          <w14:textFill>
            <w14:solidFill>
              <w14:schemeClr w14:val="tx1"/>
            </w14:solidFill>
          </w14:textFill>
        </w:rPr>
        <w:t xml:space="preserve">2、斜体</w:t>
      </w:r>
      <w:r>
        <w:rPr>
          <w:rFonts w:hint="eastAsia" w:ascii="宋体" w:hAnsi="宋体"/>
          <w:b/>
          <w:bCs/>
          <w:i/>
          <w:color w:val="000000" w:themeColor="text1"/>
          <w:sz w:val="24"/>
          <w:highlight w:val="none"/>
          <w:u w:val="single"/>
          <w14:textFill>
            <w14:solidFill>
              <w14:schemeClr w14:val="tx1"/>
            </w14:solidFill>
          </w14:textFill>
        </w:rPr>
        <w:t xml:space="preserve">下划线加粗项为实质性要求,不满足为无效响应。</w:t>
      </w:r>
      <w:r/>
    </w:p>
    <w:p>
      <w:pPr>
        <w:ind w:firstLine="47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3、对采购文件中加★要求的性能和技术条款，需</w:t>
      </w:r>
      <w:r>
        <w:rPr>
          <w:rFonts w:ascii="宋体" w:hAnsi="宋体" w:cs="宋体"/>
          <w:bCs/>
          <w:color w:val="000000" w:themeColor="text1"/>
          <w:sz w:val="24"/>
          <w:highlight w:val="none"/>
          <w14:textFill>
            <w14:solidFill>
              <w14:schemeClr w14:val="tx1"/>
            </w14:solidFill>
          </w14:textFill>
        </w:rPr>
        <w:t xml:space="preserve">按要求</w:t>
      </w:r>
      <w:r>
        <w:rPr>
          <w:rFonts w:hint="eastAsia" w:ascii="宋体" w:hAnsi="宋体" w:cs="宋体"/>
          <w:bCs/>
          <w:color w:val="000000" w:themeColor="text1"/>
          <w:sz w:val="24"/>
          <w:highlight w:val="none"/>
          <w14:textFill>
            <w14:solidFill>
              <w14:schemeClr w14:val="tx1"/>
            </w14:solidFill>
          </w14:textFill>
        </w:rPr>
        <w:t xml:space="preserve">提供相关有效技术证明材料并加盖公章</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包括但</w:t>
      </w:r>
      <w:r>
        <w:rPr>
          <w:rFonts w:hint="eastAsia" w:ascii="宋体" w:hAnsi="宋体" w:cs="宋体"/>
          <w:b/>
          <w:bCs/>
          <w:color w:val="000000" w:themeColor="text1"/>
          <w:sz w:val="24"/>
          <w:highlight w:val="none"/>
          <w:lang w:val="zh-CN"/>
          <w14:textFill>
            <w14:solidFill>
              <w14:schemeClr w14:val="tx1"/>
            </w14:solidFill>
          </w14:textFill>
        </w:rPr>
        <w:t xml:space="preserve">不限于</w:t>
      </w:r>
      <w:r>
        <w:rPr>
          <w:rFonts w:hint="eastAsia" w:ascii="宋体" w:hAnsi="宋体" w:cs="宋体"/>
          <w:b/>
          <w:bCs/>
          <w:color w:val="000000" w:themeColor="text1"/>
          <w:sz w:val="24"/>
          <w:highlight w:val="none"/>
          <w14:textFill>
            <w14:solidFill>
              <w14:schemeClr w14:val="tx1"/>
            </w14:solidFill>
          </w14:textFill>
        </w:rPr>
        <w:t xml:space="preserve">可</w:t>
      </w:r>
      <w:r>
        <w:rPr>
          <w:rFonts w:hint="eastAsia" w:ascii="宋体" w:hAnsi="宋体" w:cs="宋体"/>
          <w:b/>
          <w:bCs/>
          <w:color w:val="000000" w:themeColor="text1"/>
          <w:sz w:val="24"/>
          <w:highlight w:val="none"/>
          <w:lang w:val="zh-CN"/>
          <w14:textFill>
            <w14:solidFill>
              <w14:schemeClr w14:val="tx1"/>
            </w14:solidFill>
          </w14:textFill>
        </w:rPr>
        <w:t xml:space="preserve">明确说明该技术内容的</w:t>
      </w:r>
      <w:r>
        <w:rPr>
          <w:rFonts w:hint="eastAsia" w:ascii="宋体" w:hAnsi="宋体" w:cs="宋体"/>
          <w:b/>
          <w:bCs/>
          <w:color w:val="000000" w:themeColor="text1"/>
          <w:sz w:val="24"/>
          <w:highlight w:val="none"/>
          <w14:textFill>
            <w14:solidFill>
              <w14:schemeClr w14:val="tx1"/>
            </w14:solidFill>
          </w14:textFill>
        </w:rPr>
        <w:t xml:space="preserve">材料，如产品说明书或产品彩页或产品技术手册或第三方机构出具的检测报告或专利证书等）</w:t>
      </w:r>
      <w:r>
        <w:rPr>
          <w:rFonts w:hint="eastAsia" w:ascii="宋体" w:hAnsi="宋体" w:cs="宋体"/>
          <w:b/>
          <w:bCs w:val="0"/>
          <w:color w:val="000000" w:themeColor="text1"/>
          <w:sz w:val="24"/>
          <w:highlight w:val="none"/>
          <w14:textFill>
            <w14:solidFill>
              <w14:schemeClr w14:val="tx1"/>
            </w14:solidFill>
          </w14:textFill>
        </w:rPr>
        <w:t xml:space="preserve">或按备注要求提供材料</w:t>
      </w:r>
      <w:r>
        <w:rPr>
          <w:rFonts w:hint="eastAsia" w:ascii="宋体" w:hAnsi="宋体" w:cs="宋体"/>
          <w:bCs/>
          <w:color w:val="000000" w:themeColor="text1"/>
          <w:sz w:val="24"/>
          <w:highlight w:val="none"/>
          <w14:textFill>
            <w14:solidFill>
              <w14:schemeClr w14:val="tx1"/>
            </w14:solidFill>
          </w14:textFill>
        </w:rPr>
        <w:t xml:space="preserve">,未提供有效技术支持资料的，评审时不予认可，作负偏离处理。</w:t>
      </w:r>
      <w:r/>
    </w:p>
    <w:p>
      <w:pPr>
        <w:jc w:val="center"/>
        <w:keepLines/>
        <w:keepNext/>
        <w:spacing w:line="480" w:lineRule="exact"/>
        <w:rPr>
          <w:rFonts w:ascii="宋体" w:hAnsi="宋体" w:cs="宋体"/>
          <w:b/>
          <w:bCs/>
          <w:color w:val="000000" w:themeColor="text1"/>
          <w:sz w:val="28"/>
          <w:szCs w:val="28"/>
          <w:highlight w:val="none"/>
          <w14:textFill>
            <w14:solidFill>
              <w14:schemeClr w14:val="tx1"/>
            </w14:solidFill>
          </w14:textFill>
        </w:rPr>
        <w:outlineLvl w:val="2"/>
      </w:pPr>
      <w:r>
        <w:rPr>
          <w:rFonts w:hint="eastAsia" w:ascii="宋体" w:hAnsi="宋体" w:cs="宋体"/>
          <w:b/>
          <w:bCs/>
          <w:color w:val="000000" w:themeColor="text1"/>
          <w:sz w:val="28"/>
          <w:szCs w:val="28"/>
          <w:highlight w:val="none"/>
          <w14:textFill>
            <w14:solidFill>
              <w14:schemeClr w14:val="tx1"/>
            </w14:solidFill>
          </w14:textFill>
        </w:rPr>
        <w:t xml:space="preserve">（第一部分：技术部分要求）</w:t>
      </w:r>
      <w:r/>
    </w:p>
    <w:p>
      <w:pPr>
        <w:pStyle w:val="97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numPr>
          <w:ilvl w:val="0"/>
          <w:numId w:val="1"/>
        </w:num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项目具体参数要求：</w:t>
      </w:r>
      <w:r/>
    </w:p>
    <w:p>
      <w:pPr>
        <w:ind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1、主镜部分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 显微镜采用光学玻璃，多层镀膜增透，复消色差光学设计，保证对比度和清晰度。</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 变角双目镜筒，角度调节范围：满足0-190°。</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 双目镜筒瞳距可调，瞳距覆盖范围：55mm-75mm，带精确瞳距调节旋钮，可显示瞳距数值，调节精度≤1mm，调节旋钮带消毒罩。</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 高眼点广角目镜，护眼杯高度可调，视度调节范围±7D。</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 视场直径范围：12mm-120mm。</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 连续变倍系统：放大系数范围覆盖0.4x～2.4x,放大倍数至少覆盖2X-19X。</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 0～190°变角（F170/F250）双目镜筒。</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 人体工程学30°光学延长器与分光器（2:8</w:t>
      </w:r>
      <w:r>
        <w:rPr>
          <w:rFonts w:hint="eastAsia"/>
          <w:color w:val="000000" w:themeColor="text1"/>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集成。</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 双目镜筒倾摆功能装置：在医生坐姿不变的情况下，镜身向左向右倾摆时可保持双目镜筒保持水平观察位置。</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★1.10 内置一体式变焦系统：焦距覆盖范围为F200mm~F450mm。</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★1.11 荧光模块： 可用于辅助检查探测龋齿和去除多余树脂材料；滤光片：黄色滤光片、绿色滤光片、偏振片。</w:t>
      </w:r>
      <w:r/>
    </w:p>
    <w:p>
      <w:pPr>
        <w:ind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2、照明部分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 光源：LED照明系统，亮度连续可调。大物镜工作距离为200mm时，物面照度不低于80,000Lx，平均使用寿命不少于60000小时。</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 自动限位开关，抬高显微镜小横臂可自动关灯，下拉至工作位自动开灯。</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 显微镜配置橙色滤镜和绿色滤镜。</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 光阑：小光阑、中光阑、大光阑。</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 光斑大小：可调，最大光斑直径≥160mm。</w:t>
      </w:r>
      <w:r/>
    </w:p>
    <w:p>
      <w:pPr>
        <w:ind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3、影像部分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 内置4K超高清影像摄录系统：分辨率≥3840x2160。</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 影像存储：双USB3.0影像储存，双USB2.0功能控制，图片、视频记录格式：JPEG；MP4。</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3.3 高清27寸4K显示器,含显示器支架、显微镜立柱抱箍。</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3.4 全平台App（包括但不限于Windows、macOS、iOS和Andriod）：通过无线WIFI或有线RJ45连接,可将显微镜视频流媒体传输到Windows桌面设备和手机，通过App的PC/Android/iOS采集影像。</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3.5 内置数字测量、影像对比，麦克风语音控制等功能。</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3.6 配置无线脚控开关，用于拍照与录像。</w:t>
      </w:r>
      <w:r/>
    </w:p>
    <w:p>
      <w:pPr>
        <w:ind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4、支架部分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 落地式支架。</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 支架臂伸展范围：≥1500mm。小横臂长度≥600mm，宽度≤85mm，旋转角度±150°，上下移动≥300mm；大横臂长度≥500mm，大小横臂连接处大横臂宽度≤130mm，旋转角度360°；大横臂安装高度离地≥1700mm并且位于小横臂上方，避免显微镜支架与牙椅支架干涉。</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4.3 可调节弹簧扭矩平衡系统，可根据镜头负荷分别调节左右、前后扭矩旋钮以及左右、前后阻尼旋钮。单手轻触即可调节镜头角度与位置。（≥2个扭矩旋钮，≥2个阻尼旋钮）。</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★4.4 影像与镜头集成一体式，无需添加外件，360°可旋转手柄，集成一键拍照录像功能。</w:t>
      </w:r>
      <w:r/>
    </w:p>
    <w:p>
      <w:pPr>
        <w:ind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5、其他配置要求</w:t>
      </w:r>
      <w:r/>
    </w:p>
    <w:p>
      <w:pPr>
        <w:ind w:firstLine="480"/>
        <w:spacing w:line="360" w:lineRule="auto"/>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 每台显微镜配置外置相机机身（全画幅单反或微单）1部。</w:t>
      </w:r>
      <w:r>
        <w:rPr>
          <w:rFonts w:hint="eastAsia" w:ascii="宋体" w:hAnsi="宋体" w:cs="宋体"/>
          <w:b/>
          <w:bCs/>
          <w:color w:val="000000" w:themeColor="text1"/>
          <w:sz w:val="24"/>
          <w:highlight w:val="none"/>
          <w:lang w:val="en-US" w:eastAsia="zh-CN"/>
          <w14:textFill>
            <w14:solidFill>
              <w14:schemeClr w14:val="tx1"/>
            </w14:solidFill>
          </w14:textFill>
        </w:rPr>
        <w:t xml:space="preserve">提供承诺书（格式自拟）并在《分项报价表》中明确。</w:t>
      </w:r>
      <w:r/>
    </w:p>
    <w:p>
      <w:pPr>
        <w:ind w:firstLine="482"/>
        <w:spacing w:line="360" w:lineRule="auto"/>
        <w:rPr>
          <w:rFonts w:ascii="宋体" w:hAnsi="宋体" w:cs="宋体"/>
          <w:b/>
          <w:i/>
          <w:color w:val="000000" w:themeColor="text1"/>
          <w:sz w:val="24"/>
          <w:highlight w:val="none"/>
          <w:u w:val="single"/>
          <w14:textFill>
            <w14:solidFill>
              <w14:schemeClr w14:val="tx1"/>
            </w14:solidFill>
          </w14:textFill>
        </w:rPr>
      </w:pPr>
      <w:r>
        <w:rPr>
          <w:rFonts w:hint="eastAsia" w:ascii="宋体" w:hAnsi="宋体" w:cs="宋体"/>
          <w:b/>
          <w:i/>
          <w:color w:val="000000" w:themeColor="text1"/>
          <w:sz w:val="24"/>
          <w:highlight w:val="none"/>
          <w:u w:val="single"/>
          <w14:textFill>
            <w14:solidFill>
              <w14:schemeClr w14:val="tx1"/>
            </w14:solidFill>
          </w14:textFill>
        </w:rPr>
        <w:t xml:space="preserve">6.须提供所投产品《医疗器械注册证》；（须提供复印件并加盖公章）</w:t>
      </w:r>
      <w:r/>
    </w:p>
    <w:p>
      <w:pPr>
        <w:pStyle w:val="969"/>
        <w:spacing w:line="400" w:lineRule="exact"/>
        <w:rPr>
          <w:rFonts w:ascii="微软雅黑" w:hAnsi="微软雅黑" w:eastAsia="微软雅黑" w:cs="微软雅黑"/>
          <w:b/>
          <w:bCs/>
          <w:color w:val="000000" w:themeColor="text1"/>
          <w:highlight w:val="none"/>
          <w14:textFill>
            <w14:solidFill>
              <w14:schemeClr w14:val="tx1"/>
            </w14:solidFill>
          </w14:textFill>
        </w:rPr>
      </w:pPr>
      <w:r>
        <w:rPr>
          <w:rFonts w:ascii="微软雅黑" w:hAnsi="微软雅黑" w:eastAsia="微软雅黑" w:cs="微软雅黑"/>
          <w:b/>
          <w:bCs/>
          <w:color w:val="000000" w:themeColor="text1"/>
          <w:highlight w:val="none"/>
          <w14:textFill>
            <w14:solidFill>
              <w14:schemeClr w14:val="tx1"/>
            </w14:solidFill>
          </w14:textFill>
        </w:rPr>
      </w:r>
      <w:r/>
    </w:p>
    <w:p>
      <w:pPr>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jc w:val="center"/>
        <w:keepLines/>
        <w:keepNext/>
        <w:spacing w:line="480" w:lineRule="exact"/>
        <w:rPr>
          <w:rFonts w:ascii="宋体" w:hAnsi="宋体" w:cs="宋体"/>
          <w:b/>
          <w:bCs/>
          <w:color w:val="000000" w:themeColor="text1"/>
          <w:sz w:val="28"/>
          <w:szCs w:val="28"/>
          <w:highlight w:val="none"/>
          <w14:textFill>
            <w14:solidFill>
              <w14:schemeClr w14:val="tx1"/>
            </w14:solidFill>
          </w14:textFill>
        </w:rPr>
        <w:outlineLvl w:val="2"/>
      </w:pPr>
      <w:r>
        <w:rPr>
          <w:rFonts w:hint="eastAsia" w:ascii="宋体" w:hAnsi="宋体" w:cs="宋体"/>
          <w:b/>
          <w:bCs/>
          <w:color w:val="000000" w:themeColor="text1"/>
          <w:sz w:val="28"/>
          <w:szCs w:val="28"/>
          <w:highlight w:val="none"/>
          <w14:textFill>
            <w14:solidFill>
              <w14:schemeClr w14:val="tx1"/>
            </w14:solidFill>
          </w14:textFill>
        </w:rPr>
        <w:t xml:space="preserve">（第二部分：商务部分要求）</w:t>
      </w:r>
      <w:r/>
    </w:p>
    <w:p>
      <w:pPr>
        <w:pStyle w:val="97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bookmarkEnd w:id="31"/>
      <w:r/>
      <w:r/>
    </w:p>
    <w:p>
      <w:pPr>
        <w:keepLines/>
        <w:keepNext/>
        <w:spacing w:before="120" w:after="120" w:line="360" w:lineRule="auto"/>
        <w:rPr>
          <w:rFonts w:ascii="Calibri" w:hAnsi="Calibri"/>
          <w:b/>
          <w:bCs/>
          <w:color w:val="000000" w:themeColor="text1"/>
          <w:sz w:val="24"/>
          <w:highlight w:val="none"/>
          <w14:textFill>
            <w14:solidFill>
              <w14:schemeClr w14:val="tx1"/>
            </w14:solidFill>
          </w14:textFill>
        </w:rPr>
        <w:outlineLvl w:val="2"/>
      </w:pPr>
      <w:r>
        <w:rPr>
          <w:rFonts w:hint="eastAsia" w:ascii="宋体" w:hAnsi="宋体" w:cs="宋体"/>
          <w:b/>
          <w:bCs/>
          <w:color w:val="000000" w:themeColor="text1"/>
          <w:sz w:val="24"/>
          <w:highlight w:val="none"/>
          <w14:textFill>
            <w14:solidFill>
              <w14:schemeClr w14:val="tx1"/>
            </w14:solidFill>
          </w14:textFill>
        </w:rPr>
        <w:t xml:space="preserve">三、</w:t>
      </w:r>
      <w:r>
        <w:rPr>
          <w:rFonts w:hint="eastAsia" w:ascii="Calibri" w:hAnsi="Calibri"/>
          <w:b/>
          <w:bCs/>
          <w:color w:val="000000" w:themeColor="text1"/>
          <w:sz w:val="24"/>
          <w:highlight w:val="none"/>
          <w14:textFill>
            <w14:solidFill>
              <w14:schemeClr w14:val="tx1"/>
            </w14:solidFill>
          </w14:textFill>
        </w:rPr>
        <w:t xml:space="preserve">商务要求</w:t>
      </w:r>
      <w:r/>
    </w:p>
    <w:p>
      <w:pPr>
        <w:spacing w:before="48"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（一）质保及售后技术服务要求</w:t>
      </w:r>
      <w:r/>
    </w:p>
    <w:p>
      <w:pPr>
        <w:ind w:firstLine="480"/>
        <w:spacing w:before="48"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1</w:t>
      </w:r>
      <w:r>
        <w:rPr>
          <w:rFonts w:ascii="宋体" w:hAnsi="宋体" w:cs="宋体"/>
          <w:color w:val="000000" w:themeColor="text1"/>
          <w:sz w:val="24"/>
          <w:highlight w:val="none"/>
          <w14:textFill>
            <w14:solidFill>
              <w14:schemeClr w14:val="tx1"/>
            </w14:solidFill>
          </w14:textFill>
        </w:rPr>
        <w:t xml:space="preserve">质保期：</w:t>
      </w:r>
      <w:r>
        <w:rPr>
          <w:rFonts w:hint="eastAsia" w:ascii="宋体" w:hAnsi="宋体"/>
          <w:bCs/>
          <w:color w:val="000000" w:themeColor="text1"/>
          <w:sz w:val="24"/>
          <w:highlight w:val="none"/>
          <w14:textFill>
            <w14:solidFill>
              <w14:schemeClr w14:val="tx1"/>
            </w14:solidFill>
          </w14:textFill>
        </w:rPr>
        <w:t xml:space="preserve">承诺整机质保期8年</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自甲方验收合格，签署《</w:t>
      </w:r>
      <w:r>
        <w:rPr>
          <w:rFonts w:hint="eastAsia" w:ascii="宋体" w:hAnsi="宋体" w:cs="宋体"/>
          <w:bCs/>
          <w:color w:val="000000" w:themeColor="text1"/>
          <w:sz w:val="24"/>
          <w:highlight w:val="none"/>
          <w14:textFill>
            <w14:solidFill>
              <w14:schemeClr w14:val="tx1"/>
            </w14:solidFill>
          </w14:textFill>
        </w:rPr>
        <w:t xml:space="preserve">南京医科大学附属口腔医院</w:t>
      </w:r>
      <w:r>
        <w:rPr>
          <w:rFonts w:hint="eastAsia" w:ascii="宋体" w:hAnsi="宋体" w:cs="宋体"/>
          <w:color w:val="000000" w:themeColor="text1"/>
          <w:sz w:val="24"/>
          <w:highlight w:val="none"/>
          <w14:textFill>
            <w14:solidFill>
              <w14:schemeClr w14:val="tx1"/>
            </w14:solidFill>
          </w14:textFill>
        </w:rPr>
        <w:t xml:space="preserve">验收报告》之日起计算为准）。</w:t>
      </w:r>
      <w:r/>
    </w:p>
    <w:p>
      <w:pPr>
        <w:ind w:firstLine="482"/>
        <w:spacing w:before="48" w:line="360" w:lineRule="auto"/>
        <w:rPr>
          <w:rFonts w:ascii="宋体" w:hAnsi="宋体" w:cs="宋体"/>
          <w:color w:val="000000" w:themeColor="text1"/>
          <w:sz w:val="24"/>
          <w:highlight w:val="none"/>
          <w14:textFill>
            <w14:solidFill>
              <w14:schemeClr w14:val="tx1"/>
            </w14:solidFill>
          </w14:textFill>
        </w:rPr>
      </w:pPr>
      <w:r>
        <w:rPr>
          <w:rFonts w:ascii="宋体" w:hAnsi="宋体" w:cs="宋体"/>
          <w:b/>
          <w:i/>
          <w:color w:val="000000" w:themeColor="text1"/>
          <w:sz w:val="24"/>
          <w:highlight w:val="none"/>
          <w:u w:val="single"/>
          <w14:textFill>
            <w14:solidFill>
              <w14:schemeClr w14:val="tx1"/>
            </w14:solidFill>
          </w14:textFill>
        </w:rPr>
        <w:t xml:space="preserve">产品须为</w:t>
      </w:r>
      <w:r>
        <w:rPr>
          <w:rFonts w:hint="eastAsia" w:ascii="宋体" w:hAnsi="宋体" w:cs="宋体"/>
          <w:b/>
          <w:i/>
          <w:color w:val="000000" w:themeColor="text1"/>
          <w:sz w:val="24"/>
          <w:highlight w:val="none"/>
          <w:u w:val="single"/>
          <w14:textFill>
            <w14:solidFill>
              <w14:schemeClr w14:val="tx1"/>
            </w14:solidFill>
          </w14:textFill>
        </w:rPr>
        <w:t xml:space="preserve">2026年1月1日以后出厂，</w:t>
      </w:r>
      <w:r>
        <w:rPr>
          <w:rFonts w:ascii="宋体" w:hAnsi="宋体" w:cs="宋体"/>
          <w:b/>
          <w:i/>
          <w:color w:val="000000" w:themeColor="text1"/>
          <w:sz w:val="24"/>
          <w:highlight w:val="none"/>
          <w:u w:val="single"/>
          <w14:textFill>
            <w14:solidFill>
              <w14:schemeClr w14:val="tx1"/>
            </w14:solidFill>
          </w14:textFill>
        </w:rPr>
        <w:t xml:space="preserve">全新、未使用过的原装合格正品。</w:t>
      </w:r>
      <w:r>
        <w:rPr>
          <w:rFonts w:hint="eastAsia" w:ascii="宋体" w:hAnsi="宋体" w:cs="宋体"/>
          <w:b/>
          <w:i/>
          <w:color w:val="000000" w:themeColor="text1"/>
          <w:sz w:val="24"/>
          <w:highlight w:val="none"/>
          <w:u w:val="single"/>
          <w14:textFill>
            <w14:solidFill>
              <w14:schemeClr w14:val="tx1"/>
            </w14:solidFill>
          </w14:textFill>
        </w:rPr>
        <w:t xml:space="preserve">不得以已停产设备响应本项目。以到货设备铭牌标识或说明书为准，作为验收条件之一。</w:t>
      </w:r>
      <w:r>
        <w:rPr>
          <w:rFonts w:ascii="宋体" w:hAnsi="宋体" w:cs="宋体"/>
          <w:b/>
          <w:i/>
          <w:color w:val="000000" w:themeColor="text1"/>
          <w:sz w:val="24"/>
          <w:highlight w:val="none"/>
          <w:u w:val="single"/>
          <w14:textFill>
            <w14:solidFill>
              <w14:schemeClr w14:val="tx1"/>
            </w14:solidFill>
          </w14:textFill>
        </w:rPr>
        <w:t xml:space="preserve">安装质量符合各项现行技术规范和强制性标准。</w:t>
      </w:r>
      <w:r/>
    </w:p>
    <w:p>
      <w:pPr>
        <w:ind w:firstLine="480"/>
        <w:spacing w:line="400" w:lineRule="exact"/>
        <w:rPr>
          <w:rFonts w:ascii="宋体" w:hAnsi="宋体" w:cs="微软雅黑"/>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1.2设备使用</w:t>
      </w:r>
      <w:r>
        <w:rPr>
          <w:rFonts w:hint="eastAsia" w:cs="微软雅黑" w:asciiTheme="minorEastAsia" w:hAnsiTheme="minorEastAsia"/>
          <w:bCs/>
          <w:color w:val="000000" w:themeColor="text1"/>
          <w:sz w:val="24"/>
          <w:highlight w:val="none"/>
          <w14:textFill>
            <w14:solidFill>
              <w14:schemeClr w14:val="tx1"/>
            </w14:solidFill>
          </w14:textFill>
        </w:rPr>
        <w:t xml:space="preserve">年限：</w:t>
      </w:r>
      <w:r>
        <w:rPr>
          <w:rFonts w:hint="eastAsia" w:ascii="宋体" w:hAnsi="宋体" w:cs="微软雅黑"/>
          <w:bCs/>
          <w:color w:val="000000" w:themeColor="text1"/>
          <w:sz w:val="24"/>
          <w:highlight w:val="none"/>
          <w14:textFill>
            <w14:solidFill>
              <w14:schemeClr w14:val="tx1"/>
            </w14:solidFill>
          </w14:textFill>
        </w:rPr>
        <w:t xml:space="preserve">承诺</w:t>
      </w:r>
      <w:r>
        <w:rPr>
          <w:rFonts w:hint="eastAsia" w:ascii="微软雅黑" w:hAnsi="微软雅黑" w:cs="微软雅黑"/>
          <w:bCs/>
          <w:color w:val="000000" w:themeColor="text1"/>
          <w:sz w:val="24"/>
          <w:highlight w:val="none"/>
          <w14:textFill>
            <w14:solidFill>
              <w14:schemeClr w14:val="tx1"/>
            </w14:solidFill>
          </w14:textFill>
        </w:rPr>
        <w:t xml:space="preserve">自出厂之日起</w:t>
      </w:r>
      <w:r>
        <w:rPr>
          <w:rFonts w:hint="eastAsia" w:ascii="宋体" w:hAnsi="宋体" w:cs="微软雅黑"/>
          <w:bCs/>
          <w:color w:val="000000" w:themeColor="text1"/>
          <w:sz w:val="24"/>
          <w:highlight w:val="none"/>
          <w14:textFill>
            <w14:solidFill>
              <w14:schemeClr w14:val="tx1"/>
            </w14:solidFill>
          </w14:textFill>
        </w:rPr>
        <w:t xml:space="preserve">整机使用年限≥ 10 年。</w:t>
      </w:r>
      <w:r>
        <w:rPr>
          <w:rFonts w:hint="eastAsia" w:ascii="微软雅黑" w:hAnsi="微软雅黑" w:cs="微软雅黑"/>
          <w:b/>
          <w:color w:val="000000" w:themeColor="text1"/>
          <w:sz w:val="24"/>
          <w:highlight w:val="none"/>
          <w14:textFill>
            <w14:solidFill>
              <w14:schemeClr w14:val="tx1"/>
            </w14:solidFill>
          </w14:textFill>
        </w:rPr>
        <w:t xml:space="preserve">（需提供承诺书并加盖公章）</w:t>
      </w:r>
      <w:r/>
    </w:p>
    <w:p>
      <w:pPr>
        <w:ind w:firstLine="480"/>
        <w:spacing w:after="120" w:line="360" w:lineRule="auto"/>
        <w:rPr>
          <w:rFonts w:ascii="宋体" w:hAnsi="宋体" w:cs="微软雅黑"/>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1.3合同签订</w:t>
      </w:r>
      <w:r>
        <w:rPr>
          <w:rFonts w:hint="eastAsia" w:cs="微软雅黑" w:asciiTheme="minorEastAsia" w:hAnsiTheme="minorEastAsia"/>
          <w:bCs/>
          <w:color w:val="000000" w:themeColor="text1"/>
          <w:sz w:val="24"/>
          <w:highlight w:val="none"/>
          <w14:textFill>
            <w14:solidFill>
              <w14:schemeClr w14:val="tx1"/>
            </w14:solidFill>
          </w14:textFill>
        </w:rPr>
        <w:t xml:space="preserve">前需提供本项目的有效授权书</w:t>
      </w:r>
      <w:r>
        <w:rPr>
          <w:rFonts w:hint="eastAsia" w:ascii="宋体" w:hAnsi="宋体" w:cs="宋体"/>
          <w:bCs/>
          <w:color w:val="000000" w:themeColor="text1"/>
          <w:sz w:val="24"/>
          <w:highlight w:val="none"/>
          <w14:textFill>
            <w14:solidFill>
              <w14:schemeClr w14:val="tx1"/>
            </w14:solidFill>
          </w14:textFill>
        </w:rPr>
        <w:t xml:space="preserve">和制造商售后服务承诺函</w:t>
      </w:r>
      <w:r>
        <w:rPr>
          <w:rFonts w:hint="eastAsia" w:cs="微软雅黑" w:asciiTheme="minorEastAsia" w:hAnsiTheme="minorEastAsia"/>
          <w:bCs/>
          <w:color w:val="000000" w:themeColor="text1"/>
          <w:sz w:val="24"/>
          <w:highlight w:val="none"/>
          <w14:textFill>
            <w14:solidFill>
              <w14:schemeClr w14:val="tx1"/>
            </w14:solidFill>
          </w14:textFill>
        </w:rPr>
        <w:t xml:space="preserve">。</w:t>
      </w:r>
      <w:r>
        <w:rPr>
          <w:rFonts w:hint="eastAsia" w:cs="微软雅黑" w:asciiTheme="minorEastAsia" w:hAnsiTheme="minorEastAsia"/>
          <w:b/>
          <w:color w:val="000000" w:themeColor="text1"/>
          <w:sz w:val="24"/>
          <w:highlight w:val="none"/>
          <w14:textFill>
            <w14:solidFill>
              <w14:schemeClr w14:val="tx1"/>
            </w14:solidFill>
          </w14:textFill>
        </w:rPr>
        <w:t xml:space="preserve">（需提供承诺书并加盖公章）</w:t>
      </w:r>
      <w:r/>
    </w:p>
    <w:p>
      <w:pPr>
        <w:ind w:firstLine="480"/>
        <w:spacing w:after="120"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1.4</w:t>
      </w:r>
      <w:r>
        <w:rPr>
          <w:rFonts w:ascii="宋体" w:hAnsi="宋体" w:cs="宋体"/>
          <w:bCs/>
          <w:color w:val="000000" w:themeColor="text1"/>
          <w:sz w:val="24"/>
          <w:highlight w:val="none"/>
          <w14:textFill>
            <w14:solidFill>
              <w14:schemeClr w14:val="tx1"/>
            </w14:solidFill>
          </w14:textFill>
        </w:rPr>
        <w:t xml:space="preserve">售后技术服务要求：</w:t>
      </w:r>
      <w:r/>
    </w:p>
    <w:p>
      <w:pPr>
        <w:ind w:firstLine="480"/>
        <w:spacing w:after="120"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1.4.1</w:t>
      </w:r>
      <w:r>
        <w:rPr>
          <w:rFonts w:hint="eastAsia" w:ascii="宋体" w:hAnsi="宋体" w:cs="宋体"/>
          <w:color w:val="000000" w:themeColor="text1"/>
          <w:sz w:val="24"/>
          <w:highlight w:val="none"/>
          <w14:textFill>
            <w14:solidFill>
              <w14:schemeClr w14:val="tx1"/>
            </w14:solidFill>
          </w14:textFill>
        </w:rPr>
        <w:t xml:space="preserve">投标人需具备本地化服务能力，配备相应的售后服务人员。</w:t>
      </w:r>
      <w:r>
        <w:rPr>
          <w:rFonts w:hint="eastAsia" w:ascii="宋体" w:hAnsi="宋体" w:cs="宋体"/>
          <w:b/>
          <w:bCs/>
          <w:color w:val="000000" w:themeColor="text1"/>
          <w:sz w:val="24"/>
          <w:highlight w:val="none"/>
          <w14:textFill>
            <w14:solidFill>
              <w14:schemeClr w14:val="tx1"/>
            </w14:solidFill>
          </w14:textFill>
        </w:rPr>
        <w:t xml:space="preserve">（需提供人员清单及近半年（2026年2月-2026年7月）任意一个月投标供应商为其缴纳社保证明材料复印件并加盖公章）</w:t>
      </w:r>
      <w:r/>
    </w:p>
    <w:p>
      <w:pPr>
        <w:ind w:firstLine="480"/>
        <w:spacing w:after="120" w:line="360" w:lineRule="auto"/>
        <w:rPr>
          <w:rFonts w:ascii="宋体" w:hAnsi="宋体"/>
          <w:b/>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1.4.2确保</w:t>
      </w:r>
      <w:r>
        <w:rPr>
          <w:rFonts w:ascii="宋体" w:hAnsi="宋体" w:cs="宋体"/>
          <w:bCs/>
          <w:color w:val="000000" w:themeColor="text1"/>
          <w:sz w:val="24"/>
          <w:highlight w:val="none"/>
          <w14:textFill>
            <w14:solidFill>
              <w14:schemeClr w14:val="tx1"/>
            </w14:solidFill>
          </w14:textFill>
        </w:rPr>
        <w:t xml:space="preserve">电话30分钟</w:t>
      </w:r>
      <w:r>
        <w:rPr>
          <w:rFonts w:hint="eastAsia" w:ascii="宋体" w:hAnsi="宋体" w:cs="宋体"/>
          <w:bCs/>
          <w:color w:val="000000" w:themeColor="text1"/>
          <w:sz w:val="24"/>
          <w:highlight w:val="none"/>
          <w14:textFill>
            <w14:solidFill>
              <w14:schemeClr w14:val="tx1"/>
            </w14:solidFill>
          </w14:textFill>
        </w:rPr>
        <w:t xml:space="preserve">内</w:t>
      </w:r>
      <w:r>
        <w:rPr>
          <w:rFonts w:ascii="宋体" w:hAnsi="宋体" w:cs="宋体"/>
          <w:bCs/>
          <w:color w:val="000000" w:themeColor="text1"/>
          <w:sz w:val="24"/>
          <w:highlight w:val="none"/>
          <w14:textFill>
            <w14:solidFill>
              <w14:schemeClr w14:val="tx1"/>
            </w14:solidFill>
          </w14:textFill>
        </w:rPr>
        <w:t xml:space="preserve">响应，8小时内到现场，24小时内解决问题。</w:t>
      </w:r>
      <w:r>
        <w:rPr>
          <w:rFonts w:hint="eastAsia" w:ascii="宋体" w:hAnsi="宋体" w:cs="宋体"/>
          <w:bCs/>
          <w:color w:val="000000" w:themeColor="text1"/>
          <w:sz w:val="24"/>
          <w:highlight w:val="none"/>
          <w14:textFill>
            <w14:solidFill>
              <w14:schemeClr w14:val="tx1"/>
            </w14:solidFill>
          </w14:textFill>
        </w:rPr>
        <w:t xml:space="preserve">更换部件时须保证与原有产品的规格、型号、颜色和结构的一致性，并不得影响已使用场所正常工作的开展。质保期满后，需提供充足的备品、备件（不少于10年）。</w:t>
      </w:r>
      <w:r>
        <w:rPr>
          <w:rFonts w:hint="eastAsia" w:ascii="宋体" w:hAnsi="宋体"/>
          <w:b/>
          <w:color w:val="000000" w:themeColor="text1"/>
          <w:sz w:val="24"/>
          <w:highlight w:val="none"/>
          <w14:textFill>
            <w14:solidFill>
              <w14:schemeClr w14:val="tx1"/>
            </w14:solidFill>
          </w14:textFill>
        </w:rPr>
        <w:t xml:space="preserve">（需提供可满足本项服务要求的承诺函并加盖公章。）</w:t>
      </w:r>
      <w:r/>
    </w:p>
    <w:p>
      <w:pPr>
        <w:spacing w:before="48"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t xml:space="preserve">（二）交货期、交货方式</w:t>
      </w:r>
      <w:r>
        <w:rPr>
          <w:rFonts w:hint="eastAsia" w:ascii="宋体" w:hAnsi="宋体" w:cs="宋体"/>
          <w:b/>
          <w:color w:val="000000" w:themeColor="text1"/>
          <w:sz w:val="24"/>
          <w:highlight w:val="none"/>
          <w14:textFill>
            <w14:solidFill>
              <w14:schemeClr w14:val="tx1"/>
            </w14:solidFill>
          </w14:textFill>
        </w:rPr>
        <w:t xml:space="preserve">、</w:t>
      </w:r>
      <w:r>
        <w:rPr>
          <w:rFonts w:ascii="宋体" w:hAnsi="宋体" w:cs="宋体"/>
          <w:b/>
          <w:color w:val="000000" w:themeColor="text1"/>
          <w:sz w:val="24"/>
          <w:highlight w:val="none"/>
          <w14:textFill>
            <w14:solidFill>
              <w14:schemeClr w14:val="tx1"/>
            </w14:solidFill>
          </w14:textFill>
        </w:rPr>
        <w:t xml:space="preserve">交货地点</w:t>
      </w:r>
      <w:r>
        <w:rPr>
          <w:rFonts w:hint="eastAsia" w:ascii="宋体" w:hAnsi="宋体" w:cs="宋体"/>
          <w:b/>
          <w:color w:val="000000" w:themeColor="text1"/>
          <w:sz w:val="24"/>
          <w:highlight w:val="none"/>
          <w14:textFill>
            <w14:solidFill>
              <w14:schemeClr w14:val="tx1"/>
            </w14:solidFill>
          </w14:textFill>
        </w:rPr>
        <w:t xml:space="preserve">、</w:t>
      </w:r>
      <w:r>
        <w:rPr>
          <w:rFonts w:hint="eastAsia" w:hAnsi="宋体" w:cs="宋体"/>
          <w:color w:val="000000" w:themeColor="text1"/>
          <w:sz w:val="24"/>
          <w:highlight w:val="none"/>
          <w14:textFill>
            <w14:solidFill>
              <w14:schemeClr w14:val="tx1"/>
            </w14:solidFill>
          </w14:textFill>
        </w:rPr>
        <w:t xml:space="preserve">验收方式及</w:t>
      </w:r>
      <w:r>
        <w:rPr>
          <w:rFonts w:hint="eastAsia" w:hAnsi="宋体" w:cs="Courier New"/>
          <w:color w:val="000000" w:themeColor="text1"/>
          <w:sz w:val="24"/>
          <w:highlight w:val="none"/>
          <w14:textFill>
            <w14:solidFill>
              <w14:schemeClr w14:val="tx1"/>
            </w14:solidFill>
          </w14:textFill>
        </w:rPr>
        <w:t xml:space="preserve">培训要求</w:t>
      </w:r>
      <w:r/>
    </w:p>
    <w:p>
      <w:pPr>
        <w:ind w:firstLine="480"/>
        <w:spacing w:before="48"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2.1交货期：合同签订后≤30 天完成全部设备到货安装。</w:t>
      </w:r>
      <w:r/>
    </w:p>
    <w:p>
      <w:pPr>
        <w:ind w:firstLine="480"/>
        <w:spacing w:before="48"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2.2交货方式：成交人在采购人指定地点交货，并完成安装、调试。</w:t>
      </w:r>
      <w:r/>
    </w:p>
    <w:p>
      <w:pPr>
        <w:pStyle w:val="1009"/>
        <w:ind w:firstLine="480"/>
        <w:spacing w:line="360" w:lineRule="auto"/>
        <w:rPr>
          <w:rFonts w:cs="宋体"/>
          <w:color w:val="000000" w:themeColor="text1"/>
          <w:highlight w:val="none"/>
          <w14:textFill>
            <w14:solidFill>
              <w14:schemeClr w14:val="tx1"/>
            </w14:solidFill>
          </w14:textFill>
        </w:rPr>
      </w:pPr>
      <w:r>
        <w:rPr>
          <w:rFonts w:hint="eastAsia" w:cs="宋体"/>
          <w:bCs/>
          <w:color w:val="000000" w:themeColor="text1"/>
          <w:highlight w:val="none"/>
          <w14:textFill>
            <w14:solidFill>
              <w14:schemeClr w14:val="tx1"/>
            </w14:solidFill>
          </w14:textFill>
        </w:rPr>
        <w:t xml:space="preserve">2.3交货地点：</w:t>
      </w:r>
      <w:r>
        <w:rPr>
          <w:rFonts w:hint="eastAsia" w:cs="宋体"/>
          <w:color w:val="000000" w:themeColor="text1"/>
          <w:highlight w:val="none"/>
          <w14:textFill>
            <w14:solidFill>
              <w14:schemeClr w14:val="tx1"/>
            </w14:solidFill>
          </w14:textFill>
        </w:rPr>
        <w:t xml:space="preserve">采购人指定地点。</w:t>
      </w:r>
      <w:r/>
    </w:p>
    <w:p>
      <w:pPr>
        <w:pStyle w:val="1009"/>
        <w:ind w:firstLine="480"/>
        <w:spacing w:line="360" w:lineRule="auto"/>
        <w:rPr>
          <w:rFonts w:cs="Courier New"/>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2.4验收方式：由成交方负责办理运输和装卸等，费用由成交方负责。采购人组织验收，检验不合格或不符合质量要求，成交方除无条件退货、返工外，还应承担采购人由此造成的一切损失。</w:t>
      </w:r>
      <w:r>
        <w:rPr>
          <w:rFonts w:cs="Courier New"/>
          <w:b/>
          <w:color w:val="000000" w:themeColor="text1"/>
          <w:highlight w:val="none"/>
          <w14:textFill>
            <w14:solidFill>
              <w14:schemeClr w14:val="tx1"/>
            </w14:solidFill>
          </w14:textFill>
        </w:rPr>
        <w:t xml:space="preserve">初步验收不合格的不予签收</w:t>
      </w:r>
      <w:r>
        <w:rPr>
          <w:rFonts w:hint="eastAsia" w:cs="Courier New"/>
          <w:b/>
          <w:color w:val="000000" w:themeColor="text1"/>
          <w:highlight w:val="none"/>
          <w14:textFill>
            <w14:solidFill>
              <w14:schemeClr w14:val="tx1"/>
            </w14:solidFill>
          </w14:textFill>
        </w:rPr>
        <w:t xml:space="preserve">货物</w:t>
      </w:r>
      <w:r>
        <w:rPr>
          <w:rFonts w:cs="Courier New"/>
          <w:color w:val="000000" w:themeColor="text1"/>
          <w:highlight w:val="none"/>
          <w14:textFill>
            <w14:solidFill>
              <w14:schemeClr w14:val="tx1"/>
            </w14:solidFill>
          </w14:textFill>
        </w:rPr>
        <w:t xml:space="preserve">。</w:t>
      </w:r>
      <w:r/>
    </w:p>
    <w:p>
      <w:pPr>
        <w:ind w:firstLine="480"/>
        <w:spacing w:after="120" w:line="360" w:lineRule="auto"/>
        <w:rPr>
          <w:rFonts w:ascii="宋体" w:hAnsi="宋体" w:cs="微软雅黑"/>
          <w:b/>
          <w:color w:val="000000" w:themeColor="text1"/>
          <w:sz w:val="24"/>
          <w:highlight w:val="none"/>
          <w14:textFill>
            <w14:solidFill>
              <w14:schemeClr w14:val="tx1"/>
            </w14:solidFill>
          </w14:textFill>
        </w:rPr>
      </w:pPr>
      <w:r>
        <w:rPr>
          <w:rFonts w:hint="eastAsia" w:hAnsi="宋体" w:cs="Courier New"/>
          <w:color w:val="000000" w:themeColor="text1"/>
          <w:sz w:val="24"/>
          <w:highlight w:val="none"/>
          <w14:textFill>
            <w14:solidFill>
              <w14:schemeClr w14:val="tx1"/>
            </w14:solidFill>
          </w14:textFill>
        </w:rPr>
        <w:t xml:space="preserve">2.5培训要求：</w:t>
      </w:r>
      <w:r>
        <w:rPr>
          <w:rFonts w:hint="eastAsia" w:ascii="宋体" w:hAnsi="宋体" w:cs="宋体"/>
          <w:bCs/>
          <w:color w:val="000000" w:themeColor="text1"/>
          <w:sz w:val="24"/>
          <w:highlight w:val="none"/>
          <w14:textFill>
            <w14:solidFill>
              <w14:schemeClr w14:val="tx1"/>
            </w14:solidFill>
          </w14:textFill>
        </w:rPr>
        <w:t xml:space="preserve">培训时间不少于2个工作日，不少于10人/次。</w:t>
      </w:r>
      <w:r/>
    </w:p>
    <w:p>
      <w:pPr>
        <w:spacing w:before="120"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（三）货款支付</w:t>
      </w:r>
      <w:r/>
    </w:p>
    <w:p>
      <w:pPr>
        <w:ind w:firstLine="482"/>
        <w:spacing w:before="48" w:line="360" w:lineRule="auto"/>
        <w:rPr>
          <w:rFonts w:ascii="宋体" w:hAnsi="宋体" w:cs="宋体"/>
          <w:b/>
          <w:i/>
          <w:color w:val="000000" w:themeColor="text1"/>
          <w:sz w:val="24"/>
          <w:highlight w:val="none"/>
          <w:u w:val="single"/>
          <w14:textFill>
            <w14:solidFill>
              <w14:schemeClr w14:val="tx1"/>
            </w14:solidFill>
          </w14:textFill>
        </w:rPr>
      </w:pPr>
      <w:r>
        <w:rPr>
          <w:rFonts w:hint="eastAsia" w:ascii="宋体" w:hAnsi="宋体" w:cs="宋体"/>
          <w:b/>
          <w:i/>
          <w:color w:val="000000" w:themeColor="text1"/>
          <w:sz w:val="24"/>
          <w:highlight w:val="none"/>
          <w:u w:val="single"/>
          <w14:textFill>
            <w14:solidFill>
              <w14:schemeClr w14:val="tx1"/>
            </w14:solidFill>
          </w14:textFill>
        </w:rPr>
        <w:t xml:space="preserve">合同签订后，凭发票支付合同总价的30%；</w:t>
      </w:r>
      <w:r/>
    </w:p>
    <w:p>
      <w:pPr>
        <w:ind w:firstLine="482"/>
        <w:spacing w:before="48" w:line="360" w:lineRule="auto"/>
        <w:rPr>
          <w:rFonts w:ascii="宋体" w:hAnsi="宋体" w:cs="宋体"/>
          <w:b/>
          <w:i/>
          <w:color w:val="000000" w:themeColor="text1"/>
          <w:sz w:val="24"/>
          <w:highlight w:val="none"/>
          <w:u w:val="single"/>
          <w14:textFill>
            <w14:solidFill>
              <w14:schemeClr w14:val="tx1"/>
            </w14:solidFill>
          </w14:textFill>
        </w:rPr>
      </w:pPr>
      <w:r>
        <w:rPr>
          <w:rFonts w:hint="eastAsia" w:ascii="宋体" w:hAnsi="宋体" w:cs="宋体"/>
          <w:b/>
          <w:i/>
          <w:color w:val="000000" w:themeColor="text1"/>
          <w:sz w:val="24"/>
          <w:highlight w:val="none"/>
          <w:u w:val="single"/>
          <w14:textFill>
            <w14:solidFill>
              <w14:schemeClr w14:val="tx1"/>
            </w14:solidFill>
          </w14:textFill>
        </w:rPr>
        <w:t xml:space="preserve">货到安装调试正常使用，培训完成，经采购人初步验收合格，凭发票支付合同总价的20%。</w:t>
      </w:r>
      <w:r/>
    </w:p>
    <w:p>
      <w:pPr>
        <w:ind w:firstLine="482"/>
        <w:spacing w:before="48" w:line="360" w:lineRule="auto"/>
        <w:rPr>
          <w:rFonts w:ascii="宋体" w:hAnsi="宋体" w:cs="宋体"/>
          <w:b/>
          <w:i/>
          <w:color w:val="000000" w:themeColor="text1"/>
          <w:sz w:val="24"/>
          <w:highlight w:val="none"/>
          <w:u w:val="single"/>
          <w14:textFill>
            <w14:solidFill>
              <w14:schemeClr w14:val="tx1"/>
            </w14:solidFill>
          </w14:textFill>
        </w:rPr>
      </w:pPr>
      <w:r>
        <w:rPr>
          <w:rFonts w:hint="eastAsia" w:ascii="宋体" w:hAnsi="宋体" w:cs="宋体"/>
          <w:b/>
          <w:i/>
          <w:color w:val="000000" w:themeColor="text1"/>
          <w:sz w:val="24"/>
          <w:highlight w:val="none"/>
          <w:u w:val="single"/>
          <w14:textFill>
            <w14:solidFill>
              <w14:schemeClr w14:val="tx1"/>
            </w14:solidFill>
          </w14:textFill>
        </w:rPr>
        <w:t xml:space="preserve">自初步验收合格、试运行满6个月后，进行终验收，签署《南京医科大学附属口腔医院验收报告》后，付清余款，即合同总价的50%。</w:t>
      </w:r>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四、其他要求</w:t>
      </w:r>
      <w:r/>
    </w:p>
    <w:p>
      <w:pPr>
        <w:ind w:firstLine="480"/>
        <w:spacing w:line="44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（一）产品优势</w:t>
      </w:r>
      <w:r/>
    </w:p>
    <w:p>
      <w:pPr>
        <w:ind w:firstLine="480"/>
        <w:spacing w:line="44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所投产品应具备先进性、创新性、优越性、功能拓展性，需提供有效证明材料（</w:t>
      </w:r>
      <w:r>
        <w:rPr>
          <w:rFonts w:hint="eastAsia" w:ascii="宋体" w:hAnsi="宋体" w:cs="宋体"/>
          <w:b/>
          <w:color w:val="000000" w:themeColor="text1"/>
          <w:sz w:val="24"/>
          <w:highlight w:val="none"/>
          <w14:textFill>
            <w14:solidFill>
              <w14:schemeClr w14:val="tx1"/>
            </w14:solidFill>
          </w14:textFill>
        </w:rPr>
        <w:t xml:space="preserve">包括但</w:t>
      </w:r>
      <w:r>
        <w:rPr>
          <w:rFonts w:hint="eastAsia" w:ascii="宋体" w:hAnsi="宋体" w:cs="宋体"/>
          <w:b/>
          <w:bCs/>
          <w:color w:val="000000" w:themeColor="text1"/>
          <w:sz w:val="24"/>
          <w:highlight w:val="none"/>
          <w:lang w:val="zh-CN"/>
          <w14:textFill>
            <w14:solidFill>
              <w14:schemeClr w14:val="tx1"/>
            </w14:solidFill>
          </w14:textFill>
        </w:rPr>
        <w:t xml:space="preserve">不限于</w:t>
      </w:r>
      <w:r>
        <w:rPr>
          <w:rFonts w:hint="eastAsia" w:ascii="宋体" w:hAnsi="宋体" w:cs="宋体"/>
          <w:b/>
          <w:bCs/>
          <w:color w:val="000000" w:themeColor="text1"/>
          <w:sz w:val="24"/>
          <w:highlight w:val="none"/>
          <w14:textFill>
            <w14:solidFill>
              <w14:schemeClr w14:val="tx1"/>
            </w14:solidFill>
          </w14:textFill>
        </w:rPr>
        <w:t xml:space="preserve">可</w:t>
      </w:r>
      <w:r>
        <w:rPr>
          <w:rFonts w:hint="eastAsia" w:ascii="宋体" w:hAnsi="宋体" w:cs="宋体"/>
          <w:b/>
          <w:bCs/>
          <w:color w:val="000000" w:themeColor="text1"/>
          <w:sz w:val="24"/>
          <w:highlight w:val="none"/>
          <w:lang w:val="zh-CN"/>
          <w14:textFill>
            <w14:solidFill>
              <w14:schemeClr w14:val="tx1"/>
            </w14:solidFill>
          </w14:textFill>
        </w:rPr>
        <w:t xml:space="preserve">明确说明该技术内容的</w:t>
      </w:r>
      <w:r>
        <w:rPr>
          <w:rFonts w:hint="eastAsia" w:ascii="宋体" w:hAnsi="宋体" w:cs="宋体"/>
          <w:b/>
          <w:bCs/>
          <w:color w:val="000000" w:themeColor="text1"/>
          <w:sz w:val="24"/>
          <w:highlight w:val="none"/>
          <w14:textFill>
            <w14:solidFill>
              <w14:schemeClr w14:val="tx1"/>
            </w14:solidFill>
          </w14:textFill>
        </w:rPr>
        <w:t xml:space="preserve">材料，如产品说明书或产品彩页或产品技术手册或第三方机构出具的检测报告或专利证书等，并加盖公章）。</w:t>
      </w:r>
      <w:r>
        <w:rPr>
          <w:rFonts w:hint="eastAsia" w:ascii="宋体" w:hAnsi="宋体" w:cs="宋体"/>
          <w:bCs/>
          <w:color w:val="000000" w:themeColor="text1"/>
          <w:sz w:val="24"/>
          <w:highlight w:val="none"/>
          <w14:textFill>
            <w14:solidFill>
              <w14:schemeClr w14:val="tx1"/>
            </w14:solidFill>
          </w14:textFill>
        </w:rPr>
        <w:t xml:space="preserve">要求材料完整清晰、资料全面，产品介绍清晰、详细且能够反应出产品优势，创新能力强，技术及功能拓展性优势明显。</w:t>
      </w:r>
      <w:r/>
    </w:p>
    <w:p>
      <w:pPr>
        <w:ind w:firstLine="480"/>
        <w:spacing w:line="44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（二）产品工艺</w:t>
      </w:r>
      <w:r/>
    </w:p>
    <w:p>
      <w:pPr>
        <w:ind w:firstLine="480"/>
        <w:spacing w:line="44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所投产品应具备优良的制造工艺、材质，且外观设计合理，具备安全性、可靠性、稳定性及适用性，需提供有效证明材料（</w:t>
      </w:r>
      <w:r>
        <w:rPr>
          <w:rFonts w:hint="eastAsia" w:ascii="宋体" w:hAnsi="宋体" w:cs="宋体"/>
          <w:b/>
          <w:color w:val="000000" w:themeColor="text1"/>
          <w:sz w:val="24"/>
          <w:highlight w:val="none"/>
          <w14:textFill>
            <w14:solidFill>
              <w14:schemeClr w14:val="tx1"/>
            </w14:solidFill>
          </w14:textFill>
        </w:rPr>
        <w:t xml:space="preserve">包括但</w:t>
      </w:r>
      <w:r>
        <w:rPr>
          <w:rFonts w:hint="eastAsia" w:ascii="宋体" w:hAnsi="宋体" w:cs="宋体"/>
          <w:b/>
          <w:bCs/>
          <w:color w:val="000000" w:themeColor="text1"/>
          <w:sz w:val="24"/>
          <w:highlight w:val="none"/>
          <w:lang w:val="zh-CN"/>
          <w14:textFill>
            <w14:solidFill>
              <w14:schemeClr w14:val="tx1"/>
            </w14:solidFill>
          </w14:textFill>
        </w:rPr>
        <w:t xml:space="preserve">不限于</w:t>
      </w:r>
      <w:r>
        <w:rPr>
          <w:rFonts w:hint="eastAsia" w:ascii="宋体" w:hAnsi="宋体" w:cs="宋体"/>
          <w:b/>
          <w:bCs/>
          <w:color w:val="000000" w:themeColor="text1"/>
          <w:sz w:val="24"/>
          <w:highlight w:val="none"/>
          <w14:textFill>
            <w14:solidFill>
              <w14:schemeClr w14:val="tx1"/>
            </w14:solidFill>
          </w14:textFill>
        </w:rPr>
        <w:t xml:space="preserve">可</w:t>
      </w:r>
      <w:r>
        <w:rPr>
          <w:rFonts w:hint="eastAsia" w:ascii="宋体" w:hAnsi="宋体" w:cs="宋体"/>
          <w:b/>
          <w:bCs/>
          <w:color w:val="000000" w:themeColor="text1"/>
          <w:sz w:val="24"/>
          <w:highlight w:val="none"/>
          <w:lang w:val="zh-CN"/>
          <w14:textFill>
            <w14:solidFill>
              <w14:schemeClr w14:val="tx1"/>
            </w14:solidFill>
          </w14:textFill>
        </w:rPr>
        <w:t xml:space="preserve">明确说明该技术内容的</w:t>
      </w:r>
      <w:r>
        <w:rPr>
          <w:rFonts w:hint="eastAsia" w:ascii="宋体" w:hAnsi="宋体" w:cs="宋体"/>
          <w:b/>
          <w:bCs/>
          <w:color w:val="000000" w:themeColor="text1"/>
          <w:sz w:val="24"/>
          <w:highlight w:val="none"/>
          <w14:textFill>
            <w14:solidFill>
              <w14:schemeClr w14:val="tx1"/>
            </w14:solidFill>
          </w14:textFill>
        </w:rPr>
        <w:t xml:space="preserve">材料</w:t>
      </w:r>
      <w:r>
        <w:rPr>
          <w:rFonts w:hint="eastAsia" w:ascii="宋体" w:hAnsi="宋体" w:cs="宋体"/>
          <w:b/>
          <w:bCs/>
          <w:color w:val="000000" w:themeColor="text1"/>
          <w:sz w:val="24"/>
          <w:highlight w:val="none"/>
          <w:lang w:val="zh-CN"/>
          <w14:textFill>
            <w14:solidFill>
              <w14:schemeClr w14:val="tx1"/>
            </w14:solidFill>
          </w14:textFill>
        </w:rPr>
        <w:t xml:space="preserve">，如产品说明书</w:t>
      </w:r>
      <w:r>
        <w:rPr>
          <w:rFonts w:hint="eastAsia" w:ascii="宋体" w:hAnsi="宋体" w:cs="宋体"/>
          <w:b/>
          <w:bCs/>
          <w:color w:val="000000" w:themeColor="text1"/>
          <w:sz w:val="24"/>
          <w:highlight w:val="none"/>
          <w14:textFill>
            <w14:solidFill>
              <w14:schemeClr w14:val="tx1"/>
            </w14:solidFill>
          </w14:textFill>
        </w:rPr>
        <w:t xml:space="preserve">或</w:t>
      </w:r>
      <w:r>
        <w:rPr>
          <w:rFonts w:hint="eastAsia" w:ascii="宋体" w:hAnsi="宋体" w:cs="宋体"/>
          <w:b/>
          <w:bCs/>
          <w:color w:val="000000" w:themeColor="text1"/>
          <w:sz w:val="24"/>
          <w:highlight w:val="none"/>
          <w:lang w:val="zh-CN"/>
          <w14:textFill>
            <w14:solidFill>
              <w14:schemeClr w14:val="tx1"/>
            </w14:solidFill>
          </w14:textFill>
        </w:rPr>
        <w:t xml:space="preserve">产品彩页</w:t>
      </w:r>
      <w:r>
        <w:rPr>
          <w:rFonts w:hint="eastAsia" w:ascii="宋体" w:hAnsi="宋体" w:cs="宋体"/>
          <w:b/>
          <w:bCs/>
          <w:color w:val="000000" w:themeColor="text1"/>
          <w:sz w:val="24"/>
          <w:highlight w:val="none"/>
          <w14:textFill>
            <w14:solidFill>
              <w14:schemeClr w14:val="tx1"/>
            </w14:solidFill>
          </w14:textFill>
        </w:rPr>
        <w:t xml:space="preserve">或</w:t>
      </w:r>
      <w:r>
        <w:rPr>
          <w:rFonts w:hint="eastAsia" w:ascii="宋体" w:hAnsi="宋体" w:cs="宋体"/>
          <w:b/>
          <w:bCs/>
          <w:color w:val="000000" w:themeColor="text1"/>
          <w:sz w:val="24"/>
          <w:highlight w:val="none"/>
          <w:lang w:val="zh-CN"/>
          <w14:textFill>
            <w14:solidFill>
              <w14:schemeClr w14:val="tx1"/>
            </w14:solidFill>
          </w14:textFill>
        </w:rPr>
        <w:t xml:space="preserve">产品技术手册或第三方机构出具的检测报告</w:t>
      </w:r>
      <w:r>
        <w:rPr>
          <w:rFonts w:hint="eastAsia" w:ascii="宋体" w:hAnsi="宋体" w:cs="宋体"/>
          <w:b/>
          <w:bCs/>
          <w:color w:val="000000" w:themeColor="text1"/>
          <w:sz w:val="24"/>
          <w:highlight w:val="none"/>
          <w14:textFill>
            <w14:solidFill>
              <w14:schemeClr w14:val="tx1"/>
            </w14:solidFill>
          </w14:textFill>
        </w:rPr>
        <w:t xml:space="preserve">或</w:t>
      </w:r>
      <w:r>
        <w:rPr>
          <w:rFonts w:hint="eastAsia" w:ascii="宋体" w:hAnsi="宋体" w:cs="宋体"/>
          <w:b/>
          <w:bCs/>
          <w:color w:val="000000" w:themeColor="text1"/>
          <w:sz w:val="24"/>
          <w:highlight w:val="none"/>
          <w:lang w:val="zh-CN"/>
          <w14:textFill>
            <w14:solidFill>
              <w14:schemeClr w14:val="tx1"/>
            </w14:solidFill>
          </w14:textFill>
        </w:rPr>
        <w:t xml:space="preserve">专利证书等，并加盖公章）。</w:t>
      </w:r>
      <w:r>
        <w:rPr>
          <w:rFonts w:hint="eastAsia" w:ascii="宋体" w:hAnsi="宋体" w:cs="宋体"/>
          <w:bCs/>
          <w:color w:val="000000" w:themeColor="text1"/>
          <w:sz w:val="24"/>
          <w:highlight w:val="none"/>
          <w14:textFill>
            <w14:solidFill>
              <w14:schemeClr w14:val="tx1"/>
            </w14:solidFill>
          </w14:textFill>
        </w:rPr>
        <w:t xml:space="preserve">要求制造工艺精巧细致，材质坚固耐用，表面平整美观，安全性能稳定可靠，资料全面，产品介绍清晰、详细且能够反应出产品相关优势。</w:t>
      </w:r>
      <w:r/>
    </w:p>
    <w:p>
      <w:pPr>
        <w:ind w:firstLine="482"/>
        <w:spacing w:line="44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（三）制订项目实施方案</w:t>
      </w:r>
      <w:r/>
    </w:p>
    <w:p>
      <w:pPr>
        <w:ind w:firstLine="480"/>
        <w:spacing w:line="44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根据采购文件要求及本项目特点，制订项目实施方案，包括全部产品的运输、安装部署、联合调试方案、供货及安装各节点时间进度与质量控制、人员配置安排等。实施方案应做到完整全面、科学可行，并有针对性，配备具有相应资质的技术服务人员，服从采购人管理要求，确保在规定的交付时限内完成。</w:t>
      </w:r>
      <w:r/>
    </w:p>
    <w:p>
      <w:pPr>
        <w:ind w:firstLine="482"/>
        <w:spacing w:line="44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（四）制订项目培训方案</w:t>
      </w:r>
      <w:r/>
    </w:p>
    <w:p>
      <w:pPr>
        <w:ind w:firstLine="480"/>
        <w:spacing w:line="44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人应根据招标文件要求及本项目特点，安排具备相应资质和经验的技术人员，制订相应的培训教案并提供培训课程，对采购单位的使用部门及维修维护人员进行全流程使用培训，保证使用单位相关人员能熟练操作使用，且能够进行日常的维护保养。方案应做到完整全面、科学可行，并有针对性。</w:t>
      </w:r>
      <w:r/>
    </w:p>
    <w:p>
      <w:pPr>
        <w:ind w:firstLine="482"/>
        <w:spacing w:line="440" w:lineRule="exact"/>
        <w:rPr>
          <w:rFonts w:hint="eastAsia" w:ascii="宋体" w:hAnsi="宋体" w:eastAsia="宋体" w:cs="宋体"/>
          <w:b/>
          <w:color w:val="000000" w:themeColor="text1"/>
          <w:sz w:val="24"/>
          <w:highlight w:val="none"/>
          <w:lang w:val="en-US" w:eastAsia="zh-CN"/>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（五）制订项目售后服务方案</w:t>
      </w:r>
      <w:r/>
    </w:p>
    <w:p>
      <w:pPr>
        <w:ind w:firstLine="480"/>
        <w:spacing w:line="44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供应商需响应采购文件质保和维保的服务要求，针对本项目自身及所投产品品牌原厂的响应标准、服务体系、备件体系、故障解决方案、专业技术人员保障等售后服务承诺方案；服务方案应内容详实、科学合理、具备针对性、切实可行。</w:t>
      </w:r>
      <w:r/>
    </w:p>
    <w:p>
      <w:pPr>
        <w:ind w:firstLine="482"/>
        <w:spacing w:line="44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（六）制订设备巡检维护方案</w:t>
      </w:r>
      <w:r/>
    </w:p>
    <w:p>
      <w:pPr>
        <w:ind w:firstLine="480"/>
        <w:spacing w:line="44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供应商应根据采购文件要求及本项目特点，制订设备巡检维护方案，要求对设备巡检维护周期有明确承诺，且巡检计划内容切实可行，提供对应切实可行的保证措施，要求具备合理性、可操作性。</w:t>
      </w:r>
      <w:r/>
    </w:p>
    <w:p>
      <w:pPr>
        <w:ind w:firstLine="482"/>
        <w:spacing w:before="48" w:line="44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（七）响应人履约能力</w:t>
      </w:r>
      <w:r/>
    </w:p>
    <w:p>
      <w:pPr>
        <w:ind w:firstLine="480"/>
        <w:spacing w:line="48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1、质保期延长承诺函。</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2、质保期后维修服务承诺。</w:t>
      </w:r>
      <w:r/>
    </w:p>
    <w:p>
      <w:pPr>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3、投标人自2023年8月1日至今有过类似项目供货安装成功案例。</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4、投标人列出</w:t>
      </w:r>
      <w:r>
        <w:rPr>
          <w:rFonts w:hint="eastAsia" w:ascii="宋体" w:hAnsi="宋体" w:cs="宋体"/>
          <w:color w:val="000000" w:themeColor="text1"/>
          <w:sz w:val="24"/>
          <w:highlight w:val="none"/>
          <w14:textFill>
            <w14:solidFill>
              <w14:schemeClr w14:val="tx1"/>
            </w14:solidFill>
          </w14:textFill>
        </w:rPr>
        <w:t xml:space="preserve">质保期后主要易损件和备品备件清单、报价及折扣。</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contextualSpacing/>
        <w:ind w:firstLine="241"/>
        <w:spacing w:line="360" w:lineRule="auto"/>
        <w:rPr>
          <w:rFonts w:cs="楷体" w:asciiTheme="minorEastAsia" w:hAnsiTheme="minorEastAsia" w:eastAsiaTheme="minorEastAsia"/>
          <w:b/>
          <w:color w:val="000000" w:themeColor="text1"/>
          <w:sz w:val="24"/>
          <w:highlight w:val="none"/>
          <w:lang w:val="zh-CN"/>
          <w14:textFill>
            <w14:solidFill>
              <w14:schemeClr w14:val="tx1"/>
            </w14:solidFill>
          </w14:textFill>
        </w:rPr>
        <w:sectPr>
          <w:footerReference w:type="default" r:id="rId13"/>
          <w:footnotePr/>
          <w:endnotePr/>
          <w:type w:val="nextPage"/>
          <w:pgSz w:w="11906" w:h="16838" w:orient="portrait"/>
          <w:pgMar w:top="850" w:right="850" w:bottom="850" w:left="1417" w:header="340" w:footer="992" w:gutter="0"/>
          <w:cols w:num="1" w:sep="0" w:space="0" w:equalWidth="1"/>
          <w:docGrid w:linePitch="360"/>
        </w:sectPr>
      </w:pPr>
      <w:r>
        <w:rPr>
          <w:rFonts w:cs="楷体" w:asciiTheme="minorEastAsia" w:hAnsiTheme="minorEastAsia" w:eastAsiaTheme="minorEastAsia"/>
          <w:b/>
          <w:color w:val="000000" w:themeColor="text1"/>
          <w:sz w:val="24"/>
          <w:highlight w:val="none"/>
          <w:lang w:val="zh-CN"/>
          <w14:textFill>
            <w14:solidFill>
              <w14:schemeClr w14:val="tx1"/>
            </w14:solidFill>
          </w14:textFill>
        </w:rPr>
      </w:r>
      <w:r/>
    </w:p>
    <w:p>
      <w:pPr>
        <w:jc w:val="center"/>
        <w:spacing w:line="360" w:lineRule="auto"/>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第五章  合同主要条款及格式</w:t>
      </w:r>
      <w:r/>
    </w:p>
    <w:p>
      <w:pPr>
        <w:jc w:val="center"/>
        <w:spacing w:line="360" w:lineRule="auto"/>
        <w:rPr>
          <w:rFonts w:ascii="宋体" w:hAnsi="宋体"/>
          <w:b/>
          <w:color w:val="000000" w:themeColor="text1"/>
          <w:sz w:val="30"/>
          <w:szCs w:val="21"/>
          <w:highlight w:val="none"/>
          <w14:textFill>
            <w14:solidFill>
              <w14:schemeClr w14:val="tx1"/>
            </w14:solidFill>
          </w14:textFill>
        </w:rPr>
        <w:outlineLvl w:val="0"/>
      </w:pPr>
      <w:r/>
      <w:bookmarkStart w:id="32" w:name="_Toc16938590"/>
      <w:r/>
      <w:bookmarkStart w:id="33" w:name="_Toc20823346"/>
      <w:r/>
      <w:bookmarkStart w:id="34" w:name="_Toc120614244"/>
      <w:r/>
      <w:bookmarkStart w:id="35" w:name="_Hlt16619350"/>
      <w:r>
        <w:rPr>
          <w:rFonts w:hint="eastAsia" w:ascii="宋体" w:hAnsi="宋体"/>
          <w:b/>
          <w:color w:val="000000" w:themeColor="text1"/>
          <w:sz w:val="30"/>
          <w:szCs w:val="21"/>
          <w:highlight w:val="none"/>
          <w14:textFill>
            <w14:solidFill>
              <w14:schemeClr w14:val="tx1"/>
            </w14:solidFill>
          </w14:textFill>
        </w:rPr>
        <w:t xml:space="preserve">江苏省口腔医院</w:t>
      </w:r>
      <w:r/>
    </w:p>
    <w:p>
      <w:pPr>
        <w:jc w:val="center"/>
        <w:spacing w:line="360" w:lineRule="auto"/>
        <w:rPr>
          <w:rFonts w:ascii="宋体" w:hAnsi="宋体"/>
          <w:b/>
          <w:color w:val="000000" w:themeColor="text1"/>
          <w:sz w:val="30"/>
          <w:szCs w:val="21"/>
          <w:highlight w:val="none"/>
          <w14:textFill>
            <w14:solidFill>
              <w14:schemeClr w14:val="tx1"/>
            </w14:solidFill>
          </w14:textFill>
        </w:rPr>
        <w:outlineLvl w:val="0"/>
      </w:pPr>
      <w:r>
        <w:rPr>
          <w:rFonts w:hint="eastAsia" w:ascii="宋体" w:hAnsi="宋体"/>
          <w:b/>
          <w:color w:val="000000" w:themeColor="text1"/>
          <w:sz w:val="30"/>
          <w:szCs w:val="21"/>
          <w:highlight w:val="none"/>
          <w14:textFill>
            <w14:solidFill>
              <w14:schemeClr w14:val="tx1"/>
            </w14:solidFill>
          </w14:textFill>
        </w:rPr>
        <w:t xml:space="preserve">南京医科大学附属口腔医院</w:t>
      </w:r>
      <w:r/>
    </w:p>
    <w:p>
      <w:pPr>
        <w:jc w:val="center"/>
        <w:spacing w:line="360" w:lineRule="auto"/>
        <w:rPr>
          <w:rFonts w:ascii="宋体" w:hAnsi="宋体"/>
          <w:b/>
          <w:bCs/>
          <w:color w:val="000000" w:themeColor="text1"/>
          <w:sz w:val="30"/>
          <w:szCs w:val="20"/>
          <w:highlight w:val="none"/>
          <w14:textFill>
            <w14:solidFill>
              <w14:schemeClr w14:val="tx1"/>
            </w14:solidFill>
          </w14:textFill>
        </w:rPr>
        <w:outlineLvl w:val="0"/>
      </w:pPr>
      <w:r>
        <w:rPr>
          <w:rFonts w:hint="eastAsia" w:ascii="宋体" w:hAnsi="宋体"/>
          <w:b/>
          <w:color w:val="000000" w:themeColor="text1"/>
          <w:sz w:val="30"/>
          <w:szCs w:val="21"/>
          <w:highlight w:val="none"/>
          <w14:textFill>
            <w14:solidFill>
              <w14:schemeClr w14:val="tx1"/>
            </w14:solidFill>
          </w14:textFill>
        </w:rPr>
        <w:t xml:space="preserve">采购合同（货物）</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项目名称： </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项目编号：                   采购单号：                使用科室：</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甲方：（买方）南京医科大学附属口腔医院</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纳税人识别号：12320000466007140G</w:t>
      </w:r>
      <w:r/>
    </w:p>
    <w:p>
      <w:pPr>
        <w:spacing w:line="360" w:lineRule="auto"/>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乙方：（卖方）</w:t>
      </w:r>
      <w:r/>
    </w:p>
    <w:p>
      <w:pPr>
        <w:spacing w:line="360" w:lineRule="auto"/>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纳税人识别号：</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一、采购标的</w:t>
      </w:r>
      <w:r/>
    </w:p>
    <w:tbl>
      <w:tblPr>
        <w:tblStyle w:val="968"/>
        <w:tblW w:w="11424" w:type="dxa"/>
        <w:tblInd w:w="-1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3"/>
        <w:gridCol w:w="1382"/>
        <w:gridCol w:w="1831"/>
        <w:gridCol w:w="811"/>
        <w:gridCol w:w="1324"/>
        <w:gridCol w:w="1323"/>
        <w:gridCol w:w="1300"/>
        <w:gridCol w:w="1300"/>
        <w:gridCol w:w="1300"/>
      </w:tblGrid>
      <w:tr>
        <w:trPr>
          <w:trHeight w:val="480"/>
        </w:trPr>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hint="eastAsia" w:ascii="宋体" w:hAnsi="宋体" w:cs="微软雅黑"/>
                <w:color w:val="000000" w:themeColor="text1"/>
                <w:sz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hint="eastAsia" w:ascii="宋体" w:hAnsi="宋体" w:cs="微软雅黑"/>
                <w:color w:val="000000" w:themeColor="text1"/>
                <w:sz w:val="24"/>
                <w:highlight w:val="none"/>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hint="eastAsia" w:ascii="宋体" w:hAnsi="宋体" w:cs="微软雅黑"/>
                <w:color w:val="000000" w:themeColor="text1"/>
                <w:sz w:val="24"/>
                <w:highlight w:val="none"/>
                <w14:textFill>
                  <w14:solidFill>
                    <w14:schemeClr w14:val="tx1"/>
                  </w14:solidFill>
                </w14:textFill>
              </w:rPr>
              <w:t xml:space="preserve">品牌规格型号</w:t>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hint="eastAsia" w:ascii="宋体" w:hAnsi="宋体" w:cs="微软雅黑"/>
                <w:color w:val="000000" w:themeColor="text1"/>
                <w:sz w:val="24"/>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hint="eastAsia" w:ascii="宋体" w:hAnsi="宋体" w:cs="微软雅黑"/>
                <w:color w:val="000000" w:themeColor="text1"/>
                <w:sz w:val="24"/>
                <w:highlight w:val="none"/>
                <w14:textFill>
                  <w14:solidFill>
                    <w14:schemeClr w14:val="tx1"/>
                  </w14:solidFill>
                </w14:textFill>
              </w:rPr>
              <w:t xml:space="preserve">单价/元</w:t>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hint="eastAsia" w:ascii="宋体" w:hAnsi="宋体" w:cs="微软雅黑"/>
                <w:color w:val="000000" w:themeColor="text1"/>
                <w:sz w:val="24"/>
                <w:highlight w:val="none"/>
                <w14:textFill>
                  <w14:solidFill>
                    <w14:schemeClr w14:val="tx1"/>
                  </w14:solidFill>
                </w14:textFill>
              </w:rPr>
              <w:t xml:space="preserve">总价/元</w:t>
            </w:r>
            <w:r/>
          </w:p>
        </w:tc>
        <w:tc>
          <w:tcPr>
            <w:tcBorders>
              <w:top w:val="single" w:color="auto" w:sz="4" w:space="0"/>
              <w:left w:val="single" w:color="auto" w:sz="4" w:space="0"/>
              <w:bottom w:val="single" w:color="auto" w:sz="4" w:space="0"/>
              <w:right w:val="single" w:color="auto" w:sz="4" w:space="0"/>
            </w:tcBorders>
            <w:tcW w:w="1300" w:type="dxa"/>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hint="eastAsia" w:ascii="宋体" w:hAnsi="宋体" w:cs="微软雅黑"/>
                <w:color w:val="000000" w:themeColor="text1"/>
                <w:sz w:val="24"/>
                <w:highlight w:val="none"/>
                <w14:textFill>
                  <w14:solidFill>
                    <w14:schemeClr w14:val="tx1"/>
                  </w14:solidFill>
                </w14:textFill>
              </w:rPr>
              <w:t xml:space="preserve">质保期</w:t>
            </w:r>
            <w:r/>
          </w:p>
        </w:tc>
        <w:tc>
          <w:tcPr>
            <w:tcBorders>
              <w:top w:val="single" w:color="auto" w:sz="4" w:space="0"/>
              <w:left w:val="single" w:color="auto" w:sz="4" w:space="0"/>
              <w:bottom w:val="single" w:color="auto" w:sz="4" w:space="0"/>
              <w:right w:val="single" w:color="auto" w:sz="4" w:space="0"/>
            </w:tcBorders>
            <w:tcW w:w="1300" w:type="dxa"/>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hint="eastAsia" w:ascii="宋体" w:hAnsi="宋体" w:cs="微软雅黑"/>
                <w:color w:val="000000" w:themeColor="text1"/>
                <w:sz w:val="24"/>
                <w:highlight w:val="none"/>
                <w14:textFill>
                  <w14:solidFill>
                    <w14:schemeClr w14:val="tx1"/>
                  </w14:solidFill>
                </w14:textFill>
              </w:rPr>
              <w:t xml:space="preserve">使用年限</w:t>
            </w:r>
            <w:r/>
          </w:p>
        </w:tc>
        <w:tc>
          <w:tcPr>
            <w:tcBorders>
              <w:top w:val="single" w:color="auto" w:sz="4" w:space="0"/>
              <w:left w:val="single" w:color="auto" w:sz="4" w:space="0"/>
              <w:bottom w:val="single" w:color="auto" w:sz="4" w:space="0"/>
              <w:right w:val="single" w:color="auto" w:sz="4" w:space="0"/>
            </w:tcBorders>
            <w:tcW w:w="1300" w:type="dxa"/>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hint="eastAsia" w:ascii="宋体" w:hAnsi="宋体" w:cs="微软雅黑"/>
                <w:color w:val="000000" w:themeColor="text1"/>
                <w:sz w:val="24"/>
                <w:highlight w:val="none"/>
                <w14:textFill>
                  <w14:solidFill>
                    <w14:schemeClr w14:val="tx1"/>
                  </w14:solidFill>
                </w14:textFill>
              </w:rPr>
              <w:t xml:space="preserve">是否进口</w:t>
            </w:r>
            <w:r/>
          </w:p>
        </w:tc>
      </w:tr>
      <w:tr>
        <w:trPr>
          <w:trHeight w:val="431"/>
        </w:trPr>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hint="eastAsia" w:ascii="宋体" w:hAnsi="宋体" w:cs="微软雅黑"/>
                <w:color w:val="000000" w:themeColor="text1"/>
                <w:sz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0" w:type="dxa"/>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0" w:type="dxa"/>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0" w:type="dxa"/>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r>
      <w:tr>
        <w:trPr>
          <w:trHeight w:val="431"/>
        </w:trPr>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1"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0" w:type="dxa"/>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0" w:type="dxa"/>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0" w:type="dxa"/>
            <w:textDirection w:val="lrTb"/>
            <w:noWrap w:val="false"/>
          </w:tcPr>
          <w:p>
            <w:pPr>
              <w:jc w:val="center"/>
              <w:spacing w:line="360" w:lineRule="auto"/>
              <w:rPr>
                <w:rFonts w:ascii="宋体" w:hAnsi="宋体" w:cs="微软雅黑"/>
                <w:color w:val="000000" w:themeColor="text1"/>
                <w:sz w:val="24"/>
                <w:highlight w:val="none"/>
                <w14:textFill>
                  <w14:solidFill>
                    <w14:schemeClr w14:val="tx1"/>
                  </w14:solidFill>
                </w14:textFill>
              </w:rPr>
            </w:pPr>
            <w:r>
              <w:rPr>
                <w:rFonts w:ascii="宋体" w:hAnsi="宋体" w:cs="微软雅黑"/>
                <w:color w:val="000000" w:themeColor="text1"/>
                <w:sz w:val="24"/>
                <w:highlight w:val="none"/>
                <w14:textFill>
                  <w14:solidFill>
                    <w14:schemeClr w14:val="tx1"/>
                  </w14:solidFill>
                </w14:textFill>
              </w:rPr>
            </w:r>
            <w:r/>
          </w:p>
        </w:tc>
      </w:tr>
    </w:tbl>
    <w:p>
      <w:pPr>
        <w:spacing w:line="360" w:lineRule="auto"/>
        <w:rPr>
          <w:color w:val="000000" w:themeColor="text1"/>
          <w:szCs w:val="2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1.1详细配置：见附件</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二、合同价款</w:t>
      </w:r>
      <w:r/>
    </w:p>
    <w:p>
      <w:pPr>
        <w:ind w:left="410" w:hanging="41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2.1本合同价款为（大写）：</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圆整（￥</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元）人民币。</w:t>
      </w:r>
      <w:r/>
    </w:p>
    <w:p>
      <w:pPr>
        <w:ind w:left="410" w:hanging="41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2.2本合同价款包含但不限于乙方提供合同约定产品和服务的报酬及乙方提供合同中产品和服务所支出的所有费用，甲方在上述合同价款之外不再向乙方支付其他任何费用。</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三、技术资料</w:t>
      </w:r>
      <w:r/>
    </w:p>
    <w:p>
      <w:pPr>
        <w:ind w:left="410" w:hanging="41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3.1乙方应按采购文件及响应文件中规定的时间向甲方提供使用货物的有关技术资料。</w:t>
      </w:r>
      <w:r/>
    </w:p>
    <w:p>
      <w:pPr>
        <w:ind w:left="410" w:hanging="41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 未经甲方事先书面同意，乙方不得将由甲方提供的有关合同或任何合同条文、规格、计划、图纸、样品或资料提供给与签订、履行本合同无关的任何其他人。即使向签订、履行本合同有关的人员提供，也应注意保密并限于必需范围。</w:t>
      </w:r>
      <w:r/>
    </w:p>
    <w:p>
      <w:pPr>
        <w:ind w:left="412" w:hanging="412"/>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四、知识产权</w:t>
      </w:r>
      <w:r/>
    </w:p>
    <w:p>
      <w:pPr>
        <w:spacing w:line="360" w:lineRule="auto"/>
        <w:rPr>
          <w:rFonts w:ascii="宋体" w:hAnsi="宋体"/>
          <w:color w:val="000000" w:themeColor="text1"/>
          <w:sz w:val="24"/>
          <w:szCs w:val="21"/>
          <w:highlight w:val="none"/>
          <w14:textFill>
            <w14:solidFill>
              <w14:schemeClr w14:val="tx1"/>
            </w14:solidFill>
          </w14:textFill>
        </w:rPr>
      </w:pPr>
      <w:r>
        <w:rPr>
          <w:rFonts w:hAnsi="宋体"/>
          <w:color w:val="000000" w:themeColor="text1"/>
          <w:sz w:val="24"/>
          <w:highlight w:val="none"/>
          <w14:textFill>
            <w14:solidFill>
              <w14:schemeClr w14:val="tx1"/>
            </w14:solidFill>
          </w14:textFill>
        </w:rPr>
        <w:t xml:space="preserve">4.1</w:t>
      </w:r>
      <w:r>
        <w:rPr>
          <w:rFonts w:hint="eastAsia" w:hAnsi="宋体"/>
          <w:color w:val="000000" w:themeColor="text1"/>
          <w:sz w:val="24"/>
          <w:highlight w:val="none"/>
          <w14:textFill>
            <w14:solidFill>
              <w14:schemeClr w14:val="tx1"/>
            </w14:solidFill>
          </w14:textFill>
        </w:rPr>
        <w:t xml:space="preserve">乙</w:t>
      </w:r>
      <w:r>
        <w:rPr>
          <w:rFonts w:hint="eastAsia" w:ascii="宋体" w:hAnsi="宋体"/>
          <w:color w:val="000000" w:themeColor="text1"/>
          <w:sz w:val="24"/>
          <w:szCs w:val="21"/>
          <w:highlight w:val="none"/>
          <w14:textFill>
            <w14:solidFill>
              <w14:schemeClr w14:val="tx1"/>
            </w14:solidFill>
          </w14:textFill>
        </w:rPr>
        <w:t xml:space="preserve">方应保证甲方在使用、接受本合同货物和服务或其任何一部分时不受第三方提出侵犯其专利权、版权、商标权和工业设计权等知识产权的起诉、投诉。一旦出现侵权，由乙方负全部责任（包括但不限于承担赔偿责任、甲方因此需要承担的律师费、诉讼费、差旅费等必要费用）。</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五、产权担保</w:t>
      </w:r>
      <w:r/>
    </w:p>
    <w:p>
      <w:pPr>
        <w:ind w:left="408" w:hanging="408"/>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 乙方保证所交付的货物所有权完全属于乙方且无任何抵押、质押、查扣等产权瑕疵或权利负担。</w:t>
      </w:r>
      <w:r/>
    </w:p>
    <w:p>
      <w:pPr>
        <w:spacing w:line="360" w:lineRule="auto"/>
        <w:rPr>
          <w:rFonts w:ascii="宋体" w:hAnsi="宋体" w:eastAsia="仿宋_GB2312"/>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六、转包或分包</w:t>
      </w:r>
      <w:r/>
    </w:p>
    <w:p>
      <w:pPr>
        <w:spacing w:line="360" w:lineRule="auto"/>
        <w:rPr>
          <w:rFonts w:ascii="宋体" w:hAnsi="宋体" w:eastAsia="仿宋_GB2312"/>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6.1本合同范围的货物，应由乙方直接供应，不得转让他人供应或交由他人供应；</w:t>
      </w:r>
      <w:r/>
    </w:p>
    <w:p>
      <w:pPr>
        <w:spacing w:line="360" w:lineRule="auto"/>
        <w:rPr>
          <w:rFonts w:ascii="宋体" w:hAnsi="宋体" w:eastAsia="仿宋_GB2312"/>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 除非得到甲方的书面同意，乙方不得部分分包给他人供应。</w:t>
      </w:r>
      <w:r/>
    </w:p>
    <w:p>
      <w:pPr>
        <w:spacing w:line="360" w:lineRule="auto"/>
        <w:rPr>
          <w:rFonts w:ascii="宋体" w:hAnsi="宋体" w:eastAsia="仿宋_GB2312"/>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6.3乙方违反6.1和6.2约定的，甲方有权给予终止合同。</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七、交货期、交货方式及交货地点</w:t>
      </w:r>
      <w:r/>
    </w:p>
    <w:p>
      <w:pPr>
        <w:spacing w:line="360" w:lineRule="auto"/>
        <w:rPr>
          <w:color w:val="000000" w:themeColor="text1"/>
          <w:sz w:val="24"/>
          <w:szCs w:val="21"/>
          <w:highlight w:val="none"/>
          <w14:textFill>
            <w14:solidFill>
              <w14:schemeClr w14:val="tx1"/>
            </w14:solidFill>
          </w14:textFill>
        </w:rPr>
      </w:pPr>
      <w:r>
        <w:rPr>
          <w:rFonts w:hAnsi="宋体"/>
          <w:bCs/>
          <w:color w:val="000000" w:themeColor="text1"/>
          <w:sz w:val="24"/>
          <w:highlight w:val="none"/>
          <w14:textFill>
            <w14:solidFill>
              <w14:schemeClr w14:val="tx1"/>
            </w14:solidFill>
          </w14:textFill>
        </w:rPr>
        <w:t xml:space="preserve">7.1 </w:t>
      </w:r>
      <w:r>
        <w:rPr>
          <w:rFonts w:hint="eastAsia" w:hAnsi="宋体"/>
          <w:bCs/>
          <w:color w:val="000000" w:themeColor="text1"/>
          <w:sz w:val="24"/>
          <w:highlight w:val="none"/>
          <w14:textFill>
            <w14:solidFill>
              <w14:schemeClr w14:val="tx1"/>
            </w14:solidFill>
          </w14:textFill>
        </w:rPr>
        <w:t xml:space="preserve">交货期：</w:t>
      </w:r>
      <w:r>
        <w:rPr>
          <w:rFonts w:hint="eastAsia"/>
          <w:color w:val="000000" w:themeColor="text1"/>
          <w:sz w:val="24"/>
          <w:szCs w:val="21"/>
          <w:highlight w:val="none"/>
          <w:u w:val="single"/>
          <w14:textFill>
            <w14:solidFill>
              <w14:schemeClr w14:val="tx1"/>
            </w14:solidFill>
          </w14:textFill>
        </w:rPr>
        <w:t xml:space="preserve">合同签订后</w:t>
      </w:r>
      <w:r>
        <w:rPr>
          <w:color w:val="000000" w:themeColor="text1"/>
          <w:sz w:val="24"/>
          <w:szCs w:val="21"/>
          <w:highlight w:val="none"/>
          <w:u w:val="single"/>
          <w14:textFill>
            <w14:solidFill>
              <w14:schemeClr w14:val="tx1"/>
            </w14:solidFill>
          </w14:textFill>
        </w:rPr>
        <w:t xml:space="preserve">   </w:t>
      </w:r>
      <w:r>
        <w:rPr>
          <w:rFonts w:hint="eastAsia"/>
          <w:color w:val="000000" w:themeColor="text1"/>
          <w:sz w:val="24"/>
          <w:szCs w:val="21"/>
          <w:highlight w:val="none"/>
          <w:u w:val="single"/>
          <w14:textFill>
            <w14:solidFill>
              <w14:schemeClr w14:val="tx1"/>
            </w14:solidFill>
          </w14:textFill>
        </w:rPr>
        <w:t xml:space="preserve">天完成全部设备到货安装。</w:t>
      </w:r>
      <w:r/>
    </w:p>
    <w:p>
      <w:pPr>
        <w:spacing w:line="360" w:lineRule="auto"/>
        <w:rPr>
          <w:color w:val="000000" w:themeColor="text1"/>
          <w:sz w:val="24"/>
          <w:szCs w:val="21"/>
          <w:highlight w:val="none"/>
          <w14:textFill>
            <w14:solidFill>
              <w14:schemeClr w14:val="tx1"/>
            </w14:solidFill>
          </w14:textFill>
        </w:rPr>
      </w:pPr>
      <w:r>
        <w:rPr>
          <w:rFonts w:hAnsi="宋体"/>
          <w:bCs/>
          <w:color w:val="000000" w:themeColor="text1"/>
          <w:sz w:val="24"/>
          <w:highlight w:val="none"/>
          <w14:textFill>
            <w14:solidFill>
              <w14:schemeClr w14:val="tx1"/>
            </w14:solidFill>
          </w14:textFill>
        </w:rPr>
        <w:t xml:space="preserve">7.2 </w:t>
      </w:r>
      <w:r>
        <w:rPr>
          <w:rFonts w:hint="eastAsia" w:hAnsi="宋体"/>
          <w:bCs/>
          <w:color w:val="000000" w:themeColor="text1"/>
          <w:sz w:val="24"/>
          <w:highlight w:val="none"/>
          <w14:textFill>
            <w14:solidFill>
              <w14:schemeClr w14:val="tx1"/>
            </w14:solidFill>
          </w14:textFill>
        </w:rPr>
        <w:t xml:space="preserve">交货方式：</w:t>
      </w:r>
      <w:r>
        <w:rPr>
          <w:rFonts w:hint="eastAsia" w:hAnsi="宋体"/>
          <w:bCs/>
          <w:color w:val="000000" w:themeColor="text1"/>
          <w:sz w:val="24"/>
          <w:highlight w:val="none"/>
          <w:u w:val="single"/>
          <w14:textFill>
            <w14:solidFill>
              <w14:schemeClr w14:val="tx1"/>
            </w14:solidFill>
          </w14:textFill>
        </w:rPr>
        <w:t xml:space="preserve">乙方</w:t>
      </w:r>
      <w:r>
        <w:rPr>
          <w:rFonts w:hint="eastAsia"/>
          <w:color w:val="000000" w:themeColor="text1"/>
          <w:sz w:val="24"/>
          <w:szCs w:val="21"/>
          <w:highlight w:val="none"/>
          <w:u w:val="single"/>
          <w14:textFill>
            <w14:solidFill>
              <w14:schemeClr w14:val="tx1"/>
            </w14:solidFill>
          </w14:textFill>
        </w:rPr>
        <w:t xml:space="preserve">应在甲方指定地点交货，并完成安装、调试</w:t>
      </w:r>
      <w:r>
        <w:rPr>
          <w:rFonts w:hint="eastAsia"/>
          <w:color w:val="000000" w:themeColor="text1"/>
          <w:sz w:val="24"/>
          <w:szCs w:val="21"/>
          <w:highlight w:val="none"/>
          <w14:textFill>
            <w14:solidFill>
              <w14:schemeClr w14:val="tx1"/>
            </w14:solidFill>
          </w14:textFill>
        </w:rPr>
        <w:t xml:space="preserve">。</w:t>
      </w:r>
      <w:r/>
    </w:p>
    <w:p>
      <w:pPr>
        <w:spacing w:line="360" w:lineRule="auto"/>
        <w:rPr>
          <w:rFonts w:ascii="宋体" w:hAnsi="Courier New"/>
          <w:color w:val="000000" w:themeColor="text1"/>
          <w:sz w:val="24"/>
          <w:szCs w:val="21"/>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7.3 交货地点：</w:t>
      </w:r>
      <w:r>
        <w:rPr>
          <w:rFonts w:hint="eastAsia" w:ascii="宋体" w:hAnsi="Courier New"/>
          <w:color w:val="000000" w:themeColor="text1"/>
          <w:sz w:val="24"/>
          <w:szCs w:val="21"/>
          <w:highlight w:val="none"/>
          <w:u w:val="single"/>
          <w14:textFill>
            <w14:solidFill>
              <w14:schemeClr w14:val="tx1"/>
            </w14:solidFill>
          </w14:textFill>
        </w:rPr>
        <w:t xml:space="preserve">甲方指定地点。</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八、价款支付</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                         。</w:t>
      </w:r>
      <w:r/>
    </w:p>
    <w:p>
      <w:pPr>
        <w:spacing w:line="360" w:lineRule="auto"/>
        <w:rPr>
          <w:rFonts w:ascii="宋体" w:hAnsi="宋体" w:eastAsia="仿宋_GB2312"/>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九、税费</w:t>
      </w:r>
      <w:r/>
    </w:p>
    <w:p>
      <w:pPr>
        <w:spacing w:line="360" w:lineRule="auto"/>
        <w:rPr>
          <w:rFonts w:ascii="宋体" w:hAnsi="宋体" w:eastAsia="仿宋_GB2312"/>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9.1本合同相关的一切税费均由乙方负担。</w:t>
      </w:r>
      <w:r/>
    </w:p>
    <w:p>
      <w:pPr>
        <w:ind w:left="412" w:hanging="412"/>
        <w:spacing w:line="360" w:lineRule="auto"/>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十、质量保证及售后服务</w:t>
      </w:r>
      <w:r/>
    </w:p>
    <w:p>
      <w:pPr>
        <w:ind w:left="410" w:hanging="41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10.1 乙方应按采购文件及响应文件中规定的货物性能、技术要求、质量标准向甲方提供</w:t>
      </w:r>
      <w:r>
        <w:rPr>
          <w:rFonts w:hint="eastAsia" w:ascii="宋体" w:hAnsi="宋体" w:cs="宋体"/>
          <w:color w:val="000000" w:themeColor="text1"/>
          <w:sz w:val="24"/>
          <w:szCs w:val="21"/>
          <w:highlight w:val="none"/>
          <w:u w:val="single"/>
          <w:lang w:bidi="ar"/>
          <w14:textFill>
            <w14:solidFill>
              <w14:schemeClr w14:val="tx1"/>
            </w14:solidFill>
          </w14:textFill>
        </w:rPr>
        <w:t xml:space="preserve">     </w:t>
      </w:r>
      <w:r>
        <w:rPr>
          <w:rFonts w:hint="eastAsia" w:ascii="宋体" w:hAnsi="宋体" w:cs="宋体"/>
          <w:color w:val="000000" w:themeColor="text1"/>
          <w:sz w:val="24"/>
          <w:szCs w:val="21"/>
          <w:highlight w:val="none"/>
          <w:lang w:bidi="ar"/>
          <w14:textFill>
            <w14:solidFill>
              <w14:schemeClr w14:val="tx1"/>
            </w14:solidFill>
          </w14:textFill>
        </w:rPr>
        <w:t xml:space="preserve">年</w:t>
      </w:r>
      <w:r>
        <w:rPr>
          <w:rFonts w:hint="eastAsia" w:ascii="宋体" w:hAnsi="宋体" w:cs="宋体"/>
          <w:color w:val="000000" w:themeColor="text1"/>
          <w:sz w:val="24"/>
          <w:szCs w:val="21"/>
          <w:highlight w:val="none"/>
          <w:u w:val="single"/>
          <w:lang w:bidi="ar"/>
          <w14:textFill>
            <w14:solidFill>
              <w14:schemeClr w14:val="tx1"/>
            </w14:solidFill>
          </w14:textFill>
        </w:rPr>
        <w:t xml:space="preserve">   </w:t>
      </w:r>
      <w:r>
        <w:rPr>
          <w:rFonts w:hint="eastAsia" w:ascii="宋体" w:hAnsi="宋体" w:cs="宋体"/>
          <w:color w:val="000000" w:themeColor="text1"/>
          <w:sz w:val="24"/>
          <w:szCs w:val="21"/>
          <w:highlight w:val="none"/>
          <w:lang w:bidi="ar"/>
          <w14:textFill>
            <w14:solidFill>
              <w14:schemeClr w14:val="tx1"/>
            </w14:solidFill>
          </w14:textFill>
        </w:rPr>
        <w:t xml:space="preserve">月</w:t>
      </w:r>
      <w:r>
        <w:rPr>
          <w:rFonts w:hint="eastAsia" w:ascii="宋体" w:hAnsi="宋体" w:cs="宋体"/>
          <w:color w:val="000000" w:themeColor="text1"/>
          <w:sz w:val="24"/>
          <w:szCs w:val="21"/>
          <w:highlight w:val="none"/>
          <w:u w:val="single"/>
          <w:lang w:bidi="ar"/>
          <w14:textFill>
            <w14:solidFill>
              <w14:schemeClr w14:val="tx1"/>
            </w14:solidFill>
          </w14:textFill>
        </w:rPr>
        <w:t xml:space="preserve">   </w:t>
      </w:r>
      <w:r>
        <w:rPr>
          <w:rFonts w:hint="eastAsia" w:ascii="宋体" w:hAnsi="宋体" w:cs="宋体"/>
          <w:color w:val="000000" w:themeColor="text1"/>
          <w:sz w:val="24"/>
          <w:szCs w:val="21"/>
          <w:highlight w:val="none"/>
          <w:lang w:bidi="ar"/>
          <w14:textFill>
            <w14:solidFill>
              <w14:schemeClr w14:val="tx1"/>
            </w14:solidFill>
          </w14:textFill>
        </w:rPr>
        <w:t xml:space="preserve">日</w:t>
      </w:r>
      <w:r>
        <w:rPr>
          <w:rFonts w:hint="eastAsia" w:ascii="宋体" w:hAnsi="宋体" w:cs="宋体"/>
          <w:color w:val="000000" w:themeColor="text1"/>
          <w:sz w:val="24"/>
          <w:highlight w:val="none"/>
          <w14:textFill>
            <w14:solidFill>
              <w14:schemeClr w14:val="tx1"/>
            </w14:solidFill>
          </w14:textFill>
        </w:rPr>
        <w:t xml:space="preserve"> 以后出厂，全新、未使用过的原装合格正品</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安装质量符合各项现行技术规范和强制性标准。</w:t>
      </w:r>
      <w:r/>
    </w:p>
    <w:p>
      <w:pPr>
        <w:ind w:left="480" w:hanging="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10.2 乙方提供的货物在质保期内因货物本身的质量问题发生故障，乙方应负责免费更换。根据甲方有权决定可按以下办法处理：</w:t>
      </w:r>
      <w:r/>
    </w:p>
    <w:p>
      <w:pPr>
        <w:ind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（1）贬值处理：由甲乙双方合议定价。</w:t>
      </w:r>
      <w:r/>
    </w:p>
    <w:p>
      <w:pPr>
        <w:ind w:left="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（2）退货处理：乙方应退还甲方支付的合同价款，同时应承担该货物的运输、保险、检验、货款利息及银行手续费等费用，甲方不承担任何费用。</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 如在使用过程中发生质量问题，乙方在接到甲方通知后</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小时内到达甲方现场处理；乙方在</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日内无法解决故障的，应当提供备用货物。乙方响应不及时的，每次承担2000元的违约金，有3次及以上响应不及时行为或者未提供备用货物的，保证金全额不予退还。</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10.4 在质保期内，乙方应对货物出现的质量及安全问题负责处理解决并承担一切费用。</w:t>
      </w:r>
      <w:r/>
    </w:p>
    <w:p>
      <w:pPr>
        <w:ind w:left="1"/>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10.5上述的货物免费保修期为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年（自甲方验收合格，签署《</w:t>
      </w:r>
      <w:r>
        <w:rPr>
          <w:rFonts w:hint="eastAsia" w:ascii="宋体" w:hAnsi="宋体"/>
          <w:bCs/>
          <w:color w:val="000000" w:themeColor="text1"/>
          <w:sz w:val="24"/>
          <w:highlight w:val="none"/>
          <w14:textFill>
            <w14:solidFill>
              <w14:schemeClr w14:val="tx1"/>
            </w14:solidFill>
          </w14:textFill>
        </w:rPr>
        <w:t xml:space="preserve">南京医科大学附属口腔医院</w:t>
      </w:r>
      <w:r>
        <w:rPr>
          <w:rFonts w:hint="eastAsia" w:ascii="宋体" w:hAnsi="宋体"/>
          <w:color w:val="000000" w:themeColor="text1"/>
          <w:sz w:val="24"/>
          <w:highlight w:val="none"/>
          <w14:textFill>
            <w14:solidFill>
              <w14:schemeClr w14:val="tx1"/>
            </w14:solidFill>
          </w14:textFill>
        </w:rPr>
        <w:t xml:space="preserve">验收报告》之日起计算为准）。因人为因素出现的故障不在免费保修范围内。超过保修期的货物，终生维修，维修时只收部件成本费。</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十一、调试和验收</w:t>
      </w:r>
      <w:r/>
    </w:p>
    <w:p>
      <w:pPr>
        <w:ind w:left="480" w:hanging="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11.1 甲方对乙方提交的货物依据采购文件及响应文件上的技术规格要求和国家有关质量标准进行现场初步验收，符合招标文件要求的，给予签收，</w:t>
      </w:r>
      <w:r>
        <w:rPr>
          <w:rFonts w:hint="eastAsia" w:ascii="宋体" w:hAnsi="宋体"/>
          <w:b/>
          <w:color w:val="000000" w:themeColor="text1"/>
          <w:sz w:val="24"/>
          <w:highlight w:val="none"/>
          <w14:textFill>
            <w14:solidFill>
              <w14:schemeClr w14:val="tx1"/>
            </w14:solidFill>
          </w14:textFill>
        </w:rPr>
        <w:t xml:space="preserve">初步验收不合格的不予签收</w:t>
      </w:r>
      <w:r>
        <w:rPr>
          <w:rFonts w:hint="eastAsia" w:ascii="宋体" w:hAnsi="宋体"/>
          <w:color w:val="000000" w:themeColor="text1"/>
          <w:sz w:val="24"/>
          <w:highlight w:val="none"/>
          <w14:textFill>
            <w14:solidFill>
              <w14:schemeClr w14:val="tx1"/>
            </w14:solidFill>
          </w14:textFill>
        </w:rPr>
        <w:t xml:space="preserve">。</w:t>
      </w:r>
      <w:r/>
    </w:p>
    <w:p>
      <w:pPr>
        <w:ind w:left="480" w:hanging="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11.2 乙方交货前应对产品作出全面检查和对验收文件进行整理，并列出清单，作为甲方收货验收和使用的技术条件依据，检验的结果应随货物交甲方。</w:t>
      </w:r>
      <w:r/>
    </w:p>
    <w:p>
      <w:pPr>
        <w:ind w:left="720" w:hanging="72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11.3乙方负责对货物进行安装和调试，直到符合技术要求，并培训甲方的使用操作及技术人员</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名合格，甲方才做最终验收，但不少于乙方提交货物并试用后30日。</w:t>
      </w:r>
      <w:r/>
    </w:p>
    <w:p>
      <w:pPr>
        <w:ind w:left="480" w:hanging="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11.4 对技术复杂的货物，甲方可请国家认可的专业检测机构参与初步验收及最终验收，并由其出具质量检测报告。</w:t>
      </w:r>
      <w:r/>
    </w:p>
    <w:p>
      <w:pPr>
        <w:ind w:left="480" w:hanging="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11.5 验收时乙方必须在现场，验收完毕后作出验收结果报告；验收费用由乙方承担。</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十二、货物包装、发运及运输</w:t>
      </w:r>
      <w:r/>
    </w:p>
    <w:p>
      <w:pPr>
        <w:ind w:left="480" w:hanging="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12.1 乙方应在货物发运前对其进行满足运输距离、防潮、防震、防锈和防破损装卸等要求包装，以保证货物安全运达甲方指定地点。</w:t>
      </w:r>
      <w:r/>
    </w:p>
    <w:p>
      <w:pPr>
        <w:ind w:left="480" w:hanging="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12.2 使用说明书、质量检验证明书、随配附件和工具以及清单一并附于货物内。</w:t>
      </w:r>
      <w:r/>
    </w:p>
    <w:p>
      <w:pPr>
        <w:ind w:left="480" w:hanging="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12.3 乙方在货物发运手续办理完毕后24小时内或货到甲方48小时前通知甲方，以准备接货。</w:t>
      </w:r>
      <w:r/>
    </w:p>
    <w:p>
      <w:pPr>
        <w:ind w:left="480" w:hanging="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12.4 货物在交付、验收合格前发生的风险均由乙方承担。</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十三、违约责任</w:t>
      </w:r>
      <w:r/>
    </w:p>
    <w:p>
      <w:pPr>
        <w:ind w:left="410" w:hanging="41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13.1 甲方无正当理由拒收货物的，甲方向乙方偿付拒收货款总值的百分之五违约金。</w:t>
      </w:r>
      <w:r/>
    </w:p>
    <w:p>
      <w:pPr>
        <w:ind w:left="410" w:hanging="41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13.2 甲方无故逾期验收和办理支付手续的,甲方应按逾期付款总额每日万分之五向乙方支付违约金。</w:t>
      </w:r>
      <w:r/>
    </w:p>
    <w:p>
      <w:pPr>
        <w:ind w:left="410" w:hanging="41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10%的违约金，如造成甲方损失超过违约金的，超出部分由乙方继续承担赔偿责任。</w:t>
      </w:r>
      <w:r/>
    </w:p>
    <w:p>
      <w:pPr>
        <w:ind w:left="410" w:hanging="41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13.4 乙方所交的货物品种、型号、规格、技术参数、质量不符合采购文件规定及响应文件规定标准的，甲方有权拒收该货物，乙方愿意更换货物但逾期交货的，按乙方逾期交货处理。乙方拒绝更换货物的，甲方可单方面解除合同，并由乙方赔偿由此造成的甲方全部损失。</w:t>
      </w:r>
      <w:r/>
    </w:p>
    <w:p>
      <w:pPr>
        <w:ind w:left="410" w:hanging="41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13.5乙方因逾期交货或因其他违约行为导致甲方解除合同的，乙方应退换已支付价款并向甲方支付合同总值10%的违约金，如造成甲方损失超过违约金的，超出部分由乙方继续承担赔偿责任。</w:t>
      </w:r>
      <w:r/>
    </w:p>
    <w:p>
      <w:pPr>
        <w:ind w:left="410" w:hanging="41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13.6因产品质量缺陷一次性给甲方造成经济损失达到合同总价的2.5%以上，或累计经济损失超过合同总价的5%时，甲方不予支付尾款，如尾款不能弥补给甲方造成的经济损失，乙方还应继续赔偿甲方经济损失。</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十四、不可抗力事件处理</w:t>
      </w:r>
      <w:r/>
    </w:p>
    <w:p>
      <w:pPr>
        <w:ind w:left="480" w:hanging="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14.1 在合同有效期内，任何一方因不可抗力事件导致不能履行合同，则合同履行期可延长，其延长期与不可抗力影响期相同。</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14.2 不可抗力事件发生后，应立即通知对方，并寄送有关权威机构出具的证明。</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14.3 不可抗力事件延续120天以上，双方应通过友好协商，确定是否继续履行合同。</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十五、诉讼</w:t>
      </w:r>
      <w:r/>
    </w:p>
    <w:p>
      <w:pPr>
        <w:ind w:left="480" w:hanging="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15.1 因签订、履行本合同引发的诉讼由甲方所在地法院管辖。</w:t>
      </w:r>
      <w:r/>
    </w:p>
    <w:p>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十六、合同生效及其它</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 本合同经双方法定代表人或授权委托代表人签字并加盖单位公章后生效。</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16.2本合同未尽事宜，遵照《中华人民共和国民法典》有关条文执行。</w:t>
      </w:r>
      <w:r/>
    </w:p>
    <w:p>
      <w:pPr>
        <w:ind w:left="480" w:hanging="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16.3 本合同正本壹式肆份，具有同等法律效力，甲方执叁份，乙方执壹份。</w:t>
      </w:r>
      <w:r/>
    </w:p>
    <w:p>
      <w:pPr>
        <w:ind w:left="480" w:hanging="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甲方：南京医科大学附属口腔医院        乙方(公司印章及法人印章)： </w:t>
      </w:r>
      <w:r/>
    </w:p>
    <w:p>
      <w:pPr>
        <w:ind w:left="5760" w:hanging="57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地址：南京市汉中路136号              地址：</w:t>
      </w:r>
      <w:r/>
    </w:p>
    <w:p>
      <w:pPr>
        <w:ind w:left="5747" w:hanging="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法定代表人或授权代表：                法定代表人或授权代表：</w:t>
      </w:r>
      <w:r/>
    </w:p>
    <w:p>
      <w:pPr>
        <w:ind w:firstLine="240"/>
        <w:spacing w:line="360" w:lineRule="auto"/>
        <w:rPr>
          <w:rFonts w:ascii="宋体" w:hAnsi="Courier New"/>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联系电话：        </w:t>
      </w:r>
      <w:r>
        <w:rPr>
          <w:rFonts w:hint="eastAsia" w:ascii="宋体" w:hAnsi="Courier New"/>
          <w:color w:val="000000" w:themeColor="text1"/>
          <w:sz w:val="24"/>
          <w:highlight w:val="none"/>
          <w14:textFill>
            <w14:solidFill>
              <w14:schemeClr w14:val="tx1"/>
            </w14:solidFill>
          </w14:textFill>
        </w:rPr>
        <w:t xml:space="preserve"> </w:t>
      </w:r>
      <w:r/>
    </w:p>
    <w:p>
      <w:pPr>
        <w:ind w:firstLine="600"/>
        <w:jc w:val="center"/>
        <w:spacing w:line="360" w:lineRule="auto"/>
        <w:rPr>
          <w:rFonts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t xml:space="preserve"> 开户银行：</w:t>
      </w:r>
      <w:r>
        <w:rPr>
          <w:rFonts w:hint="eastAsia" w:ascii="宋体" w:hAnsi="宋体"/>
          <w:color w:val="000000" w:themeColor="text1"/>
          <w:sz w:val="24"/>
          <w:highlight w:val="none"/>
          <w14:textFill>
            <w14:solidFill>
              <w14:schemeClr w14:val="tx1"/>
            </w14:solidFill>
          </w14:textFill>
        </w:rPr>
        <w:t xml:space="preserve"> </w:t>
      </w:r>
      <w:r/>
    </w:p>
    <w:p>
      <w:pPr>
        <w:spacing w:line="360" w:lineRule="auto"/>
        <w:rPr>
          <w:rFonts w:ascii="宋体"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联系电话：</w:t>
      </w:r>
      <w:r>
        <w:rPr>
          <w:rFonts w:hAnsi="宋体"/>
          <w:color w:val="000000" w:themeColor="text1"/>
          <w:sz w:val="24"/>
          <w:highlight w:val="none"/>
          <w14:textFill>
            <w14:solidFill>
              <w14:schemeClr w14:val="tx1"/>
            </w14:solidFill>
          </w14:textFill>
        </w:rPr>
        <w:t xml:space="preserve">69593206  </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银行账号：</w:t>
      </w:r>
      <w:r/>
    </w:p>
    <w:p>
      <w:pPr>
        <w:spacing w:line="360" w:lineRule="auto"/>
        <w:rPr>
          <w:rFonts w:ascii="宋体" w:hAnsi="Courier New"/>
          <w:color w:val="000000" w:themeColor="text1"/>
          <w:sz w:val="24"/>
          <w:highlight w:val="none"/>
          <w14:textFill>
            <w14:solidFill>
              <w14:schemeClr w14:val="tx1"/>
            </w14:solidFill>
          </w14:textFill>
        </w:rPr>
      </w:pPr>
      <w:r>
        <w:rPr>
          <w:rFonts w:hint="eastAsia" w:ascii="宋体" w:hAnsi="Courier New"/>
          <w:color w:val="000000" w:themeColor="text1"/>
          <w:sz w:val="24"/>
          <w:highlight w:val="none"/>
          <w14:textFill>
            <w14:solidFill>
              <w14:schemeClr w14:val="tx1"/>
            </w14:solidFill>
          </w14:textFill>
        </w:rPr>
        <w:t xml:space="preserve">E-mail：                              E-mail：</w:t>
      </w:r>
      <w:r/>
    </w:p>
    <w:p>
      <w:pPr>
        <w:spacing w:line="360" w:lineRule="auto"/>
        <w:tabs>
          <w:tab w:val="left" w:pos="420" w:leader="none"/>
        </w:tabs>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签订日期：      年    月   日         签订日期：      年     月    日</w:t>
      </w:r>
      <w:r/>
    </w:p>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br w:type="page" w:clear="all"/>
      </w:r>
      <w:bookmarkEnd w:id="32"/>
      <w:r/>
      <w:bookmarkEnd w:id="33"/>
      <w:r/>
      <w:bookmarkEnd w:id="34"/>
      <w:r/>
      <w:bookmarkEnd w:id="35"/>
      <w:r/>
      <w:r/>
    </w:p>
    <w:p>
      <w:pPr>
        <w:pStyle w:val="1012"/>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南京医科大学附属口腔医院</w:t>
      </w:r>
      <w:r/>
    </w:p>
    <w:p>
      <w:pPr>
        <w:pStyle w:val="1012"/>
        <w:rPr>
          <w:color w:val="000000" w:themeColor="text1"/>
          <w:sz w:val="24"/>
          <w:highlight w:val="none"/>
          <w14:textFill>
            <w14:solidFill>
              <w14:schemeClr w14:val="tx1"/>
            </w14:solidFill>
          </w14:textFill>
        </w:rPr>
      </w:pPr>
      <w:r>
        <w:rPr>
          <w:rFonts w:hint="eastAsia" w:ascii="Cambria" w:hAnsi="Cambria"/>
          <w:bCs/>
          <w:color w:val="000000" w:themeColor="text1"/>
          <w:sz w:val="24"/>
          <w:highlight w:val="none"/>
          <w14:textFill>
            <w14:solidFill>
              <w14:schemeClr w14:val="tx1"/>
            </w14:solidFill>
          </w14:textFill>
        </w:rPr>
        <w:t xml:space="preserve">江   苏   省    口腔医院</w:t>
      </w:r>
      <w:r/>
    </w:p>
    <w:p>
      <w:pPr>
        <w:pStyle w:val="1012"/>
        <w:spacing w:before="240" w:after="60" w:line="360" w:lineRule="auto"/>
        <w:widowControl w:val="off"/>
        <w:rPr>
          <w:rFonts w:ascii="Cambria" w:hAnsi="Cambria" w:eastAsiaTheme="minorEastAsia" w:cstheme="minorBidi"/>
          <w:bCs/>
          <w:color w:val="000000" w:themeColor="text1"/>
          <w:sz w:val="32"/>
          <w:szCs w:val="32"/>
          <w:highlight w:val="none"/>
          <w:lang w:val="en-US"/>
          <w14:textFill>
            <w14:solidFill>
              <w14:schemeClr w14:val="tx1"/>
            </w14:solidFill>
          </w14:textFill>
        </w:rPr>
        <w:outlineLvl w:val="0"/>
      </w:pPr>
      <w:r>
        <w:rPr>
          <w:rFonts w:hint="eastAsia" w:ascii="Cambria" w:hAnsi="Cambria" w:eastAsiaTheme="minorEastAsia" w:cstheme="minorBidi"/>
          <w:bCs/>
          <w:color w:val="000000" w:themeColor="text1"/>
          <w:sz w:val="32"/>
          <w:szCs w:val="32"/>
          <w:highlight w:val="none"/>
          <w:lang w:val="en-US"/>
          <w14:textFill>
            <w14:solidFill>
              <w14:schemeClr w14:val="tx1"/>
            </w14:solidFill>
          </w14:textFill>
        </w:rPr>
        <w:t xml:space="preserve">药品、耗材、设备销售廉洁诚信承诺书</w:t>
      </w:r>
      <w:r/>
    </w:p>
    <w:p>
      <w:pPr>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为响应国家卫生健康委关于规范药品、耗材购销行为的要求，配合医院行风廉政建设工作，做到廉洁销售，药品、耗材、设备销售代表应了解和遵守以下条款：</w:t>
      </w:r>
      <w:r/>
    </w:p>
    <w:p>
      <w:pPr>
        <w:pStyle w:val="1221"/>
        <w:ind w:firstLine="480"/>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一、在销售、介绍药品、耗材、设备过程中，不以任何名义给予医务工作人员回扣，提成，不采取任何不正当手段获取商业机会或商业利益。</w:t>
      </w:r>
      <w:r/>
    </w:p>
    <w:p>
      <w:pPr>
        <w:pStyle w:val="1221"/>
        <w:ind w:firstLine="480"/>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二、不向医院各科室及相关工作人员赠与或提供现金、消费卡、购物卡、股权、有价证券、其他金融产品、宴请、免费旅游等、不报销院方个人费用。</w:t>
      </w:r>
      <w:r/>
    </w:p>
    <w:p>
      <w:pPr>
        <w:pStyle w:val="1221"/>
        <w:ind w:firstLine="480"/>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三、如院方有关人员或科室主动索要提成、现金、购物卡时，及时向院方纪检监察部门反映。</w:t>
      </w:r>
      <w:r/>
    </w:p>
    <w:p>
      <w:pPr>
        <w:pStyle w:val="1221"/>
        <w:ind w:firstLine="480"/>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四、不借故到院方主管领导，部门负责人及相关工作人员家中探访或向介绍人提供任何好处费。</w:t>
      </w:r>
      <w:r/>
    </w:p>
    <w:p>
      <w:pPr>
        <w:pStyle w:val="1221"/>
        <w:ind w:firstLine="480"/>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五、不利用医院工作人员获取药品、耗材、设备使用信息，不以任何不正当手段影响医生药品、耗材、设备选择。</w:t>
      </w:r>
      <w:r/>
    </w:p>
    <w:p>
      <w:pPr>
        <w:pStyle w:val="1221"/>
        <w:ind w:firstLine="480"/>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六、销售代表遵守《江苏省口腔医院医药/器材代表登记管理制度》，做到在医院指定时间和地点与相关人员商谈业务，不以任何名义或假借身份随意进入各诊疗区域诊室内进行推销。</w:t>
      </w:r>
      <w:r/>
    </w:p>
    <w:p>
      <w:pPr>
        <w:pStyle w:val="1221"/>
        <w:ind w:firstLine="480"/>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七、供应商严格遵守《中华人民共和国反不正当竞争法》等法律法规及医院《商业贿赂不良记录管理办法》的相关规定，坚决杜绝任何形式的商业贿赂行为，并确认已充分知悉如发生商业贿赂行为而承担的相应责任。</w:t>
      </w:r>
      <w:r/>
    </w:p>
    <w:p>
      <w:pPr>
        <w:ind w:firstLine="413"/>
        <w:spacing w:line="360" w:lineRule="auto"/>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声明：本公司及授权代表完全理解以上条款，承诺所填写、提供的材料真实有效，将严格遵守上述承诺，坚决维护健康的医疗秩序，构建廉洁的购销环境，做到廉洁守信，依法营销，并愿意接受各级各界人士监督。如违反以上承诺，同意按医院相关规定处理，院方有权随时终止合同，如果涉及违纪违法问题，移交纪检、司法部门处理，自愿承担一切法律责任。</w:t>
      </w:r>
      <w:r/>
    </w:p>
    <w:p>
      <w:pPr>
        <w:spacing w:line="360" w:lineRule="auto"/>
        <w:rPr>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公司名称（盖章）：</w:t>
      </w:r>
      <w:r/>
    </w:p>
    <w:p>
      <w:pPr>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法定代表人：              指定责任人：              指定责任人身份证号：</w:t>
      </w:r>
      <w:r/>
    </w:p>
    <w:p>
      <w:pPr>
        <w:spacing w:line="360" w:lineRule="auto"/>
        <w:rPr>
          <w:rFonts w:hAnsi="宋体"/>
          <w:color w:val="000000" w:themeColor="text1"/>
          <w:sz w:val="24"/>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                                                  年       月        日</w:t>
      </w:r>
      <w:r/>
    </w:p>
    <w:p>
      <w:pPr>
        <w:jc w:val="left"/>
        <w:spacing w:line="360" w:lineRule="auto"/>
        <w:tabs>
          <w:tab w:val="left" w:pos="420" w:leader="none"/>
        </w:tabs>
        <w:rPr>
          <w:rFonts w:ascii="Cambria" w:hAnsi="Cambria"/>
          <w:b/>
          <w:bCs/>
          <w:color w:val="000000" w:themeColor="text1"/>
          <w:sz w:val="32"/>
          <w:szCs w:val="32"/>
          <w:highlight w:val="none"/>
          <w14:textFill>
            <w14:solidFill>
              <w14:schemeClr w14:val="tx1"/>
            </w14:solidFill>
          </w14:textFill>
        </w:rPr>
        <w:outlineLvl w:val="0"/>
      </w:pPr>
      <w:r>
        <w:rPr>
          <w:rFonts w:ascii="Cambria" w:hAnsi="Cambria"/>
          <w:b/>
          <w:bCs/>
          <w:color w:val="000000" w:themeColor="text1"/>
          <w:sz w:val="32"/>
          <w:szCs w:val="32"/>
          <w:highlight w:val="none"/>
          <w14:textFill>
            <w14:solidFill>
              <w14:schemeClr w14:val="tx1"/>
            </w14:solidFill>
          </w14:textFill>
        </w:rPr>
      </w:r>
      <w:r/>
    </w:p>
    <w:p>
      <w:pPr>
        <w:jc w:val="center"/>
        <w:spacing w:line="360" w:lineRule="auto"/>
        <w:tabs>
          <w:tab w:val="left" w:pos="420" w:leader="none"/>
        </w:tabs>
        <w:rPr>
          <w:color w:val="000000" w:themeColor="text1"/>
          <w:sz w:val="28"/>
          <w:szCs w:val="28"/>
          <w:highlight w:val="none"/>
          <w14:textFill>
            <w14:solidFill>
              <w14:schemeClr w14:val="tx1"/>
            </w14:solidFill>
          </w14:textFill>
        </w:rPr>
        <w:outlineLvl w:val="0"/>
      </w:pPr>
      <w:r>
        <w:rPr>
          <w:color w:val="000000" w:themeColor="text1"/>
          <w:sz w:val="28"/>
          <w:szCs w:val="28"/>
          <w:highlight w:val="none"/>
          <w14:textFill>
            <w14:solidFill>
              <w14:schemeClr w14:val="tx1"/>
            </w14:solidFill>
          </w14:textFill>
        </w:rPr>
      </w:r>
      <w:r/>
    </w:p>
    <w:p>
      <w:pPr>
        <w:spacing w:line="360" w:lineRule="auto"/>
        <w:tabs>
          <w:tab w:val="left" w:pos="420" w:leader="none"/>
        </w:tabs>
        <w:rPr>
          <w:color w:val="000000" w:themeColor="text1"/>
          <w:sz w:val="28"/>
          <w:szCs w:val="28"/>
          <w:highlight w:val="none"/>
          <w14:textFill>
            <w14:solidFill>
              <w14:schemeClr w14:val="tx1"/>
            </w14:solidFill>
          </w14:textFill>
        </w:rPr>
        <w:outlineLvl w:val="0"/>
      </w:pPr>
      <w:r>
        <w:rPr>
          <w:rFonts w:hint="eastAsia"/>
          <w:color w:val="000000" w:themeColor="text1"/>
          <w:sz w:val="28"/>
          <w:szCs w:val="28"/>
          <w:highlight w:val="none"/>
          <w14:textFill>
            <w14:solidFill>
              <w14:schemeClr w14:val="tx1"/>
            </w14:solidFill>
          </w14:textFill>
        </w:rPr>
        <w:t xml:space="preserve">附件：</w:t>
      </w:r>
      <w:r>
        <w:rPr>
          <w:rFonts w:hint="eastAsia" w:ascii="宋体" w:hAnsi="宋体"/>
          <w:color w:val="000000" w:themeColor="text1"/>
          <w:sz w:val="28"/>
          <w:szCs w:val="28"/>
          <w:highlight w:val="none"/>
          <w14:textFill>
            <w14:solidFill>
              <w14:schemeClr w14:val="tx1"/>
            </w14:solidFill>
          </w14:textFill>
        </w:rPr>
        <w:t xml:space="preserve">医疗设备需提供医疗器械注册证和授权书、中标通知书</w:t>
      </w:r>
      <w:r/>
    </w:p>
    <w:p>
      <w:pPr>
        <w:spacing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br w:type="page" w:clear="all"/>
      </w:r>
      <w:r/>
    </w:p>
    <w:p>
      <w:pPr>
        <w:jc w:val="center"/>
        <w:spacing w:line="360" w:lineRule="auto"/>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第六章 投标文件格式及附件</w:t>
      </w:r>
      <w:r/>
    </w:p>
    <w:p>
      <w:pPr>
        <w:ind w:left="560"/>
        <w:jc w:val="center"/>
        <w:spacing w:line="360" w:lineRule="auto"/>
        <w:rPr>
          <w:rFonts w:ascii="宋体" w:hAnsi="宋体" w:cs="宋体"/>
          <w:b/>
          <w:bCs/>
          <w:color w:val="000000" w:themeColor="text1"/>
          <w:sz w:val="36"/>
          <w:szCs w:val="36"/>
          <w:highlight w:val="none"/>
          <w:lang w:val="zh-CN"/>
          <w14:textFill>
            <w14:solidFill>
              <w14:schemeClr w14:val="tx1"/>
            </w14:solidFill>
          </w14:textFill>
        </w:rPr>
        <w:outlineLvl w:val="0"/>
      </w:pPr>
      <w:r>
        <w:rPr>
          <w:rFonts w:ascii="宋体" w:hAnsi="宋体" w:cs="宋体"/>
          <w:b/>
          <w:bCs/>
          <w:color w:val="000000" w:themeColor="text1"/>
          <w:sz w:val="36"/>
          <w:szCs w:val="36"/>
          <w:highlight w:val="none"/>
          <w:lang w:val="zh-CN"/>
          <w14:textFill>
            <w14:solidFill>
              <w14:schemeClr w14:val="tx1"/>
            </w14:solidFill>
          </w14:textFill>
        </w:rPr>
      </w:r>
      <w:r/>
    </w:p>
    <w:p>
      <w:pPr>
        <w:jc w:val="center"/>
        <w:spacing w:line="360" w:lineRule="auto"/>
        <w:rPr>
          <w:rFonts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 xml:space="preserve">投  标  文  件</w:t>
      </w:r>
      <w:r/>
    </w:p>
    <w:p>
      <w:pPr>
        <w:ind w:firstLine="3708"/>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jc w:val="center"/>
        <w:spacing w:line="360" w:lineRule="auto"/>
        <w:rPr>
          <w:rFonts w:ascii="宋体" w:hAnsi="宋体" w:cs="宋体"/>
          <w:b/>
          <w:color w:val="000000" w:themeColor="text1"/>
          <w:sz w:val="72"/>
          <w:highlight w:val="none"/>
          <w14:textFill>
            <w14:solidFill>
              <w14:schemeClr w14:val="tx1"/>
            </w14:solidFill>
          </w14:textFill>
        </w:rPr>
      </w:pPr>
      <w:r>
        <w:rPr>
          <w:rFonts w:ascii="宋体" w:hAnsi="宋体" w:cs="宋体"/>
          <w:b/>
          <w:color w:val="000000" w:themeColor="text1"/>
          <w:sz w:val="72"/>
          <w:highlight w:val="none"/>
          <w14:textFill>
            <w14:solidFill>
              <w14:schemeClr w14:val="tx1"/>
            </w14:solidFill>
          </w14:textFill>
        </w:rPr>
      </w:r>
      <w:r/>
    </w:p>
    <w:p>
      <w:pPr>
        <w:jc w:val="cente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jc w:val="cente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jc w:val="cente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ind w:firstLine="1084"/>
        <w:spacing w:line="360" w:lineRule="auto"/>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项 目 编号： </w:t>
      </w:r>
      <w:r/>
    </w:p>
    <w:p>
      <w:pPr>
        <w:ind w:firstLine="1084"/>
        <w:spacing w:line="360" w:lineRule="auto"/>
        <w:rPr>
          <w:rFonts w:ascii="宋体" w:hAnsi="宋体" w:cs="宋体"/>
          <w:b/>
          <w:color w:val="000000" w:themeColor="text1"/>
          <w:sz w:val="36"/>
          <w:highlight w:val="none"/>
          <w:u w:val="singl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项 目 名称： </w:t>
      </w:r>
      <w:r/>
    </w:p>
    <w:p>
      <w:pP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spacing w:line="360" w:lineRule="auto"/>
        <w:rPr>
          <w:rFonts w:ascii="宋体" w:hAnsi="宋体" w:cs="宋体"/>
          <w:b/>
          <w:color w:val="000000" w:themeColor="text1"/>
          <w:sz w:val="36"/>
          <w:highlight w:val="none"/>
          <w:u w:val="singl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       投标人名称 ：（加盖CA电子公章）</w:t>
      </w:r>
      <w:r/>
    </w:p>
    <w:p>
      <w:pPr>
        <w:spacing w:line="360" w:lineRule="auto"/>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       日      期 ：</w:t>
      </w:r>
      <w:r/>
    </w:p>
    <w:p>
      <w:pPr>
        <w:jc w:val="center"/>
        <w:spacing w:line="360" w:lineRule="auto"/>
        <w:rPr>
          <w:rFonts w:ascii="宋体" w:hAnsi="宋体" w:cs="宋体"/>
          <w:b/>
          <w:bCs/>
          <w:color w:val="000000" w:themeColor="text1"/>
          <w:sz w:val="44"/>
          <w:highlight w:val="none"/>
          <w14:textFill>
            <w14:solidFill>
              <w14:schemeClr w14:val="tx1"/>
            </w14:solidFill>
          </w14:textFill>
        </w:rPr>
        <w:outlineLvl w:val="0"/>
      </w:pPr>
      <w:r>
        <w:rPr>
          <w:rFonts w:ascii="宋体" w:hAnsi="宋体" w:cs="宋体"/>
          <w:b/>
          <w:bCs/>
          <w:color w:val="000000" w:themeColor="text1"/>
          <w:sz w:val="44"/>
          <w:highlight w:val="none"/>
          <w14:textFill>
            <w14:solidFill>
              <w14:schemeClr w14:val="tx1"/>
            </w14:solidFill>
          </w14:textFill>
        </w:rPr>
      </w:r>
      <w:r/>
    </w:p>
    <w:p>
      <w:pPr>
        <w:jc w:val="center"/>
        <w:rPr>
          <w:rFonts w:ascii="宋体" w:hAnsi="宋体" w:cs="宋体"/>
          <w:b/>
          <w:bCs/>
          <w:color w:val="000000" w:themeColor="text1"/>
          <w:sz w:val="32"/>
          <w:szCs w:val="32"/>
          <w:highlight w:val="none"/>
          <w14:textFill>
            <w14:solidFill>
              <w14:schemeClr w14:val="tx1"/>
            </w14:solidFill>
          </w14:textFill>
        </w:rPr>
        <w:outlineLvl w:val="0"/>
      </w:pPr>
      <w:r>
        <w:rPr>
          <w:rFonts w:hint="eastAsia" w:ascii="宋体" w:hAnsi="宋体" w:cs="宋体"/>
          <w:b/>
          <w:bCs/>
          <w:color w:val="000000" w:themeColor="text1"/>
          <w:sz w:val="36"/>
          <w:highlight w:val="none"/>
          <w14:textFill>
            <w14:solidFill>
              <w14:schemeClr w14:val="tx1"/>
            </w14:solidFill>
          </w14:textFill>
        </w:rPr>
        <w:br w:type="page" w:clear="all"/>
      </w:r>
      <w:bookmarkStart w:id="36" w:name="_Toc489655320"/>
      <w:r>
        <w:rPr>
          <w:rFonts w:hint="eastAsia" w:ascii="宋体" w:hAnsi="宋体" w:cs="宋体"/>
          <w:b/>
          <w:bCs/>
          <w:color w:val="000000" w:themeColor="text1"/>
          <w:sz w:val="32"/>
          <w:szCs w:val="32"/>
          <w:highlight w:val="none"/>
          <w14:textFill>
            <w14:solidFill>
              <w14:schemeClr w14:val="tx1"/>
            </w14:solidFill>
          </w14:textFill>
        </w:rPr>
        <w:t xml:space="preserve">投标文件主要目录</w:t>
      </w:r>
      <w:bookmarkEnd w:id="36"/>
      <w:r>
        <w:rPr>
          <w:rFonts w:hint="eastAsia" w:ascii="宋体" w:hAnsi="宋体" w:cs="宋体"/>
          <w:b/>
          <w:bCs/>
          <w:color w:val="000000" w:themeColor="text1"/>
          <w:sz w:val="32"/>
          <w:szCs w:val="32"/>
          <w:highlight w:val="none"/>
          <w14:textFill>
            <w14:solidFill>
              <w14:schemeClr w14:val="tx1"/>
            </w14:solidFill>
          </w14:textFill>
        </w:rPr>
        <w:t xml:space="preserve">及相关证明材料格式、附件</w:t>
      </w:r>
      <w:r/>
    </w:p>
    <w:p>
      <w:pPr>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一、投标申请及声明</w:t>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二、法定代表人授权书</w:t>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三、开标一览表</w:t>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四、分项报价表</w:t>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五、技术条款偏离表</w:t>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六、商务条款偏离表</w:t>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七、服务与承诺</w:t>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八、投标人类似业绩情况表</w:t>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九、投标需要的其他证明文件及材料（若有)</w:t>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附件一、中小企业声明函格式</w:t>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附件二、关于符合本国产品标准的声明函</w:t>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附件三、无重大违法记录声明格式</w:t>
      </w:r>
      <w:r/>
    </w:p>
    <w:p>
      <w:pPr>
        <w:ind w:left="2954" w:hanging="1232"/>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附件四、具备履行合同所必需的设备和专业技术能力的声明格式及证明材料</w:t>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附件五、残疾人福利性单位声明函格式</w:t>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附件六、属于监狱企业的证明文件</w:t>
      </w:r>
      <w:r/>
    </w:p>
    <w:p>
      <w:pPr>
        <w:ind w:left="1836" w:hanging="114"/>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附件七、主要材料备件清单</w:t>
      </w:r>
      <w:r/>
    </w:p>
    <w:p>
      <w:pPr>
        <w:pStyle w:val="979"/>
        <w:ind w:firstLine="1680"/>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979"/>
        <w:ind w:firstLine="1680"/>
        <w:rPr>
          <w:rFonts w:ascii="宋体" w:hAnsi="宋体" w:cs="宋体"/>
          <w:color w:val="000000" w:themeColor="text1"/>
          <w:sz w:val="28"/>
          <w:szCs w:val="28"/>
          <w:highlight w:val="none"/>
          <w:lang w:val="zh-CN"/>
          <w14:textFill>
            <w14:solidFill>
              <w14:schemeClr w14:val="tx1"/>
            </w14:solidFill>
          </w14:textFill>
        </w:rPr>
        <w:sectPr>
          <w:footerReference w:type="default" r:id="rId14"/>
          <w:footnotePr/>
          <w:endnotePr>
            <w:numFmt w:val="decimal"/>
          </w:endnotePr>
          <w:type w:val="nextPage"/>
          <w:pgSz w:w="11906" w:h="16838" w:orient="portrait"/>
          <w:pgMar w:top="850" w:right="850" w:bottom="850" w:left="1418" w:header="340" w:footer="720" w:gutter="0"/>
          <w:cols w:num="1" w:sep="0" w:space="720" w:equalWidth="1"/>
          <w:docGrid w:linePitch="360"/>
        </w:sectPr>
      </w:pPr>
      <w:r>
        <w:rPr>
          <w:rFonts w:ascii="宋体" w:hAnsi="宋体" w:cs="宋体"/>
          <w:color w:val="000000" w:themeColor="text1"/>
          <w:sz w:val="28"/>
          <w:szCs w:val="28"/>
          <w:highlight w:val="none"/>
          <w:lang w:val="zh-CN"/>
          <w14:textFill>
            <w14:solidFill>
              <w14:schemeClr w14:val="tx1"/>
            </w14:solidFill>
          </w14:textFill>
        </w:rPr>
      </w:r>
      <w:r/>
    </w:p>
    <w:p>
      <w:pPr>
        <w:jc w:val="left"/>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目录一、投标申请及声明格式</w:t>
      </w:r>
      <w:r/>
    </w:p>
    <w:p>
      <w:pPr>
        <w:jc w:val="center"/>
        <w:spacing w:line="360" w:lineRule="auto"/>
        <w:rPr>
          <w:rFonts w:ascii="宋体" w:hAnsi="宋体" w:cs="宋体"/>
          <w:color w:val="000000" w:themeColor="text1"/>
          <w:sz w:val="36"/>
          <w:szCs w:val="36"/>
          <w:highlight w:val="none"/>
          <w:lang w:val="zh-CN"/>
          <w14:textFill>
            <w14:solidFill>
              <w14:schemeClr w14:val="tx1"/>
            </w14:solidFill>
          </w14:textFill>
        </w:rPr>
        <w:outlineLvl w:val="0"/>
      </w:pPr>
      <w:r>
        <w:rPr>
          <w:rFonts w:hint="eastAsia" w:ascii="宋体" w:hAnsi="宋体" w:cs="宋体"/>
          <w:color w:val="000000" w:themeColor="text1"/>
          <w:sz w:val="36"/>
          <w:szCs w:val="36"/>
          <w:highlight w:val="none"/>
          <w:lang w:val="zh-CN"/>
          <w14:textFill>
            <w14:solidFill>
              <w14:schemeClr w14:val="tx1"/>
            </w14:solidFill>
          </w14:textFill>
        </w:rPr>
        <w:t xml:space="preserve">投标申请及声明</w:t>
      </w:r>
      <w:r/>
    </w:p>
    <w:p>
      <w:pPr>
        <w:spacing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致：</w:t>
      </w:r>
      <w:r>
        <w:rPr>
          <w:rFonts w:ascii="宋体" w:hAnsi="宋体" w:cs="宋体"/>
          <w:color w:val="000000" w:themeColor="text1"/>
          <w:szCs w:val="21"/>
          <w:highlight w:val="none"/>
          <w14:textFill>
            <w14:solidFill>
              <w14:schemeClr w14:val="tx1"/>
            </w14:solidFill>
          </w14:textFill>
        </w:rPr>
        <w:t xml:space="preserve">南京医科大学附属口腔医院</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根据贵方（项目名称）（项目编号）投标邀请，正式授权下述签字人(姓名和职务)代表投标人（投标人名称），提交投标文件。</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据此函，签字人兹宣布声明和承诺如下：</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b/>
          <w:color w:val="000000" w:themeColor="text1"/>
          <w:szCs w:val="21"/>
          <w:highlight w:val="none"/>
          <w:lang w:val="zh-CN"/>
          <w14:textFill>
            <w14:solidFill>
              <w14:schemeClr w14:val="tx1"/>
            </w14:solidFill>
          </w14:textFill>
        </w:rPr>
        <w:t xml:space="preserve">我们的资格条件完全符合政府采购法和本次招标要求</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我们</w:t>
      </w:r>
      <w:r>
        <w:rPr>
          <w:rFonts w:hint="eastAsia" w:ascii="宋体" w:hAnsi="宋体" w:cs="宋体"/>
          <w:color w:val="000000" w:themeColor="text1"/>
          <w:szCs w:val="21"/>
          <w:highlight w:val="none"/>
          <w:lang w:val="zh-CN"/>
          <w14:textFill>
            <w14:solidFill>
              <w14:schemeClr w14:val="tx1"/>
            </w14:solidFill>
          </w14:textFill>
        </w:rPr>
        <w:t xml:space="preserve">同意并向贵方提供了与投标有关的所有证据和资料。</w:t>
      </w:r>
      <w:r/>
    </w:p>
    <w:p>
      <w:pPr>
        <w:ind w:firstLine="420"/>
        <w:spacing w:line="360" w:lineRule="auto"/>
        <w:rPr>
          <w:rFonts w:ascii="宋体" w:hAnsi="宋体" w:cs="宋体"/>
          <w:color w:val="000000" w:themeColor="text1"/>
          <w:szCs w:val="21"/>
          <w:highlight w:val="none"/>
          <w:u w:val="singl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2、按招标要求，我们的投标总报价为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（小写）元</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（大写）元人民币。其中，小</w:t>
      </w:r>
      <w:r>
        <w:rPr>
          <w:rFonts w:hint="eastAsia" w:ascii="宋体" w:hAnsi="宋体" w:cs="宋体"/>
          <w:color w:val="000000" w:themeColor="text1"/>
          <w:szCs w:val="21"/>
          <w:highlight w:val="none"/>
          <w14:textFill>
            <w14:solidFill>
              <w14:schemeClr w14:val="tx1"/>
            </w14:solidFill>
          </w14:textFill>
        </w:rPr>
        <w:t xml:space="preserve">微</w:t>
      </w:r>
      <w:r>
        <w:rPr>
          <w:rFonts w:hint="eastAsia" w:ascii="宋体" w:hAnsi="宋体" w:cs="宋体"/>
          <w:color w:val="000000" w:themeColor="text1"/>
          <w:szCs w:val="21"/>
          <w:highlight w:val="none"/>
          <w:lang w:val="zh-CN"/>
          <w14:textFill>
            <w14:solidFill>
              <w14:schemeClr w14:val="tx1"/>
            </w14:solidFill>
          </w14:textFill>
        </w:rPr>
        <w:t xml:space="preserve">型企业的产品为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（大写）元人民币</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交货期：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3、我们已详细审核全部招标文件及其有效补充文件，我们放弃对招标文件任何误解的权利，提交投标文件后，</w:t>
      </w:r>
      <w:r>
        <w:rPr>
          <w:rFonts w:hint="eastAsia" w:ascii="宋体" w:hAnsi="宋体" w:cs="宋体"/>
          <w:b/>
          <w:color w:val="000000" w:themeColor="text1"/>
          <w:szCs w:val="21"/>
          <w:highlight w:val="none"/>
          <w:lang w:val="zh-CN"/>
          <w14:textFill>
            <w14:solidFill>
              <w14:schemeClr w14:val="tx1"/>
            </w14:solidFill>
          </w14:textFill>
        </w:rPr>
        <w:t xml:space="preserve">不对招标文件本身提出质疑</w:t>
      </w:r>
      <w:r>
        <w:rPr>
          <w:rFonts w:hint="eastAsia" w:ascii="宋体" w:hAnsi="宋体" w:cs="宋体"/>
          <w:color w:val="000000" w:themeColor="text1"/>
          <w:szCs w:val="21"/>
          <w:highlight w:val="none"/>
          <w:lang w:val="zh-CN"/>
          <w14:textFill>
            <w14:solidFill>
              <w14:schemeClr w14:val="tx1"/>
            </w14:solidFill>
          </w14:textFill>
        </w:rPr>
        <w:t xml:space="preserve">。否则，属于不诚信和故意扰乱政府采购活动行为，我们将无条件接受处罚。</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4、我们同意从规定的开标日期起遵循本投标文件，并在规定的投标有效期期满之前均具有约束力。</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5、一旦我方中标，我方将根据招标文件的规定严格履行合同，并保证于承诺的时间完成服务的启动/集成、调试等服务，交付采购人验收、使用。</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zh-CN"/>
          <w14:textFill>
            <w14:solidFill>
              <w14:schemeClr w14:val="tx1"/>
            </w14:solidFill>
          </w14:textFill>
        </w:rPr>
        <w:t xml:space="preserve">、与本投标有关的正式联系方式为：</w:t>
      </w:r>
      <w:r/>
    </w:p>
    <w:p>
      <w:pPr>
        <w:ind w:firstLine="420"/>
        <w:spacing w:line="360" w:lineRule="auto"/>
        <w:rPr>
          <w:rFonts w:ascii="宋体" w:hAnsi="宋体" w:cs="宋体"/>
          <w:color w:val="000000" w:themeColor="text1"/>
          <w:szCs w:val="21"/>
          <w:highlight w:val="none"/>
          <w:u w:val="singl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地址：</w:t>
      </w:r>
      <w:r/>
    </w:p>
    <w:p>
      <w:pPr>
        <w:ind w:firstLine="420"/>
        <w:spacing w:line="360" w:lineRule="auto"/>
        <w:rPr>
          <w:rFonts w:ascii="宋体" w:hAnsi="宋体" w:cs="宋体"/>
          <w:color w:val="000000" w:themeColor="text1"/>
          <w:szCs w:val="21"/>
          <w:highlight w:val="none"/>
          <w:u w:val="singl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电话：</w:t>
      </w:r>
      <w:r/>
    </w:p>
    <w:p>
      <w:pPr>
        <w:ind w:firstLine="420"/>
        <w:spacing w:line="360" w:lineRule="auto"/>
        <w:rPr>
          <w:rFonts w:ascii="宋体" w:hAnsi="宋体" w:cs="宋体"/>
          <w:color w:val="000000" w:themeColor="text1"/>
          <w:szCs w:val="21"/>
          <w:highlight w:val="none"/>
          <w:u w:val="singl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传真：</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开户银行：</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银行账号：</w:t>
      </w:r>
      <w:r/>
    </w:p>
    <w:p>
      <w:pPr>
        <w:ind w:firstLine="420"/>
        <w:spacing w:line="360" w:lineRule="auto"/>
        <w:rPr>
          <w:rFonts w:ascii="宋体" w:hAnsi="宋体" w:cs="宋体"/>
          <w:color w:val="000000" w:themeColor="text1"/>
          <w:szCs w:val="21"/>
          <w:highlight w:val="none"/>
          <w:u w:val="singl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供应商授权代表姓名（签字）：</w:t>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供应商名称（</w:t>
      </w:r>
      <w:r>
        <w:rPr>
          <w:rFonts w:hint="eastAsia" w:ascii="宋体" w:hAnsi="宋体" w:cs="宋体"/>
          <w:color w:val="000000" w:themeColor="text1"/>
          <w:szCs w:val="21"/>
          <w:highlight w:val="none"/>
          <w14:textFill>
            <w14:solidFill>
              <w14:schemeClr w14:val="tx1"/>
            </w14:solidFill>
          </w14:textFill>
        </w:rPr>
        <w:t xml:space="preserve">加盖CA电子公章</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日期：年月日</w:t>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sectPr>
          <w:footnotePr/>
          <w:endnotePr>
            <w:numFmt w:val="decimal"/>
          </w:endnotePr>
          <w:type w:val="nextPage"/>
          <w:pgSz w:w="11906" w:h="16838" w:orient="portrait"/>
          <w:pgMar w:top="850" w:right="850" w:bottom="850" w:left="1418" w:header="340" w:footer="720" w:gutter="0"/>
          <w:cols w:num="1" w:sep="0" w:space="720" w:equalWidth="1"/>
          <w:docGrid w:linePitch="360"/>
        </w:sectPr>
      </w:pPr>
      <w:r>
        <w:rPr>
          <w:rFonts w:ascii="宋体" w:hAnsi="宋体" w:cs="宋体"/>
          <w:b/>
          <w:color w:val="000000" w:themeColor="text1"/>
          <w:szCs w:val="21"/>
          <w:highlight w:val="none"/>
          <w:lang w:val="zh-CN"/>
          <w14:textFill>
            <w14:solidFill>
              <w14:schemeClr w14:val="tx1"/>
            </w14:solidFill>
          </w14:textFill>
        </w:rPr>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目录二、法定代表人授权书格式</w:t>
      </w:r>
      <w:r/>
    </w:p>
    <w:p>
      <w:pPr>
        <w:ind w:firstLine="720"/>
        <w:jc w:val="center"/>
        <w:spacing w:line="360" w:lineRule="auto"/>
        <w:widowControl/>
        <w:rPr>
          <w:rFonts w:ascii="宋体" w:hAnsi="宋体" w:cs="宋体"/>
          <w:color w:val="000000" w:themeColor="text1"/>
          <w:sz w:val="36"/>
          <w:szCs w:val="36"/>
          <w:highlight w:val="none"/>
          <w:lang w:val="zh-CN"/>
          <w14:textFill>
            <w14:solidFill>
              <w14:schemeClr w14:val="tx1"/>
            </w14:solidFill>
          </w14:textFill>
        </w:rPr>
        <w:outlineLvl w:val="0"/>
      </w:pPr>
      <w:r>
        <w:rPr>
          <w:rFonts w:hint="eastAsia" w:ascii="宋体" w:hAnsi="宋体" w:cs="宋体"/>
          <w:color w:val="000000" w:themeColor="text1"/>
          <w:sz w:val="36"/>
          <w:szCs w:val="36"/>
          <w:highlight w:val="none"/>
          <w:lang w:val="zh-CN"/>
          <w14:textFill>
            <w14:solidFill>
              <w14:schemeClr w14:val="tx1"/>
            </w14:solidFill>
          </w14:textFill>
        </w:rPr>
        <w:t xml:space="preserve">法定代表人授权委托书</w:t>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南京医科大学附属口腔医院</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本授权书声明：注册于（投标人住址）的（投标人名称）法定代表人（法定代表人姓名、职务）代表本公司授权在下面签字的（投标人代表姓名、职务）为本公司的合法代理人，就贵方组织的（项目名称），（项目编号）投标，以本公司名义处理一切与之有关的事务。</w:t>
      </w:r>
      <w:r/>
    </w:p>
    <w:p>
      <w:pPr>
        <w:ind w:firstLine="408"/>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本授权书于年月日签字生效，特此声明。</w:t>
      </w:r>
      <w:r/>
    </w:p>
    <w:p>
      <w:pPr>
        <w:ind w:firstLine="408"/>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法定代表人（签字</w:t>
      </w:r>
      <w:r>
        <w:rPr>
          <w:rFonts w:hint="eastAsia" w:ascii="宋体" w:hAnsi="宋体" w:cs="宋体"/>
          <w:color w:val="000000" w:themeColor="text1"/>
          <w:szCs w:val="21"/>
          <w:highlight w:val="none"/>
          <w14:textFill>
            <w14:solidFill>
              <w14:schemeClr w14:val="tx1"/>
            </w14:solidFill>
          </w14:textFill>
        </w:rPr>
        <w:t xml:space="preserve">或盖章</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授权委托人（签字）：</w:t>
      </w:r>
      <w:r/>
    </w:p>
    <w:p>
      <w:pPr>
        <w:ind w:firstLine="420"/>
        <w:jc w:val="left"/>
        <w:spacing w:line="360" w:lineRule="auto"/>
        <w:widowControl/>
        <w:tabs>
          <w:tab w:val="left" w:pos="1440"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供应商名称（加盖CA电子公章）：</w:t>
      </w:r>
      <w:r/>
    </w:p>
    <w:p>
      <w:pPr>
        <w:ind w:firstLine="420"/>
        <w:jc w:val="left"/>
        <w:spacing w:line="360" w:lineRule="auto"/>
        <w:widowControl/>
        <w:tabs>
          <w:tab w:val="left" w:pos="1440"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日期：年月日</w:t>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pPr>
      <w:r>
        <w:rPr>
          <w:rFonts w:ascii="宋体" w:hAnsi="宋体" w:cs="宋体"/>
          <w:b/>
          <w:color w:val="000000" w:themeColor="text1"/>
          <w:szCs w:val="21"/>
          <w:highlight w:val="none"/>
          <w:lang w:val="zh-CN"/>
          <w14:textFill>
            <w14:solidFill>
              <w14:schemeClr w14:val="tx1"/>
            </w14:solidFill>
          </w14:textFill>
        </w:rPr>
      </w:r>
      <w:r/>
    </w:p>
    <w:p>
      <w:pPr>
        <w:ind w:firstLine="42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w:t>
      </w:r>
      <w:r>
        <w:rPr>
          <w:rFonts w:hint="eastAsia" w:ascii="宋体" w:hAnsi="宋体" w:cs="宋体"/>
          <w:color w:val="000000" w:themeColor="text1"/>
          <w:szCs w:val="21"/>
          <w:highlight w:val="none"/>
          <w14:textFill>
            <w14:solidFill>
              <w14:schemeClr w14:val="tx1"/>
            </w14:solidFill>
          </w14:textFill>
        </w:rPr>
        <w:t xml:space="preserve">身份证复印件</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授权委托人</w:t>
      </w:r>
      <w:r>
        <w:rPr>
          <w:rFonts w:hint="eastAsia" w:ascii="宋体" w:hAnsi="宋体" w:cs="宋体"/>
          <w:color w:val="000000" w:themeColor="text1"/>
          <w:szCs w:val="21"/>
          <w:highlight w:val="none"/>
          <w14:textFill>
            <w14:solidFill>
              <w14:schemeClr w14:val="tx1"/>
            </w14:solidFill>
          </w14:textFill>
        </w:rPr>
        <w:t xml:space="preserve">身份证复印件</w:t>
      </w:r>
      <w:r>
        <w:rPr>
          <w:rFonts w:hint="eastAsia" w:ascii="宋体" w:hAnsi="宋体" w:cs="宋体"/>
          <w:color w:val="000000" w:themeColor="text1"/>
          <w:szCs w:val="21"/>
          <w:highlight w:val="none"/>
          <w:lang w:val="zh-CN"/>
          <w14:textFill>
            <w14:solidFill>
              <w14:schemeClr w14:val="tx1"/>
            </w14:solidFill>
          </w14:textFill>
        </w:rPr>
        <w:t xml:space="preserve">：</w:t>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sectPr>
          <w:footerReference w:type="default" r:id="rId15"/>
          <w:footnotePr/>
          <w:endnotePr>
            <w:numFmt w:val="decimal"/>
          </w:endnotePr>
          <w:type w:val="nextPage"/>
          <w:pgSz w:w="11906" w:h="16838" w:orient="portrait"/>
          <w:pgMar w:top="850" w:right="850" w:bottom="850" w:left="1417" w:header="397" w:footer="720" w:gutter="0"/>
          <w:cols w:num="1" w:sep="0" w:space="720" w:equalWidth="1"/>
          <w:docGrid w:linePitch="360"/>
        </w:sectPr>
      </w:pPr>
      <w:r>
        <w:rPr>
          <w:rFonts w:ascii="宋体" w:hAnsi="宋体" w:cs="宋体"/>
          <w:b/>
          <w:color w:val="000000" w:themeColor="text1"/>
          <w:szCs w:val="21"/>
          <w:highlight w:val="none"/>
          <w:lang w:val="zh-CN"/>
          <w14:textFill>
            <w14:solidFill>
              <w14:schemeClr w14:val="tx1"/>
            </w14:solidFill>
          </w14:textFill>
        </w:rPr>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目录三、开标一览表格式</w:t>
      </w:r>
      <w:r/>
    </w:p>
    <w:p>
      <w:pPr>
        <w:pStyle w:val="958"/>
        <w:jc w:val="center"/>
        <w:spacing w:before="322" w:after="322"/>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48"/>
          <w:highlight w:val="none"/>
          <w14:textFill>
            <w14:solidFill>
              <w14:schemeClr w14:val="tx1"/>
            </w14:solidFill>
          </w14:textFill>
        </w:rPr>
        <w:t xml:space="preserve">开标一览表</w:t>
      </w:r>
      <w:r>
        <w:rPr>
          <w:rFonts w:ascii="微软雅黑" w:hAnsi="微软雅黑" w:eastAsia="微软雅黑" w:cs="微软雅黑"/>
          <w:color w:val="000000" w:themeColor="text1"/>
          <w:sz w:val="48"/>
          <w:highlight w:val="none"/>
          <w14:textFill>
            <w14:solidFill>
              <w14:schemeClr w14:val="tx1"/>
            </w14:solidFill>
          </w14:textFill>
        </w:rPr>
        <w:t xml:space="preserve"> </w:t>
      </w:r>
      <w:r/>
    </w:p>
    <w:p>
      <w:pPr>
        <w:spacing w:before="240" w:after="240"/>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投标人全称（CA公章）：供应商名称 </w:t>
      </w:r>
      <w:r/>
    </w:p>
    <w:p>
      <w:pPr>
        <w:spacing w:before="240" w:after="240"/>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项目名称： 项目名称 </w:t>
      </w:r>
      <w:r/>
    </w:p>
    <w:p>
      <w:pPr>
        <w:spacing w:before="240" w:after="240"/>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项目编号：项目编号 </w:t>
      </w:r>
      <w:r/>
    </w:p>
    <w:p>
      <w:pPr>
        <w:spacing w:before="240" w:after="240"/>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分包号 ：分包号 </w:t>
      </w:r>
      <w:r/>
    </w:p>
    <w:tbl>
      <w:tblPr>
        <w:tblStyle w:val="10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8636"/>
      </w:tblGrid>
      <w:tr>
        <w:trPr>
          <w:trHeight w:val="810"/>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719" w:type="dxa"/>
            <w:vAlign w:val="center"/>
            <w:textDirection w:val="lrTb"/>
            <w:noWrap w:val="false"/>
          </w:tcPr>
          <w:p>
            <w:pPr>
              <w:spacing w:line="57" w:lineRule="atLeast"/>
              <w:rPr>
                <w:color w:val="000000" w:themeColor="text1"/>
                <w:highlight w:val="none"/>
                <w14:textFill>
                  <w14:solidFill>
                    <w14:schemeClr w14:val="tx1"/>
                  </w14:solidFill>
                </w14:textFill>
              </w:rPr>
            </w:pPr>
            <w:r>
              <w:rPr>
                <w:rFonts w:ascii="微软雅黑" w:hAnsi="微软雅黑" w:eastAsia="微软雅黑" w:cs="微软雅黑"/>
                <w:color w:val="000000" w:themeColor="text1"/>
                <w:sz w:val="24"/>
                <w:highlight w:val="none"/>
                <w14:textFill>
                  <w14:solidFill>
                    <w14:schemeClr w14:val="tx1"/>
                  </w14:solidFill>
                </w14:textFill>
              </w:rPr>
              <w:t xml:space="preserve"> </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8636" w:type="dxa"/>
            <w:vAlign w:val="center"/>
            <w:textDirection w:val="lrTb"/>
            <w:noWrap w:val="false"/>
          </w:tcPr>
          <w:p>
            <w:pPr>
              <w:jc w:val="center"/>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总报价</w:t>
            </w:r>
            <w:r/>
          </w:p>
        </w:tc>
      </w:tr>
      <w:tr>
        <w:trPr>
          <w:trHeight w:val="825"/>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719" w:type="dxa"/>
            <w:vAlign w:val="center"/>
            <w:textDirection w:val="lrTb"/>
            <w:noWrap w:val="false"/>
          </w:tcPr>
          <w:p>
            <w:pPr>
              <w:spacing w:before="240" w:after="240"/>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微软雅黑" w:cs="宋体"/>
                <w:color w:val="000000" w:themeColor="text1"/>
                <w:sz w:val="24"/>
                <w:highlight w:val="none"/>
                <w14:textFill>
                  <w14:solidFill>
                    <w14:schemeClr w14:val="tx1"/>
                  </w14:solidFill>
                </w14:textFill>
              </w:rPr>
              <w:t xml:space="preserve"> </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8636" w:type="dxa"/>
            <w:vAlign w:val="center"/>
            <w:textDirection w:val="lrTb"/>
            <w:noWrap w:val="false"/>
          </w:tcPr>
          <w:p>
            <w:pPr>
              <w:spacing w:before="240" w:after="240"/>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小写： 元</w:t>
            </w:r>
            <w:r/>
          </w:p>
        </w:tc>
      </w:tr>
    </w:tbl>
    <w:p>
      <w:pPr>
        <w:jc w:val="right"/>
        <w:spacing w:before="240" w:after="24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年 月 日</w:t>
      </w:r>
      <w:r/>
    </w:p>
    <w:p>
      <w:pPr>
        <w:ind w:firstLine="420"/>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sectPr>
          <w:footnotePr/>
          <w:endnotePr>
            <w:numFmt w:val="decimal"/>
          </w:endnotePr>
          <w:type w:val="nextPage"/>
          <w:pgSz w:w="11906" w:h="16838" w:orient="portrait"/>
          <w:pgMar w:top="850" w:right="850" w:bottom="850" w:left="1418" w:header="340" w:footer="720" w:gutter="0"/>
          <w:cols w:num="1" w:sep="0" w:space="0" w:equalWidth="1"/>
          <w:docGrid w:linePitch="360"/>
        </w:sectPr>
      </w:pPr>
      <w:r>
        <w:rPr>
          <w:rFonts w:ascii="宋体" w:hAnsi="宋体" w:cs="宋体"/>
          <w:b/>
          <w:color w:val="000000" w:themeColor="text1"/>
          <w:szCs w:val="21"/>
          <w:highlight w:val="none"/>
          <w:lang w:val="zh-CN"/>
          <w14:textFill>
            <w14:solidFill>
              <w14:schemeClr w14:val="tx1"/>
            </w14:solidFill>
          </w14:textFill>
        </w:rPr>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目录四、</w:t>
      </w:r>
      <w:r>
        <w:rPr>
          <w:rFonts w:hint="eastAsia" w:ascii="宋体" w:hAnsi="宋体" w:cs="宋体"/>
          <w:b/>
          <w:color w:val="000000" w:themeColor="text1"/>
          <w:szCs w:val="21"/>
          <w:highlight w:val="none"/>
          <w:lang w:val="zh-CN"/>
          <w14:textFill>
            <w14:solidFill>
              <w14:schemeClr w14:val="tx1"/>
            </w14:solidFill>
          </w14:textFill>
        </w:rPr>
        <w:t xml:space="preserve">分项报价表格式</w:t>
      </w:r>
      <w:r/>
    </w:p>
    <w:p>
      <w:pPr>
        <w:pStyle w:val="961"/>
        <w:spacing w:line="36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left="420"/>
        <w:jc w:val="center"/>
        <w:spacing w:line="360" w:lineRule="auto"/>
        <w:widowControl/>
        <w:rPr>
          <w:rFonts w:ascii="宋体" w:hAnsi="宋体" w:cs="宋体"/>
          <w:color w:val="000000" w:themeColor="text1"/>
          <w:sz w:val="36"/>
          <w:szCs w:val="36"/>
          <w:highlight w:val="none"/>
          <w:lang w:val="zh-CN"/>
          <w14:textFill>
            <w14:solidFill>
              <w14:schemeClr w14:val="tx1"/>
            </w14:solidFill>
          </w14:textFill>
        </w:rPr>
        <w:outlineLvl w:val="0"/>
      </w:pPr>
      <w:r>
        <w:rPr>
          <w:rFonts w:hint="eastAsia" w:ascii="宋体" w:hAnsi="宋体" w:cs="宋体"/>
          <w:color w:val="000000" w:themeColor="text1"/>
          <w:sz w:val="36"/>
          <w:szCs w:val="36"/>
          <w:highlight w:val="none"/>
          <w:lang w:val="zh-CN"/>
          <w14:textFill>
            <w14:solidFill>
              <w14:schemeClr w14:val="tx1"/>
            </w14:solidFill>
          </w14:textFill>
        </w:rPr>
        <w:t xml:space="preserve">分项报价表</w:t>
      </w:r>
      <w:r/>
    </w:p>
    <w:tbl>
      <w:tblPr>
        <w:tblStyle w:val="10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1252"/>
        <w:gridCol w:w="996"/>
        <w:gridCol w:w="1124"/>
        <w:gridCol w:w="997"/>
        <w:gridCol w:w="742"/>
        <w:gridCol w:w="1124"/>
        <w:gridCol w:w="1252"/>
        <w:gridCol w:w="1656"/>
      </w:tblGrid>
      <w:tr>
        <w:trPr>
          <w:jc w:val="center"/>
          <w:trHeight w:val="624"/>
        </w:trPr>
        <w:tc>
          <w:tcPr>
            <w:gridSpan w:val="6"/>
            <w:tcW w:w="5039"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w:t>
            </w:r>
            <w:r/>
          </w:p>
        </w:tc>
        <w:tc>
          <w:tcPr>
            <w:gridSpan w:val="3"/>
            <w:tcW w:w="3489"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项目编号：</w:t>
            </w:r>
            <w:r/>
          </w:p>
        </w:tc>
      </w:tr>
      <w:tr>
        <w:trPr>
          <w:jc w:val="center"/>
          <w:trHeight w:val="827"/>
        </w:trPr>
        <w:tc>
          <w:tcPr>
            <w:tcW w:w="616" w:type="dxa"/>
            <w:textDirection w:val="lrTb"/>
            <w:noWrap w:val="false"/>
          </w:tcPr>
          <w:p>
            <w:pPr>
              <w:jc w:val="left"/>
              <w:spacing w:line="360" w:lineRule="auto"/>
              <w:widowControl/>
              <w:tabs>
                <w:tab w:val="left" w:pos="15" w:leader="none"/>
              </w:tabs>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tab/>
            </w:r>
            <w:r>
              <w:rPr>
                <w:rFonts w:hint="eastAsia" w:ascii="宋体" w:hAnsi="宋体" w:cs="宋体"/>
                <w:color w:val="000000" w:themeColor="text1"/>
                <w:szCs w:val="21"/>
                <w:highlight w:val="none"/>
                <w:lang w:val="zh-CN"/>
                <w14:textFill>
                  <w14:solidFill>
                    <w14:schemeClr w14:val="tx1"/>
                  </w14:solidFill>
                </w14:textFill>
              </w:rPr>
              <w:t xml:space="preserve">序号</w:t>
            </w:r>
            <w:r/>
          </w:p>
        </w:tc>
        <w:tc>
          <w:tcPr>
            <w:tcW w:w="1083" w:type="dxa"/>
            <w:textDirection w:val="lrTb"/>
            <w:noWrap w:val="false"/>
          </w:tcPr>
          <w:p>
            <w:pPr>
              <w:jc w:val="left"/>
              <w:spacing w:line="360" w:lineRule="auto"/>
              <w:widowControl/>
              <w:tabs>
                <w:tab w:val="left" w:pos="225" w:leader="none"/>
              </w:tabs>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tab/>
            </w:r>
            <w:r>
              <w:rPr>
                <w:rFonts w:hint="eastAsia" w:ascii="宋体" w:hAnsi="宋体" w:cs="宋体"/>
                <w:color w:val="000000" w:themeColor="text1"/>
                <w:szCs w:val="21"/>
                <w:highlight w:val="none"/>
                <w:lang w:val="zh-CN"/>
                <w14:textFill>
                  <w14:solidFill>
                    <w14:schemeClr w14:val="tx1"/>
                  </w14:solidFill>
                </w14:textFill>
              </w:rPr>
              <w:t xml:space="preserve">名称</w:t>
            </w:r>
            <w:r/>
          </w:p>
        </w:tc>
        <w:tc>
          <w:tcPr>
            <w:tcW w:w="862"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品牌</w:t>
            </w:r>
            <w:r/>
          </w:p>
        </w:tc>
        <w:tc>
          <w:tcPr>
            <w:tcW w:w="97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规格型号</w:t>
            </w:r>
            <w:r/>
          </w:p>
        </w:tc>
        <w:tc>
          <w:tcPr>
            <w:tcW w:w="86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产地</w:t>
            </w:r>
            <w:r/>
          </w:p>
        </w:tc>
        <w:tc>
          <w:tcPr>
            <w:tcW w:w="642"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数量</w:t>
            </w:r>
            <w:r/>
          </w:p>
        </w:tc>
        <w:tc>
          <w:tcPr>
            <w:tcW w:w="97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投标单价</w:t>
            </w:r>
            <w:r/>
          </w:p>
        </w:tc>
        <w:tc>
          <w:tcPr>
            <w:tcW w:w="108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投标报价</w:t>
            </w:r>
            <w:r/>
          </w:p>
        </w:tc>
        <w:tc>
          <w:tcPr>
            <w:tcW w:w="143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是否属于小、微型企业的产品</w:t>
            </w:r>
            <w:r/>
          </w:p>
        </w:tc>
      </w:tr>
      <w:tr>
        <w:trPr>
          <w:jc w:val="center"/>
          <w:trHeight w:val="626"/>
        </w:trPr>
        <w:tc>
          <w:tcPr>
            <w:tcW w:w="616"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8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862"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7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86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642"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7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8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43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626"/>
        </w:trPr>
        <w:tc>
          <w:tcPr>
            <w:tcW w:w="616"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8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862"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7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86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642"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7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8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43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626"/>
        </w:trPr>
        <w:tc>
          <w:tcPr>
            <w:tcW w:w="616"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8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862"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7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86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642"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7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8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43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626"/>
        </w:trPr>
        <w:tc>
          <w:tcPr>
            <w:tcW w:w="616"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8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862"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7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86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642"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97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08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433"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650"/>
        </w:trPr>
        <w:tc>
          <w:tcPr>
            <w:gridSpan w:val="9"/>
            <w:tcW w:w="8528"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总价小计：</w:t>
            </w:r>
            <w:r/>
          </w:p>
        </w:tc>
      </w:tr>
      <w:tr>
        <w:trPr>
          <w:jc w:val="center"/>
          <w:trHeight w:val="650"/>
        </w:trPr>
        <w:tc>
          <w:tcPr>
            <w:gridSpan w:val="9"/>
            <w:shd w:val="clear" w:color="auto" w:fill="auto"/>
            <w:tcW w:w="8528" w:type="dxa"/>
            <w:vAlign w:val="center"/>
            <w:textDirection w:val="lrTb"/>
            <w:noWrap w:val="false"/>
          </w:tcPr>
          <w:p>
            <w:pP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本采购</w:t>
            </w:r>
            <w:r>
              <w:rPr>
                <w:rFonts w:hint="eastAsia" w:ascii="宋体" w:hAnsi="宋体" w:cs="宋体"/>
                <w:color w:val="000000" w:themeColor="text1"/>
                <w:szCs w:val="21"/>
                <w:highlight w:val="none"/>
                <w14:textFill>
                  <w14:solidFill>
                    <w14:schemeClr w14:val="tx1"/>
                  </w14:solidFill>
                </w14:textFill>
              </w:rPr>
              <w:t xml:space="preserve">包</w:t>
            </w:r>
            <w:r>
              <w:rPr>
                <w:rFonts w:hint="eastAsia" w:ascii="宋体" w:hAnsi="宋体" w:cs="宋体"/>
                <w:color w:val="000000" w:themeColor="text1"/>
                <w:szCs w:val="21"/>
                <w:highlight w:val="none"/>
                <w:lang w:val="zh-CN"/>
                <w14:textFill>
                  <w14:solidFill>
                    <w14:schemeClr w14:val="tx1"/>
                  </w14:solidFill>
                </w14:textFill>
              </w:rPr>
              <w:t xml:space="preserve">中提供的符合本国产品标准的产品成本之和占该采购包提供的全部产品成本之和的比例为</w:t>
            </w:r>
            <w:r>
              <w:rPr>
                <w:rFonts w:hint="eastAsia" w:ascii="宋体" w:hAnsi="宋体" w:cs="宋体"/>
                <w:color w:val="000000" w:themeColor="text1"/>
                <w:szCs w:val="21"/>
                <w:highlight w:val="none"/>
                <w14:textFill>
                  <w14:solidFill>
                    <w14:schemeClr w14:val="tx1"/>
                  </w14:solidFill>
                </w14:textFill>
              </w:rPr>
              <w:t xml:space="preserve">______</w:t>
            </w:r>
            <w:r>
              <w:rPr>
                <w:rFonts w:hint="eastAsia" w:ascii="宋体" w:hAnsi="宋体" w:cs="宋体"/>
                <w:color w:val="000000" w:themeColor="text1"/>
                <w:szCs w:val="21"/>
                <w:highlight w:val="none"/>
                <w:lang w:val="zh-CN"/>
                <w14:textFill>
                  <w14:solidFill>
                    <w14:schemeClr w14:val="tx1"/>
                  </w14:solidFill>
                </w14:textFill>
              </w:rPr>
              <w:t xml:space="preserve">%。</w:t>
            </w:r>
            <w:r/>
          </w:p>
        </w:tc>
      </w:tr>
    </w:tbl>
    <w:p>
      <w:pPr>
        <w:jc w:val="left"/>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投标人名称：（加盖CA电子公章）</w:t>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说明：</w:t>
      </w:r>
      <w:r/>
    </w:p>
    <w:p>
      <w:pPr>
        <w:jc w:val="left"/>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1、如果行数不够，请自行增加。</w:t>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pPr>
      <w:r>
        <w:rPr>
          <w:color w:val="000000" w:themeColor="text1"/>
          <w:highlight w:val="none"/>
          <w14:textFill>
            <w14:solidFill>
              <w14:schemeClr w14:val="tx1"/>
            </w14:solidFill>
          </w14:textFill>
        </w:rPr>
        <w:t xml:space="preserve">2、在“是否属于小、微型企业的产品”栏内，填写“是”或“否”，如果小微型企业的产品报价无法划分计算的，评标时将不予认可。小型和微型企业产品是指供应商为小企业，且符合中小企业划分标准，提供本企业制造的货物，或者提供其他小企业制造的货物。如果提供的货物为大中型企业注册商标的货物，或者供应商为小型或微型企业，但提供的货物为大中型企业注册商标的货物，视同大中型企业。</w:t>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s="宋体"/>
          <w:b/>
          <w:color w:val="000000" w:themeColor="text1"/>
          <w:szCs w:val="21"/>
          <w:highlight w:val="none"/>
          <w:lang w:val="zh-CN"/>
          <w14:textFill>
            <w14:solidFill>
              <w14:schemeClr w14:val="tx1"/>
            </w14:solidFill>
          </w14:textFill>
        </w:rPr>
        <w:br w:type="page" w:clear="all"/>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目录</w:t>
      </w:r>
      <w:r>
        <w:rPr>
          <w:rFonts w:hint="eastAsia" w:ascii="宋体" w:hAnsi="宋体" w:cs="宋体"/>
          <w:b/>
          <w:color w:val="000000" w:themeColor="text1"/>
          <w:szCs w:val="21"/>
          <w:highlight w:val="none"/>
          <w14:textFill>
            <w14:solidFill>
              <w14:schemeClr w14:val="tx1"/>
            </w14:solidFill>
          </w14:textFill>
        </w:rPr>
        <w:t xml:space="preserve">五</w:t>
      </w:r>
      <w:r>
        <w:rPr>
          <w:rFonts w:hint="eastAsia" w:ascii="宋体" w:hAnsi="宋体" w:cs="宋体"/>
          <w:b/>
          <w:color w:val="000000" w:themeColor="text1"/>
          <w:szCs w:val="21"/>
          <w:highlight w:val="none"/>
          <w:lang w:val="zh-CN"/>
          <w14:textFill>
            <w14:solidFill>
              <w14:schemeClr w14:val="tx1"/>
            </w14:solidFill>
          </w14:textFill>
        </w:rPr>
        <w:t xml:space="preserve">、技术条款偏离表格式</w:t>
      </w:r>
      <w:r/>
    </w:p>
    <w:p>
      <w:pPr>
        <w:ind w:left="420"/>
        <w:jc w:val="center"/>
        <w:spacing w:line="360" w:lineRule="auto"/>
        <w:widowControl/>
        <w:rPr>
          <w:rFonts w:ascii="宋体" w:hAnsi="宋体" w:cs="宋体"/>
          <w:color w:val="000000" w:themeColor="text1"/>
          <w:sz w:val="36"/>
          <w:szCs w:val="36"/>
          <w:highlight w:val="none"/>
          <w:lang w:val="zh-CN"/>
          <w14:textFill>
            <w14:solidFill>
              <w14:schemeClr w14:val="tx1"/>
            </w14:solidFill>
          </w14:textFill>
        </w:rPr>
        <w:outlineLvl w:val="0"/>
      </w:pPr>
      <w:r>
        <w:rPr>
          <w:rFonts w:hint="eastAsia" w:ascii="宋体" w:hAnsi="宋体" w:cs="宋体"/>
          <w:color w:val="000000" w:themeColor="text1"/>
          <w:sz w:val="36"/>
          <w:szCs w:val="36"/>
          <w:highlight w:val="none"/>
          <w:lang w:val="zh-CN"/>
          <w14:textFill>
            <w14:solidFill>
              <w14:schemeClr w14:val="tx1"/>
            </w14:solidFill>
          </w14:textFill>
        </w:rPr>
        <w:t xml:space="preserve">技术条款偏离表</w:t>
      </w:r>
      <w:r/>
    </w:p>
    <w:tbl>
      <w:tblPr>
        <w:tblStyle w:val="968"/>
        <w:tblW w:w="9435" w:type="dxa"/>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152"/>
        <w:gridCol w:w="1787"/>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招标文件条目号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招标文件要求的</w:t>
            </w:r>
            <w:r>
              <w:rPr>
                <w:rFonts w:hint="eastAsia" w:ascii="宋体" w:hAnsi="宋体" w:cs="宋体"/>
                <w:color w:val="000000" w:themeColor="text1"/>
                <w:szCs w:val="21"/>
                <w:highlight w:val="none"/>
                <w14:textFill>
                  <w14:solidFill>
                    <w14:schemeClr w14:val="tx1"/>
                  </w14:solidFill>
                </w14:textFill>
              </w:rPr>
              <w:t xml:space="preserve">技术</w:t>
            </w:r>
            <w:r>
              <w:rPr>
                <w:rFonts w:hint="eastAsia" w:ascii="宋体" w:hAnsi="宋体" w:cs="宋体"/>
                <w:color w:val="000000" w:themeColor="text1"/>
                <w:szCs w:val="21"/>
                <w:highlight w:val="none"/>
                <w:lang w:val="zh-CN"/>
                <w14:textFill>
                  <w14:solidFill>
                    <w14:schemeClr w14:val="tx1"/>
                  </w14:solidFill>
                </w14:textFill>
              </w:rPr>
              <w:t xml:space="preserve">条款</w:t>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投标响应</w:t>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bl>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供应商名称：（加盖CA电子公章）</w:t>
      </w:r>
      <w:r/>
    </w:p>
    <w:p>
      <w:pPr>
        <w:jc w:val="left"/>
        <w:spacing w:line="440" w:lineRule="exact"/>
        <w:widowControl/>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1、如果行数不够，请自行增加。</w:t>
      </w:r>
      <w:r/>
    </w:p>
    <w:p>
      <w:pPr>
        <w:jc w:val="left"/>
        <w:spacing w:line="440" w:lineRule="exact"/>
        <w:widowControl/>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2、供应商需在上表中对采购文件第四章“（第一部分：技术部分要求）”相关要求进行响应。</w:t>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目录</w:t>
      </w:r>
      <w:r>
        <w:rPr>
          <w:rFonts w:hint="eastAsia" w:ascii="宋体" w:hAnsi="宋体" w:cs="宋体"/>
          <w:b/>
          <w:color w:val="000000" w:themeColor="text1"/>
          <w:szCs w:val="21"/>
          <w:highlight w:val="none"/>
          <w14:textFill>
            <w14:solidFill>
              <w14:schemeClr w14:val="tx1"/>
            </w14:solidFill>
          </w14:textFill>
        </w:rPr>
        <w:t xml:space="preserve">六</w:t>
      </w:r>
      <w:r>
        <w:rPr>
          <w:rFonts w:hint="eastAsia" w:ascii="宋体" w:hAnsi="宋体" w:cs="宋体"/>
          <w:b/>
          <w:color w:val="000000" w:themeColor="text1"/>
          <w:szCs w:val="21"/>
          <w:highlight w:val="none"/>
          <w:lang w:val="zh-CN"/>
          <w14:textFill>
            <w14:solidFill>
              <w14:schemeClr w14:val="tx1"/>
            </w14:solidFill>
          </w14:textFill>
        </w:rPr>
        <w:t xml:space="preserve">、商务条款偏离表格式</w:t>
      </w:r>
      <w:r/>
    </w:p>
    <w:p>
      <w:pPr>
        <w:ind w:left="420"/>
        <w:jc w:val="center"/>
        <w:spacing w:line="360" w:lineRule="auto"/>
        <w:widowControl/>
        <w:rPr>
          <w:rFonts w:ascii="宋体" w:hAnsi="宋体" w:cs="宋体"/>
          <w:color w:val="000000" w:themeColor="text1"/>
          <w:sz w:val="36"/>
          <w:szCs w:val="36"/>
          <w:highlight w:val="none"/>
          <w:lang w:val="zh-CN"/>
          <w14:textFill>
            <w14:solidFill>
              <w14:schemeClr w14:val="tx1"/>
            </w14:solidFill>
          </w14:textFill>
        </w:rPr>
        <w:outlineLvl w:val="0"/>
      </w:pPr>
      <w:r>
        <w:rPr>
          <w:rFonts w:hint="eastAsia" w:ascii="宋体" w:hAnsi="宋体" w:cs="宋体"/>
          <w:color w:val="000000" w:themeColor="text1"/>
          <w:sz w:val="36"/>
          <w:szCs w:val="36"/>
          <w:highlight w:val="none"/>
          <w:lang w:val="zh-CN"/>
          <w14:textFill>
            <w14:solidFill>
              <w14:schemeClr w14:val="tx1"/>
            </w14:solidFill>
          </w14:textFill>
        </w:rPr>
        <w:t xml:space="preserve">商务条款偏离表</w:t>
      </w:r>
      <w:r/>
    </w:p>
    <w:tbl>
      <w:tblPr>
        <w:tblStyle w:val="968"/>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153"/>
        <w:gridCol w:w="1677"/>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序号</w:t>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招标文件条目号</w:t>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招标文件要求的商务条款</w:t>
            </w:r>
            <w:r/>
          </w:p>
        </w:tc>
        <w:tc>
          <w:tcPr>
            <w:gridSpan w:val="2"/>
            <w:tcW w:w="2568"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投标响应</w:t>
            </w:r>
            <w:r/>
          </w:p>
        </w:tc>
        <w:tc>
          <w:tcPr>
            <w:tcW w:w="1677" w:type="dxa"/>
            <w:vAlign w:val="center"/>
            <w:textDirection w:val="lrTb"/>
            <w:noWrap w:val="false"/>
          </w:tcPr>
          <w:p>
            <w:pPr>
              <w:jc w:val="center"/>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2568"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2568"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2568"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2568"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2568"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2568"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Pr>
        <w:tc>
          <w:tcPr>
            <w:tcW w:w="651"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20"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700"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gridSpan w:val="2"/>
            <w:tcW w:w="2568"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77"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供应商名称：（加盖CA电子公章）</w:t>
      </w:r>
      <w:r/>
    </w:p>
    <w:p>
      <w:pPr>
        <w:jc w:val="left"/>
        <w:spacing w:line="440" w:lineRule="exact"/>
        <w:widowControl/>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1、如果行数不够，请自行增加。</w:t>
      </w:r>
      <w:r/>
    </w:p>
    <w:p>
      <w:pPr>
        <w:jc w:val="left"/>
        <w:spacing w:line="440" w:lineRule="exact"/>
        <w:widowControl/>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2、供应商需在上表中对采购文件第四章“（第二部分：商务部分要求）”相关要求进行响应。</w:t>
      </w:r>
      <w:r/>
    </w:p>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spacing w:line="360" w:lineRule="auto"/>
        <w:rPr>
          <w:rFonts w:ascii="宋体" w:hAnsi="宋体" w:cs="宋体"/>
          <w:b/>
          <w:color w:val="000000" w:themeColor="text1"/>
          <w:highlight w:val="none"/>
          <w14:textFill>
            <w14:solidFill>
              <w14:schemeClr w14:val="tx1"/>
            </w14:solidFill>
          </w14:textFill>
        </w:rPr>
        <w:sectPr>
          <w:footnotePr/>
          <w:endnotePr>
            <w:numFmt w:val="decimal"/>
          </w:endnotePr>
          <w:type w:val="nextPage"/>
          <w:pgSz w:w="11906" w:h="16838" w:orient="portrait"/>
          <w:pgMar w:top="850" w:right="850" w:bottom="850" w:left="1417" w:header="340" w:footer="720" w:gutter="0"/>
          <w:cols w:num="1" w:sep="0" w:space="0" w:equalWidth="1"/>
          <w:docGrid w:linePitch="360"/>
        </w:sectPr>
      </w:pPr>
      <w:r>
        <w:rPr>
          <w:rFonts w:ascii="宋体" w:hAnsi="宋体" w:cs="宋体"/>
          <w:b/>
          <w:color w:val="000000" w:themeColor="text1"/>
          <w:highlight w:val="none"/>
          <w14:textFill>
            <w14:solidFill>
              <w14:schemeClr w14:val="tx1"/>
            </w14:solidFill>
          </w14:textFill>
        </w:rPr>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目录七、服务与承诺</w:t>
      </w:r>
      <w:r/>
    </w:p>
    <w:p>
      <w:pP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jc w:val="center"/>
        <w:spacing w:line="360" w:lineRule="auto"/>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服务与承诺</w:t>
      </w:r>
      <w:r/>
    </w:p>
    <w:p>
      <w:pP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目录八、</w:t>
      </w:r>
      <w:r>
        <w:rPr>
          <w:rFonts w:ascii="宋体" w:hAnsi="宋体" w:cs="宋体"/>
          <w:b/>
          <w:color w:val="000000" w:themeColor="text1"/>
          <w:highlight w:val="none"/>
          <w14:textFill>
            <w14:solidFill>
              <w14:schemeClr w14:val="tx1"/>
            </w14:solidFill>
          </w14:textFill>
        </w:rPr>
        <w:t xml:space="preserve">投标人类似业绩情况表</w:t>
      </w:r>
      <w:r/>
    </w:p>
    <w:p>
      <w:pPr>
        <w:jc w:val="center"/>
        <w:spacing w:line="360" w:lineRule="auto"/>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投标人类似业绩情况表</w:t>
      </w:r>
      <w:r/>
    </w:p>
    <w:p>
      <w:pPr>
        <w:pStyle w:val="961"/>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96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84"/>
        <w:gridCol w:w="1447"/>
        <w:gridCol w:w="1846"/>
        <w:gridCol w:w="1451"/>
        <w:gridCol w:w="379"/>
        <w:gridCol w:w="1267"/>
        <w:gridCol w:w="2093"/>
        <w:gridCol w:w="572"/>
      </w:tblGrid>
      <w:tr>
        <w:trPr>
          <w:jc w:val="center"/>
          <w:trHeight w:val="339"/>
          <w:tblHeader/>
        </w:trPr>
        <w:tc>
          <w:tcPr>
            <w:gridSpan w:val="5"/>
            <w:tcBorders>
              <w:top w:val="none" w:color="000000" w:sz="4" w:space="0"/>
              <w:left w:val="none" w:color="000000" w:sz="4" w:space="0"/>
              <w:right w:val="none" w:color="000000" w:sz="4" w:space="0"/>
            </w:tcBorders>
            <w:tcW w:w="6395" w:type="dxa"/>
            <w:vAlign w:val="center"/>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w:t>
            </w:r>
            <w:r/>
          </w:p>
        </w:tc>
        <w:tc>
          <w:tcPr>
            <w:tcBorders>
              <w:top w:val="none" w:color="000000" w:sz="4" w:space="0"/>
              <w:left w:val="none" w:color="000000" w:sz="4" w:space="0"/>
              <w:right w:val="none" w:color="000000" w:sz="4" w:space="0"/>
            </w:tcBorders>
            <w:tcW w:w="1421" w:type="dxa"/>
            <w:vAlign w:val="center"/>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项目编号：</w:t>
            </w:r>
            <w:r/>
          </w:p>
        </w:tc>
        <w:tc>
          <w:tcPr>
            <w:tcBorders>
              <w:top w:val="none" w:color="000000" w:sz="4" w:space="0"/>
              <w:left w:val="none" w:color="000000" w:sz="4" w:space="0"/>
              <w:right w:val="none" w:color="000000" w:sz="4" w:space="0"/>
            </w:tcBorders>
            <w:tcW w:w="2348"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none" w:color="000000" w:sz="4" w:space="0"/>
              <w:left w:val="none" w:color="000000" w:sz="4" w:space="0"/>
              <w:right w:val="none" w:color="000000" w:sz="4" w:space="0"/>
            </w:tcBorders>
            <w:tcW w:w="639" w:type="dxa"/>
            <w:textDirection w:val="lrTb"/>
            <w:noWrap w:val="false"/>
          </w:tcPr>
          <w:p>
            <w:pPr>
              <w:jc w:val="left"/>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序号</w:t>
            </w:r>
            <w:r/>
          </w:p>
        </w:tc>
        <w:tc>
          <w:tcPr>
            <w:tcW w:w="162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w:t>
            </w:r>
            <w:r/>
          </w:p>
        </w:tc>
        <w:tc>
          <w:tcPr>
            <w:tcW w:w="207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业主方</w:t>
            </w:r>
            <w:r/>
          </w:p>
        </w:tc>
        <w:tc>
          <w:tcPr>
            <w:tcW w:w="162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项目规模</w:t>
            </w:r>
            <w:r/>
          </w:p>
        </w:tc>
        <w:tc>
          <w:tcPr>
            <w:gridSpan w:val="2"/>
            <w:tcW w:w="184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签约及服务时间</w:t>
            </w:r>
            <w:r/>
          </w:p>
        </w:tc>
        <w:tc>
          <w:tcPr>
            <w:tcW w:w="2348"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联系人及电话</w:t>
            </w:r>
            <w:r/>
          </w:p>
        </w:tc>
        <w:tc>
          <w:tcPr>
            <w:tcW w:w="639"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备注</w:t>
            </w:r>
            <w:r/>
          </w:p>
        </w:tc>
      </w:tr>
      <w:tr>
        <w:trPr>
          <w:jc w:val="center"/>
          <w:trHeight w:val="340"/>
        </w:trPr>
        <w:tc>
          <w:tcPr>
            <w:tcW w:w="65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07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184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348"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639"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07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184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348"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639"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07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184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348"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639"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07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184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348"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639"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07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184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348"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639"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339"/>
        </w:trPr>
        <w:tc>
          <w:tcPr>
            <w:tcW w:w="65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2"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070"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162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gridSpan w:val="2"/>
            <w:tcW w:w="1846" w:type="dxa"/>
            <w:vAlign w:val="center"/>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2348"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W w:w="639" w:type="dxa"/>
            <w:textDirection w:val="lrTb"/>
            <w:noWrap w:val="false"/>
          </w:tcPr>
          <w:p>
            <w:pPr>
              <w:jc w:val="center"/>
              <w:spacing w:line="360" w:lineRule="auto"/>
              <w:widowControl/>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r>
      <w:tr>
        <w:trPr>
          <w:jc w:val="center"/>
          <w:trHeight w:val="483"/>
        </w:trPr>
        <w:tc>
          <w:tcPr>
            <w:tcW w:w="652"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22"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070"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26"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gridSpan w:val="2"/>
            <w:tcW w:w="1846" w:type="dxa"/>
            <w:vAlign w:val="center"/>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348" w:type="dxa"/>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639" w:type="dxa"/>
            <w:textDirection w:val="lrTb"/>
            <w:noWrap w:val="false"/>
          </w:tcPr>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投标人名称： （</w:t>
      </w:r>
      <w:r>
        <w:rPr>
          <w:rFonts w:hint="eastAsia" w:ascii="宋体" w:hAnsi="宋体" w:cs="宋体"/>
          <w:color w:val="000000" w:themeColor="text1"/>
          <w:szCs w:val="21"/>
          <w:highlight w:val="none"/>
          <w:lang w:val="zh-CN"/>
          <w14:textFill>
            <w14:solidFill>
              <w14:schemeClr w14:val="tx1"/>
            </w14:solidFill>
          </w14:textFill>
        </w:rPr>
        <w:t xml:space="preserve">加盖CA电子公章</w:t>
      </w:r>
      <w:r>
        <w:rPr>
          <w:color w:val="000000" w:themeColor="text1"/>
          <w:highlight w:val="none"/>
          <w14:textFill>
            <w14:solidFill>
              <w14:schemeClr w14:val="tx1"/>
            </w14:solidFill>
          </w14:textFill>
        </w:rPr>
        <w:t xml:space="preserve">）</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日 期： 年 月 日 </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说明： 1、如果行、列数不够，请自行增加。</w:t>
      </w:r>
      <w:r/>
    </w:p>
    <w:p>
      <w:pPr>
        <w:ind w:firstLine="63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2、请投标人根据本格式要求如实填写业绩情况表，并附业绩合同复印件</w:t>
      </w:r>
      <w:r/>
    </w:p>
    <w:p>
      <w:pP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目录九、投标需要的其他证明文件及材料</w:t>
      </w:r>
      <w:r/>
    </w:p>
    <w:p>
      <w:pPr>
        <w:jc w:val="center"/>
        <w:spacing w:line="360" w:lineRule="auto"/>
        <w:rPr>
          <w:rFonts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投标需要的其他证明文件及材料（若有)</w:t>
      </w:r>
      <w:r/>
    </w:p>
    <w:p>
      <w:pPr>
        <w:spacing w:before="50" w:after="50" w:line="360" w:lineRule="auto"/>
        <w:rPr>
          <w:rFonts w:ascii="宋体" w:hAnsi="宋体" w:cs="宋体"/>
          <w:b/>
          <w:color w:val="000000" w:themeColor="text1"/>
          <w:highlight w:val="none"/>
          <w14:textFill>
            <w14:solidFill>
              <w14:schemeClr w14:val="tx1"/>
            </w14:solidFill>
          </w14:textFill>
        </w:rPr>
        <w:sectPr>
          <w:footnotePr/>
          <w:endnotePr>
            <w:numFmt w:val="decimal"/>
          </w:endnotePr>
          <w:type w:val="nextPage"/>
          <w:pgSz w:w="11906" w:h="16838" w:orient="portrait"/>
          <w:pgMar w:top="850" w:right="850" w:bottom="850" w:left="1417" w:header="340" w:footer="720" w:gutter="0"/>
          <w:cols w:num="1" w:sep="0" w:space="0" w:equalWidth="1"/>
          <w:docGrid w:linePitch="360"/>
        </w:sectPr>
      </w:pPr>
      <w:r>
        <w:rPr>
          <w:rFonts w:ascii="宋体" w:hAnsi="宋体" w:cs="宋体"/>
          <w:b/>
          <w:color w:val="000000" w:themeColor="text1"/>
          <w:highlight w:val="none"/>
          <w14:textFill>
            <w14:solidFill>
              <w14:schemeClr w14:val="tx1"/>
            </w14:solidFill>
          </w14:textFill>
        </w:rPr>
      </w:r>
      <w:r/>
    </w:p>
    <w:p>
      <w:pPr>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附件一、中小企业声明函格式</w:t>
      </w:r>
      <w:r/>
    </w:p>
    <w:p>
      <w:pPr>
        <w:jc w:val="center"/>
        <w:spacing w:line="360" w:lineRule="auto"/>
        <w:rPr>
          <w:rFonts w:ascii="宋体" w:hAnsi="宋体" w:cs="宋体"/>
          <w:color w:val="000000" w:themeColor="text1"/>
          <w:highlight w:val="none"/>
          <w14:textFill>
            <w14:solidFill>
              <w14:schemeClr w14:val="tx1"/>
            </w14:solidFill>
          </w14:textFill>
        </w:rPr>
      </w:pPr>
      <w:r/>
      <w:bookmarkStart w:id="37" w:name="_bookmark0"/>
      <w:r/>
      <w:bookmarkEnd w:id="37"/>
      <w:r>
        <w:rPr>
          <w:rFonts w:hint="eastAsia" w:ascii="宋体" w:hAnsi="宋体" w:cs="宋体"/>
          <w:color w:val="000000" w:themeColor="text1"/>
          <w:sz w:val="36"/>
          <w:szCs w:val="36"/>
          <w:highlight w:val="none"/>
          <w14:textFill>
            <w14:solidFill>
              <w14:schemeClr w14:val="tx1"/>
            </w14:solidFill>
          </w14:textFill>
        </w:rPr>
        <w:t xml:space="preserve">中小企业声明函（货物）</w:t>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color w:val="000000" w:themeColor="text1"/>
          <w:highlight w:val="none"/>
          <w:u w:val="single"/>
          <w14:textFill>
            <w14:solidFill>
              <w14:schemeClr w14:val="tx1"/>
            </w14:solidFill>
          </w14:textFill>
        </w:rPr>
        <w:t xml:space="preserve">（单位名称）</w:t>
      </w:r>
      <w:r>
        <w:rPr>
          <w:rFonts w:hint="eastAsia" w:ascii="宋体" w:hAnsi="宋体" w:cs="宋体"/>
          <w:color w:val="000000" w:themeColor="text1"/>
          <w:highlight w:val="none"/>
          <w14:textFill>
            <w14:solidFill>
              <w14:schemeClr w14:val="tx1"/>
            </w14:solidFill>
          </w14:textFill>
        </w:rPr>
        <w:t xml:space="preserve">的</w:t>
      </w:r>
      <w:r>
        <w:rPr>
          <w:rFonts w:hint="eastAsia" w:ascii="宋体" w:hAnsi="宋体" w:cs="宋体"/>
          <w:color w:val="000000" w:themeColor="text1"/>
          <w:highlight w:val="none"/>
          <w:u w:val="single"/>
          <w14:textFill>
            <w14:solidFill>
              <w14:schemeClr w14:val="tx1"/>
            </w14:solidFill>
          </w14:textFill>
        </w:rPr>
        <w:t xml:space="preserve">（项目名称）</w:t>
      </w:r>
      <w:r>
        <w:rPr>
          <w:rFonts w:hint="eastAsia" w:ascii="宋体" w:hAnsi="宋体" w:cs="宋体"/>
          <w:color w:val="000000" w:themeColor="text1"/>
          <w:highlight w:val="none"/>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（标的名称），属于</w:t>
      </w:r>
      <w:r>
        <w:rPr>
          <w:rFonts w:hint="eastAsia" w:ascii="宋体" w:hAnsi="宋体" w:cs="宋体"/>
          <w:color w:val="000000" w:themeColor="text1"/>
          <w:highlight w:val="none"/>
          <w:u w:val="single"/>
          <w14:textFill>
            <w14:solidFill>
              <w14:schemeClr w14:val="tx1"/>
            </w14:solidFill>
          </w14:textFill>
        </w:rPr>
        <w:t xml:space="preserve"> 工业 </w:t>
      </w:r>
      <w:r>
        <w:rPr>
          <w:rFonts w:hint="eastAsia" w:ascii="宋体" w:hAnsi="宋体" w:cs="宋体"/>
          <w:color w:val="000000" w:themeColor="text1"/>
          <w:highlight w:val="none"/>
          <w14:textFill>
            <w14:solidFill>
              <w14:schemeClr w14:val="tx1"/>
            </w14:solidFill>
          </w14:textFill>
        </w:rPr>
        <w:t xml:space="preserve"> （采购文件中明确的所属行业）行业；制造商为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（企业名称），从业人员</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人，营业收入为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万元，资产总额为</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万元，属于</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（中型企业、小型企业、微型企业）；</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（标的名称），属于</w:t>
      </w:r>
      <w:r>
        <w:rPr>
          <w:rFonts w:hint="eastAsia" w:ascii="宋体" w:hAnsi="宋体" w:cs="宋体"/>
          <w:color w:val="000000" w:themeColor="text1"/>
          <w:highlight w:val="none"/>
          <w:u w:val="single"/>
          <w14:textFill>
            <w14:solidFill>
              <w14:schemeClr w14:val="tx1"/>
            </w14:solidFill>
          </w14:textFill>
        </w:rPr>
        <w:t xml:space="preserve"> 工业 </w:t>
      </w:r>
      <w:r>
        <w:rPr>
          <w:rFonts w:hint="eastAsia" w:ascii="宋体" w:hAnsi="宋体" w:cs="宋体"/>
          <w:color w:val="000000" w:themeColor="text1"/>
          <w:highlight w:val="none"/>
          <w14:textFill>
            <w14:solidFill>
              <w14:schemeClr w14:val="tx1"/>
            </w14:solidFill>
          </w14:textFill>
        </w:rPr>
        <w:t xml:space="preserve"> （采购文件中明确的所属行业）行业；制造商为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（企业名称），从业人员</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人，营业收入为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万元，资产总额为</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万元，属于</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（中型企业、小型企业、微型企业）；</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本企业对上述声明内容的真实性负责。如有虚假，将依法承担相应责任。</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p>
      <w:pPr>
        <w:jc w:val="righ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企业名称（</w:t>
      </w:r>
      <w:r>
        <w:rPr>
          <w:rFonts w:hint="eastAsia" w:ascii="宋体" w:hAnsi="宋体" w:cs="宋体"/>
          <w:color w:val="000000" w:themeColor="text1"/>
          <w:szCs w:val="21"/>
          <w:highlight w:val="none"/>
          <w:lang w:val="zh-CN"/>
          <w14:textFill>
            <w14:solidFill>
              <w14:schemeClr w14:val="tx1"/>
            </w14:solidFill>
          </w14:textFill>
        </w:rPr>
        <w:t xml:space="preserve">加盖CA电子公章</w:t>
      </w:r>
      <w:r>
        <w:rPr>
          <w:rFonts w:hint="eastAsia" w:ascii="宋体" w:hAnsi="宋体" w:cs="宋体"/>
          <w:color w:val="000000" w:themeColor="text1"/>
          <w:highlight w:val="none"/>
          <w14:textFill>
            <w14:solidFill>
              <w14:schemeClr w14:val="tx1"/>
            </w14:solidFill>
          </w14:textFill>
        </w:rPr>
        <w:t xml:space="preserve">）：                    </w:t>
      </w:r>
      <w:r/>
    </w:p>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日期：</w:t>
      </w:r>
      <w:r/>
    </w:p>
    <w:p>
      <w:pPr>
        <w:spacing w:line="44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r>
      <w:r/>
    </w:p>
    <w:p>
      <w:pPr>
        <w:spacing w:line="44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r>
      <w:r/>
    </w:p>
    <w:p>
      <w:pPr>
        <w:spacing w:line="440" w:lineRule="exact"/>
        <w:rPr>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备注1：</w:t>
      </w:r>
      <w:r>
        <w:rPr>
          <w:rFonts w:hint="eastAsia"/>
          <w:color w:val="000000" w:themeColor="text1"/>
          <w:szCs w:val="21"/>
          <w:highlight w:val="none"/>
          <w14:textFill>
            <w14:solidFill>
              <w14:schemeClr w14:val="tx1"/>
            </w14:solidFill>
          </w14:textFill>
        </w:rPr>
        <w:t xml:space="preserve">从业人员、营业收入、资产总额填报上一年度数据，无上一年度数据的新成立企业可不填报。</w:t>
      </w:r>
      <w:r/>
    </w:p>
    <w:p>
      <w:pPr>
        <w:spacing w:line="440" w:lineRule="exact"/>
        <w:rPr>
          <w:rFonts w:cs="宋体"/>
          <w:color w:val="000000" w:themeColor="text1"/>
          <w:sz w:val="22"/>
          <w:szCs w:val="21"/>
          <w:highlight w:val="none"/>
          <w14:textFill>
            <w14:solidFill>
              <w14:schemeClr w14:val="tx1"/>
            </w14:solidFill>
          </w14:textFill>
        </w:rPr>
      </w:pPr>
      <w:r>
        <w:rPr>
          <w:rFonts w:hint="eastAsia" w:cs="宋体"/>
          <w:b/>
          <w:bCs/>
          <w:color w:val="000000" w:themeColor="text1"/>
          <w:sz w:val="22"/>
          <w:szCs w:val="21"/>
          <w:highlight w:val="none"/>
          <w14:textFill>
            <w14:solidFill>
              <w14:schemeClr w14:val="tx1"/>
            </w14:solidFill>
          </w14:textFill>
        </w:rPr>
        <w:t xml:space="preserve">备注2：</w:t>
      </w:r>
      <w:r>
        <w:rPr>
          <w:rFonts w:hint="eastAsia" w:cs="宋体"/>
          <w:color w:val="000000" w:themeColor="text1"/>
          <w:sz w:val="22"/>
          <w:szCs w:val="21"/>
          <w:highlight w:val="none"/>
          <w14:textFill>
            <w14:solidFill>
              <w14:schemeClr w14:val="tx1"/>
            </w14:solidFill>
          </w14:textFill>
        </w:rPr>
        <w:t xml:space="preserve">依据《关于印发中小企业划型标准规定的通知》（工信部联企业〔2011〕300号 ）：</w:t>
      </w:r>
      <w:r/>
    </w:p>
    <w:p>
      <w:pPr>
        <w:spacing w:line="440" w:lineRule="exact"/>
        <w:rPr>
          <w:rFonts w:cs="宋体"/>
          <w:color w:val="000000" w:themeColor="text1"/>
          <w:szCs w:val="21"/>
          <w:highlight w:val="none"/>
          <w14:textFill>
            <w14:solidFill>
              <w14:schemeClr w14:val="tx1"/>
            </w14:solidFill>
          </w14:textFill>
        </w:rPr>
      </w:pPr>
      <w:r>
        <w:rPr>
          <w:rFonts w:hint="eastAsia" w:cs="宋体"/>
          <w:b/>
          <w:bCs/>
          <w:color w:val="000000" w:themeColor="text1"/>
          <w:szCs w:val="21"/>
          <w:highlight w:val="none"/>
          <w14:textFill>
            <w14:solidFill>
              <w14:schemeClr w14:val="tx1"/>
            </w14:solidFill>
          </w14:textFill>
        </w:rPr>
        <w:t xml:space="preserve">（二）工业。</w:t>
      </w:r>
      <w:r>
        <w:rPr>
          <w:rFonts w:hint="eastAsia" w:cs="宋体"/>
          <w:color w:val="000000" w:themeColor="text1"/>
          <w:szCs w:val="21"/>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r/>
    </w:p>
    <w:p>
      <w:pPr>
        <w:spacing w:line="360" w:lineRule="auto"/>
        <w:widowControl/>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br w:type="page" w:clear="all"/>
      </w:r>
      <w:r/>
    </w:p>
    <w:p>
      <w:pPr>
        <w:spacing w:line="240" w:lineRule="atLeast"/>
        <w:widowControl/>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附件二、关于符合本国产品标准的声明函格式</w:t>
      </w:r>
      <w:r/>
    </w:p>
    <w:p>
      <w:pPr>
        <w:spacing w:line="240" w:lineRule="atLeast"/>
        <w:widowControl/>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关于符合本国产品标准的声明函</w:t>
      </w:r>
      <w:r/>
    </w:p>
    <w:p>
      <w:pPr>
        <w:jc w:val="center"/>
        <w:rPr>
          <w:rFonts w:ascii="宋体" w:hAnsi="宋体" w:cs="宋体"/>
          <w:color w:val="000000" w:themeColor="text1"/>
          <w:sz w:val="36"/>
          <w:szCs w:val="36"/>
          <w:highlight w:val="none"/>
          <w14:textFill>
            <w14:solidFill>
              <w14:schemeClr w14:val="tx1"/>
            </w14:solidFill>
          </w14:textFill>
        </w:rPr>
      </w:pPr>
      <w:r>
        <w:rPr>
          <w:rFonts w:ascii="宋体" w:hAnsi="宋体" w:cs="宋体"/>
          <w:color w:val="000000" w:themeColor="text1"/>
          <w:sz w:val="36"/>
          <w:szCs w:val="36"/>
          <w:highlight w:val="none"/>
          <w14:textFill>
            <w14:solidFill>
              <w14:schemeClr w14:val="tx1"/>
            </w14:solidFill>
          </w14:textFill>
        </w:rPr>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（产品名称1），生产厂为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（厂名），厂址为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（生产厂址）。</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（产品名称1）的中国境内生产的组件成本占比≥</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（规定比例）。</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（产品名称1）的</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（关键组件）在中国境内生产。</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（产品名称1）的</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（关键工序）在中国境内完成。</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（产品名称2），生产厂为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（厂名），厂址为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（生产厂址）。</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（产品名称2）的中国境内生产的组件成本占比≥</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（规定比例）。</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（产品名称2）的</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（关键组件）在中国境内生产。</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（产品名称2）的</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（关键工序）在中国境内完成。</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本公司（单位）对上述声明内容的真实性负责。如有虚假，愿承担相应法律责任。</w:t>
      </w:r>
      <w:r/>
    </w:p>
    <w:p>
      <w:pPr>
        <w:ind w:firstLine="420"/>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righ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公司（单位）名称（</w:t>
      </w:r>
      <w:r>
        <w:rPr>
          <w:rFonts w:hint="eastAsia" w:ascii="宋体" w:hAnsi="宋体" w:cs="宋体"/>
          <w:color w:val="000000" w:themeColor="text1"/>
          <w:szCs w:val="21"/>
          <w:highlight w:val="none"/>
          <w:lang w:val="zh-CN"/>
          <w14:textFill>
            <w14:solidFill>
              <w14:schemeClr w14:val="tx1"/>
            </w14:solidFill>
          </w14:textFill>
        </w:rPr>
        <w:t xml:space="preserve">加盖CA电子公章</w:t>
      </w:r>
      <w:r>
        <w:rPr>
          <w:rFonts w:hint="eastAsia" w:ascii="宋体" w:hAnsi="宋体" w:cs="宋体"/>
          <w:color w:val="000000" w:themeColor="text1"/>
          <w:highlight w:val="none"/>
          <w14:textFill>
            <w14:solidFill>
              <w14:schemeClr w14:val="tx1"/>
            </w14:solidFill>
          </w14:textFill>
        </w:rPr>
        <w:t xml:space="preserve">）：                    </w:t>
      </w:r>
      <w:r/>
    </w:p>
    <w:p>
      <w:pPr>
        <w:ind w:firstLine="420"/>
        <w:jc w:val="right"/>
        <w:spacing w:line="360" w:lineRule="auto"/>
        <w:rPr>
          <w:rFonts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日期：　   年　  月　  日                               </w:t>
      </w:r>
      <w:r/>
    </w:p>
    <w:p>
      <w:pPr>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注：</w:t>
      </w:r>
      <w:r/>
    </w:p>
    <w:p>
      <w:pPr>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1.产品如有型号，请在“产品名称”栏一并填写。</w:t>
      </w:r>
      <w:r/>
    </w:p>
    <w:p>
      <w:pPr>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2.生产厂名与厂址应与生产厂营业执照载明的相关信息保持一致。</w:t>
      </w:r>
      <w:r/>
    </w:p>
    <w:p>
      <w:pPr>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3.该产品的中国境内生产的组件成本占比相关要求实施前，“规定比例”栏可不填，下同。</w:t>
      </w:r>
      <w:r/>
    </w:p>
    <w:p>
      <w:pPr>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4.该产品的关键组件要求实施前，“关键组件”栏可不填，下同。</w:t>
      </w:r>
      <w:r/>
    </w:p>
    <w:p>
      <w:pPr>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5.该产品的关键工序要求实施前，“关键工序”栏可不填，下同。</w:t>
      </w:r>
      <w:r/>
    </w:p>
    <w:p>
      <w:pPr>
        <w:spacing w:line="360" w:lineRule="auto"/>
        <w:widowControl/>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6.用斜线划除的地方无需填写。</w:t>
      </w:r>
      <w:r/>
    </w:p>
    <w:p>
      <w:pPr>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br w:type="page" w:clear="all"/>
      </w:r>
      <w:r/>
    </w:p>
    <w:p>
      <w:pPr>
        <w:spacing w:line="360" w:lineRule="auto"/>
        <w:widowControl/>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附件三、无重大违法记录声明格式</w:t>
      </w:r>
      <w:r/>
    </w:p>
    <w:p>
      <w:pPr>
        <w:spacing w:line="360" w:lineRule="auto"/>
        <w:widowControl/>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jc w:val="center"/>
        <w:spacing w:line="360" w:lineRule="auto"/>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无重大违法记录声明</w:t>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 xml:space="preserve">南京医科大学附属口腔医院</w:t>
      </w:r>
      <w:r>
        <w:rPr>
          <w:rFonts w:hint="eastAsia" w:ascii="宋体" w:hAnsi="宋体" w:cs="宋体"/>
          <w:color w:val="000000" w:themeColor="text1"/>
          <w:highlight w:val="none"/>
          <w14:textFill>
            <w14:solidFill>
              <w14:schemeClr w14:val="tx1"/>
            </w14:solidFill>
          </w14:textFill>
        </w:rPr>
        <w:t xml:space="preserve">：</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我单位（供应商名称）郑重声明：</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参加政府采购活动前3年内在经营活动中______（在下划线上如实填写：有或没有）重大违法记录。</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6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声明人（加盖CA电子公章）：</w:t>
      </w:r>
      <w:r/>
    </w:p>
    <w:p>
      <w:pPr>
        <w:ind w:firstLine="46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　　　　期：       年     月    日</w:t>
      </w:r>
      <w:r/>
    </w:p>
    <w:p>
      <w:pPr>
        <w:jc w:val="left"/>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jc w:val="left"/>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附件四、具备履行合同所必需的设备和专业技术能力的声明格式及证明材料</w:t>
      </w:r>
      <w:r/>
    </w:p>
    <w:p>
      <w:pPr>
        <w:jc w:val="center"/>
        <w:spacing w:line="360" w:lineRule="auto"/>
        <w:rPr>
          <w:rFonts w:ascii="宋体" w:hAnsi="宋体" w:cs="宋体"/>
          <w:color w:val="000000" w:themeColor="text1"/>
          <w:sz w:val="36"/>
          <w:szCs w:val="36"/>
          <w:highlight w:val="none"/>
          <w14:textFill>
            <w14:solidFill>
              <w14:schemeClr w14:val="tx1"/>
            </w14:solidFill>
          </w14:textFill>
        </w:rPr>
      </w:pPr>
      <w:r>
        <w:rPr>
          <w:rFonts w:ascii="宋体" w:hAnsi="宋体" w:cs="宋体"/>
          <w:color w:val="000000" w:themeColor="text1"/>
          <w:sz w:val="36"/>
          <w:szCs w:val="36"/>
          <w:highlight w:val="none"/>
          <w14:textFill>
            <w14:solidFill>
              <w14:schemeClr w14:val="tx1"/>
            </w14:solidFill>
          </w14:textFill>
        </w:rPr>
      </w:r>
      <w:r/>
    </w:p>
    <w:p>
      <w:pPr>
        <w:jc w:val="center"/>
        <w:spacing w:line="360" w:lineRule="auto"/>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具备履行合同所必需的设备和专业技术能力的声明</w:t>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南京医科大学附属口腔医院</w:t>
      </w:r>
      <w:r>
        <w:rPr>
          <w:rFonts w:hint="eastAsia" w:ascii="宋体" w:hAnsi="宋体" w:cs="宋体"/>
          <w:color w:val="000000" w:themeColor="text1"/>
          <w:szCs w:val="21"/>
          <w:highlight w:val="none"/>
          <w14:textFill>
            <w14:solidFill>
              <w14:schemeClr w14:val="tx1"/>
            </w14:solidFill>
          </w14:textFill>
        </w:rPr>
        <w:t xml:space="preserve">：</w:t>
      </w:r>
      <w:r/>
    </w:p>
    <w:p>
      <w:pPr>
        <w:ind w:firstLine="49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我单位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（供应商名称）郑重声明：我公司具备履行本项采购合同所必需的设备和专业技术能力，为履行本项采购合同我单位具备如下主要设备和主要专业技术能力：</w:t>
      </w:r>
      <w:r/>
    </w:p>
    <w:p>
      <w:pPr>
        <w:ind w:firstLine="49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主要设备有：</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ind w:firstLine="49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主要专业技术能力有：</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声明人：（加盖CA电子公章）</w:t>
      </w:r>
      <w:r/>
    </w:p>
    <w:p>
      <w:pPr>
        <w:ind w:firstLine="441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日</w:t>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92"/>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其他证明材料及文件：（如果投标人认为需要提供的话）</w:t>
      </w:r>
      <w:r/>
    </w:p>
    <w:p>
      <w:pPr>
        <w:ind w:firstLine="4638"/>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1541"/>
        <w:ind w:left="0"/>
        <w:spacing w:before="2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1541"/>
        <w:ind w:left="0"/>
        <w:spacing w:before="2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1541"/>
        <w:ind w:left="0"/>
        <w:spacing w:before="2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1541"/>
        <w:ind w:left="0"/>
        <w:spacing w:before="2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1541"/>
        <w:ind w:left="0"/>
        <w:spacing w:before="20"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br w:type="page" w:clear="all"/>
      </w:r>
      <w:r/>
    </w:p>
    <w:p>
      <w:pPr>
        <w:pStyle w:val="1541"/>
        <w:ind w:left="0"/>
        <w:spacing w:before="20"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附件</w:t>
      </w:r>
      <w:r>
        <w:rPr>
          <w:rFonts w:hint="eastAsia"/>
          <w:color w:val="000000" w:themeColor="text1"/>
          <w:sz w:val="21"/>
          <w:szCs w:val="21"/>
          <w:highlight w:val="none"/>
          <w:lang w:val="en-US"/>
          <w14:textFill>
            <w14:solidFill>
              <w14:schemeClr w14:val="tx1"/>
            </w14:solidFill>
          </w14:textFill>
        </w:rPr>
        <w:t xml:space="preserve">五</w:t>
      </w:r>
      <w:r>
        <w:rPr>
          <w:rFonts w:hint="eastAsia"/>
          <w:color w:val="000000" w:themeColor="text1"/>
          <w:sz w:val="21"/>
          <w:szCs w:val="21"/>
          <w:highlight w:val="none"/>
          <w14:textFill>
            <w14:solidFill>
              <w14:schemeClr w14:val="tx1"/>
            </w14:solidFill>
          </w14:textFill>
        </w:rPr>
        <w:t xml:space="preserve">、残疾人福利性单位声明函格式</w:t>
      </w:r>
      <w:r/>
    </w:p>
    <w:p>
      <w:pPr>
        <w:pStyle w:val="979"/>
        <w:spacing w:line="360" w:lineRule="auto"/>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p>
      <w:pPr>
        <w:pStyle w:val="1541"/>
        <w:ind w:left="0"/>
        <w:jc w:val="center"/>
        <w:spacing w:before="167"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残疾人福利性单位声明函</w:t>
      </w:r>
      <w:r/>
    </w:p>
    <w:p>
      <w:pPr>
        <w:pStyle w:val="979"/>
        <w:spacing w:before="7" w:line="360" w:lineRule="auto"/>
        <w:rPr>
          <w:rFonts w:ascii="宋体" w:hAnsi="宋体" w:cs="宋体"/>
          <w:b/>
          <w:color w:val="000000" w:themeColor="text1"/>
          <w:sz w:val="21"/>
          <w:szCs w:val="21"/>
          <w:highlight w:val="none"/>
          <w14:textFill>
            <w14:solidFill>
              <w14:schemeClr w14:val="tx1"/>
            </w14:solidFill>
          </w14:textFill>
        </w:rPr>
      </w:pPr>
      <w:r>
        <w:rPr>
          <w:rFonts w:ascii="宋体" w:hAnsi="宋体" w:cs="宋体"/>
          <w:b/>
          <w:color w:val="000000" w:themeColor="text1"/>
          <w:sz w:val="21"/>
          <w:szCs w:val="21"/>
          <w:highlight w:val="none"/>
          <w14:textFill>
            <w14:solidFill>
              <w14:schemeClr w14:val="tx1"/>
            </w14:solidFill>
          </w14:textFill>
        </w:rPr>
      </w:r>
      <w:r/>
    </w:p>
    <w:p>
      <w:pPr>
        <w:pStyle w:val="979"/>
        <w:ind w:firstLine="420"/>
        <w:spacing w:after="0" w:line="360" w:lineRule="auto"/>
        <w:tabs>
          <w:tab w:val="left" w:pos="3711" w:leader="none"/>
          <w:tab w:val="left" w:pos="5151"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本单位郑重声明</w:t>
      </w:r>
      <w:r>
        <w:rPr>
          <w:rFonts w:hint="eastAsia" w:ascii="宋体" w:hAnsi="宋体" w:cs="宋体"/>
          <w:color w:val="000000" w:themeColor="text1"/>
          <w:spacing w:val="-27"/>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根</w:t>
      </w:r>
      <w:r>
        <w:rPr>
          <w:rFonts w:hint="eastAsia" w:ascii="宋体" w:hAnsi="宋体" w:cs="宋体"/>
          <w:color w:val="000000" w:themeColor="text1"/>
          <w:spacing w:val="-24"/>
          <w:sz w:val="21"/>
          <w:szCs w:val="21"/>
          <w:highlight w:val="none"/>
          <w14:textFill>
            <w14:solidFill>
              <w14:schemeClr w14:val="tx1"/>
            </w14:solidFill>
          </w14:textFill>
        </w:rPr>
        <w:t xml:space="preserve">据</w:t>
      </w:r>
      <w:r>
        <w:rPr>
          <w:rFonts w:hint="eastAsia" w:ascii="宋体" w:hAnsi="宋体" w:cs="宋体"/>
          <w:color w:val="000000" w:themeColor="text1"/>
          <w:sz w:val="21"/>
          <w:szCs w:val="21"/>
          <w:highlight w:val="none"/>
          <w14:textFill>
            <w14:solidFill>
              <w14:schemeClr w14:val="tx1"/>
            </w14:solidFill>
          </w14:textFill>
        </w:rPr>
        <w:t xml:space="preserve">《财政部 民政部 中国残疾人联合会关于促进残疾人就业</w:t>
      </w:r>
      <w:r>
        <w:rPr>
          <w:rFonts w:hint="eastAsia" w:ascii="宋体" w:hAnsi="宋体" w:cs="宋体"/>
          <w:color w:val="000000" w:themeColor="text1"/>
          <w:spacing w:val="-18"/>
          <w:sz w:val="21"/>
          <w:szCs w:val="21"/>
          <w:highlight w:val="none"/>
          <w14:textFill>
            <w14:solidFill>
              <w14:schemeClr w14:val="tx1"/>
            </w14:solidFill>
          </w14:textFill>
        </w:rPr>
        <w:t xml:space="preserve">政</w:t>
      </w:r>
      <w:r>
        <w:rPr>
          <w:rFonts w:hint="eastAsia" w:ascii="宋体" w:hAnsi="宋体" w:cs="宋体"/>
          <w:color w:val="000000" w:themeColor="text1"/>
          <w:sz w:val="21"/>
          <w:szCs w:val="21"/>
          <w:highlight w:val="none"/>
          <w14:textFill>
            <w14:solidFill>
              <w14:schemeClr w14:val="tx1"/>
            </w14:solidFill>
          </w14:textFill>
        </w:rPr>
        <w:t xml:space="preserve">府采购政策的通知</w:t>
      </w:r>
      <w:r>
        <w:rPr>
          <w:rFonts w:hint="eastAsia" w:ascii="宋体" w:hAnsi="宋体" w:cs="宋体"/>
          <w:color w:val="000000" w:themeColor="text1"/>
          <w:spacing w:val="-39"/>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（财</w:t>
      </w:r>
      <w:r>
        <w:rPr>
          <w:rFonts w:hint="eastAsia" w:ascii="宋体" w:hAnsi="宋体" w:cs="宋体"/>
          <w:color w:val="000000" w:themeColor="text1"/>
          <w:spacing w:val="-17"/>
          <w:sz w:val="21"/>
          <w:szCs w:val="21"/>
          <w:highlight w:val="none"/>
          <w14:textFill>
            <w14:solidFill>
              <w14:schemeClr w14:val="tx1"/>
            </w14:solidFill>
          </w14:textFill>
        </w:rPr>
        <w:t xml:space="preserve">库</w:t>
      </w:r>
      <w:r>
        <w:rPr>
          <w:rFonts w:hint="eastAsia" w:ascii="宋体" w:hAnsi="宋体" w:cs="宋体"/>
          <w:color w:val="000000" w:themeColor="text1"/>
          <w:sz w:val="21"/>
          <w:szCs w:val="21"/>
          <w:highlight w:val="none"/>
          <w14:textFill>
            <w14:solidFill>
              <w14:schemeClr w14:val="tx1"/>
            </w14:solidFill>
          </w14:textFill>
        </w:rPr>
        <w:t xml:space="preserve">〔2017〕141号</w:t>
      </w:r>
      <w:r>
        <w:rPr>
          <w:rFonts w:hint="eastAsia" w:ascii="宋体" w:hAnsi="宋体" w:cs="宋体"/>
          <w:color w:val="000000" w:themeColor="text1"/>
          <w:spacing w:val="-20"/>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的规定</w:t>
      </w:r>
      <w:r>
        <w:rPr>
          <w:rFonts w:hint="eastAsia" w:ascii="宋体" w:hAnsi="宋体" w:cs="宋体"/>
          <w:color w:val="000000" w:themeColor="text1"/>
          <w:spacing w:val="-17"/>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本单位为符合条件的残疾人福</w:t>
      </w:r>
      <w:r>
        <w:rPr>
          <w:rFonts w:hint="eastAsia" w:ascii="宋体" w:hAnsi="宋体" w:cs="宋体"/>
          <w:color w:val="000000" w:themeColor="text1"/>
          <w:spacing w:val="-16"/>
          <w:sz w:val="21"/>
          <w:szCs w:val="21"/>
          <w:highlight w:val="none"/>
          <w14:textFill>
            <w14:solidFill>
              <w14:schemeClr w14:val="tx1"/>
            </w14:solidFill>
          </w14:textFill>
        </w:rPr>
        <w:t xml:space="preserve">利</w:t>
      </w:r>
      <w:r>
        <w:rPr>
          <w:rFonts w:hint="eastAsia" w:ascii="宋体" w:hAnsi="宋体" w:cs="宋体"/>
          <w:color w:val="000000" w:themeColor="text1"/>
          <w:sz w:val="21"/>
          <w:szCs w:val="21"/>
          <w:highlight w:val="none"/>
          <w14:textFill>
            <w14:solidFill>
              <w14:schemeClr w14:val="tx1"/>
            </w14:solidFill>
          </w14:textFill>
        </w:rPr>
        <w:t xml:space="preserve">性单位</w:t>
      </w:r>
      <w:r>
        <w:rPr>
          <w:rFonts w:hint="eastAsia" w:ascii="宋体" w:hAnsi="宋体" w:cs="宋体"/>
          <w:color w:val="000000" w:themeColor="text1"/>
          <w:spacing w:val="-27"/>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且本单位参加</w:t>
      </w:r>
      <w:r>
        <w:rPr>
          <w:rFonts w:hint="eastAsia" w:ascii="宋体" w:hAnsi="宋体" w:cs="宋体"/>
          <w:color w:val="000000" w:themeColor="text1"/>
          <w:sz w:val="21"/>
          <w:szCs w:val="21"/>
          <w:highlight w:val="none"/>
          <w:u w:val="single"/>
          <w14:textFill>
            <w14:solidFill>
              <w14:schemeClr w14:val="tx1"/>
            </w14:solidFill>
          </w14:textFill>
        </w:rPr>
        <w:tab/>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单位的</w:t>
      </w:r>
      <w:r>
        <w:rPr>
          <w:rFonts w:hint="eastAsia" w:ascii="宋体" w:hAnsi="宋体" w:cs="宋体"/>
          <w:color w:val="000000" w:themeColor="text1"/>
          <w:sz w:val="21"/>
          <w:szCs w:val="21"/>
          <w:highlight w:val="none"/>
          <w:u w:val="single"/>
          <w14:textFill>
            <w14:solidFill>
              <w14:schemeClr w14:val="tx1"/>
            </w14:solidFill>
          </w14:textFill>
        </w:rPr>
        <w:tab/>
      </w:r>
      <w:r>
        <w:rPr>
          <w:rFonts w:hint="eastAsia" w:ascii="宋体" w:hAnsi="宋体" w:cs="宋体"/>
          <w:color w:val="000000" w:themeColor="text1"/>
          <w:sz w:val="21"/>
          <w:szCs w:val="21"/>
          <w:highlight w:val="none"/>
          <w14:textFill>
            <w14:solidFill>
              <w14:schemeClr w14:val="tx1"/>
            </w14:solidFill>
          </w14:textFill>
        </w:rPr>
        <w:t xml:space="preserve">项目采购活动提供本单位制造的货</w:t>
      </w:r>
      <w:r>
        <w:rPr>
          <w:rFonts w:hint="eastAsia" w:ascii="宋体" w:hAnsi="宋体" w:cs="宋体"/>
          <w:color w:val="000000" w:themeColor="text1"/>
          <w:spacing w:val="-24"/>
          <w:sz w:val="21"/>
          <w:szCs w:val="21"/>
          <w:highlight w:val="none"/>
          <w14:textFill>
            <w14:solidFill>
              <w14:schemeClr w14:val="tx1"/>
            </w14:solidFill>
          </w14:textFill>
        </w:rPr>
        <w:t xml:space="preserve">物</w:t>
      </w:r>
      <w:r>
        <w:rPr>
          <w:rFonts w:hint="eastAsia" w:ascii="宋体" w:hAnsi="宋体" w:cs="宋体"/>
          <w:color w:val="000000" w:themeColor="text1"/>
          <w:sz w:val="21"/>
          <w:szCs w:val="21"/>
          <w:highlight w:val="none"/>
          <w14:textFill>
            <w14:solidFill>
              <w14:schemeClr w14:val="tx1"/>
            </w14:solidFill>
          </w14:textFill>
        </w:rPr>
        <w:t xml:space="preserve">（由</w:t>
      </w:r>
      <w:r>
        <w:rPr>
          <w:rFonts w:hint="eastAsia" w:ascii="宋体" w:hAnsi="宋体" w:cs="宋体"/>
          <w:color w:val="000000" w:themeColor="text1"/>
          <w:spacing w:val="-18"/>
          <w:sz w:val="21"/>
          <w:szCs w:val="21"/>
          <w:highlight w:val="none"/>
          <w14:textFill>
            <w14:solidFill>
              <w14:schemeClr w14:val="tx1"/>
            </w14:solidFill>
          </w14:textFill>
        </w:rPr>
        <w:t xml:space="preserve">本</w:t>
      </w:r>
      <w:r>
        <w:rPr>
          <w:rFonts w:hint="eastAsia" w:ascii="宋体" w:hAnsi="宋体" w:cs="宋体"/>
          <w:color w:val="000000" w:themeColor="text1"/>
          <w:sz w:val="21"/>
          <w:szCs w:val="21"/>
          <w:highlight w:val="none"/>
          <w14:textFill>
            <w14:solidFill>
              <w14:schemeClr w14:val="tx1"/>
            </w14:solidFill>
          </w14:textFill>
        </w:rPr>
        <w:t xml:space="preserve">单位承担工程/提供服务），或者提供其他残疾人福利性单位制造的货物（不包括使用非残疾人福利性单位注册商标的货物）。</w:t>
      </w:r>
      <w:r/>
    </w:p>
    <w:p>
      <w:pPr>
        <w:pStyle w:val="979"/>
        <w:ind w:left="1098"/>
        <w:spacing w:before="3"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979"/>
        <w:ind w:right="2725"/>
        <w:spacing w:line="360" w:lineRule="auto"/>
        <w:tabs>
          <w:tab w:val="left" w:pos="7098" w:leader="none"/>
        </w:tabs>
        <w:rPr>
          <w:rFonts w:ascii="宋体" w:hAnsi="宋体" w:cs="宋体"/>
          <w:color w:val="000000" w:themeColor="text1"/>
          <w:spacing w:val="-9"/>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单位名称（加盖CA电子公章</w:t>
      </w:r>
      <w:r>
        <w:rPr>
          <w:rFonts w:hint="eastAsia" w:ascii="宋体" w:hAnsi="宋体" w:cs="宋体"/>
          <w:color w:val="000000" w:themeColor="text1"/>
          <w:spacing w:val="-9"/>
          <w:sz w:val="21"/>
          <w:szCs w:val="21"/>
          <w:highlight w:val="none"/>
          <w14:textFill>
            <w14:solidFill>
              <w14:schemeClr w14:val="tx1"/>
            </w14:solidFill>
          </w14:textFill>
        </w:rPr>
        <w:t xml:space="preserve">）：</w:t>
      </w:r>
      <w:r/>
    </w:p>
    <w:p>
      <w:pPr>
        <w:pStyle w:val="979"/>
        <w:ind w:right="2725"/>
        <w:spacing w:line="360" w:lineRule="auto"/>
        <w:tabs>
          <w:tab w:val="left" w:pos="7098" w:leader="none"/>
        </w:tabs>
        <w:rPr>
          <w:rFonts w:ascii="宋体" w:hAnsi="宋体" w:cs="宋体"/>
          <w:color w:val="000000" w:themeColor="text1"/>
          <w:spacing w:val="-17"/>
          <w:sz w:val="21"/>
          <w:szCs w:val="21"/>
          <w:highlight w:val="none"/>
          <w14:textFill>
            <w14:solidFill>
              <w14:schemeClr w14:val="tx1"/>
            </w14:solidFill>
          </w14:textFill>
        </w:rPr>
      </w:pPr>
      <w:r>
        <w:rPr>
          <w:rFonts w:hint="eastAsia" w:ascii="宋体" w:hAnsi="宋体" w:cs="宋体"/>
          <w:color w:val="000000" w:themeColor="text1"/>
          <w:spacing w:val="-9"/>
          <w:sz w:val="21"/>
          <w:szCs w:val="21"/>
          <w:highlight w:val="none"/>
          <w14:textFill>
            <w14:solidFill>
              <w14:schemeClr w14:val="tx1"/>
            </w14:solidFill>
          </w14:textFill>
        </w:rPr>
        <w:t xml:space="preserve">日</w:t>
      </w:r>
      <w:r>
        <w:rPr>
          <w:rFonts w:hint="eastAsia" w:ascii="宋体" w:hAnsi="宋体" w:cs="宋体"/>
          <w:color w:val="000000" w:themeColor="text1"/>
          <w:sz w:val="21"/>
          <w:szCs w:val="21"/>
          <w:highlight w:val="none"/>
          <w14:textFill>
            <w14:solidFill>
              <w14:schemeClr w14:val="tx1"/>
            </w14:solidFill>
          </w14:textFill>
        </w:rPr>
        <w:t xml:space="preserve">期</w:t>
      </w:r>
      <w:r>
        <w:rPr>
          <w:rFonts w:hint="eastAsia" w:ascii="宋体" w:hAnsi="宋体" w:cs="宋体"/>
          <w:color w:val="000000" w:themeColor="text1"/>
          <w:spacing w:val="-17"/>
          <w:sz w:val="21"/>
          <w:szCs w:val="21"/>
          <w:highlight w:val="none"/>
          <w14:textFill>
            <w14:solidFill>
              <w14:schemeClr w14:val="tx1"/>
            </w14:solidFill>
          </w14:textFill>
        </w:rPr>
        <w:t xml:space="preserve">：</w:t>
      </w:r>
      <w:r/>
    </w:p>
    <w:p>
      <w:pPr>
        <w:rPr>
          <w:rFonts w:ascii="宋体" w:hAnsi="宋体" w:cs="宋体"/>
          <w:color w:val="000000" w:themeColor="text1"/>
          <w:spacing w:val="-17"/>
          <w:szCs w:val="21"/>
          <w:highlight w:val="none"/>
          <w14:textFill>
            <w14:solidFill>
              <w14:schemeClr w14:val="tx1"/>
            </w14:solidFill>
          </w14:textFill>
        </w:rPr>
      </w:pPr>
      <w:r>
        <w:rPr>
          <w:rFonts w:ascii="宋体" w:hAnsi="宋体" w:cs="宋体"/>
          <w:color w:val="000000" w:themeColor="text1"/>
          <w:spacing w:val="-17"/>
          <w:szCs w:val="21"/>
          <w:highlight w:val="none"/>
          <w14:textFill>
            <w14:solidFill>
              <w14:schemeClr w14:val="tx1"/>
            </w14:solidFill>
          </w14:textFill>
        </w:rPr>
      </w:r>
      <w:r/>
    </w:p>
    <w:p>
      <w:pPr>
        <w:rPr>
          <w:rFonts w:ascii="宋体" w:hAnsi="宋体" w:cs="宋体"/>
          <w:color w:val="000000" w:themeColor="text1"/>
          <w:spacing w:val="-17"/>
          <w:szCs w:val="21"/>
          <w:highlight w:val="none"/>
          <w14:textFill>
            <w14:solidFill>
              <w14:schemeClr w14:val="tx1"/>
            </w14:solidFill>
          </w14:textFill>
        </w:rPr>
      </w:pPr>
      <w:r>
        <w:rPr>
          <w:rFonts w:ascii="宋体" w:hAnsi="宋体" w:cs="宋体"/>
          <w:color w:val="000000" w:themeColor="text1"/>
          <w:spacing w:val="-17"/>
          <w:szCs w:val="21"/>
          <w:highlight w:val="none"/>
          <w14:textFill>
            <w14:solidFill>
              <w14:schemeClr w14:val="tx1"/>
            </w14:solidFill>
          </w14:textFill>
        </w:rPr>
      </w:r>
      <w:r/>
    </w:p>
    <w:p>
      <w:pPr>
        <w:pStyle w:val="1541"/>
        <w:ind w:left="0"/>
        <w:spacing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附件</w:t>
      </w:r>
      <w:r>
        <w:rPr>
          <w:rFonts w:hint="eastAsia"/>
          <w:color w:val="000000" w:themeColor="text1"/>
          <w:sz w:val="21"/>
          <w:szCs w:val="21"/>
          <w:highlight w:val="none"/>
          <w:lang w:val="en-US"/>
          <w14:textFill>
            <w14:solidFill>
              <w14:schemeClr w14:val="tx1"/>
            </w14:solidFill>
          </w14:textFill>
        </w:rPr>
        <w:t xml:space="preserve">六</w:t>
      </w:r>
      <w:r>
        <w:rPr>
          <w:rFonts w:hint="eastAsia"/>
          <w:color w:val="000000" w:themeColor="text1"/>
          <w:sz w:val="21"/>
          <w:szCs w:val="21"/>
          <w:highlight w:val="none"/>
          <w14:textFill>
            <w14:solidFill>
              <w14:schemeClr w14:val="tx1"/>
            </w14:solidFill>
          </w14:textFill>
        </w:rPr>
        <w:t xml:space="preserve">、属于监狱企业的证明文件</w:t>
      </w:r>
      <w:r/>
    </w:p>
    <w:p>
      <w:pPr>
        <w:pStyle w:val="979"/>
        <w:ind w:right="554" w:firstLine="480"/>
        <w:spacing w:before="165"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提供由省级以上监狱管理局、戒毒管理局(含新疆生产建设兵团)出具的属于监狱企业的证明文件。</w:t>
      </w:r>
      <w:r/>
    </w:p>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附件七、主要材料备件清单</w:t>
      </w:r>
      <w:r/>
    </w:p>
    <w:p>
      <w:pPr>
        <w:ind w:left="0" w:right="0" w:firstLine="0"/>
        <w:jc w:val="center"/>
        <w:spacing w:before="0" w:after="0"/>
        <w:rPr>
          <w:rFonts w:ascii="Times New Roman" w:hAnsi="Times New Roman" w:eastAsia="Times New Roman" w:cs="Times New Roman"/>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szCs w:val="32"/>
        </w:rPr>
        <w:t xml:space="preserve">主要材料备件清单</w:t>
      </w:r>
      <w:r>
        <w:rPr>
          <w:rFonts w:ascii="Times New Roman" w:hAnsi="Times New Roman" w:eastAsia="Times New Roman" w:cs="Times New Roman"/>
          <w:sz w:val="32"/>
          <w:szCs w:val="32"/>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10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5"/>
        <w:gridCol w:w="2110"/>
        <w:gridCol w:w="1371"/>
        <w:gridCol w:w="1588"/>
        <w:gridCol w:w="1775"/>
        <w:gridCol w:w="2293"/>
      </w:tblGrid>
      <w:tr>
        <w:trPr>
          <w:trHeight w:val="486"/>
        </w:trPr>
        <w:tc>
          <w:tcPr>
            <w:tcW w:w="715" w:type="dxa"/>
            <w:vAlign w:val="center"/>
            <w:textDirection w:val="lrTb"/>
            <w:noWrap w:val="false"/>
          </w:tcPr>
          <w:p>
            <w:pPr>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序号</w:t>
            </w:r>
            <w:r/>
          </w:p>
        </w:tc>
        <w:tc>
          <w:tcPr>
            <w:tcW w:w="2110" w:type="dxa"/>
            <w:vAlign w:val="center"/>
            <w:textDirection w:val="lrTb"/>
            <w:noWrap w:val="false"/>
          </w:tcPr>
          <w:p>
            <w:pPr>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主要材料备件名称</w:t>
            </w:r>
            <w:r/>
          </w:p>
        </w:tc>
        <w:tc>
          <w:tcPr>
            <w:tcW w:w="1371" w:type="dxa"/>
            <w:vAlign w:val="center"/>
            <w:textDirection w:val="lrTb"/>
            <w:noWrap w:val="false"/>
          </w:tcPr>
          <w:p>
            <w:pPr>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规格</w:t>
            </w:r>
            <w:r/>
          </w:p>
        </w:tc>
        <w:tc>
          <w:tcPr>
            <w:tcW w:w="1588" w:type="dxa"/>
            <w:vAlign w:val="center"/>
            <w:textDirection w:val="lrTb"/>
            <w:noWrap w:val="false"/>
          </w:tcPr>
          <w:p>
            <w:pPr>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品牌</w:t>
            </w:r>
            <w:r/>
          </w:p>
        </w:tc>
        <w:tc>
          <w:tcPr>
            <w:tcW w:w="1775" w:type="dxa"/>
            <w:vAlign w:val="center"/>
            <w:textDirection w:val="lrTb"/>
            <w:noWrap w:val="false"/>
          </w:tcPr>
          <w:p>
            <w:pPr>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价格（元）</w:t>
            </w:r>
            <w:r/>
          </w:p>
        </w:tc>
        <w:tc>
          <w:tcPr>
            <w:tcW w:w="2293" w:type="dxa"/>
            <w:vAlign w:val="center"/>
            <w:textDirection w:val="lrTb"/>
            <w:noWrap w:val="false"/>
          </w:tcPr>
          <w:p>
            <w:pPr>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按市场价的折扣（%）</w:t>
            </w:r>
            <w:r/>
          </w:p>
        </w:tc>
      </w:tr>
      <w:tr>
        <w:trPr>
          <w:trHeight w:val="640"/>
        </w:trPr>
        <w:tc>
          <w:tcPr>
            <w:tcW w:w="715"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W w:w="2110"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371"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588"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775"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293"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664"/>
        </w:trPr>
        <w:tc>
          <w:tcPr>
            <w:tcW w:w="715"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c>
          <w:tcPr>
            <w:tcW w:w="2110"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371"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588"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775"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293"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664"/>
        </w:trPr>
        <w:tc>
          <w:tcPr>
            <w:tcW w:w="715"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tcW w:w="2110"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371"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588"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775"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293"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664"/>
        </w:trPr>
        <w:tc>
          <w:tcPr>
            <w:tcW w:w="715"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p>
        </w:tc>
        <w:tc>
          <w:tcPr>
            <w:tcW w:w="2110"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371"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588"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775"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293"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677"/>
        </w:trPr>
        <w:tc>
          <w:tcPr>
            <w:tcW w:w="715"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tcW w:w="2110"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371"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588"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775"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2293"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投标人名称： （</w:t>
      </w:r>
      <w:r>
        <w:rPr>
          <w:rFonts w:hint="eastAsia"/>
          <w:color w:val="000000" w:themeColor="text1"/>
          <w:highlight w:val="none"/>
          <w14:textFill>
            <w14:solidFill>
              <w14:schemeClr w14:val="tx1"/>
            </w14:solidFill>
          </w14:textFill>
        </w:rPr>
        <w:t xml:space="preserve">加盖CA电子公章</w:t>
      </w:r>
      <w:r>
        <w:rPr>
          <w:color w:val="000000" w:themeColor="text1"/>
          <w:highlight w:val="none"/>
          <w14:textFill>
            <w14:solidFill>
              <w14:schemeClr w14:val="tx1"/>
            </w14:solidFill>
          </w14:textFill>
        </w:rPr>
        <w:t xml:space="preserve">）</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日 期： 年 月 日 </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说明： 1、如果行、列数不够，请自行增加。</w:t>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结算金额=市场价×折扣。</w:t>
      </w:r>
      <w:r/>
    </w:p>
    <w:sectPr>
      <w:footerReference w:type="default" r:id="rId16"/>
      <w:footnotePr/>
      <w:endnotePr/>
      <w:type w:val="nextPage"/>
      <w:pgSz w:w="11906" w:h="16838" w:orient="portrait"/>
      <w:pgMar w:top="850" w:right="850" w:bottom="850" w:left="1417" w:header="397"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KNLe">
    <w:panose1 w:val="020B0503020202020204"/>
  </w:font>
  <w:font w:name="仿宋">
    <w:panose1 w:val="02010609060101010101"/>
  </w:font>
  <w:font w:name="Arial Unicode MS">
    <w:panose1 w:val="020B0604020202020204"/>
  </w:font>
  <w:font w:name="方正小标宋_GBK">
    <w:panose1 w:val="020B0503020202020204"/>
  </w:font>
  <w:font w:name="Wingdings">
    <w:panose1 w:val="05000000000000000000"/>
  </w:font>
  <w:font w:name="华文楷体">
    <w:panose1 w:val="02010600040101010101"/>
  </w:font>
  <w:font w:name="华文细黑">
    <w:panose1 w:val="02010600040101010101"/>
  </w:font>
  <w:font w:name="汉仪大黑简">
    <w:panose1 w:val="020B0503020202020204"/>
  </w:font>
  <w:font w:name="楷体_GB2312">
    <w:panose1 w:val="02010609060101010101"/>
  </w:font>
  <w:font w:name="Tahoma">
    <w:panose1 w:val="020B0604030504040204"/>
  </w:font>
  <w:font w:name="Calibri">
    <w:panose1 w:val="020F0502020204030204"/>
  </w:font>
  <w:font w:name="微软雅黑">
    <w:panose1 w:val="020B0503020204020204"/>
  </w:font>
  <w:font w:name="方正大黑简体">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Arial">
    <w:panose1 w:val="020B0604020202020204"/>
  </w:font>
  <w:font w:name="SimSun">
    <w:panose1 w:val="02010600030101010101"/>
  </w:font>
  <w:font w:name="Helvetica">
    <w:panose1 w:val="020B0604020202020204"/>
  </w:font>
  <w:font w:name="Ari">
    <w:panose1 w:val="020B0606020202030204"/>
  </w:font>
  <w:font w:name="Georgia">
    <w:panose1 w:val="02040502050405020303"/>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15035" cy="147955"/>
              <wp:effectExtent l="0" t="0" r="0" b="0"/>
              <wp:wrapNone/>
              <wp:docPr id="2"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15035" cy="147955"/>
                      </a:xfrm>
                      <a:prstGeom prst="rect">
                        <a:avLst/>
                      </a:prstGeom>
                      <a:noFill/>
                      <a:ln>
                        <a:noFill/>
                      </a:ln>
                      <a:effectLst/>
                    </wps:spPr>
                    <wps:txbx>
                      <w:txbxContent>
                        <w:p>
                          <w:pPr>
                            <w:pStyle w:val="99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3</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72.0pt;height:11.6pt;mso-wrap-distance-left:9.0pt;mso-wrap-distance-top:0.0pt;mso-wrap-distance-right:9.0pt;mso-wrap-distance-bottom:0.0pt;v-text-anchor:top;visibility:visible;" filled="f" stroked="f">
              <v:textbox inset="0,0,0,0">
                <w:txbxContent>
                  <w:p>
                    <w:pPr>
                      <w:pStyle w:val="99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3</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2"/>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39</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2"/>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39</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972185" cy="147955"/>
              <wp:effectExtent l="0" t="0" r="0" b="0"/>
              <wp:wrapNone/>
              <wp:docPr id="4" name="文本框 1028"/>
              <wp:cNvGraphicFramePr/>
              <a:graphic xmlns:a="http://schemas.openxmlformats.org/drawingml/2006/main">
                <a:graphicData uri="http://schemas.microsoft.com/office/word/2010/wordprocessingShape">
                  <wps:wsp>
                    <wps:cNvPr id="0" name=""/>
                    <wps:cNvSpPr>
                      <a:spLocks noChangeArrowheads="1"/>
                    </wps:cNvSpPr>
                    <wps:spPr bwMode="auto">
                      <a:xfrm>
                        <a:off x="0" y="0"/>
                        <a:ext cx="972185" cy="147955"/>
                      </a:xfrm>
                      <a:prstGeom prst="rect">
                        <a:avLst/>
                      </a:prstGeom>
                      <a:noFill/>
                      <a:ln>
                        <a:noFill/>
                      </a:ln>
                      <a:effectLst/>
                    </wps:spPr>
                    <wps:txbx>
                      <w:txbxContent>
                        <w:p>
                          <w:pPr>
                            <w:pStyle w:val="992"/>
                          </w:pPr>
                          <w:r>
                            <w:t xml:space="preserve">第 </w:t>
                          </w:r>
                          <w:r>
                            <w:fldChar w:fldCharType="begin"/>
                          </w:r>
                          <w:r>
                            <w:instrText xml:space="preserve"> PAGE  \* MERGEFORMAT </w:instrText>
                          </w:r>
                          <w:r>
                            <w:fldChar w:fldCharType="separate"/>
                          </w:r>
                          <w:r>
                            <w:t xml:space="preserve">17</w:t>
                          </w:r>
                          <w:r>
                            <w:fldChar w:fldCharType="end"/>
                          </w:r>
                          <w:r>
                            <w:t xml:space="preserve"> 页 共 </w:t>
                          </w:r>
                          <w:r>
                            <w:fldChar w:fldCharType="begin"/>
                          </w:r>
                          <w:r>
                            <w:instrText xml:space="preserve"> NUMPAGES  \* MERGEFORMAT </w:instrText>
                          </w:r>
                          <w:r>
                            <w:fldChar w:fldCharType="separate"/>
                          </w:r>
                          <w:r>
                            <w:t xml:space="preserve">39</w:t>
                          </w:r>
                          <w:r>
                            <w:fldChar w:fldCharType="end"/>
                          </w:r>
                          <w:r>
                            <w:t xml:space="preserve"> 页</w:t>
                          </w:r>
                          <w:r/>
                        </w:p>
                      </w:txbxContent>
                    </wps:txbx>
                    <wps:bodyPr wrap="none" lIns="0" tIns="0" rIns="0" bIns="0">
                      <a:spAutoFit/>
                    </wps:bodyPr>
                  </wps:wsp>
                </a:graphicData>
              </a:graphic>
            </wp:anchor>
          </w:drawing>
        </mc:Choice>
        <mc:Fallback>
          <w:pict>
            <v:shape id="shape 3" o:spid="_x0000_s3" o:spt="1" type="#_x0000_t1" style="position:absolute;z-index:251662336;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pPr>
                      <w:pStyle w:val="992"/>
                    </w:pPr>
                    <w:r>
                      <w:t xml:space="preserve">第 </w:t>
                    </w:r>
                    <w:r>
                      <w:fldChar w:fldCharType="begin"/>
                    </w:r>
                    <w:r>
                      <w:instrText xml:space="preserve"> PAGE  \* MERGEFORMAT </w:instrText>
                    </w:r>
                    <w:r>
                      <w:fldChar w:fldCharType="separate"/>
                    </w:r>
                    <w:r>
                      <w:t xml:space="preserve">17</w:t>
                    </w:r>
                    <w:r>
                      <w:fldChar w:fldCharType="end"/>
                    </w:r>
                    <w:r>
                      <w:t xml:space="preserve"> 页 共 </w:t>
                    </w:r>
                    <w:r>
                      <w:fldChar w:fldCharType="begin"/>
                    </w:r>
                    <w:r>
                      <w:instrText xml:space="preserve"> NUMPAGES  \* MERGEFORMAT </w:instrText>
                    </w:r>
                    <w:r>
                      <w:fldChar w:fldCharType="separate"/>
                    </w:r>
                    <w:r>
                      <w:t xml:space="preserve">39</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2"/>
                            <w:ind w:firstLine="360"/>
                          </w:pPr>
                          <w:r>
                            <w:t xml:space="preserve">第 </w:t>
                          </w:r>
                          <w:r>
                            <w:fldChar w:fldCharType="begin"/>
                          </w:r>
                          <w:r>
                            <w:instrText xml:space="preserve"> PAGE  \* MERGEFORMAT </w:instrText>
                          </w:r>
                          <w:r>
                            <w:fldChar w:fldCharType="separate"/>
                          </w:r>
                          <w:r>
                            <w:t xml:space="preserve">20</w:t>
                          </w:r>
                          <w:r>
                            <w:fldChar w:fldCharType="end"/>
                          </w:r>
                          <w:r>
                            <w:t xml:space="preserve"> 页 共 </w:t>
                          </w:r>
                          <w:r>
                            <w:fldChar w:fldCharType="begin"/>
                          </w:r>
                          <w:r>
                            <w:instrText xml:space="preserve"> NUMPAGES  \* MERGEFORMAT </w:instrText>
                          </w:r>
                          <w:r>
                            <w:fldChar w:fldCharType="separate"/>
                          </w:r>
                          <w:r>
                            <w:t xml:space="preserve">39</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2"/>
                      <w:ind w:firstLine="360"/>
                    </w:pPr>
                    <w:r>
                      <w:t xml:space="preserve">第 </w:t>
                    </w:r>
                    <w:r>
                      <w:fldChar w:fldCharType="begin"/>
                    </w:r>
                    <w:r>
                      <w:instrText xml:space="preserve"> PAGE  \* MERGEFORMAT </w:instrText>
                    </w:r>
                    <w:r>
                      <w:fldChar w:fldCharType="separate"/>
                    </w:r>
                    <w:r>
                      <w:t xml:space="preserve">20</w:t>
                    </w:r>
                    <w:r>
                      <w:fldChar w:fldCharType="end"/>
                    </w:r>
                    <w:r>
                      <w:t xml:space="preserve"> 页 共 </w:t>
                    </w:r>
                    <w:r>
                      <w:fldChar w:fldCharType="begin"/>
                    </w:r>
                    <w:r>
                      <w:instrText xml:space="preserve"> NUMPAGES  \* MERGEFORMAT </w:instrText>
                    </w:r>
                    <w:r>
                      <w:fldChar w:fldCharType="separate"/>
                    </w:r>
                    <w:r>
                      <w:t xml:space="preserve">39</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2"/>
                            <w:ind w:firstLine="360"/>
                          </w:pPr>
                          <w:r>
                            <w:t xml:space="preserve">第 </w:t>
                          </w:r>
                          <w:r>
                            <w:fldChar w:fldCharType="begin"/>
                          </w:r>
                          <w:r>
                            <w:instrText xml:space="preserve"> PAGE  \* MERGEFORMAT </w:instrText>
                          </w:r>
                          <w:r>
                            <w:fldChar w:fldCharType="separate"/>
                          </w:r>
                          <w:r>
                            <w:t xml:space="preserve">30</w:t>
                          </w:r>
                          <w:r>
                            <w:fldChar w:fldCharType="end"/>
                          </w:r>
                          <w:r>
                            <w:t xml:space="preserve"> 页 共 </w:t>
                          </w:r>
                          <w:r>
                            <w:fldChar w:fldCharType="begin"/>
                          </w:r>
                          <w:r>
                            <w:instrText xml:space="preserve"> NUMPAGES  \* MERGEFORMAT </w:instrText>
                          </w:r>
                          <w:r>
                            <w:fldChar w:fldCharType="separate"/>
                          </w:r>
                          <w:r>
                            <w:t xml:space="preserve">30</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2"/>
                      <w:ind w:firstLine="360"/>
                    </w:pPr>
                    <w:r>
                      <w:t xml:space="preserve">第 </w:t>
                    </w:r>
                    <w:r>
                      <w:fldChar w:fldCharType="begin"/>
                    </w:r>
                    <w:r>
                      <w:instrText xml:space="preserve"> PAGE  \* MERGEFORMAT </w:instrText>
                    </w:r>
                    <w:r>
                      <w:fldChar w:fldCharType="separate"/>
                    </w:r>
                    <w:r>
                      <w:t xml:space="preserve">30</w:t>
                    </w:r>
                    <w:r>
                      <w:fldChar w:fldCharType="end"/>
                    </w:r>
                    <w:r>
                      <w:t xml:space="preserve"> 页 共 </w:t>
                    </w:r>
                    <w:r>
                      <w:fldChar w:fldCharType="begin"/>
                    </w:r>
                    <w:r>
                      <w:instrText xml:space="preserve"> NUMPAGES  \* MERGEFORMAT </w:instrText>
                    </w:r>
                    <w:r>
                      <w:fldChar w:fldCharType="separate"/>
                    </w:r>
                    <w:r>
                      <w:t xml:space="preserve">30</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972185" cy="147955"/>
              <wp:effectExtent l="0" t="0" r="0" b="0"/>
              <wp:wrapNone/>
              <wp:docPr id="7" name="文本框 1028"/>
              <wp:cNvGraphicFramePr/>
              <a:graphic xmlns:a="http://schemas.openxmlformats.org/drawingml/2006/main">
                <a:graphicData uri="http://schemas.microsoft.com/office/word/2010/wordprocessingShape">
                  <wps:wsp>
                    <wps:cNvPr id="0" name=""/>
                    <wps:cNvSpPr>
                      <a:spLocks noChangeArrowheads="1"/>
                    </wps:cNvSpPr>
                    <wps:spPr bwMode="auto">
                      <a:xfrm>
                        <a:off x="0" y="0"/>
                        <a:ext cx="972185" cy="147955"/>
                      </a:xfrm>
                      <a:prstGeom prst="rect">
                        <a:avLst/>
                      </a:prstGeom>
                      <a:noFill/>
                      <a:ln>
                        <a:noFill/>
                      </a:ln>
                      <a:effectLst/>
                    </wps:spPr>
                    <wps:txbx>
                      <w:txbxContent>
                        <w:p>
                          <w:pPr>
                            <w:pStyle w:val="992"/>
                          </w:pPr>
                          <w:r>
                            <w:t xml:space="preserve">第 </w:t>
                          </w:r>
                          <w:r>
                            <w:fldChar w:fldCharType="begin"/>
                          </w:r>
                          <w:r>
                            <w:instrText xml:space="preserve"> PAGE  \* MERGEFORMAT </w:instrText>
                          </w:r>
                          <w:r>
                            <w:fldChar w:fldCharType="separate"/>
                          </w:r>
                          <w:r>
                            <w:t xml:space="preserve">35</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6" o:spid="_x0000_s6" o:spt="1" type="#_x0000_t1" style="position:absolute;z-index:251663360;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v:textbox inset="0,0,0,0">
                <w:txbxContent>
                  <w:p>
                    <w:pPr>
                      <w:pStyle w:val="992"/>
                    </w:pPr>
                    <w:r>
                      <w:t xml:space="preserve">第 </w:t>
                    </w:r>
                    <w:r>
                      <w:fldChar w:fldCharType="begin"/>
                    </w:r>
                    <w:r>
                      <w:instrText xml:space="preserve"> PAGE  \* MERGEFORMAT </w:instrText>
                    </w:r>
                    <w:r>
                      <w:fldChar w:fldCharType="separate"/>
                    </w:r>
                    <w:r>
                      <w:t xml:space="preserve">35</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972185" cy="147955"/>
              <wp:effectExtent l="0" t="0" r="0" b="0"/>
              <wp:wrapNone/>
              <wp:docPr id="8" name="文本框 1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72185" cy="147955"/>
                      </a:xfrm>
                      <a:prstGeom prst="rect">
                        <a:avLst/>
                      </a:prstGeom>
                      <a:noFill/>
                      <a:ln>
                        <a:noFill/>
                      </a:ln>
                      <a:effectLst/>
                    </wps:spPr>
                    <wps:txbx>
                      <w:txbxContent>
                        <w:p>
                          <w:pPr>
                            <w:pStyle w:val="992"/>
                          </w:pPr>
                          <w:r>
                            <w:t xml:space="preserve">第 </w:t>
                          </w:r>
                          <w:r>
                            <w:fldChar w:fldCharType="begin"/>
                          </w:r>
                          <w:r>
                            <w:instrText xml:space="preserve"> PAGE  \* MERGEFORMAT </w:instrText>
                          </w:r>
                          <w:r>
                            <w:fldChar w:fldCharType="separate"/>
                          </w:r>
                          <w:r>
                            <w:t xml:space="preserve">39</w:t>
                          </w:r>
                          <w:r>
                            <w:fldChar w:fldCharType="end"/>
                          </w:r>
                          <w:r>
                            <w:t xml:space="preserve"> 页 共 </w:t>
                          </w:r>
                          <w:r>
                            <w:fldChar w:fldCharType="begin"/>
                          </w:r>
                          <w:r>
                            <w:instrText xml:space="preserve"> NUMPAGES  \* MERGEFORMAT </w:instrText>
                          </w:r>
                          <w:r>
                            <w:fldChar w:fldCharType="separate"/>
                          </w:r>
                          <w:r>
                            <w:t xml:space="preserve">39</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7" o:spid="_x0000_s7" o:spt="202" type="#_x0000_t202" style="position:absolute;z-index:251661312;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v:textbox inset="0,0,0,0">
                <w:txbxContent>
                  <w:p>
                    <w:pPr>
                      <w:pStyle w:val="992"/>
                    </w:pPr>
                    <w:r>
                      <w:t xml:space="preserve">第 </w:t>
                    </w:r>
                    <w:r>
                      <w:fldChar w:fldCharType="begin"/>
                    </w:r>
                    <w:r>
                      <w:instrText xml:space="preserve"> PAGE  \* MERGEFORMAT </w:instrText>
                    </w:r>
                    <w:r>
                      <w:fldChar w:fldCharType="separate"/>
                    </w:r>
                    <w:r>
                      <w:t xml:space="preserve">39</w:t>
                    </w:r>
                    <w:r>
                      <w:fldChar w:fldCharType="end"/>
                    </w:r>
                    <w:r>
                      <w:t xml:space="preserve"> 页 共 </w:t>
                    </w:r>
                    <w:r>
                      <w:fldChar w:fldCharType="begin"/>
                    </w:r>
                    <w:r>
                      <w:instrText xml:space="preserve"> NUMPAGES  \* MERGEFORMAT </w:instrText>
                    </w:r>
                    <w:r>
                      <w:fldChar w:fldCharType="separate"/>
                    </w:r>
                    <w:r>
                      <w:t xml:space="preserve">39</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left"/>
      <w:pBdr>
        <w:bottom w:val="none" w:color="auto" w:sz="0" w:space="1"/>
      </w:pBdr>
    </w:pPr>
    <w:r>
      <mc:AlternateContent>
        <mc:Choice Requires="wpg">
          <w:drawing>
            <wp:inline xmlns:wp="http://schemas.openxmlformats.org/drawingml/2006/wordprocessingDrawing" distT="0" distB="0" distL="0" distR="0">
              <wp:extent cx="1371600" cy="239395"/>
              <wp:effectExtent l="0" t="0" r="0" b="8255"/>
              <wp:docPr id="1" name="图片 5"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c826bae80687e3a7b3b8bc243736336"/>
                      <pic:cNvPicPr>
                        <a:picLocks noChangeAspect="1"/>
                      </pic:cNvPicPr>
                      <pic:nvPr/>
                    </pic:nvPicPr>
                    <pic:blipFill>
                      <a:blip r:embed="rId1"/>
                      <a:stretch/>
                    </pic:blipFill>
                    <pic:spPr bwMode="auto">
                      <a:xfrm>
                        <a:off x="0" y="0"/>
                        <a:ext cx="1371600" cy="239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0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6">
    <w:name w:val="TOC Heading"/>
    <w:uiPriority w:val="39"/>
    <w:unhideWhenUsed/>
  </w:style>
  <w:style w:type="paragraph" w:styleId="95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58">
    <w:name w:val="Heading 1"/>
    <w:basedOn w:val="957"/>
    <w:next w:val="957"/>
    <w:link w:val="1174"/>
    <w:uiPriority w:val="99"/>
    <w:qFormat/>
    <w:pPr>
      <w:keepLines/>
      <w:keepNext/>
      <w:spacing w:before="340" w:after="330" w:line="576" w:lineRule="auto"/>
      <w:outlineLvl w:val="0"/>
    </w:pPr>
    <w:rPr>
      <w:b/>
      <w:bCs/>
      <w:sz w:val="44"/>
      <w:szCs w:val="44"/>
    </w:rPr>
  </w:style>
  <w:style w:type="paragraph" w:styleId="959">
    <w:name w:val="Heading 2"/>
    <w:basedOn w:val="957"/>
    <w:next w:val="969"/>
    <w:link w:val="1175"/>
    <w:uiPriority w:val="99"/>
    <w:qFormat/>
    <w:pPr>
      <w:keepLines/>
      <w:keepNext/>
      <w:spacing w:before="260" w:after="260" w:line="413" w:lineRule="auto"/>
      <w:outlineLvl w:val="1"/>
    </w:pPr>
    <w:rPr>
      <w:rFonts w:ascii="Arial" w:hAnsi="Arial" w:eastAsia="黑体"/>
      <w:b/>
      <w:bCs/>
      <w:sz w:val="32"/>
      <w:szCs w:val="32"/>
    </w:rPr>
  </w:style>
  <w:style w:type="paragraph" w:styleId="960">
    <w:name w:val="Heading 3"/>
    <w:basedOn w:val="957"/>
    <w:next w:val="957"/>
    <w:link w:val="1172"/>
    <w:uiPriority w:val="99"/>
    <w:qFormat/>
    <w:pPr>
      <w:keepLines/>
      <w:keepNext/>
      <w:spacing w:before="260" w:after="260" w:line="413" w:lineRule="auto"/>
      <w:outlineLvl w:val="2"/>
    </w:pPr>
    <w:rPr>
      <w:b/>
      <w:bCs/>
      <w:sz w:val="32"/>
      <w:szCs w:val="32"/>
    </w:rPr>
  </w:style>
  <w:style w:type="paragraph" w:styleId="961">
    <w:name w:val="Heading 4"/>
    <w:basedOn w:val="957"/>
    <w:next w:val="957"/>
    <w:link w:val="1176"/>
    <w:uiPriority w:val="99"/>
    <w:qFormat/>
    <w:pPr>
      <w:keepLines/>
      <w:keepNext/>
      <w:spacing w:before="120" w:after="120"/>
      <w:outlineLvl w:val="3"/>
    </w:pPr>
    <w:rPr>
      <w:rFonts w:ascii="Arial" w:hAnsi="Arial" w:eastAsia="黑体"/>
      <w:b/>
      <w:sz w:val="20"/>
      <w:szCs w:val="20"/>
    </w:rPr>
  </w:style>
  <w:style w:type="paragraph" w:styleId="962">
    <w:name w:val="Heading 5"/>
    <w:basedOn w:val="957"/>
    <w:next w:val="957"/>
    <w:link w:val="1177"/>
    <w:uiPriority w:val="99"/>
    <w:qFormat/>
    <w:pPr>
      <w:ind w:left="1008" w:hanging="1008"/>
      <w:keepLines/>
      <w:keepNext/>
      <w:spacing w:before="280" w:after="290" w:line="372" w:lineRule="auto"/>
      <w:tabs>
        <w:tab w:val="left" w:pos="1008" w:leader="none"/>
      </w:tabs>
      <w:outlineLvl w:val="4"/>
    </w:pPr>
    <w:rPr>
      <w:b/>
      <w:bCs/>
      <w:sz w:val="28"/>
      <w:szCs w:val="28"/>
    </w:rPr>
  </w:style>
  <w:style w:type="paragraph" w:styleId="963">
    <w:name w:val="Heading 6"/>
    <w:basedOn w:val="957"/>
    <w:next w:val="957"/>
    <w:link w:val="1178"/>
    <w:uiPriority w:val="9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964">
    <w:name w:val="Heading 7"/>
    <w:basedOn w:val="957"/>
    <w:next w:val="957"/>
    <w:link w:val="1179"/>
    <w:uiPriority w:val="99"/>
    <w:qFormat/>
    <w:pPr>
      <w:ind w:left="1296" w:hanging="1296"/>
      <w:keepLines/>
      <w:keepNext/>
      <w:spacing w:before="240" w:after="64" w:line="317" w:lineRule="auto"/>
      <w:tabs>
        <w:tab w:val="left" w:pos="1296" w:leader="none"/>
      </w:tabs>
      <w:outlineLvl w:val="6"/>
    </w:pPr>
    <w:rPr>
      <w:b/>
      <w:bCs/>
      <w:sz w:val="24"/>
    </w:rPr>
  </w:style>
  <w:style w:type="paragraph" w:styleId="965">
    <w:name w:val="Heading 8"/>
    <w:basedOn w:val="957"/>
    <w:next w:val="957"/>
    <w:link w:val="1180"/>
    <w:uiPriority w:val="9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966">
    <w:name w:val="Heading 9"/>
    <w:basedOn w:val="957"/>
    <w:next w:val="957"/>
    <w:link w:val="1181"/>
    <w:uiPriority w:val="9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967" w:default="1">
    <w:name w:val="Default Paragraph Font"/>
    <w:uiPriority w:val="1"/>
    <w:semiHidden/>
    <w:unhideWhenUsed/>
    <w:qFormat/>
  </w:style>
  <w:style w:type="table" w:styleId="968" w:default="1">
    <w:name w:val="Normal Table"/>
    <w:uiPriority w:val="99"/>
    <w:semiHidden/>
    <w:unhideWhenUsed/>
    <w:qFormat/>
    <w:tblPr>
      <w:tblCellMar>
        <w:left w:w="108" w:type="dxa"/>
        <w:top w:w="0" w:type="dxa"/>
        <w:right w:w="108" w:type="dxa"/>
        <w:bottom w:w="0" w:type="dxa"/>
      </w:tblCellMar>
    </w:tblPr>
  </w:style>
  <w:style w:type="paragraph" w:styleId="969">
    <w:name w:val="Normal Indent"/>
    <w:basedOn w:val="957"/>
    <w:uiPriority w:val="99"/>
    <w:qFormat/>
    <w:pPr>
      <w:ind w:firstLine="420"/>
    </w:pPr>
    <w:rPr>
      <w:szCs w:val="20"/>
    </w:rPr>
  </w:style>
  <w:style w:type="paragraph" w:styleId="970">
    <w:name w:val="List 3"/>
    <w:basedOn w:val="957"/>
    <w:uiPriority w:val="99"/>
    <w:qFormat/>
    <w:pPr>
      <w:ind w:left="1260" w:hanging="420"/>
    </w:pPr>
    <w:rPr>
      <w:szCs w:val="20"/>
    </w:rPr>
  </w:style>
  <w:style w:type="paragraph" w:styleId="971">
    <w:name w:val="toc 7"/>
    <w:basedOn w:val="957"/>
    <w:next w:val="957"/>
    <w:uiPriority w:val="99"/>
    <w:semiHidden/>
    <w:qFormat/>
    <w:pPr>
      <w:ind w:left="1260"/>
      <w:jc w:val="left"/>
    </w:pPr>
    <w:rPr>
      <w:szCs w:val="21"/>
    </w:rPr>
  </w:style>
  <w:style w:type="paragraph" w:styleId="972">
    <w:name w:val="List Number 2"/>
    <w:basedOn w:val="957"/>
    <w:uiPriority w:val="99"/>
    <w:qFormat/>
    <w:pPr>
      <w:ind w:left="1440" w:hanging="1440"/>
      <w:spacing w:line="360" w:lineRule="auto"/>
      <w:tabs>
        <w:tab w:val="left" w:pos="1440" w:leader="none"/>
      </w:tabs>
    </w:pPr>
    <w:rPr>
      <w:sz w:val="24"/>
    </w:rPr>
  </w:style>
  <w:style w:type="paragraph" w:styleId="973">
    <w:name w:val="List Number"/>
    <w:basedOn w:val="957"/>
    <w:uiPriority w:val="99"/>
    <w:qFormat/>
    <w:pPr>
      <w:ind w:left="2952" w:hanging="432"/>
      <w:tabs>
        <w:tab w:val="left" w:pos="2952" w:leader="none"/>
      </w:tabs>
    </w:pPr>
  </w:style>
  <w:style w:type="paragraph" w:styleId="974">
    <w:name w:val="Caption"/>
    <w:basedOn w:val="957"/>
    <w:next w:val="95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75">
    <w:name w:val="Document Map"/>
    <w:basedOn w:val="957"/>
    <w:link w:val="1182"/>
    <w:uiPriority w:val="99"/>
    <w:semiHidden/>
    <w:qFormat/>
    <w:pPr>
      <w:shd w:val="clear" w:color="auto" w:fill="000080"/>
    </w:pPr>
    <w:rPr>
      <w:sz w:val="24"/>
    </w:rPr>
  </w:style>
  <w:style w:type="paragraph" w:styleId="976">
    <w:name w:val="annotation text"/>
    <w:basedOn w:val="957"/>
    <w:link w:val="1183"/>
    <w:uiPriority w:val="0"/>
    <w:qFormat/>
    <w:pPr>
      <w:jc w:val="left"/>
    </w:pPr>
    <w:rPr>
      <w:sz w:val="20"/>
      <w:szCs w:val="20"/>
    </w:rPr>
  </w:style>
  <w:style w:type="paragraph" w:styleId="977">
    <w:name w:val="Salutation"/>
    <w:basedOn w:val="957"/>
    <w:next w:val="957"/>
    <w:link w:val="1184"/>
    <w:uiPriority w:val="99"/>
    <w:qFormat/>
    <w:rPr>
      <w:rFonts w:ascii="仿宋_GB2312" w:eastAsia="仿宋_GB2312"/>
      <w:sz w:val="20"/>
      <w:szCs w:val="20"/>
    </w:rPr>
  </w:style>
  <w:style w:type="paragraph" w:styleId="978">
    <w:name w:val="Body Text 3"/>
    <w:basedOn w:val="957"/>
    <w:link w:val="1185"/>
    <w:uiPriority w:val="99"/>
    <w:qFormat/>
    <w:pPr>
      <w:spacing w:after="120"/>
    </w:pPr>
    <w:rPr>
      <w:sz w:val="16"/>
      <w:szCs w:val="16"/>
    </w:rPr>
  </w:style>
  <w:style w:type="paragraph" w:styleId="979">
    <w:name w:val="Body Text"/>
    <w:basedOn w:val="957"/>
    <w:link w:val="1173"/>
    <w:uiPriority w:val="99"/>
    <w:qFormat/>
    <w:pPr>
      <w:spacing w:after="120"/>
    </w:pPr>
    <w:rPr>
      <w:sz w:val="24"/>
    </w:rPr>
  </w:style>
  <w:style w:type="paragraph" w:styleId="980">
    <w:name w:val="Body Text Indent"/>
    <w:basedOn w:val="957"/>
    <w:next w:val="981"/>
    <w:link w:val="1186"/>
    <w:uiPriority w:val="99"/>
    <w:qFormat/>
    <w:pPr>
      <w:ind w:left="420"/>
      <w:spacing w:after="120"/>
    </w:pPr>
    <w:rPr>
      <w:sz w:val="24"/>
    </w:rPr>
  </w:style>
  <w:style w:type="paragraph" w:styleId="981">
    <w:name w:val="Body Text First Indent 2"/>
    <w:basedOn w:val="980"/>
    <w:link w:val="1203"/>
    <w:uiPriority w:val="99"/>
    <w:qFormat/>
    <w:pPr>
      <w:ind w:left="0" w:firstLine="420"/>
      <w:spacing w:after="0" w:line="360" w:lineRule="auto"/>
    </w:pPr>
    <w:rPr>
      <w:rFonts w:ascii="宋体" w:hAnsi="宋体"/>
      <w:sz w:val="20"/>
      <w:szCs w:val="20"/>
    </w:rPr>
  </w:style>
  <w:style w:type="paragraph" w:styleId="982">
    <w:name w:val="List 2"/>
    <w:basedOn w:val="957"/>
    <w:uiPriority w:val="99"/>
    <w:qFormat/>
    <w:pPr>
      <w:ind w:left="100" w:hanging="200"/>
    </w:pPr>
    <w:rPr>
      <w:szCs w:val="21"/>
    </w:rPr>
  </w:style>
  <w:style w:type="paragraph" w:styleId="983">
    <w:name w:val="toc 5"/>
    <w:basedOn w:val="957"/>
    <w:next w:val="957"/>
    <w:uiPriority w:val="99"/>
    <w:semiHidden/>
    <w:qFormat/>
    <w:pPr>
      <w:ind w:left="840"/>
      <w:jc w:val="left"/>
    </w:pPr>
    <w:rPr>
      <w:szCs w:val="21"/>
    </w:rPr>
  </w:style>
  <w:style w:type="paragraph" w:styleId="984">
    <w:name w:val="toc 3"/>
    <w:basedOn w:val="957"/>
    <w:next w:val="957"/>
    <w:uiPriority w:val="99"/>
    <w:semiHidden/>
    <w:qFormat/>
    <w:pPr>
      <w:ind w:left="840"/>
    </w:pPr>
  </w:style>
  <w:style w:type="paragraph" w:styleId="985">
    <w:name w:val="Plain Text"/>
    <w:basedOn w:val="957"/>
    <w:link w:val="1187"/>
    <w:uiPriority w:val="0"/>
    <w:qFormat/>
    <w:rPr>
      <w:rFonts w:ascii="宋体" w:hAnsi="Courier New"/>
      <w:szCs w:val="21"/>
    </w:rPr>
  </w:style>
  <w:style w:type="paragraph" w:styleId="986">
    <w:name w:val="toc 8"/>
    <w:basedOn w:val="957"/>
    <w:next w:val="957"/>
    <w:uiPriority w:val="99"/>
    <w:semiHidden/>
    <w:qFormat/>
    <w:pPr>
      <w:ind w:left="1470"/>
      <w:jc w:val="left"/>
    </w:pPr>
    <w:rPr>
      <w:szCs w:val="21"/>
    </w:rPr>
  </w:style>
  <w:style w:type="paragraph" w:styleId="987">
    <w:name w:val="index 3"/>
    <w:basedOn w:val="957"/>
    <w:next w:val="957"/>
    <w:uiPriority w:val="99"/>
    <w:semiHidden/>
    <w:qFormat/>
    <w:pPr>
      <w:ind w:left="840"/>
    </w:pPr>
    <w:rPr>
      <w:szCs w:val="20"/>
    </w:rPr>
  </w:style>
  <w:style w:type="paragraph" w:styleId="988">
    <w:name w:val="Date"/>
    <w:basedOn w:val="957"/>
    <w:next w:val="957"/>
    <w:link w:val="1188"/>
    <w:uiPriority w:val="99"/>
    <w:qFormat/>
    <w:pPr>
      <w:ind w:left="100"/>
    </w:pPr>
    <w:rPr>
      <w:sz w:val="20"/>
      <w:szCs w:val="20"/>
    </w:rPr>
  </w:style>
  <w:style w:type="paragraph" w:styleId="989">
    <w:name w:val="Body Text Indent 2"/>
    <w:basedOn w:val="957"/>
    <w:link w:val="1189"/>
    <w:uiPriority w:val="99"/>
    <w:qFormat/>
    <w:pPr>
      <w:ind w:firstLine="480"/>
      <w:spacing w:line="400" w:lineRule="exact"/>
    </w:pPr>
    <w:rPr>
      <w:rFonts w:ascii="宋体" w:hAnsi="宋体"/>
      <w:sz w:val="24"/>
    </w:rPr>
  </w:style>
  <w:style w:type="paragraph" w:styleId="990">
    <w:name w:val="endnote text"/>
    <w:basedOn w:val="957"/>
    <w:link w:val="1190"/>
    <w:uiPriority w:val="99"/>
    <w:semiHidden/>
    <w:qFormat/>
    <w:pPr>
      <w:jc w:val="left"/>
    </w:pPr>
    <w:rPr>
      <w:sz w:val="24"/>
    </w:rPr>
  </w:style>
  <w:style w:type="paragraph" w:styleId="991">
    <w:name w:val="Balloon Text"/>
    <w:basedOn w:val="957"/>
    <w:link w:val="1191"/>
    <w:uiPriority w:val="99"/>
    <w:semiHidden/>
    <w:qFormat/>
    <w:rPr>
      <w:sz w:val="18"/>
      <w:szCs w:val="18"/>
    </w:rPr>
  </w:style>
  <w:style w:type="paragraph" w:styleId="992">
    <w:name w:val="Footer"/>
    <w:basedOn w:val="957"/>
    <w:link w:val="1192"/>
    <w:uiPriority w:val="0"/>
    <w:qFormat/>
    <w:pPr>
      <w:jc w:val="left"/>
      <w:tabs>
        <w:tab w:val="center" w:pos="4153" w:leader="none"/>
        <w:tab w:val="right" w:pos="8306" w:leader="none"/>
      </w:tabs>
    </w:pPr>
    <w:rPr>
      <w:sz w:val="18"/>
      <w:szCs w:val="18"/>
    </w:rPr>
  </w:style>
  <w:style w:type="paragraph" w:styleId="993">
    <w:name w:val="envelope return"/>
    <w:basedOn w:val="957"/>
    <w:uiPriority w:val="99"/>
    <w:unhideWhenUsed/>
    <w:qFormat/>
    <w:rPr>
      <w:rFonts w:ascii="Arial" w:hAnsi="Arial"/>
    </w:rPr>
  </w:style>
  <w:style w:type="paragraph" w:styleId="994">
    <w:name w:val="Header"/>
    <w:basedOn w:val="957"/>
    <w:link w:val="1193"/>
    <w:uiPriority w:val="0"/>
    <w:qFormat/>
    <w:pPr>
      <w:jc w:val="center"/>
      <w:tabs>
        <w:tab w:val="center" w:pos="4153" w:leader="none"/>
        <w:tab w:val="right" w:pos="8306" w:leader="none"/>
      </w:tabs>
      <w:pBdr>
        <w:bottom w:val="single" w:color="auto" w:sz="6" w:space="1"/>
      </w:pBdr>
    </w:pPr>
    <w:rPr>
      <w:sz w:val="18"/>
      <w:szCs w:val="18"/>
    </w:rPr>
  </w:style>
  <w:style w:type="paragraph" w:styleId="995">
    <w:name w:val="Signature"/>
    <w:basedOn w:val="957"/>
    <w:link w:val="1194"/>
    <w:uiPriority w:val="99"/>
    <w:qFormat/>
    <w:pPr>
      <w:jc w:val="center"/>
      <w:spacing w:after="600" w:line="312" w:lineRule="atLeast"/>
    </w:pPr>
    <w:rPr>
      <w:rFonts w:eastAsia="仿宋_GB2312"/>
      <w:sz w:val="20"/>
      <w:szCs w:val="20"/>
    </w:rPr>
  </w:style>
  <w:style w:type="paragraph" w:styleId="996">
    <w:name w:val="toc 1"/>
    <w:basedOn w:val="957"/>
    <w:next w:val="957"/>
    <w:uiPriority w:val="99"/>
    <w:semiHidden/>
    <w:qFormat/>
  </w:style>
  <w:style w:type="paragraph" w:styleId="997">
    <w:name w:val="toc 4"/>
    <w:basedOn w:val="957"/>
    <w:next w:val="957"/>
    <w:uiPriority w:val="99"/>
    <w:semiHidden/>
    <w:qFormat/>
    <w:pPr>
      <w:ind w:left="630"/>
      <w:jc w:val="left"/>
    </w:pPr>
    <w:rPr>
      <w:szCs w:val="21"/>
    </w:rPr>
  </w:style>
  <w:style w:type="paragraph" w:styleId="998">
    <w:name w:val="index heading"/>
    <w:basedOn w:val="957"/>
    <w:next w:val="999"/>
    <w:uiPriority w:val="99"/>
    <w:semiHidden/>
    <w:qFormat/>
    <w:rPr>
      <w:szCs w:val="20"/>
    </w:rPr>
  </w:style>
  <w:style w:type="paragraph" w:styleId="999">
    <w:name w:val="index 1"/>
    <w:basedOn w:val="957"/>
    <w:next w:val="957"/>
    <w:uiPriority w:val="99"/>
    <w:semiHidden/>
    <w:qFormat/>
    <w:pPr>
      <w:jc w:val="center"/>
      <w:tabs>
        <w:tab w:val="left" w:pos="1260" w:leader="none"/>
      </w:tabs>
    </w:pPr>
    <w:rPr>
      <w:rFonts w:ascii="仿宋_GB2312" w:hAnsi="宋体" w:eastAsia="仿宋_GB2312"/>
      <w:sz w:val="30"/>
      <w:szCs w:val="20"/>
    </w:rPr>
  </w:style>
  <w:style w:type="paragraph" w:styleId="1000">
    <w:name w:val="Subtitle"/>
    <w:basedOn w:val="957"/>
    <w:next w:val="957"/>
    <w:link w:val="1195"/>
    <w:uiPriority w:val="99"/>
    <w:qFormat/>
    <w:pPr>
      <w:jc w:val="left"/>
      <w:spacing w:after="600" w:line="276" w:lineRule="auto"/>
      <w:widowControl/>
    </w:pPr>
    <w:rPr>
      <w:rFonts w:ascii="Cambria" w:hAnsi="Cambria"/>
      <w:i/>
      <w:iCs/>
      <w:spacing w:val="13"/>
      <w:sz w:val="24"/>
      <w:lang w:eastAsia="en-US"/>
    </w:rPr>
  </w:style>
  <w:style w:type="paragraph" w:styleId="1001">
    <w:name w:val="List"/>
    <w:basedOn w:val="957"/>
    <w:uiPriority w:val="99"/>
    <w:qFormat/>
    <w:pPr>
      <w:ind w:left="200" w:hanging="200"/>
    </w:pPr>
    <w:rPr>
      <w:szCs w:val="21"/>
    </w:rPr>
  </w:style>
  <w:style w:type="paragraph" w:styleId="1002">
    <w:name w:val="footnote text"/>
    <w:basedOn w:val="957"/>
    <w:link w:val="1196"/>
    <w:uiPriority w:val="99"/>
    <w:semiHidden/>
    <w:qFormat/>
    <w:pPr>
      <w:jc w:val="left"/>
    </w:pPr>
    <w:rPr>
      <w:sz w:val="18"/>
      <w:szCs w:val="18"/>
    </w:rPr>
  </w:style>
  <w:style w:type="paragraph" w:styleId="1003">
    <w:name w:val="toc 6"/>
    <w:basedOn w:val="957"/>
    <w:next w:val="957"/>
    <w:uiPriority w:val="99"/>
    <w:semiHidden/>
    <w:qFormat/>
    <w:pPr>
      <w:ind w:left="1050"/>
      <w:jc w:val="left"/>
    </w:pPr>
    <w:rPr>
      <w:szCs w:val="21"/>
    </w:rPr>
  </w:style>
  <w:style w:type="paragraph" w:styleId="1004">
    <w:name w:val="Body Text Indent 3"/>
    <w:basedOn w:val="957"/>
    <w:link w:val="1197"/>
    <w:uiPriority w:val="99"/>
    <w:qFormat/>
    <w:pPr>
      <w:ind w:left="480"/>
      <w:spacing w:before="120" w:after="120" w:line="264" w:lineRule="auto"/>
    </w:pPr>
    <w:rPr>
      <w:b/>
      <w:bCs/>
      <w:sz w:val="20"/>
      <w:szCs w:val="20"/>
    </w:rPr>
  </w:style>
  <w:style w:type="paragraph" w:styleId="1005">
    <w:name w:val="table of figures"/>
    <w:basedOn w:val="957"/>
    <w:next w:val="957"/>
    <w:uiPriority w:val="99"/>
    <w:semiHidden/>
    <w:qFormat/>
    <w:pPr>
      <w:ind w:left="840" w:hanging="420"/>
    </w:pPr>
    <w:rPr>
      <w:szCs w:val="21"/>
    </w:rPr>
  </w:style>
  <w:style w:type="paragraph" w:styleId="1006">
    <w:name w:val="toc 2"/>
    <w:basedOn w:val="957"/>
    <w:next w:val="957"/>
    <w:uiPriority w:val="99"/>
    <w:semiHidden/>
    <w:qFormat/>
    <w:pPr>
      <w:ind w:left="420"/>
    </w:pPr>
  </w:style>
  <w:style w:type="paragraph" w:styleId="1007">
    <w:name w:val="toc 9"/>
    <w:basedOn w:val="957"/>
    <w:next w:val="957"/>
    <w:uiPriority w:val="99"/>
    <w:semiHidden/>
    <w:qFormat/>
    <w:pPr>
      <w:ind w:left="1680"/>
      <w:jc w:val="left"/>
    </w:pPr>
    <w:rPr>
      <w:szCs w:val="21"/>
    </w:rPr>
  </w:style>
  <w:style w:type="paragraph" w:styleId="1008">
    <w:name w:val="Body Text 2"/>
    <w:basedOn w:val="957"/>
    <w:link w:val="1198"/>
    <w:uiPriority w:val="99"/>
    <w:qFormat/>
    <w:pPr>
      <w:jc w:val="center"/>
    </w:pPr>
    <w:rPr>
      <w:b/>
      <w:bCs/>
      <w:sz w:val="20"/>
      <w:szCs w:val="20"/>
    </w:rPr>
  </w:style>
  <w:style w:type="paragraph" w:styleId="1009">
    <w:name w:val="HTML Preformatted"/>
    <w:basedOn w:val="957"/>
    <w:link w:val="119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10">
    <w:name w:val="Normal (Web)"/>
    <w:basedOn w:val="957"/>
    <w:uiPriority w:val="99"/>
    <w:qFormat/>
    <w:pPr>
      <w:jc w:val="left"/>
      <w:spacing w:before="100" w:beforeAutospacing="1" w:after="100" w:afterAutospacing="1"/>
      <w:widowControl/>
    </w:pPr>
    <w:rPr>
      <w:rFonts w:ascii="宋体" w:hAnsi="宋体" w:cs="宋体"/>
      <w:sz w:val="24"/>
    </w:rPr>
  </w:style>
  <w:style w:type="paragraph" w:styleId="1011">
    <w:name w:val="index 2"/>
    <w:basedOn w:val="957"/>
    <w:next w:val="957"/>
    <w:uiPriority w:val="99"/>
    <w:semiHidden/>
    <w:qFormat/>
    <w:pPr>
      <w:ind w:left="420"/>
      <w:jc w:val="center"/>
    </w:pPr>
    <w:rPr>
      <w:rFonts w:ascii="宋体" w:hAnsi="宋体"/>
      <w:b/>
      <w:sz w:val="32"/>
      <w:szCs w:val="20"/>
    </w:rPr>
  </w:style>
  <w:style w:type="paragraph" w:styleId="1012">
    <w:name w:val="Title"/>
    <w:basedOn w:val="957"/>
    <w:next w:val="957"/>
    <w:link w:val="1200"/>
    <w:uiPriority w:val="99"/>
    <w:qFormat/>
    <w:pPr>
      <w:jc w:val="center"/>
      <w:spacing w:line="420" w:lineRule="exact"/>
      <w:widowControl/>
    </w:pPr>
    <w:rPr>
      <w:rFonts w:eastAsia="黑体"/>
      <w:b/>
      <w:sz w:val="20"/>
      <w:szCs w:val="20"/>
      <w:lang w:val="en-GB"/>
    </w:rPr>
  </w:style>
  <w:style w:type="paragraph" w:styleId="1013">
    <w:name w:val="annotation subject"/>
    <w:basedOn w:val="976"/>
    <w:next w:val="976"/>
    <w:link w:val="1201"/>
    <w:uiPriority w:val="99"/>
    <w:semiHidden/>
    <w:qFormat/>
    <w:rPr>
      <w:b/>
      <w:bCs/>
      <w:sz w:val="24"/>
    </w:rPr>
  </w:style>
  <w:style w:type="paragraph" w:styleId="1014">
    <w:name w:val="Body Text First Indent"/>
    <w:basedOn w:val="979"/>
    <w:link w:val="1202"/>
    <w:uiPriority w:val="99"/>
    <w:qFormat/>
    <w:pPr>
      <w:ind w:firstLine="420"/>
    </w:pPr>
  </w:style>
  <w:style w:type="table" w:styleId="1015">
    <w:name w:val="Table Grid"/>
    <w:basedOn w:val="968"/>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6">
    <w:name w:val="Strong"/>
    <w:uiPriority w:val="99"/>
    <w:qFormat/>
    <w:rPr>
      <w:rFonts w:cs="Times New Roman"/>
      <w:b/>
    </w:rPr>
  </w:style>
  <w:style w:type="character" w:styleId="1017">
    <w:name w:val="endnote reference"/>
    <w:uiPriority w:val="99"/>
    <w:semiHidden/>
    <w:qFormat/>
    <w:rPr>
      <w:rFonts w:cs="Times New Roman"/>
      <w:vertAlign w:val="superscript"/>
    </w:rPr>
  </w:style>
  <w:style w:type="character" w:styleId="1018">
    <w:name w:val="page number"/>
    <w:uiPriority w:val="99"/>
    <w:qFormat/>
    <w:rPr>
      <w:rFonts w:cs="Times New Roman"/>
    </w:rPr>
  </w:style>
  <w:style w:type="character" w:styleId="1019">
    <w:name w:val="FollowedHyperlink"/>
    <w:uiPriority w:val="99"/>
    <w:qFormat/>
    <w:rPr>
      <w:rFonts w:cs="Times New Roman"/>
      <w:color w:val="auto"/>
      <w:u w:val="none"/>
    </w:rPr>
  </w:style>
  <w:style w:type="character" w:styleId="1020">
    <w:name w:val="Emphasis"/>
    <w:uiPriority w:val="99"/>
    <w:qFormat/>
    <w:rPr>
      <w:rFonts w:cs="Times New Roman"/>
      <w:b/>
      <w:i/>
      <w:spacing w:val="10"/>
      <w:shd w:val="clear" w:color="auto" w:fill="auto"/>
    </w:rPr>
  </w:style>
  <w:style w:type="character" w:styleId="1021">
    <w:name w:val="line number"/>
    <w:uiPriority w:val="99"/>
    <w:qFormat/>
    <w:rPr>
      <w:rFonts w:cs="Times New Roman"/>
    </w:rPr>
  </w:style>
  <w:style w:type="character" w:styleId="1022">
    <w:name w:val="HTML Typewriter"/>
    <w:uiPriority w:val="99"/>
    <w:qFormat/>
    <w:rPr>
      <w:rFonts w:ascii="宋体" w:hAnsi="宋体" w:eastAsia="宋体" w:cs="Times New Roman"/>
      <w:sz w:val="24"/>
    </w:rPr>
  </w:style>
  <w:style w:type="character" w:styleId="1023">
    <w:name w:val="Hyperlink"/>
    <w:basedOn w:val="967"/>
    <w:uiPriority w:val="99"/>
    <w:qFormat/>
    <w:rPr>
      <w:rFonts w:cs="Times New Roman"/>
      <w:color w:val="auto"/>
      <w:u w:val="none"/>
    </w:rPr>
  </w:style>
  <w:style w:type="character" w:styleId="1024">
    <w:name w:val="annotation reference"/>
    <w:basedOn w:val="967"/>
    <w:uiPriority w:val="0"/>
    <w:qFormat/>
    <w:rPr>
      <w:rFonts w:cs="Times New Roman"/>
      <w:sz w:val="21"/>
    </w:rPr>
  </w:style>
  <w:style w:type="character" w:styleId="1025">
    <w:name w:val="footnote reference"/>
    <w:uiPriority w:val="99"/>
    <w:semiHidden/>
    <w:qFormat/>
    <w:rPr>
      <w:rFonts w:cs="Times New Roman"/>
      <w:vertAlign w:val="superscript"/>
    </w:rPr>
  </w:style>
  <w:style w:type="character" w:styleId="1026">
    <w:name w:val="HTML Sample"/>
    <w:uiPriority w:val="99"/>
    <w:qFormat/>
    <w:rPr>
      <w:rFonts w:ascii="Courier New" w:hAnsi="宋体" w:eastAsia="宋体" w:cs="Times New Roman"/>
    </w:rPr>
  </w:style>
  <w:style w:type="character" w:styleId="1027" w:customStyle="1">
    <w:name w:val="Heading 1 Char"/>
    <w:basedOn w:val="967"/>
    <w:uiPriority w:val="9"/>
    <w:qFormat/>
    <w:rPr>
      <w:rFonts w:ascii="Arial" w:hAnsi="Arial" w:eastAsia="Arial" w:cs="Arial"/>
      <w:sz w:val="40"/>
      <w:szCs w:val="40"/>
    </w:rPr>
  </w:style>
  <w:style w:type="character" w:styleId="1028" w:customStyle="1">
    <w:name w:val="Heading 2 Char"/>
    <w:basedOn w:val="967"/>
    <w:uiPriority w:val="9"/>
    <w:qFormat/>
    <w:rPr>
      <w:rFonts w:ascii="Arial" w:hAnsi="Arial" w:eastAsia="Arial" w:cs="Arial"/>
      <w:sz w:val="34"/>
    </w:rPr>
  </w:style>
  <w:style w:type="character" w:styleId="1029" w:customStyle="1">
    <w:name w:val="Heading 3 Char"/>
    <w:basedOn w:val="967"/>
    <w:uiPriority w:val="9"/>
    <w:qFormat/>
    <w:rPr>
      <w:rFonts w:ascii="Arial" w:hAnsi="Arial" w:eastAsia="Arial" w:cs="Arial"/>
      <w:sz w:val="30"/>
      <w:szCs w:val="30"/>
    </w:rPr>
  </w:style>
  <w:style w:type="character" w:styleId="1030" w:customStyle="1">
    <w:name w:val="Heading 4 Char"/>
    <w:basedOn w:val="967"/>
    <w:uiPriority w:val="9"/>
    <w:qFormat/>
    <w:rPr>
      <w:rFonts w:ascii="Arial" w:hAnsi="Arial" w:eastAsia="Arial" w:cs="Arial"/>
      <w:b/>
      <w:bCs/>
      <w:sz w:val="26"/>
      <w:szCs w:val="26"/>
    </w:rPr>
  </w:style>
  <w:style w:type="character" w:styleId="1031" w:customStyle="1">
    <w:name w:val="Heading 5 Char"/>
    <w:basedOn w:val="967"/>
    <w:uiPriority w:val="9"/>
    <w:qFormat/>
    <w:rPr>
      <w:rFonts w:ascii="Arial" w:hAnsi="Arial" w:eastAsia="Arial" w:cs="Arial"/>
      <w:b/>
      <w:bCs/>
      <w:sz w:val="24"/>
      <w:szCs w:val="24"/>
    </w:rPr>
  </w:style>
  <w:style w:type="character" w:styleId="1032" w:customStyle="1">
    <w:name w:val="Heading 6 Char"/>
    <w:basedOn w:val="967"/>
    <w:uiPriority w:val="9"/>
    <w:qFormat/>
    <w:rPr>
      <w:rFonts w:ascii="Arial" w:hAnsi="Arial" w:eastAsia="Arial" w:cs="Arial"/>
      <w:b/>
      <w:bCs/>
      <w:sz w:val="22"/>
      <w:szCs w:val="22"/>
    </w:rPr>
  </w:style>
  <w:style w:type="character" w:styleId="1033" w:customStyle="1">
    <w:name w:val="Heading 7 Char"/>
    <w:basedOn w:val="967"/>
    <w:uiPriority w:val="9"/>
    <w:qFormat/>
    <w:rPr>
      <w:rFonts w:ascii="Arial" w:hAnsi="Arial" w:eastAsia="Arial" w:cs="Arial"/>
      <w:b/>
      <w:bCs/>
      <w:i/>
      <w:iCs/>
      <w:sz w:val="22"/>
      <w:szCs w:val="22"/>
    </w:rPr>
  </w:style>
  <w:style w:type="character" w:styleId="1034" w:customStyle="1">
    <w:name w:val="Heading 8 Char"/>
    <w:basedOn w:val="967"/>
    <w:uiPriority w:val="9"/>
    <w:qFormat/>
    <w:rPr>
      <w:rFonts w:ascii="Arial" w:hAnsi="Arial" w:eastAsia="Arial" w:cs="Arial"/>
      <w:i/>
      <w:iCs/>
      <w:sz w:val="22"/>
      <w:szCs w:val="22"/>
    </w:rPr>
  </w:style>
  <w:style w:type="character" w:styleId="1035" w:customStyle="1">
    <w:name w:val="Heading 9 Char"/>
    <w:basedOn w:val="967"/>
    <w:uiPriority w:val="9"/>
    <w:qFormat/>
    <w:rPr>
      <w:rFonts w:ascii="Arial" w:hAnsi="Arial" w:eastAsia="Arial" w:cs="Arial"/>
      <w:i/>
      <w:iCs/>
      <w:sz w:val="21"/>
      <w:szCs w:val="21"/>
    </w:rPr>
  </w:style>
  <w:style w:type="paragraph" w:styleId="1036">
    <w:name w:val="No Spacing"/>
    <w:uiPriority w:val="1"/>
    <w:qFormat/>
    <w:rPr>
      <w:rFonts w:ascii="Times New Roman" w:hAnsi="Times New Roman" w:eastAsia="宋体" w:cs="Times New Roman"/>
      <w:lang w:val="en-US" w:eastAsia="zh-CN" w:bidi="ar-SA"/>
    </w:rPr>
  </w:style>
  <w:style w:type="character" w:styleId="1037" w:customStyle="1">
    <w:name w:val="Title Char"/>
    <w:basedOn w:val="967"/>
    <w:uiPriority w:val="10"/>
    <w:qFormat/>
    <w:rPr>
      <w:sz w:val="48"/>
      <w:szCs w:val="48"/>
    </w:rPr>
  </w:style>
  <w:style w:type="character" w:styleId="1038" w:customStyle="1">
    <w:name w:val="Subtitle Char"/>
    <w:basedOn w:val="967"/>
    <w:uiPriority w:val="11"/>
    <w:qFormat/>
    <w:rPr>
      <w:sz w:val="24"/>
      <w:szCs w:val="24"/>
    </w:rPr>
  </w:style>
  <w:style w:type="paragraph" w:styleId="1039">
    <w:name w:val="Quote"/>
    <w:basedOn w:val="957"/>
    <w:next w:val="957"/>
    <w:uiPriority w:val="29"/>
    <w:qFormat/>
    <w:pPr>
      <w:ind w:left="720" w:right="720"/>
    </w:pPr>
    <w:rPr>
      <w:i/>
    </w:rPr>
  </w:style>
  <w:style w:type="paragraph" w:styleId="1040">
    <w:name w:val="Intense Quote"/>
    <w:basedOn w:val="957"/>
    <w:next w:val="9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1" w:customStyle="1">
    <w:name w:val="Header Char"/>
    <w:basedOn w:val="967"/>
    <w:uiPriority w:val="99"/>
    <w:qFormat/>
  </w:style>
  <w:style w:type="character" w:styleId="1042" w:customStyle="1">
    <w:name w:val="Footer Char"/>
    <w:basedOn w:val="967"/>
    <w:uiPriority w:val="99"/>
    <w:qFormat/>
  </w:style>
  <w:style w:type="character" w:styleId="1043" w:customStyle="1">
    <w:name w:val="Caption Char"/>
    <w:uiPriority w:val="99"/>
    <w:qFormat/>
  </w:style>
  <w:style w:type="table" w:styleId="1044" w:customStyle="1">
    <w:name w:val="Table Grid Light"/>
    <w:basedOn w:val="96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45" w:customStyle="1">
    <w:name w:val="Plain Table 1"/>
    <w:basedOn w:val="96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6" w:customStyle="1">
    <w:name w:val="Plain Table 2"/>
    <w:basedOn w:val="96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7" w:customStyle="1">
    <w:name w:val="Plain Table 3"/>
    <w:basedOn w:val="96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8" w:customStyle="1">
    <w:name w:val="Plain Table 4"/>
    <w:basedOn w:val="96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9" w:customStyle="1">
    <w:name w:val="Plain Table 5"/>
    <w:basedOn w:val="96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50" w:customStyle="1">
    <w:name w:val="Grid Table 1 Light"/>
    <w:basedOn w:val="96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51" w:customStyle="1">
    <w:name w:val="Grid Table 1 Light - Accent 1"/>
    <w:basedOn w:val="96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52" w:customStyle="1">
    <w:name w:val="Grid Table 1 Light - Accent 2"/>
    <w:basedOn w:val="96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53" w:customStyle="1">
    <w:name w:val="Grid Table 1 Light - Accent 3"/>
    <w:basedOn w:val="96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54" w:customStyle="1">
    <w:name w:val="Grid Table 1 Light - Accent 4"/>
    <w:basedOn w:val="96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55" w:customStyle="1">
    <w:name w:val="Grid Table 1 Light - Accent 5"/>
    <w:basedOn w:val="96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56" w:customStyle="1">
    <w:name w:val="Grid Table 1 Light - Accent 6"/>
    <w:basedOn w:val="96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57" w:customStyle="1">
    <w:name w:val="Grid Table 2"/>
    <w:basedOn w:val="96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58" w:customStyle="1">
    <w:name w:val="Grid Table 2 - Accent 1"/>
    <w:basedOn w:val="96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59" w:customStyle="1">
    <w:name w:val="Grid Table 2 - Accent 2"/>
    <w:basedOn w:val="96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60" w:customStyle="1">
    <w:name w:val="Grid Table 2 - Accent 3"/>
    <w:basedOn w:val="96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61" w:customStyle="1">
    <w:name w:val="Grid Table 2 - Accent 4"/>
    <w:basedOn w:val="96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62" w:customStyle="1">
    <w:name w:val="Grid Table 2 - Accent 5"/>
    <w:basedOn w:val="968"/>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63" w:customStyle="1">
    <w:name w:val="Grid Table 2 - Accent 6"/>
    <w:basedOn w:val="968"/>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64" w:customStyle="1">
    <w:name w:val="Grid Table 3"/>
    <w:basedOn w:val="96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5" w:customStyle="1">
    <w:name w:val="Grid Table 3 - Accent 1"/>
    <w:basedOn w:val="96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6" w:customStyle="1">
    <w:name w:val="Grid Table 3 - Accent 2"/>
    <w:basedOn w:val="96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7" w:customStyle="1">
    <w:name w:val="Grid Table 3 - Accent 3"/>
    <w:basedOn w:val="96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8" w:customStyle="1">
    <w:name w:val="Grid Table 3 - Accent 4"/>
    <w:basedOn w:val="96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9" w:customStyle="1">
    <w:name w:val="Grid Table 3 - Accent 5"/>
    <w:basedOn w:val="968"/>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0" w:customStyle="1">
    <w:name w:val="Grid Table 3 - Accent 6"/>
    <w:basedOn w:val="968"/>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1" w:customStyle="1">
    <w:name w:val="Grid Table 4"/>
    <w:basedOn w:val="96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2" w:customStyle="1">
    <w:name w:val="Grid Table 4 - Accent 1"/>
    <w:basedOn w:val="96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73" w:customStyle="1">
    <w:name w:val="Grid Table 4 - Accent 2"/>
    <w:basedOn w:val="96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74" w:customStyle="1">
    <w:name w:val="Grid Table 4 - Accent 3"/>
    <w:basedOn w:val="96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75" w:customStyle="1">
    <w:name w:val="Grid Table 4 - Accent 4"/>
    <w:basedOn w:val="96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76" w:customStyle="1">
    <w:name w:val="Grid Table 4 - Accent 5"/>
    <w:basedOn w:val="96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77" w:customStyle="1">
    <w:name w:val="Grid Table 4 - Accent 6"/>
    <w:basedOn w:val="96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78" w:customStyle="1">
    <w:name w:val="Grid Table 5 Dark"/>
    <w:basedOn w:val="9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79" w:customStyle="1">
    <w:name w:val="Grid Table 5 Dark- Accent 1"/>
    <w:basedOn w:val="9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80" w:customStyle="1">
    <w:name w:val="Grid Table 5 Dark - Accent 2"/>
    <w:basedOn w:val="9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81" w:customStyle="1">
    <w:name w:val="Grid Table 5 Dark - Accent 3"/>
    <w:basedOn w:val="9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82" w:customStyle="1">
    <w:name w:val="Grid Table 5 Dark- Accent 4"/>
    <w:basedOn w:val="9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83" w:customStyle="1">
    <w:name w:val="Grid Table 5 Dark - Accent 5"/>
    <w:basedOn w:val="9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84" w:customStyle="1">
    <w:name w:val="Grid Table 5 Dark - Accent 6"/>
    <w:basedOn w:val="9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85" w:customStyle="1">
    <w:name w:val="Grid Table 6 Colorful"/>
    <w:basedOn w:val="96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86" w:customStyle="1">
    <w:name w:val="Grid Table 6 Colorful - Accent 1"/>
    <w:basedOn w:val="96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87" w:customStyle="1">
    <w:name w:val="Grid Table 6 Colorful - Accent 2"/>
    <w:basedOn w:val="96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88" w:customStyle="1">
    <w:name w:val="Grid Table 6 Colorful - Accent 3"/>
    <w:basedOn w:val="96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89" w:customStyle="1">
    <w:name w:val="Grid Table 6 Colorful - Accent 4"/>
    <w:basedOn w:val="96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90" w:customStyle="1">
    <w:name w:val="Grid Table 6 Colorful - Accent 5"/>
    <w:basedOn w:val="96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91" w:customStyle="1">
    <w:name w:val="Grid Table 6 Colorful - Accent 6"/>
    <w:basedOn w:val="96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92" w:customStyle="1">
    <w:name w:val="Grid Table 7 Colorful"/>
    <w:basedOn w:val="96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3" w:customStyle="1">
    <w:name w:val="Grid Table 7 Colorful - Accent 1"/>
    <w:basedOn w:val="96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94" w:customStyle="1">
    <w:name w:val="Grid Table 7 Colorful - Accent 2"/>
    <w:basedOn w:val="96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5" w:customStyle="1">
    <w:name w:val="Grid Table 7 Colorful - Accent 3"/>
    <w:basedOn w:val="96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96" w:customStyle="1">
    <w:name w:val="Grid Table 7 Colorful - Accent 4"/>
    <w:basedOn w:val="96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7" w:customStyle="1">
    <w:name w:val="Grid Table 7 Colorful - Accent 5"/>
    <w:basedOn w:val="96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98" w:customStyle="1">
    <w:name w:val="Grid Table 7 Colorful - Accent 6"/>
    <w:basedOn w:val="96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99" w:customStyle="1">
    <w:name w:val="List Table 1 Light"/>
    <w:basedOn w:val="96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0" w:customStyle="1">
    <w:name w:val="List Table 1 Light - Accent 1"/>
    <w:basedOn w:val="968"/>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01" w:customStyle="1">
    <w:name w:val="List Table 1 Light - Accent 2"/>
    <w:basedOn w:val="968"/>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02" w:customStyle="1">
    <w:name w:val="List Table 1 Light - Accent 3"/>
    <w:basedOn w:val="968"/>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03" w:customStyle="1">
    <w:name w:val="List Table 1 Light - Accent 4"/>
    <w:basedOn w:val="968"/>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04" w:customStyle="1">
    <w:name w:val="List Table 1 Light - Accent 5"/>
    <w:basedOn w:val="968"/>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05" w:customStyle="1">
    <w:name w:val="List Table 1 Light - Accent 6"/>
    <w:basedOn w:val="968"/>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06" w:customStyle="1">
    <w:name w:val="List Table 2"/>
    <w:basedOn w:val="96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07" w:customStyle="1">
    <w:name w:val="List Table 2 - Accent 1"/>
    <w:basedOn w:val="96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08" w:customStyle="1">
    <w:name w:val="List Table 2 - Accent 2"/>
    <w:basedOn w:val="96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09" w:customStyle="1">
    <w:name w:val="List Table 2 - Accent 3"/>
    <w:basedOn w:val="96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10" w:customStyle="1">
    <w:name w:val="List Table 2 - Accent 4"/>
    <w:basedOn w:val="96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11" w:customStyle="1">
    <w:name w:val="List Table 2 - Accent 5"/>
    <w:basedOn w:val="96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12" w:customStyle="1">
    <w:name w:val="List Table 2 - Accent 6"/>
    <w:basedOn w:val="96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13" w:customStyle="1">
    <w:name w:val="List Table 3"/>
    <w:basedOn w:val="96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4" w:customStyle="1">
    <w:name w:val="List Table 3 - Accent 1"/>
    <w:basedOn w:val="96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5" w:customStyle="1">
    <w:name w:val="List Table 3 - Accent 2"/>
    <w:basedOn w:val="96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16" w:customStyle="1">
    <w:name w:val="List Table 3 - Accent 3"/>
    <w:basedOn w:val="96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17" w:customStyle="1">
    <w:name w:val="List Table 3 - Accent 4"/>
    <w:basedOn w:val="96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18" w:customStyle="1">
    <w:name w:val="List Table 3 - Accent 5"/>
    <w:basedOn w:val="96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19" w:customStyle="1">
    <w:name w:val="List Table 3 - Accent 6"/>
    <w:basedOn w:val="96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20" w:customStyle="1">
    <w:name w:val="List Table 4"/>
    <w:basedOn w:val="96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1" w:customStyle="1">
    <w:name w:val="List Table 4 - Accent 1"/>
    <w:basedOn w:val="96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2" w:customStyle="1">
    <w:name w:val="List Table 4 - Accent 2"/>
    <w:basedOn w:val="96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23" w:customStyle="1">
    <w:name w:val="List Table 4 - Accent 3"/>
    <w:basedOn w:val="96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24" w:customStyle="1">
    <w:name w:val="List Table 4 - Accent 4"/>
    <w:basedOn w:val="96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25" w:customStyle="1">
    <w:name w:val="List Table 4 - Accent 5"/>
    <w:basedOn w:val="96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26" w:customStyle="1">
    <w:name w:val="List Table 4 - Accent 6"/>
    <w:basedOn w:val="96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27" w:customStyle="1">
    <w:name w:val="List Table 5 Dark"/>
    <w:basedOn w:val="96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8" w:customStyle="1">
    <w:name w:val="List Table 5 Dark - Accent 1"/>
    <w:basedOn w:val="96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9" w:customStyle="1">
    <w:name w:val="List Table 5 Dark - Accent 2"/>
    <w:basedOn w:val="96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0" w:customStyle="1">
    <w:name w:val="List Table 5 Dark - Accent 3"/>
    <w:basedOn w:val="96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1" w:customStyle="1">
    <w:name w:val="List Table 5 Dark - Accent 4"/>
    <w:basedOn w:val="96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2" w:customStyle="1">
    <w:name w:val="List Table 5 Dark - Accent 5"/>
    <w:basedOn w:val="96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3" w:customStyle="1">
    <w:name w:val="List Table 5 Dark - Accent 6"/>
    <w:basedOn w:val="96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4" w:customStyle="1">
    <w:name w:val="List Table 6 Colorful"/>
    <w:basedOn w:val="96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35" w:customStyle="1">
    <w:name w:val="List Table 6 Colorful - Accent 1"/>
    <w:basedOn w:val="968"/>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36" w:customStyle="1">
    <w:name w:val="List Table 6 Colorful - Accent 2"/>
    <w:basedOn w:val="968"/>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37" w:customStyle="1">
    <w:name w:val="List Table 6 Colorful - Accent 3"/>
    <w:basedOn w:val="968"/>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38" w:customStyle="1">
    <w:name w:val="List Table 6 Colorful - Accent 4"/>
    <w:basedOn w:val="968"/>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39" w:customStyle="1">
    <w:name w:val="List Table 6 Colorful - Accent 5"/>
    <w:basedOn w:val="968"/>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40" w:customStyle="1">
    <w:name w:val="List Table 6 Colorful - Accent 6"/>
    <w:basedOn w:val="968"/>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41" w:customStyle="1">
    <w:name w:val="List Table 7 Colorful"/>
    <w:basedOn w:val="96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42" w:customStyle="1">
    <w:name w:val="List Table 7 Colorful - Accent 1"/>
    <w:basedOn w:val="968"/>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43" w:customStyle="1">
    <w:name w:val="List Table 7 Colorful - Accent 2"/>
    <w:basedOn w:val="968"/>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44" w:customStyle="1">
    <w:name w:val="List Table 7 Colorful - Accent 3"/>
    <w:basedOn w:val="968"/>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45" w:customStyle="1">
    <w:name w:val="List Table 7 Colorful - Accent 4"/>
    <w:basedOn w:val="968"/>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46" w:customStyle="1">
    <w:name w:val="List Table 7 Colorful - Accent 5"/>
    <w:basedOn w:val="968"/>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47" w:customStyle="1">
    <w:name w:val="List Table 7 Colorful - Accent 6"/>
    <w:basedOn w:val="968"/>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48" w:customStyle="1">
    <w:name w:val="Lined - Accent"/>
    <w:basedOn w:val="96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9" w:customStyle="1">
    <w:name w:val="Lined - Accent 1"/>
    <w:basedOn w:val="96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50" w:customStyle="1">
    <w:name w:val="Lined - Accent 2"/>
    <w:basedOn w:val="96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51" w:customStyle="1">
    <w:name w:val="Lined - Accent 3"/>
    <w:basedOn w:val="96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52" w:customStyle="1">
    <w:name w:val="Lined - Accent 4"/>
    <w:basedOn w:val="96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53" w:customStyle="1">
    <w:name w:val="Lined - Accent 5"/>
    <w:basedOn w:val="96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54" w:customStyle="1">
    <w:name w:val="Lined - Accent 6"/>
    <w:basedOn w:val="96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55" w:customStyle="1">
    <w:name w:val="Bordered &amp; Lined - Accent"/>
    <w:basedOn w:val="96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56" w:customStyle="1">
    <w:name w:val="Bordered &amp; Lined - Accent 1"/>
    <w:basedOn w:val="96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57" w:customStyle="1">
    <w:name w:val="Bordered &amp; Lined - Accent 2"/>
    <w:basedOn w:val="96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58" w:customStyle="1">
    <w:name w:val="Bordered &amp; Lined - Accent 3"/>
    <w:basedOn w:val="96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59" w:customStyle="1">
    <w:name w:val="Bordered &amp; Lined - Accent 4"/>
    <w:basedOn w:val="96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0" w:customStyle="1">
    <w:name w:val="Bordered &amp; Lined - Accent 5"/>
    <w:basedOn w:val="96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1" w:customStyle="1">
    <w:name w:val="Bordered &amp; Lined - Accent 6"/>
    <w:basedOn w:val="96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2" w:customStyle="1">
    <w:name w:val="Bordered"/>
    <w:basedOn w:val="96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63" w:customStyle="1">
    <w:name w:val="Bordered - Accent 1"/>
    <w:basedOn w:val="96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64" w:customStyle="1">
    <w:name w:val="Bordered - Accent 2"/>
    <w:basedOn w:val="96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65" w:customStyle="1">
    <w:name w:val="Bordered - Accent 3"/>
    <w:basedOn w:val="96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66" w:customStyle="1">
    <w:name w:val="Bordered - Accent 4"/>
    <w:basedOn w:val="96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67" w:customStyle="1">
    <w:name w:val="Bordered - Accent 5"/>
    <w:basedOn w:val="96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68" w:customStyle="1">
    <w:name w:val="Bordered - Accent 6"/>
    <w:basedOn w:val="96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69" w:customStyle="1">
    <w:name w:val="Footnote Text Char"/>
    <w:uiPriority w:val="99"/>
    <w:qFormat/>
    <w:rPr>
      <w:sz w:val="18"/>
    </w:rPr>
  </w:style>
  <w:style w:type="character" w:styleId="1170" w:customStyle="1">
    <w:name w:val="Endnote Text Char"/>
    <w:uiPriority w:val="99"/>
    <w:qFormat/>
    <w:rPr>
      <w:sz w:val="20"/>
    </w:rPr>
  </w:style>
  <w:style w:type="paragraph" w:styleId="1171" w:customStyle="1">
    <w:name w:val="TOC 标题1"/>
    <w:uiPriority w:val="39"/>
    <w:unhideWhenUsed/>
    <w:qFormat/>
    <w:rPr>
      <w:rFonts w:ascii="Times New Roman" w:hAnsi="Times New Roman" w:eastAsia="宋体" w:cs="Times New Roman"/>
      <w:lang w:val="en-US" w:eastAsia="zh-CN" w:bidi="ar-SA"/>
    </w:rPr>
  </w:style>
  <w:style w:type="character" w:styleId="1172" w:customStyle="1">
    <w:name w:val="标题 3 Char"/>
    <w:link w:val="960"/>
    <w:uiPriority w:val="99"/>
    <w:qFormat/>
    <w:rPr>
      <w:rFonts w:ascii="Times New Roman" w:hAnsi="Times New Roman" w:eastAsia="宋体"/>
      <w:b/>
      <w:sz w:val="32"/>
    </w:rPr>
  </w:style>
  <w:style w:type="character" w:styleId="1173" w:customStyle="1">
    <w:name w:val="正文文本 Char"/>
    <w:link w:val="979"/>
    <w:uiPriority w:val="99"/>
    <w:qFormat/>
    <w:rPr>
      <w:rFonts w:ascii="Times New Roman" w:hAnsi="Times New Roman" w:eastAsia="宋体" w:cs="Times New Roman"/>
      <w:sz w:val="24"/>
      <w:szCs w:val="24"/>
    </w:rPr>
  </w:style>
  <w:style w:type="character" w:styleId="1174" w:customStyle="1">
    <w:name w:val="标题 1 Char"/>
    <w:link w:val="958"/>
    <w:uiPriority w:val="99"/>
    <w:qFormat/>
    <w:rPr>
      <w:rFonts w:ascii="Times New Roman" w:hAnsi="Times New Roman" w:eastAsia="宋体"/>
      <w:b/>
      <w:sz w:val="44"/>
    </w:rPr>
  </w:style>
  <w:style w:type="character" w:styleId="1175" w:customStyle="1">
    <w:name w:val="标题 2 Char"/>
    <w:link w:val="959"/>
    <w:uiPriority w:val="99"/>
    <w:qFormat/>
    <w:rPr>
      <w:rFonts w:ascii="Arial" w:hAnsi="Arial" w:eastAsia="黑体"/>
      <w:b/>
      <w:sz w:val="32"/>
    </w:rPr>
  </w:style>
  <w:style w:type="character" w:styleId="1176" w:customStyle="1">
    <w:name w:val="标题 4 Char"/>
    <w:link w:val="961"/>
    <w:uiPriority w:val="99"/>
    <w:qFormat/>
    <w:rPr>
      <w:rFonts w:ascii="Arial" w:hAnsi="Arial" w:eastAsia="黑体"/>
      <w:b/>
      <w:sz w:val="20"/>
    </w:rPr>
  </w:style>
  <w:style w:type="character" w:styleId="1177" w:customStyle="1">
    <w:name w:val="标题 5 Char"/>
    <w:link w:val="962"/>
    <w:uiPriority w:val="99"/>
    <w:qFormat/>
    <w:rPr>
      <w:rFonts w:ascii="Times New Roman" w:hAnsi="Times New Roman" w:eastAsia="宋体"/>
      <w:b/>
      <w:sz w:val="28"/>
    </w:rPr>
  </w:style>
  <w:style w:type="character" w:styleId="1178" w:customStyle="1">
    <w:name w:val="标题 6 Char"/>
    <w:link w:val="963"/>
    <w:uiPriority w:val="99"/>
    <w:qFormat/>
    <w:rPr>
      <w:rFonts w:ascii="Arial" w:hAnsi="Arial" w:eastAsia="黑体"/>
      <w:b/>
      <w:sz w:val="24"/>
    </w:rPr>
  </w:style>
  <w:style w:type="character" w:styleId="1179" w:customStyle="1">
    <w:name w:val="标题 7 Char"/>
    <w:link w:val="964"/>
    <w:uiPriority w:val="99"/>
    <w:qFormat/>
    <w:rPr>
      <w:rFonts w:ascii="Times New Roman" w:hAnsi="Times New Roman" w:eastAsia="宋体"/>
      <w:b/>
      <w:sz w:val="24"/>
    </w:rPr>
  </w:style>
  <w:style w:type="character" w:styleId="1180" w:customStyle="1">
    <w:name w:val="标题 8 Char"/>
    <w:link w:val="965"/>
    <w:uiPriority w:val="99"/>
    <w:qFormat/>
    <w:rPr>
      <w:rFonts w:ascii="Arial" w:hAnsi="Arial" w:eastAsia="黑体"/>
      <w:sz w:val="24"/>
    </w:rPr>
  </w:style>
  <w:style w:type="character" w:styleId="1181" w:customStyle="1">
    <w:name w:val="标题 9 Char"/>
    <w:link w:val="966"/>
    <w:uiPriority w:val="99"/>
    <w:qFormat/>
    <w:rPr>
      <w:rFonts w:ascii="Arial" w:hAnsi="Arial" w:eastAsia="黑体"/>
      <w:sz w:val="21"/>
    </w:rPr>
  </w:style>
  <w:style w:type="character" w:styleId="1182" w:customStyle="1">
    <w:name w:val="文档结构图 Char"/>
    <w:link w:val="975"/>
    <w:uiPriority w:val="99"/>
    <w:semiHidden/>
    <w:qFormat/>
    <w:rPr>
      <w:rFonts w:ascii="Times New Roman" w:hAnsi="Times New Roman" w:eastAsia="宋体"/>
      <w:sz w:val="24"/>
      <w:shd w:val="clear" w:color="auto" w:fill="000080"/>
    </w:rPr>
  </w:style>
  <w:style w:type="character" w:styleId="1183" w:customStyle="1">
    <w:name w:val="批注文字 Char1"/>
    <w:link w:val="976"/>
    <w:uiPriority w:val="99"/>
    <w:qFormat/>
    <w:rPr>
      <w:rFonts w:ascii="Times New Roman" w:hAnsi="Times New Roman" w:eastAsia="宋体" w:cs="Times New Roman"/>
      <w:sz w:val="24"/>
      <w:szCs w:val="24"/>
    </w:rPr>
  </w:style>
  <w:style w:type="character" w:styleId="1184" w:customStyle="1">
    <w:name w:val="称呼 Char"/>
    <w:link w:val="977"/>
    <w:uiPriority w:val="99"/>
    <w:qFormat/>
    <w:rPr>
      <w:rFonts w:ascii="仿宋_GB2312" w:hAnsi="Times New Roman" w:eastAsia="仿宋_GB2312"/>
      <w:sz w:val="20"/>
    </w:rPr>
  </w:style>
  <w:style w:type="character" w:styleId="1185" w:customStyle="1">
    <w:name w:val="正文文本 3 Char"/>
    <w:link w:val="978"/>
    <w:uiPriority w:val="99"/>
    <w:qFormat/>
    <w:rPr>
      <w:rFonts w:ascii="Times New Roman" w:hAnsi="Times New Roman" w:eastAsia="宋体"/>
      <w:sz w:val="16"/>
    </w:rPr>
  </w:style>
  <w:style w:type="character" w:styleId="1186" w:customStyle="1">
    <w:name w:val="正文文本缩进 Char"/>
    <w:link w:val="980"/>
    <w:uiPriority w:val="99"/>
    <w:qFormat/>
    <w:rPr>
      <w:rFonts w:ascii="Times New Roman" w:hAnsi="Times New Roman" w:eastAsia="宋体"/>
      <w:sz w:val="24"/>
    </w:rPr>
  </w:style>
  <w:style w:type="character" w:styleId="1187" w:customStyle="1">
    <w:name w:val="纯文本 Char"/>
    <w:link w:val="985"/>
    <w:uiPriority w:val="0"/>
    <w:qFormat/>
    <w:rPr>
      <w:rFonts w:ascii="宋体" w:hAnsi="Courier New" w:eastAsia="宋体"/>
      <w:sz w:val="21"/>
    </w:rPr>
  </w:style>
  <w:style w:type="character" w:styleId="1188" w:customStyle="1">
    <w:name w:val="日期 Char"/>
    <w:link w:val="988"/>
    <w:uiPriority w:val="99"/>
    <w:qFormat/>
    <w:rPr>
      <w:rFonts w:ascii="Times New Roman" w:hAnsi="Times New Roman" w:eastAsia="宋体"/>
      <w:sz w:val="20"/>
    </w:rPr>
  </w:style>
  <w:style w:type="character" w:styleId="1189" w:customStyle="1">
    <w:name w:val="正文文本缩进 2 Char"/>
    <w:link w:val="989"/>
    <w:uiPriority w:val="99"/>
    <w:qFormat/>
    <w:rPr>
      <w:rFonts w:ascii="宋体" w:hAnsi="宋体" w:eastAsia="宋体"/>
      <w:sz w:val="24"/>
    </w:rPr>
  </w:style>
  <w:style w:type="character" w:styleId="1190" w:customStyle="1">
    <w:name w:val="尾注文本 Char"/>
    <w:link w:val="990"/>
    <w:uiPriority w:val="99"/>
    <w:semiHidden/>
    <w:qFormat/>
    <w:rPr>
      <w:rFonts w:ascii="Times New Roman" w:hAnsi="Times New Roman" w:eastAsia="宋体"/>
      <w:sz w:val="24"/>
    </w:rPr>
  </w:style>
  <w:style w:type="character" w:styleId="1191" w:customStyle="1">
    <w:name w:val="批注框文本 Char"/>
    <w:link w:val="991"/>
    <w:uiPriority w:val="99"/>
    <w:semiHidden/>
    <w:qFormat/>
    <w:rPr>
      <w:rFonts w:ascii="Times New Roman" w:hAnsi="Times New Roman" w:eastAsia="宋体"/>
      <w:sz w:val="18"/>
    </w:rPr>
  </w:style>
  <w:style w:type="character" w:styleId="1192" w:customStyle="1">
    <w:name w:val="页脚 Char1"/>
    <w:link w:val="992"/>
    <w:uiPriority w:val="99"/>
    <w:qFormat/>
    <w:rPr>
      <w:rFonts w:cs="Times New Roman"/>
      <w:sz w:val="18"/>
      <w:szCs w:val="18"/>
    </w:rPr>
  </w:style>
  <w:style w:type="character" w:styleId="1193" w:customStyle="1">
    <w:name w:val="页眉 Char"/>
    <w:link w:val="994"/>
    <w:uiPriority w:val="0"/>
    <w:qFormat/>
    <w:rPr>
      <w:sz w:val="18"/>
    </w:rPr>
  </w:style>
  <w:style w:type="character" w:styleId="1194" w:customStyle="1">
    <w:name w:val="签名 Char"/>
    <w:link w:val="995"/>
    <w:uiPriority w:val="99"/>
    <w:qFormat/>
    <w:rPr>
      <w:rFonts w:ascii="Times New Roman" w:hAnsi="Times New Roman" w:eastAsia="仿宋_GB2312"/>
      <w:sz w:val="20"/>
    </w:rPr>
  </w:style>
  <w:style w:type="character" w:styleId="1195" w:customStyle="1">
    <w:name w:val="副标题 Char"/>
    <w:link w:val="1000"/>
    <w:uiPriority w:val="99"/>
    <w:qFormat/>
    <w:rPr>
      <w:rFonts w:ascii="Cambria" w:hAnsi="Cambria" w:eastAsia="宋体"/>
      <w:i/>
      <w:spacing w:val="13"/>
      <w:sz w:val="24"/>
      <w:lang w:eastAsia="en-US"/>
    </w:rPr>
  </w:style>
  <w:style w:type="character" w:styleId="1196" w:customStyle="1">
    <w:name w:val="脚注文本 Char"/>
    <w:link w:val="1002"/>
    <w:uiPriority w:val="99"/>
    <w:semiHidden/>
    <w:qFormat/>
    <w:rPr>
      <w:rFonts w:ascii="Times New Roman" w:hAnsi="Times New Roman" w:eastAsia="宋体"/>
      <w:sz w:val="18"/>
    </w:rPr>
  </w:style>
  <w:style w:type="character" w:styleId="1197" w:customStyle="1">
    <w:name w:val="正文文本缩进 3 Char"/>
    <w:link w:val="1004"/>
    <w:uiPriority w:val="99"/>
    <w:qFormat/>
    <w:rPr>
      <w:rFonts w:ascii="Times New Roman" w:hAnsi="Times New Roman" w:eastAsia="宋体"/>
      <w:b/>
      <w:sz w:val="20"/>
    </w:rPr>
  </w:style>
  <w:style w:type="character" w:styleId="1198" w:customStyle="1">
    <w:name w:val="正文文本 2 Char"/>
    <w:link w:val="1008"/>
    <w:uiPriority w:val="99"/>
    <w:qFormat/>
    <w:rPr>
      <w:rFonts w:ascii="Times New Roman" w:hAnsi="Times New Roman" w:eastAsia="宋体"/>
      <w:b/>
      <w:sz w:val="20"/>
    </w:rPr>
  </w:style>
  <w:style w:type="character" w:styleId="1199" w:customStyle="1">
    <w:name w:val="HTML 预设格式 Char"/>
    <w:link w:val="1009"/>
    <w:uiPriority w:val="99"/>
    <w:qFormat/>
    <w:rPr>
      <w:rFonts w:ascii="宋体" w:hAnsi="宋体" w:eastAsia="宋体"/>
      <w:sz w:val="24"/>
    </w:rPr>
  </w:style>
  <w:style w:type="character" w:styleId="1200" w:customStyle="1">
    <w:name w:val="标题 Char"/>
    <w:link w:val="1012"/>
    <w:uiPriority w:val="99"/>
    <w:qFormat/>
    <w:rPr>
      <w:rFonts w:ascii="Times New Roman" w:hAnsi="Times New Roman" w:eastAsia="黑体"/>
      <w:b/>
      <w:sz w:val="20"/>
      <w:lang w:val="en-GB"/>
    </w:rPr>
  </w:style>
  <w:style w:type="character" w:styleId="1201" w:customStyle="1">
    <w:name w:val="批注主题 Char"/>
    <w:link w:val="1013"/>
    <w:uiPriority w:val="99"/>
    <w:semiHidden/>
    <w:qFormat/>
    <w:rPr>
      <w:rFonts w:ascii="Times New Roman" w:hAnsi="Times New Roman" w:eastAsia="宋体" w:cs="Times New Roman"/>
      <w:b/>
      <w:sz w:val="24"/>
      <w:szCs w:val="24"/>
    </w:rPr>
  </w:style>
  <w:style w:type="character" w:styleId="1202" w:customStyle="1">
    <w:name w:val="正文首行缩进 Char"/>
    <w:link w:val="1014"/>
    <w:uiPriority w:val="99"/>
    <w:qFormat/>
    <w:rPr>
      <w:rFonts w:ascii="Times New Roman" w:hAnsi="Times New Roman" w:eastAsia="宋体" w:cs="Times New Roman"/>
      <w:sz w:val="24"/>
      <w:szCs w:val="24"/>
    </w:rPr>
  </w:style>
  <w:style w:type="character" w:styleId="1203" w:customStyle="1">
    <w:name w:val="正文首行缩进 2 Char"/>
    <w:link w:val="981"/>
    <w:uiPriority w:val="99"/>
    <w:qFormat/>
    <w:rPr>
      <w:rFonts w:ascii="宋体" w:hAnsi="宋体" w:eastAsia="宋体"/>
      <w:sz w:val="20"/>
    </w:rPr>
  </w:style>
  <w:style w:type="paragraph" w:styleId="1204" w:customStyle="1">
    <w:name w:val="首行缩进"/>
    <w:basedOn w:val="957"/>
    <w:uiPriority w:val="0"/>
    <w:qFormat/>
    <w:pPr>
      <w:ind w:left="420" w:firstLine="480"/>
      <w:spacing w:line="400" w:lineRule="exact"/>
    </w:pPr>
    <w:rPr>
      <w:szCs w:val="20"/>
    </w:rPr>
  </w:style>
  <w:style w:type="character" w:styleId="1205" w:customStyle="1">
    <w:name w:val="方案文档 Char Char"/>
    <w:uiPriority w:val="99"/>
    <w:qFormat/>
    <w:rPr>
      <w:rFonts w:ascii="宋体" w:hAnsi="宋体" w:eastAsia="宋体"/>
      <w:sz w:val="24"/>
      <w:lang w:val="zh-CN" w:eastAsia="zh-CN"/>
    </w:rPr>
  </w:style>
  <w:style w:type="character" w:styleId="1206" w:customStyle="1">
    <w:name w:val="textcontents"/>
    <w:uiPriority w:val="99"/>
    <w:qFormat/>
  </w:style>
  <w:style w:type="character" w:styleId="1207" w:customStyle="1">
    <w:name w:val="Char Char28"/>
    <w:uiPriority w:val="99"/>
    <w:qFormat/>
    <w:rPr>
      <w:rFonts w:ascii="Arial" w:hAnsi="Arial" w:eastAsia="黑体"/>
      <w:b/>
      <w:sz w:val="32"/>
    </w:rPr>
  </w:style>
  <w:style w:type="character" w:styleId="1208" w:customStyle="1">
    <w:name w:val="Char Char23"/>
    <w:uiPriority w:val="99"/>
    <w:qFormat/>
    <w:rPr>
      <w:rFonts w:ascii="Arial" w:hAnsi="Arial" w:eastAsia="黑体"/>
      <w:b/>
      <w:sz w:val="24"/>
    </w:rPr>
  </w:style>
  <w:style w:type="character" w:styleId="1209" w:customStyle="1">
    <w:name w:val="纯文本 Char Char Char1"/>
    <w:uiPriority w:val="99"/>
    <w:qFormat/>
    <w:rPr>
      <w:rFonts w:ascii="宋体" w:hAnsi="Courier New" w:eastAsia="宋体"/>
      <w:sz w:val="21"/>
      <w:lang w:val="en-US" w:eastAsia="zh-CN"/>
    </w:rPr>
  </w:style>
  <w:style w:type="character" w:styleId="1210" w:customStyle="1">
    <w:name w:val="华宇段落1 Char Char Char"/>
    <w:uiPriority w:val="99"/>
    <w:qFormat/>
    <w:rPr>
      <w:rFonts w:eastAsia="宋体"/>
      <w:sz w:val="24"/>
      <w:lang w:val="en-US" w:eastAsia="zh-CN"/>
    </w:rPr>
  </w:style>
  <w:style w:type="character" w:styleId="1211" w:customStyle="1">
    <w:name w:val="Char Char6"/>
    <w:uiPriority w:val="99"/>
    <w:qFormat/>
    <w:rPr>
      <w:rFonts w:eastAsia="宋体"/>
      <w:sz w:val="24"/>
      <w:lang w:val="en-US" w:eastAsia="zh-CN"/>
    </w:rPr>
  </w:style>
  <w:style w:type="character" w:styleId="1212" w:customStyle="1">
    <w:name w:val="标准文本 Char"/>
    <w:uiPriority w:val="99"/>
    <w:qFormat/>
    <w:rPr>
      <w:rFonts w:eastAsia="宋体"/>
      <w:sz w:val="24"/>
      <w:lang w:val="en-US" w:eastAsia="zh-CN"/>
    </w:rPr>
  </w:style>
  <w:style w:type="character" w:styleId="1213" w:customStyle="1">
    <w:name w:val="listbenefit"/>
    <w:uiPriority w:val="99"/>
    <w:qFormat/>
  </w:style>
  <w:style w:type="character" w:styleId="1214" w:customStyle="1">
    <w:name w:val="Char Char18"/>
    <w:uiPriority w:val="99"/>
    <w:qFormat/>
    <w:rPr>
      <w:rFonts w:eastAsia="宋体"/>
      <w:b/>
      <w:sz w:val="24"/>
      <w:lang w:val="en-US" w:eastAsia="zh-CN"/>
    </w:rPr>
  </w:style>
  <w:style w:type="character" w:styleId="1215" w:customStyle="1">
    <w:name w:val="明显强调1"/>
    <w:uiPriority w:val="99"/>
    <w:qFormat/>
    <w:rPr>
      <w:b/>
    </w:rPr>
  </w:style>
  <w:style w:type="character" w:styleId="1216" w:customStyle="1">
    <w:name w:val="font5 Char Char"/>
    <w:uiPriority w:val="99"/>
    <w:qFormat/>
    <w:rPr>
      <w:rFonts w:ascii="宋体" w:hAnsi="宋体" w:eastAsia="宋体"/>
      <w:sz w:val="28"/>
      <w:lang w:val="en-US" w:eastAsia="zh-CN"/>
    </w:rPr>
  </w:style>
  <w:style w:type="character" w:styleId="1217" w:customStyle="1">
    <w:name w:val="Char Char11"/>
    <w:uiPriority w:val="99"/>
    <w:qFormat/>
    <w:rPr>
      <w:rFonts w:ascii="宋体" w:hAnsi="宋体" w:eastAsia="宋体"/>
      <w:sz w:val="24"/>
      <w:lang w:val="en-US" w:eastAsia="zh-CN"/>
    </w:rPr>
  </w:style>
  <w:style w:type="character" w:styleId="1218" w:customStyle="1">
    <w:name w:val="Char Char10"/>
    <w:uiPriority w:val="99"/>
    <w:qFormat/>
    <w:rPr>
      <w:rFonts w:eastAsia="宋体"/>
      <w:b/>
      <w:sz w:val="24"/>
      <w:lang w:val="en-US" w:eastAsia="zh-CN"/>
    </w:rPr>
  </w:style>
  <w:style w:type="character" w:styleId="1219" w:customStyle="1">
    <w:name w:val="特点 Char1"/>
    <w:uiPriority w:val="99"/>
    <w:qFormat/>
    <w:rPr>
      <w:rFonts w:eastAsia="宋体"/>
      <w:sz w:val="21"/>
      <w:lang w:val="en-US" w:eastAsia="zh-CN"/>
    </w:rPr>
  </w:style>
  <w:style w:type="character" w:styleId="1220" w:customStyle="1">
    <w:name w:val="列出段落 Char"/>
    <w:link w:val="1221"/>
    <w:uiPriority w:val="99"/>
    <w:qFormat/>
    <w:rPr>
      <w:rFonts w:ascii="Calibri" w:hAnsi="Calibri"/>
    </w:rPr>
  </w:style>
  <w:style w:type="paragraph" w:styleId="1221">
    <w:name w:val="List Paragraph"/>
    <w:basedOn w:val="957"/>
    <w:link w:val="1220"/>
    <w:uiPriority w:val="99"/>
    <w:qFormat/>
    <w:pPr>
      <w:ind w:firstLine="420"/>
      <w:spacing w:line="360" w:lineRule="auto"/>
    </w:pPr>
    <w:rPr>
      <w:rFonts w:ascii="Calibri" w:hAnsi="Calibri"/>
      <w:sz w:val="20"/>
      <w:szCs w:val="20"/>
    </w:rPr>
  </w:style>
  <w:style w:type="character" w:styleId="1222" w:customStyle="1">
    <w:name w:val="样式 非加粗"/>
    <w:uiPriority w:val="99"/>
    <w:qFormat/>
    <w:rPr>
      <w:rFonts w:eastAsia="宋体"/>
      <w:sz w:val="28"/>
    </w:rPr>
  </w:style>
  <w:style w:type="character" w:styleId="1223" w:customStyle="1">
    <w:name w:val="明显引用 Char"/>
    <w:uiPriority w:val="99"/>
    <w:qFormat/>
    <w:rPr>
      <w:rFonts w:ascii="Calibri" w:hAnsi="Calibri" w:eastAsia="宋体"/>
      <w:b/>
      <w:i/>
      <w:sz w:val="22"/>
      <w:lang w:val="en-US" w:eastAsia="en-US"/>
    </w:rPr>
  </w:style>
  <w:style w:type="character" w:styleId="1224" w:customStyle="1">
    <w:name w:val="content"/>
    <w:uiPriority w:val="99"/>
    <w:qFormat/>
  </w:style>
  <w:style w:type="character" w:styleId="1225" w:customStyle="1">
    <w:name w:val="Char Char14"/>
    <w:uiPriority w:val="99"/>
    <w:qFormat/>
    <w:rPr>
      <w:rFonts w:eastAsia="黑体"/>
      <w:b/>
      <w:sz w:val="28"/>
      <w:lang w:val="en-GB" w:eastAsia="zh-CN"/>
    </w:rPr>
  </w:style>
  <w:style w:type="character" w:styleId="1226" w:customStyle="1">
    <w:name w:val="标准小四 Char Char"/>
    <w:uiPriority w:val="99"/>
    <w:qFormat/>
    <w:rPr>
      <w:rFonts w:ascii="Arial" w:hAnsi="Arial" w:eastAsia="宋体"/>
      <w:sz w:val="21"/>
      <w:lang w:val="en-US" w:eastAsia="zh-CN"/>
    </w:rPr>
  </w:style>
  <w:style w:type="character" w:styleId="1227" w:customStyle="1">
    <w:name w:val="华宇段落1 Char Char"/>
    <w:uiPriority w:val="99"/>
    <w:qFormat/>
    <w:rPr>
      <w:rFonts w:eastAsia="宋体"/>
      <w:sz w:val="24"/>
      <w:lang w:val="en-US" w:eastAsia="zh-CN"/>
    </w:rPr>
  </w:style>
  <w:style w:type="character" w:styleId="1228" w:customStyle="1">
    <w:name w:val="书籍标题1"/>
    <w:uiPriority w:val="99"/>
    <w:qFormat/>
    <w:rPr>
      <w:i/>
      <w:smallCaps/>
      <w:spacing w:val="5"/>
    </w:rPr>
  </w:style>
  <w:style w:type="character" w:styleId="1229" w:customStyle="1">
    <w:name w:val="标准文本 Char Char"/>
    <w:uiPriority w:val="99"/>
    <w:qFormat/>
    <w:rPr>
      <w:rFonts w:eastAsia="宋体"/>
      <w:sz w:val="24"/>
      <w:lang w:val="en-US" w:eastAsia="zh-CN"/>
    </w:rPr>
  </w:style>
  <w:style w:type="character" w:styleId="1230" w:customStyle="1">
    <w:name w:val="纯文本 Char Char"/>
    <w:uiPriority w:val="99"/>
    <w:qFormat/>
    <w:rPr>
      <w:rFonts w:ascii="宋体" w:hAnsi="Courier New" w:eastAsia="宋体"/>
      <w:sz w:val="21"/>
      <w:lang w:val="en-US" w:eastAsia="zh-CN"/>
    </w:rPr>
  </w:style>
  <w:style w:type="character" w:styleId="1231" w:customStyle="1">
    <w:name w:val="h Char Char"/>
    <w:uiPriority w:val="99"/>
    <w:qFormat/>
    <w:rPr>
      <w:rFonts w:eastAsia="宋体"/>
      <w:sz w:val="18"/>
      <w:lang w:val="en-US" w:eastAsia="zh-CN"/>
    </w:rPr>
  </w:style>
  <w:style w:type="character" w:styleId="1232" w:customStyle="1">
    <w:name w:val="标题 Char1"/>
    <w:uiPriority w:val="99"/>
    <w:qFormat/>
    <w:rPr>
      <w:rFonts w:ascii="Cambria" w:eastAsia="宋体"/>
      <w:b/>
      <w:sz w:val="32"/>
    </w:rPr>
  </w:style>
  <w:style w:type="character" w:styleId="1233" w:customStyle="1">
    <w:name w:val="Char Char34"/>
    <w:uiPriority w:val="99"/>
    <w:qFormat/>
    <w:rPr>
      <w:rFonts w:eastAsia="宋体"/>
      <w:b/>
      <w:sz w:val="44"/>
      <w:lang w:val="en-US" w:eastAsia="zh-CN"/>
    </w:rPr>
  </w:style>
  <w:style w:type="character" w:styleId="1234" w:customStyle="1">
    <w:name w:val="不明显参考1"/>
    <w:uiPriority w:val="99"/>
    <w:qFormat/>
    <w:rPr>
      <w:smallCaps/>
    </w:rPr>
  </w:style>
  <w:style w:type="character" w:styleId="1235" w:customStyle="1">
    <w:name w:val="Intense Quote Char"/>
    <w:link w:val="1236"/>
    <w:uiPriority w:val="99"/>
    <w:qFormat/>
    <w:rPr>
      <w:rFonts w:ascii="Calibri" w:hAnsi="Calibri" w:eastAsia="宋体"/>
      <w:b/>
      <w:i/>
      <w:sz w:val="22"/>
      <w:lang w:eastAsia="en-US"/>
    </w:rPr>
  </w:style>
  <w:style w:type="paragraph" w:styleId="1236" w:customStyle="1">
    <w:name w:val="明显引用1"/>
    <w:basedOn w:val="957"/>
    <w:next w:val="957"/>
    <w:link w:val="1235"/>
    <w:uiPriority w:val="99"/>
    <w:qFormat/>
    <w:pPr>
      <w:ind w:left="1008" w:right="1152"/>
      <w:spacing w:before="200" w:after="280" w:line="276" w:lineRule="auto"/>
      <w:widowControl/>
      <w:pBdr>
        <w:bottom w:val="single" w:color="auto" w:sz="4" w:space="1"/>
      </w:pBdr>
    </w:pPr>
    <w:rPr>
      <w:rFonts w:ascii="Calibri" w:hAnsi="Calibri"/>
      <w:b/>
      <w:i/>
      <w:sz w:val="22"/>
      <w:szCs w:val="20"/>
      <w:lang w:eastAsia="en-US"/>
    </w:rPr>
  </w:style>
  <w:style w:type="character" w:styleId="1237" w:customStyle="1">
    <w:name w:val="font41"/>
    <w:basedOn w:val="967"/>
    <w:uiPriority w:val="99"/>
    <w:qFormat/>
    <w:rPr>
      <w:rFonts w:ascii="宋体" w:hAnsi="宋体" w:eastAsia="宋体" w:cs="宋体"/>
      <w:color w:val="000000"/>
      <w:sz w:val="18"/>
      <w:szCs w:val="18"/>
      <w:u w:val="none"/>
    </w:rPr>
  </w:style>
  <w:style w:type="character" w:styleId="1238" w:customStyle="1">
    <w:name w:val="Title1 Char"/>
    <w:uiPriority w:val="99"/>
    <w:qFormat/>
    <w:rPr>
      <w:rFonts w:eastAsia="宋体"/>
      <w:b/>
      <w:sz w:val="44"/>
      <w:lang w:val="en-US" w:eastAsia="zh-CN"/>
    </w:rPr>
  </w:style>
  <w:style w:type="character" w:styleId="1239" w:customStyle="1">
    <w:name w:val="font21"/>
    <w:basedOn w:val="967"/>
    <w:uiPriority w:val="99"/>
    <w:qFormat/>
    <w:rPr>
      <w:rFonts w:ascii="宋体" w:hAnsi="宋体" w:eastAsia="宋体"/>
      <w:color w:val="000000"/>
      <w:sz w:val="20"/>
      <w:u w:val="none"/>
    </w:rPr>
  </w:style>
  <w:style w:type="character" w:styleId="1240" w:customStyle="1">
    <w:name w:val="Char Char19"/>
    <w:uiPriority w:val="99"/>
    <w:qFormat/>
    <w:rPr>
      <w:rFonts w:ascii="Arial" w:hAnsi="Arial" w:eastAsia="黑体"/>
      <w:b/>
      <w:sz w:val="24"/>
      <w:lang w:val="en-US" w:eastAsia="zh-CN"/>
    </w:rPr>
  </w:style>
  <w:style w:type="character" w:styleId="1241" w:customStyle="1">
    <w:name w:val="style131"/>
    <w:uiPriority w:val="99"/>
    <w:qFormat/>
    <w:rPr>
      <w:sz w:val="18"/>
    </w:rPr>
  </w:style>
  <w:style w:type="character" w:styleId="1242" w:customStyle="1">
    <w:name w:val="Char Char4"/>
    <w:uiPriority w:val="99"/>
    <w:qFormat/>
    <w:rPr>
      <w:rFonts w:ascii="方正大黑简体" w:eastAsia="方正大黑简体"/>
      <w:position w:val="6"/>
      <w:sz w:val="30"/>
      <w:lang w:val="en-US" w:eastAsia="zh-CN"/>
    </w:rPr>
  </w:style>
  <w:style w:type="character" w:styleId="1243" w:customStyle="1">
    <w:name w:val="Char Char32"/>
    <w:uiPriority w:val="99"/>
    <w:qFormat/>
    <w:rPr>
      <w:rFonts w:eastAsia="宋体"/>
      <w:b/>
      <w:sz w:val="32"/>
      <w:lang w:val="en-US" w:eastAsia="zh-CN"/>
    </w:rPr>
  </w:style>
  <w:style w:type="character" w:styleId="1244" w:customStyle="1">
    <w:name w:val="case31"/>
    <w:uiPriority w:val="99"/>
    <w:qFormat/>
    <w:rPr>
      <w:sz w:val="21"/>
    </w:rPr>
  </w:style>
  <w:style w:type="character" w:styleId="1245" w:customStyle="1">
    <w:name w:val="标准小四 Char"/>
    <w:uiPriority w:val="99"/>
    <w:qFormat/>
    <w:rPr>
      <w:rFonts w:ascii="Arial" w:hAnsi="Arial" w:eastAsia="宋体"/>
      <w:sz w:val="21"/>
      <w:lang w:val="en-US" w:eastAsia="zh-CN"/>
    </w:rPr>
  </w:style>
  <w:style w:type="character" w:styleId="1246" w:customStyle="1">
    <w:name w:val="apple-style-span"/>
    <w:uiPriority w:val="99"/>
    <w:qFormat/>
  </w:style>
  <w:style w:type="character" w:styleId="1247" w:customStyle="1">
    <w:name w:val="纯文本 Char Char Char"/>
    <w:uiPriority w:val="99"/>
    <w:qFormat/>
    <w:rPr>
      <w:rFonts w:ascii="宋体" w:hAnsi="Courier New" w:eastAsia="宋体"/>
      <w:sz w:val="21"/>
      <w:lang w:val="en-US" w:eastAsia="zh-CN"/>
    </w:rPr>
  </w:style>
  <w:style w:type="character" w:styleId="1248" w:customStyle="1">
    <w:name w:val="2nd level Char"/>
    <w:uiPriority w:val="99"/>
    <w:qFormat/>
    <w:rPr>
      <w:rFonts w:ascii="Arial" w:hAnsi="Arial" w:eastAsia="黑体"/>
      <w:b/>
      <w:sz w:val="32"/>
      <w:lang w:val="en-US" w:eastAsia="zh-CN"/>
    </w:rPr>
  </w:style>
  <w:style w:type="character" w:styleId="1249" w:customStyle="1">
    <w:name w:val="A2"/>
    <w:uiPriority w:val="99"/>
    <w:qFormat/>
    <w:rPr>
      <w:color w:val="000000"/>
      <w:sz w:val="18"/>
    </w:rPr>
  </w:style>
  <w:style w:type="character" w:styleId="1250" w:customStyle="1">
    <w:name w:val="Char Char30"/>
    <w:uiPriority w:val="99"/>
    <w:qFormat/>
    <w:rPr>
      <w:rFonts w:eastAsia="宋体"/>
      <w:b/>
      <w:sz w:val="28"/>
      <w:lang w:val="en-US" w:eastAsia="zh-CN"/>
    </w:rPr>
  </w:style>
  <w:style w:type="character" w:styleId="1251" w:customStyle="1">
    <w:name w:val="小四 段落 宋体 Char1"/>
    <w:uiPriority w:val="99"/>
    <w:qFormat/>
    <w:rPr>
      <w:rFonts w:eastAsia="宋体"/>
      <w:sz w:val="24"/>
      <w:lang w:val="en-US" w:eastAsia="zh-CN"/>
    </w:rPr>
  </w:style>
  <w:style w:type="character" w:styleId="1252" w:customStyle="1">
    <w:name w:val="普通文字 Char Char3"/>
    <w:uiPriority w:val="99"/>
    <w:qFormat/>
    <w:rPr>
      <w:rFonts w:ascii="宋体" w:hAnsi="Courier New" w:eastAsia="宋体"/>
      <w:sz w:val="21"/>
      <w:lang w:val="en-US" w:eastAsia="zh-CN"/>
    </w:rPr>
  </w:style>
  <w:style w:type="character" w:styleId="1253" w:customStyle="1">
    <w:name w:val="小四 段落 宋体 Char Char Char Char Char"/>
    <w:uiPriority w:val="99"/>
    <w:qFormat/>
    <w:rPr>
      <w:rFonts w:eastAsia="宋体"/>
      <w:sz w:val="24"/>
      <w:lang w:val="en-US" w:eastAsia="zh-CN"/>
    </w:rPr>
  </w:style>
  <w:style w:type="character" w:styleId="1254" w:customStyle="1">
    <w:name w:val="正文 + 宋体 Char"/>
    <w:uiPriority w:val="99"/>
    <w:qFormat/>
    <w:rPr>
      <w:rFonts w:eastAsia="宋体"/>
      <w:sz w:val="24"/>
      <w:lang w:val="en-US" w:eastAsia="zh-CN"/>
    </w:rPr>
  </w:style>
  <w:style w:type="character" w:styleId="1255" w:customStyle="1">
    <w:name w:val="Char Char5"/>
    <w:uiPriority w:val="99"/>
    <w:qFormat/>
    <w:rPr>
      <w:rFonts w:eastAsia="宋体"/>
      <w:sz w:val="24"/>
      <w:lang w:val="en-US" w:eastAsia="zh-CN"/>
    </w:rPr>
  </w:style>
  <w:style w:type="character" w:styleId="1256" w:customStyle="1">
    <w:name w:val="样式 首行缩进:  2 字符 Char"/>
    <w:uiPriority w:val="99"/>
    <w:qFormat/>
    <w:rPr>
      <w:rFonts w:eastAsia="宋体"/>
      <w:sz w:val="24"/>
      <w:lang w:val="en-US" w:eastAsia="zh-CN"/>
    </w:rPr>
  </w:style>
  <w:style w:type="character" w:styleId="1257" w:customStyle="1">
    <w:name w:val="已访问的超链接1"/>
    <w:uiPriority w:val="99"/>
    <w:qFormat/>
    <w:rPr>
      <w:color w:val="auto"/>
      <w:u w:val="none"/>
    </w:rPr>
  </w:style>
  <w:style w:type="character" w:styleId="1258" w:customStyle="1">
    <w:name w:val="正文文本 字符"/>
    <w:uiPriority w:val="99"/>
    <w:semiHidden/>
    <w:qFormat/>
    <w:rPr>
      <w:rFonts w:ascii="Times New Roman" w:hAnsi="Times New Roman" w:eastAsia="宋体"/>
      <w:sz w:val="24"/>
    </w:rPr>
  </w:style>
  <w:style w:type="character" w:styleId="1259" w:customStyle="1">
    <w:name w:val="normalfont1"/>
    <w:uiPriority w:val="99"/>
    <w:qFormat/>
    <w:rPr>
      <w:rFonts w:ascii="??" w:hAnsi="??"/>
      <w:sz w:val="18"/>
      <w:u w:val="none"/>
    </w:rPr>
  </w:style>
  <w:style w:type="character" w:styleId="1260" w:customStyle="1">
    <w:name w:val="小四 段落 宋体 Char Char Char Char1"/>
    <w:uiPriority w:val="99"/>
    <w:qFormat/>
    <w:rPr>
      <w:rFonts w:eastAsia="宋体"/>
      <w:sz w:val="24"/>
      <w:lang w:val="en-US" w:eastAsia="zh-CN"/>
    </w:rPr>
  </w:style>
  <w:style w:type="character" w:styleId="1261" w:customStyle="1">
    <w:name w:val="Quote Char"/>
    <w:link w:val="1262"/>
    <w:uiPriority w:val="99"/>
    <w:qFormat/>
    <w:rPr>
      <w:rFonts w:ascii="Calibri" w:hAnsi="Calibri" w:eastAsia="宋体"/>
      <w:i/>
      <w:sz w:val="22"/>
      <w:lang w:eastAsia="en-US"/>
    </w:rPr>
  </w:style>
  <w:style w:type="paragraph" w:styleId="1262" w:customStyle="1">
    <w:name w:val="引用1"/>
    <w:basedOn w:val="957"/>
    <w:next w:val="957"/>
    <w:link w:val="1261"/>
    <w:uiPriority w:val="99"/>
    <w:qFormat/>
    <w:pPr>
      <w:ind w:left="360" w:right="360"/>
      <w:jc w:val="left"/>
      <w:spacing w:before="200" w:line="276" w:lineRule="auto"/>
      <w:widowControl/>
    </w:pPr>
    <w:rPr>
      <w:rFonts w:ascii="Calibri" w:hAnsi="Calibri"/>
      <w:i/>
      <w:sz w:val="22"/>
      <w:szCs w:val="20"/>
      <w:lang w:eastAsia="en-US"/>
    </w:rPr>
  </w:style>
  <w:style w:type="character" w:styleId="1263" w:customStyle="1">
    <w:name w:val="样式 宋体 小四"/>
    <w:uiPriority w:val="99"/>
    <w:qFormat/>
    <w:rPr>
      <w:rFonts w:ascii="宋体" w:eastAsia="宋体"/>
      <w:sz w:val="24"/>
    </w:rPr>
  </w:style>
  <w:style w:type="character" w:styleId="1264" w:customStyle="1">
    <w:name w:val="标题 3 Char Char"/>
    <w:uiPriority w:val="99"/>
    <w:qFormat/>
    <w:rPr>
      <w:rFonts w:eastAsia="仿宋_GB2312"/>
      <w:b/>
      <w:sz w:val="32"/>
      <w:lang w:val="en-US" w:eastAsia="zh-CN"/>
    </w:rPr>
  </w:style>
  <w:style w:type="character" w:styleId="1265" w:customStyle="1">
    <w:name w:val="font111"/>
    <w:uiPriority w:val="99"/>
    <w:qFormat/>
    <w:rPr>
      <w:rFonts w:ascii="宋体" w:hAnsi="宋体" w:eastAsia="宋体"/>
      <w:color w:val="000000"/>
      <w:sz w:val="20"/>
      <w:u w:val="none"/>
    </w:rPr>
  </w:style>
  <w:style w:type="character" w:styleId="1266" w:customStyle="1">
    <w:name w:val="标准文本 Char Char Char"/>
    <w:uiPriority w:val="99"/>
    <w:qFormat/>
    <w:rPr>
      <w:rFonts w:eastAsia="宋体"/>
      <w:sz w:val="24"/>
      <w:lang w:val="en-US" w:eastAsia="zh-CN"/>
    </w:rPr>
  </w:style>
  <w:style w:type="character" w:styleId="1267" w:customStyle="1">
    <w:name w:val="Char Char24"/>
    <w:uiPriority w:val="99"/>
    <w:qFormat/>
    <w:rPr>
      <w:b/>
      <w:sz w:val="28"/>
    </w:rPr>
  </w:style>
  <w:style w:type="character" w:styleId="1268" w:customStyle="1">
    <w:name w:val="样式 首行缩进:  2 字符 Char Char Char"/>
    <w:uiPriority w:val="99"/>
    <w:qFormat/>
    <w:rPr>
      <w:rFonts w:eastAsia="宋体"/>
      <w:sz w:val="24"/>
      <w:lang w:val="en-US" w:eastAsia="zh-CN"/>
    </w:rPr>
  </w:style>
  <w:style w:type="character" w:styleId="1269" w:customStyle="1">
    <w:name w:val="Char Char31"/>
    <w:uiPriority w:val="99"/>
    <w:qFormat/>
    <w:rPr>
      <w:rFonts w:ascii="Arial" w:hAnsi="Arial" w:eastAsia="黑体"/>
      <w:b/>
      <w:sz w:val="28"/>
      <w:lang w:val="en-US" w:eastAsia="zh-CN"/>
    </w:rPr>
  </w:style>
  <w:style w:type="character" w:styleId="1270" w:customStyle="1">
    <w:name w:val="小四 段落 宋体 Char Char Char1"/>
    <w:uiPriority w:val="99"/>
    <w:qFormat/>
    <w:rPr>
      <w:rFonts w:ascii="宋体" w:hAnsi="宋体" w:eastAsia="宋体"/>
      <w:sz w:val="24"/>
      <w:lang w:val="en-US" w:eastAsia="zh-CN"/>
    </w:rPr>
  </w:style>
  <w:style w:type="character" w:styleId="1271" w:customStyle="1">
    <w:name w:val="Char Char7"/>
    <w:uiPriority w:val="99"/>
    <w:qFormat/>
    <w:rPr>
      <w:rFonts w:eastAsia="宋体"/>
      <w:b/>
      <w:sz w:val="24"/>
      <w:lang w:val="en-US" w:eastAsia="zh-CN"/>
    </w:rPr>
  </w:style>
  <w:style w:type="character" w:styleId="1272" w:customStyle="1">
    <w:name w:val="concon"/>
    <w:uiPriority w:val="99"/>
    <w:qFormat/>
  </w:style>
  <w:style w:type="character" w:styleId="1273" w:customStyle="1">
    <w:name w:val="小四 段落 宋体 Char Char Char Char Char Char"/>
    <w:uiPriority w:val="99"/>
    <w:qFormat/>
    <w:rPr>
      <w:rFonts w:eastAsia="宋体"/>
      <w:sz w:val="24"/>
      <w:lang w:val="en-US" w:eastAsia="zh-CN"/>
    </w:rPr>
  </w:style>
  <w:style w:type="character" w:styleId="1274" w:customStyle="1">
    <w:name w:val="标题 3 Char1"/>
    <w:uiPriority w:val="99"/>
    <w:qFormat/>
    <w:rPr>
      <w:rFonts w:eastAsia="宋体"/>
      <w:b/>
      <w:sz w:val="32"/>
      <w:lang w:val="en-US" w:eastAsia="zh-CN"/>
    </w:rPr>
  </w:style>
  <w:style w:type="character" w:styleId="1275" w:customStyle="1">
    <w:name w:val="Char Char26"/>
    <w:uiPriority w:val="99"/>
    <w:qFormat/>
    <w:rPr>
      <w:b/>
      <w:sz w:val="32"/>
    </w:rPr>
  </w:style>
  <w:style w:type="character" w:styleId="1276" w:customStyle="1">
    <w:name w:val="Char Char33"/>
    <w:uiPriority w:val="99"/>
    <w:qFormat/>
    <w:rPr>
      <w:rFonts w:ascii="Arial" w:hAnsi="Arial" w:eastAsia="黑体"/>
      <w:b/>
      <w:sz w:val="32"/>
      <w:lang w:val="en-US" w:eastAsia="zh-CN"/>
    </w:rPr>
  </w:style>
  <w:style w:type="character" w:styleId="1277" w:customStyle="1">
    <w:name w:val="小四 段落 宋体 Char Char Char Char Char Char Char"/>
    <w:uiPriority w:val="99"/>
    <w:qFormat/>
    <w:rPr>
      <w:rFonts w:eastAsia="宋体"/>
      <w:sz w:val="24"/>
      <w:lang w:val="en-US" w:eastAsia="zh-CN"/>
    </w:rPr>
  </w:style>
  <w:style w:type="character" w:styleId="1278" w:customStyle="1">
    <w:name w:val="Char Char20"/>
    <w:uiPriority w:val="99"/>
    <w:qFormat/>
    <w:rPr>
      <w:rFonts w:ascii="Arial" w:hAnsi="Arial" w:eastAsia="黑体"/>
      <w:sz w:val="21"/>
    </w:rPr>
  </w:style>
  <w:style w:type="character" w:styleId="1279" w:customStyle="1">
    <w:name w:val="Char Char17"/>
    <w:uiPriority w:val="99"/>
    <w:qFormat/>
    <w:rPr>
      <w:rFonts w:ascii="宋体" w:hAnsi="Courier New"/>
      <w:sz w:val="21"/>
    </w:rPr>
  </w:style>
  <w:style w:type="character" w:styleId="1280" w:customStyle="1">
    <w:name w:val="subtitle1"/>
    <w:uiPriority w:val="99"/>
    <w:qFormat/>
    <w:rPr>
      <w:rFonts w:ascii="Georgia" w:hAnsi="Georgia"/>
      <w:b/>
      <w:color w:val="auto"/>
      <w:sz w:val="18"/>
    </w:rPr>
  </w:style>
  <w:style w:type="character" w:styleId="1281" w:customStyle="1">
    <w:name w:val="正文缩进 Char1"/>
    <w:uiPriority w:val="99"/>
    <w:qFormat/>
    <w:rPr>
      <w:rFonts w:eastAsia="宋体"/>
    </w:rPr>
  </w:style>
  <w:style w:type="character" w:styleId="1282" w:customStyle="1">
    <w:name w:val="Char Char12"/>
    <w:uiPriority w:val="99"/>
    <w:qFormat/>
    <w:rPr>
      <w:rFonts w:ascii="Arial" w:hAnsi="Arial" w:eastAsia="黑体"/>
      <w:sz w:val="21"/>
      <w:lang w:val="en-US" w:eastAsia="zh-CN"/>
    </w:rPr>
  </w:style>
  <w:style w:type="character" w:styleId="1283" w:customStyle="1">
    <w:name w:val="Char Char27"/>
    <w:uiPriority w:val="99"/>
    <w:qFormat/>
    <w:rPr>
      <w:b/>
      <w:sz w:val="44"/>
    </w:rPr>
  </w:style>
  <w:style w:type="character" w:styleId="1284" w:customStyle="1">
    <w:name w:val="页脚 Char"/>
    <w:uiPriority w:val="0"/>
    <w:qFormat/>
    <w:rPr>
      <w:sz w:val="18"/>
    </w:rPr>
  </w:style>
  <w:style w:type="character" w:styleId="1285" w:customStyle="1">
    <w:name w:val="明显参考1"/>
    <w:uiPriority w:val="99"/>
    <w:qFormat/>
    <w:rPr>
      <w:smallCaps/>
      <w:spacing w:val="5"/>
      <w:u w:val="single"/>
    </w:rPr>
  </w:style>
  <w:style w:type="character" w:styleId="1286" w:customStyle="1">
    <w:name w:val="apple-converted-space"/>
    <w:uiPriority w:val="99"/>
    <w:qFormat/>
  </w:style>
  <w:style w:type="character" w:styleId="1287" w:customStyle="1">
    <w:name w:val="Char Char22"/>
    <w:uiPriority w:val="99"/>
    <w:qFormat/>
    <w:rPr>
      <w:b/>
      <w:sz w:val="24"/>
    </w:rPr>
  </w:style>
  <w:style w:type="character" w:styleId="1288" w:customStyle="1">
    <w:name w:val="Char Char13"/>
    <w:uiPriority w:val="99"/>
    <w:qFormat/>
    <w:rPr>
      <w:rFonts w:ascii="宋体" w:hAnsi="宋体" w:eastAsia="宋体"/>
      <w:sz w:val="24"/>
      <w:lang w:val="en-US" w:eastAsia="zh-CN"/>
    </w:rPr>
  </w:style>
  <w:style w:type="character" w:styleId="1289" w:customStyle="1">
    <w:name w:val="content_lineheight1"/>
    <w:uiPriority w:val="99"/>
    <w:qFormat/>
  </w:style>
  <w:style w:type="character" w:styleId="1290" w:customStyle="1">
    <w:name w:val="ih151"/>
    <w:uiPriority w:val="99"/>
    <w:qFormat/>
    <w:rPr>
      <w:color w:val="auto"/>
      <w:sz w:val="18"/>
      <w:u w:val="none"/>
    </w:rPr>
  </w:style>
  <w:style w:type="character" w:styleId="1291" w:customStyle="1">
    <w:name w:val="样式 首行缩进:  2 字符 Char Char"/>
    <w:uiPriority w:val="99"/>
    <w:qFormat/>
    <w:rPr>
      <w:rFonts w:eastAsia="宋体"/>
      <w:sz w:val="24"/>
      <w:lang w:val="en-US" w:eastAsia="zh-CN"/>
    </w:rPr>
  </w:style>
  <w:style w:type="character" w:styleId="1292" w:customStyle="1">
    <w:name w:val="Char Char15"/>
    <w:uiPriority w:val="99"/>
    <w:qFormat/>
    <w:rPr>
      <w:rFonts w:ascii="Arial" w:hAnsi="Arial" w:eastAsia="黑体"/>
      <w:sz w:val="21"/>
      <w:lang w:val="en-US" w:eastAsia="zh-CN"/>
    </w:rPr>
  </w:style>
  <w:style w:type="character" w:styleId="1293" w:customStyle="1">
    <w:name w:val="引用 Char"/>
    <w:uiPriority w:val="99"/>
    <w:qFormat/>
    <w:rPr>
      <w:rFonts w:ascii="Calibri" w:hAnsi="Calibri" w:eastAsia="宋体"/>
      <w:i/>
      <w:sz w:val="22"/>
      <w:lang w:val="en-US" w:eastAsia="en-US"/>
    </w:rPr>
  </w:style>
  <w:style w:type="character" w:styleId="1294" w:customStyle="1">
    <w:name w:val="Char Char29"/>
    <w:uiPriority w:val="99"/>
    <w:qFormat/>
    <w:rPr>
      <w:rFonts w:ascii="Times New Roman" w:hAnsi="Times New Roman" w:eastAsia="宋体"/>
      <w:b/>
      <w:sz w:val="44"/>
    </w:rPr>
  </w:style>
  <w:style w:type="character" w:styleId="1295" w:customStyle="1">
    <w:name w:val="t1"/>
    <w:uiPriority w:val="99"/>
    <w:qFormat/>
  </w:style>
  <w:style w:type="character" w:styleId="1296" w:customStyle="1">
    <w:name w:val="title_emph1"/>
    <w:uiPriority w:val="99"/>
    <w:qFormat/>
    <w:rPr>
      <w:rFonts w:ascii="Arial"/>
      <w:b/>
      <w:sz w:val="18"/>
    </w:rPr>
  </w:style>
  <w:style w:type="character" w:styleId="1297" w:customStyle="1">
    <w:name w:val="Char Char21"/>
    <w:uiPriority w:val="99"/>
    <w:qFormat/>
    <w:rPr>
      <w:rFonts w:ascii="Arial" w:hAnsi="Arial" w:eastAsia="黑体"/>
      <w:sz w:val="24"/>
    </w:rPr>
  </w:style>
  <w:style w:type="character" w:styleId="1298" w:customStyle="1">
    <w:name w:val="纯文本 Char1"/>
    <w:uiPriority w:val="99"/>
    <w:qFormat/>
    <w:rPr>
      <w:rFonts w:ascii="宋体" w:hAnsi="Courier New"/>
      <w:sz w:val="21"/>
    </w:rPr>
  </w:style>
  <w:style w:type="character" w:styleId="1299" w:customStyle="1">
    <w:name w:val="Char Char25"/>
    <w:uiPriority w:val="99"/>
    <w:qFormat/>
    <w:rPr>
      <w:rFonts w:ascii="Arial" w:hAnsi="Arial" w:eastAsia="黑体"/>
      <w:b/>
      <w:sz w:val="28"/>
    </w:rPr>
  </w:style>
  <w:style w:type="character" w:styleId="1300" w:customStyle="1">
    <w:name w:val="无间隔 Char"/>
    <w:uiPriority w:val="99"/>
    <w:qFormat/>
    <w:rPr>
      <w:rFonts w:ascii="Calibri" w:hAnsi="Calibri" w:eastAsia="微软雅黑"/>
      <w:sz w:val="22"/>
      <w:lang w:val="en-US" w:eastAsia="zh-CN"/>
    </w:rPr>
  </w:style>
  <w:style w:type="character" w:styleId="1301" w:customStyle="1">
    <w:name w:val="Char Char2"/>
    <w:uiPriority w:val="99"/>
    <w:qFormat/>
    <w:rPr>
      <w:rFonts w:ascii="宋体" w:hAnsi="Courier New" w:eastAsia="宋体"/>
      <w:sz w:val="21"/>
      <w:lang w:val="en-US" w:eastAsia="zh-CN"/>
    </w:rPr>
  </w:style>
  <w:style w:type="character" w:styleId="1302"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99"/>
    <w:qFormat/>
    <w:rPr>
      <w:rFonts w:eastAsia="宋体"/>
      <w:b/>
      <w:sz w:val="32"/>
      <w:lang w:val="en-US" w:eastAsia="zh-CN"/>
    </w:rPr>
  </w:style>
  <w:style w:type="character" w:styleId="1303" w:customStyle="1">
    <w:name w:val="不明显强调1"/>
    <w:uiPriority w:val="99"/>
    <w:qFormat/>
    <w:rPr>
      <w:i/>
    </w:rPr>
  </w:style>
  <w:style w:type="character" w:styleId="1304" w:customStyle="1">
    <w:name w:val="111111 Char Char"/>
    <w:uiPriority w:val="99"/>
    <w:qFormat/>
    <w:rPr>
      <w:rFonts w:ascii="宋体" w:hAnsi="宋体" w:eastAsia="黑体"/>
      <w:b/>
      <w:sz w:val="21"/>
      <w:lang w:val="en-US" w:eastAsia="zh-CN"/>
    </w:rPr>
  </w:style>
  <w:style w:type="character" w:styleId="1305" w:customStyle="1">
    <w:name w:val="font61"/>
    <w:basedOn w:val="967"/>
    <w:uiPriority w:val="0"/>
    <w:qFormat/>
    <w:rPr>
      <w:rFonts w:ascii="宋体" w:hAnsi="宋体" w:eastAsia="宋体"/>
      <w:color w:val="ff0000"/>
      <w:sz w:val="20"/>
      <w:u w:val="none"/>
    </w:rPr>
  </w:style>
  <w:style w:type="character" w:styleId="1306" w:customStyle="1">
    <w:name w:val="标准小四 Char Char Char"/>
    <w:uiPriority w:val="99"/>
    <w:qFormat/>
    <w:rPr>
      <w:rFonts w:ascii="Arial" w:hAnsi="Arial" w:eastAsia="宋体"/>
      <w:sz w:val="21"/>
      <w:lang w:val="en-US" w:eastAsia="zh-CN"/>
    </w:rPr>
  </w:style>
  <w:style w:type="character" w:styleId="1307" w:customStyle="1">
    <w:name w:val="Char Char9"/>
    <w:uiPriority w:val="99"/>
    <w:qFormat/>
    <w:rPr>
      <w:rFonts w:eastAsia="宋体"/>
      <w:sz w:val="21"/>
      <w:lang w:val="en-US" w:eastAsia="zh-CN"/>
    </w:rPr>
  </w:style>
  <w:style w:type="character" w:styleId="1308" w:customStyle="1">
    <w:name w:val="3zw"/>
    <w:uiPriority w:val="99"/>
    <w:qFormat/>
  </w:style>
  <w:style w:type="character" w:styleId="1309" w:customStyle="1">
    <w:name w:val="medium_text1"/>
    <w:uiPriority w:val="99"/>
    <w:qFormat/>
    <w:rPr>
      <w:sz w:val="24"/>
    </w:rPr>
  </w:style>
  <w:style w:type="character" w:styleId="1310" w:customStyle="1">
    <w:name w:val="Char Char16"/>
    <w:uiPriority w:val="99"/>
    <w:qFormat/>
    <w:rPr>
      <w:rFonts w:ascii="Arial" w:hAnsi="Arial" w:eastAsia="黑体"/>
      <w:sz w:val="24"/>
      <w:lang w:val="en-US" w:eastAsia="zh-CN"/>
    </w:rPr>
  </w:style>
  <w:style w:type="character" w:styleId="1311" w:customStyle="1">
    <w:name w:val="华宇段落1 Char Char Char Char"/>
    <w:uiPriority w:val="99"/>
    <w:qFormat/>
    <w:rPr>
      <w:rFonts w:eastAsia="宋体"/>
      <w:sz w:val="24"/>
      <w:lang w:val="en-US" w:eastAsia="zh-CN"/>
    </w:rPr>
  </w:style>
  <w:style w:type="character" w:styleId="1312" w:customStyle="1">
    <w:name w:val="font91"/>
    <w:uiPriority w:val="99"/>
    <w:qFormat/>
    <w:rPr>
      <w:rFonts w:ascii="宋体" w:hAnsi="宋体" w:eastAsia="宋体"/>
      <w:color w:val="000000"/>
      <w:sz w:val="20"/>
      <w:u w:val="none"/>
    </w:rPr>
  </w:style>
  <w:style w:type="character" w:styleId="1313" w:customStyle="1">
    <w:name w:val="Char Char3"/>
    <w:uiPriority w:val="99"/>
    <w:qFormat/>
    <w:rPr>
      <w:rFonts w:eastAsia="宋体"/>
      <w:sz w:val="18"/>
      <w:lang w:val="en-US" w:eastAsia="zh-CN"/>
    </w:rPr>
  </w:style>
  <w:style w:type="character" w:styleId="1314" w:customStyle="1">
    <w:name w:val="普通文字1 Char"/>
    <w:uiPriority w:val="99"/>
    <w:qFormat/>
    <w:rPr>
      <w:rFonts w:ascii="宋体" w:eastAsia="宋体"/>
      <w:sz w:val="21"/>
      <w:lang w:val="en-US" w:eastAsia="zh-CN"/>
    </w:rPr>
  </w:style>
  <w:style w:type="character" w:styleId="1315" w:customStyle="1">
    <w:name w:val="Char Char8"/>
    <w:uiPriority w:val="99"/>
    <w:qFormat/>
    <w:rPr>
      <w:rFonts w:eastAsia="宋体"/>
      <w:sz w:val="18"/>
      <w:lang w:val="en-US" w:eastAsia="zh-CN"/>
    </w:rPr>
  </w:style>
  <w:style w:type="character" w:styleId="1316" w:customStyle="1">
    <w:name w:val="msosubtleemphasis"/>
    <w:uiPriority w:val="99"/>
    <w:qFormat/>
    <w:rPr>
      <w:rFonts w:cs="Times New Roman"/>
      <w:i/>
      <w:color w:val="auto"/>
    </w:rPr>
  </w:style>
  <w:style w:type="character" w:styleId="1317" w:customStyle="1">
    <w:name w:val="小四 段落 宋体 Char Char Char Char Char Char Char Char"/>
    <w:uiPriority w:val="99"/>
    <w:qFormat/>
    <w:rPr>
      <w:rFonts w:eastAsia="宋体"/>
      <w:sz w:val="24"/>
      <w:lang w:val="en-US" w:eastAsia="zh-CN"/>
    </w:rPr>
  </w:style>
  <w:style w:type="character" w:styleId="1318" w:customStyle="1">
    <w:name w:val="批注文字 Char"/>
    <w:uiPriority w:val="0"/>
    <w:qFormat/>
    <w:rPr>
      <w:rFonts w:ascii="Times New Roman" w:hAnsi="Times New Roman" w:eastAsia="宋体"/>
      <w:sz w:val="20"/>
    </w:rPr>
  </w:style>
  <w:style w:type="character" w:styleId="1319" w:customStyle="1">
    <w:name w:val="批注文字 字符"/>
    <w:uiPriority w:val="99"/>
    <w:qFormat/>
    <w:rPr>
      <w:rFonts w:ascii="Times New Roman" w:hAnsi="Times New Roman" w:eastAsia="宋体" w:cs="Times New Roman"/>
      <w:sz w:val="24"/>
      <w:szCs w:val="24"/>
    </w:rPr>
  </w:style>
  <w:style w:type="paragraph" w:styleId="1320" w:customStyle="1">
    <w:name w:val="样式 加点正文 + 段前: 0.5 行 段后: 0.5 行1"/>
    <w:basedOn w:val="957"/>
    <w:uiPriority w:val="99"/>
    <w:qFormat/>
    <w:pPr>
      <w:ind w:left="1268" w:hanging="420"/>
      <w:spacing w:line="300" w:lineRule="auto"/>
      <w:tabs>
        <w:tab w:val="left" w:pos="1268" w:leader="none"/>
      </w:tabs>
    </w:pPr>
    <w:rPr>
      <w:sz w:val="24"/>
      <w:szCs w:val="20"/>
    </w:rPr>
  </w:style>
  <w:style w:type="paragraph" w:styleId="1321" w:customStyle="1">
    <w:name w:val="Char2"/>
    <w:basedOn w:val="975"/>
    <w:uiPriority w:val="99"/>
    <w:qFormat/>
    <w:rPr>
      <w:rFonts w:ascii="Tahoma" w:hAnsi="Tahoma"/>
    </w:rPr>
  </w:style>
  <w:style w:type="paragraph" w:styleId="1322" w:customStyle="1">
    <w:name w:val="正文缩进2字符"/>
    <w:basedOn w:val="957"/>
    <w:uiPriority w:val="99"/>
    <w:qFormat/>
    <w:pPr>
      <w:ind w:firstLine="200"/>
      <w:spacing w:line="300" w:lineRule="auto"/>
    </w:pPr>
    <w:rPr>
      <w:rFonts w:ascii="仿宋_GB2312" w:eastAsia="仿宋_GB2312"/>
      <w:sz w:val="32"/>
      <w:szCs w:val="32"/>
    </w:rPr>
  </w:style>
  <w:style w:type="paragraph" w:styleId="1323" w:customStyle="1">
    <w:name w:val="普通 (Web)"/>
    <w:basedOn w:val="957"/>
    <w:uiPriority w:val="99"/>
    <w:qFormat/>
    <w:pPr>
      <w:jc w:val="left"/>
      <w:spacing w:before="100" w:beforeAutospacing="1" w:after="100" w:afterAutospacing="1"/>
      <w:widowControl/>
    </w:pPr>
    <w:rPr>
      <w:rFonts w:ascii="宋体" w:hAnsi="宋体"/>
      <w:sz w:val="24"/>
    </w:rPr>
  </w:style>
  <w:style w:type="paragraph" w:styleId="1324" w:customStyle="1">
    <w:name w:val="table_lines"/>
    <w:basedOn w:val="957"/>
    <w:uiPriority w:val="99"/>
    <w:qFormat/>
    <w:pPr>
      <w:jc w:val="left"/>
      <w:widowControl/>
    </w:pPr>
    <w:rPr>
      <w:sz w:val="20"/>
      <w:szCs w:val="20"/>
      <w:lang w:val="de-DE" w:eastAsia="de-DE"/>
    </w:rPr>
  </w:style>
  <w:style w:type="paragraph" w:styleId="1325" w:customStyle="1">
    <w:name w:val="方案正文"/>
    <w:basedOn w:val="957"/>
    <w:uiPriority w:val="99"/>
    <w:qFormat/>
    <w:pPr>
      <w:ind w:firstLine="359"/>
      <w:jc w:val="left"/>
      <w:spacing w:before="156" w:line="360" w:lineRule="auto"/>
    </w:pPr>
    <w:rPr>
      <w:rFonts w:ascii="Arial" w:hAnsi="Arial" w:cs="宋体"/>
      <w:sz w:val="24"/>
      <w:szCs w:val="21"/>
    </w:rPr>
  </w:style>
  <w:style w:type="paragraph" w:styleId="1326" w:customStyle="1">
    <w:name w:val="xl37"/>
    <w:basedOn w:val="95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327" w:customStyle="1">
    <w:name w:val="标准文本"/>
    <w:basedOn w:val="957"/>
    <w:uiPriority w:val="99"/>
    <w:qFormat/>
    <w:pPr>
      <w:ind w:firstLine="480"/>
      <w:spacing w:line="360" w:lineRule="auto"/>
    </w:pPr>
    <w:rPr>
      <w:rFonts w:cs="宋体"/>
      <w:sz w:val="24"/>
    </w:rPr>
  </w:style>
  <w:style w:type="paragraph" w:styleId="1328" w:customStyle="1">
    <w:name w:val="正文 + 宋体"/>
    <w:basedOn w:val="957"/>
    <w:uiPriority w:val="99"/>
    <w:qFormat/>
    <w:pPr>
      <w:ind w:firstLine="420"/>
      <w:spacing w:line="360" w:lineRule="auto"/>
    </w:pPr>
  </w:style>
  <w:style w:type="paragraph" w:styleId="1329" w:customStyle="1">
    <w:name w:val="我的正文"/>
    <w:basedOn w:val="957"/>
    <w:uiPriority w:val="99"/>
    <w:qFormat/>
    <w:pPr>
      <w:ind w:firstLine="420"/>
      <w:jc w:val="left"/>
      <w:spacing w:line="360" w:lineRule="auto"/>
      <w:widowControl/>
    </w:pPr>
    <w:rPr>
      <w:rFonts w:ascii="宋体" w:hAnsi="宋体" w:cs="宋体"/>
      <w:szCs w:val="21"/>
    </w:rPr>
  </w:style>
  <w:style w:type="paragraph" w:styleId="1330" w:customStyle="1">
    <w:name w:val="Char Char Char Char Char Char Char"/>
    <w:basedOn w:val="957"/>
    <w:uiPriority w:val="99"/>
    <w:qFormat/>
    <w:pPr>
      <w:jc w:val="left"/>
    </w:pPr>
    <w:rPr>
      <w:rFonts w:ascii="Tahoma" w:hAnsi="Tahoma"/>
      <w:sz w:val="24"/>
      <w:szCs w:val="20"/>
    </w:rPr>
  </w:style>
  <w:style w:type="paragraph" w:styleId="1331" w:customStyle="1">
    <w:name w:val="公文正文"/>
    <w:basedOn w:val="980"/>
    <w:uiPriority w:val="99"/>
    <w:qFormat/>
    <w:pPr>
      <w:ind w:left="0" w:firstLine="200"/>
      <w:spacing w:after="0"/>
    </w:pPr>
    <w:rPr>
      <w:rFonts w:ascii="仿宋_GB2312" w:hAnsi="宋体" w:eastAsia="仿宋_GB2312"/>
      <w:sz w:val="28"/>
    </w:rPr>
  </w:style>
  <w:style w:type="paragraph" w:styleId="1332" w:customStyle="1">
    <w:name w:val="p0"/>
    <w:basedOn w:val="957"/>
    <w:uiPriority w:val="99"/>
    <w:qFormat/>
    <w:pPr>
      <w:jc w:val="left"/>
      <w:spacing w:before="100" w:beforeAutospacing="1" w:after="100" w:afterAutospacing="1"/>
      <w:widowControl/>
    </w:pPr>
    <w:rPr>
      <w:rFonts w:ascii="宋体" w:hAnsi="宋体" w:cs="宋体"/>
      <w:sz w:val="24"/>
    </w:rPr>
  </w:style>
  <w:style w:type="paragraph" w:styleId="1333" w:customStyle="1">
    <w:name w:val="Char Char Char Char Char Char Char Char Char Char Char"/>
    <w:basedOn w:val="957"/>
    <w:uiPriority w:val="99"/>
    <w:qFormat/>
    <w:rPr>
      <w:rFonts w:ascii="Tahoma" w:hAnsi="Tahoma"/>
      <w:sz w:val="24"/>
      <w:szCs w:val="20"/>
    </w:rPr>
  </w:style>
  <w:style w:type="paragraph" w:styleId="1334" w:customStyle="1">
    <w:name w:val="插图"/>
    <w:basedOn w:val="957"/>
    <w:uiPriority w:val="99"/>
    <w:qFormat/>
    <w:pPr>
      <w:jc w:val="center"/>
      <w:tabs>
        <w:tab w:val="left" w:pos="1620" w:leader="none"/>
      </w:tabs>
    </w:pPr>
    <w:rPr>
      <w:bCs/>
      <w:color w:val="000000"/>
      <w:szCs w:val="22"/>
    </w:rPr>
  </w:style>
  <w:style w:type="paragraph" w:styleId="1335" w:customStyle="1">
    <w:name w:val="样式1"/>
    <w:basedOn w:val="957"/>
    <w:uiPriority w:val="99"/>
    <w:qFormat/>
    <w:pPr>
      <w:ind w:firstLine="480"/>
      <w:spacing w:line="300" w:lineRule="auto"/>
    </w:pPr>
    <w:rPr>
      <w:sz w:val="24"/>
    </w:rPr>
  </w:style>
  <w:style w:type="paragraph" w:styleId="1336" w:customStyle="1">
    <w:name w:val="xl26"/>
    <w:basedOn w:val="95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337" w:customStyle="1">
    <w:name w:val="Char Char Char"/>
    <w:basedOn w:val="957"/>
    <w:uiPriority w:val="99"/>
    <w:qFormat/>
    <w:rPr>
      <w:rFonts w:ascii="Tahoma" w:hAnsi="Tahoma"/>
      <w:sz w:val="24"/>
      <w:szCs w:val="20"/>
    </w:rPr>
  </w:style>
  <w:style w:type="paragraph" w:styleId="1338" w:customStyle="1">
    <w:name w:val="马刚标题3"/>
    <w:basedOn w:val="957"/>
    <w:next w:val="957"/>
    <w:uiPriority w:val="9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339" w:customStyle="1">
    <w:name w:val="段"/>
    <w:uiPriority w:val="99"/>
    <w:qFormat/>
    <w:pPr>
      <w:ind w:firstLine="200"/>
      <w:jc w:val="both"/>
    </w:pPr>
    <w:rPr>
      <w:rFonts w:ascii="宋体" w:hAnsi="Times New Roman" w:eastAsia="宋体" w:cs="Times New Roman"/>
      <w:sz w:val="21"/>
      <w:lang w:val="en-US" w:eastAsia="zh-CN" w:bidi="ar-SA"/>
    </w:rPr>
  </w:style>
  <w:style w:type="paragraph" w:styleId="1340" w:customStyle="1">
    <w:name w:val="二级条标题"/>
    <w:basedOn w:val="957"/>
    <w:next w:val="1339"/>
    <w:uiPriority w:val="99"/>
    <w:qFormat/>
    <w:pPr>
      <w:ind w:hanging="420"/>
      <w:widowControl/>
      <w:tabs>
        <w:tab w:val="left" w:pos="2240" w:leader="none"/>
      </w:tabs>
      <w:outlineLvl w:val="3"/>
    </w:pPr>
    <w:rPr>
      <w:rFonts w:eastAsia="黑体"/>
      <w:szCs w:val="20"/>
    </w:rPr>
  </w:style>
  <w:style w:type="paragraph" w:styleId="1341" w:customStyle="1">
    <w:name w:val="Char Char1 Char Char Char Char1 Char Char Char Char Char Char"/>
    <w:basedOn w:val="957"/>
    <w:uiPriority w:val="99"/>
    <w:qFormat/>
    <w:rPr>
      <w:rFonts w:ascii="Tahoma" w:hAnsi="Tahoma"/>
      <w:sz w:val="24"/>
      <w:szCs w:val="20"/>
    </w:rPr>
  </w:style>
  <w:style w:type="paragraph" w:styleId="1342" w:customStyle="1">
    <w:name w:val="正文表标题"/>
    <w:next w:val="1339"/>
    <w:uiPriority w:val="99"/>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343" w:customStyle="1">
    <w:name w:val="xl44"/>
    <w:basedOn w:val="957"/>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344" w:customStyle="1">
    <w:name w:val="Char Char Char Char Char Char Char Char Char Char Char Char Char Char Char Char Char Char Char Char Char1"/>
    <w:basedOn w:val="957"/>
    <w:uiPriority w:val="99"/>
    <w:qFormat/>
    <w:rPr>
      <w:rFonts w:ascii="Tahoma" w:hAnsi="Tahoma"/>
      <w:sz w:val="24"/>
      <w:szCs w:val="20"/>
    </w:rPr>
  </w:style>
  <w:style w:type="paragraph" w:styleId="1345" w:customStyle="1">
    <w:name w:val="样式2"/>
    <w:basedOn w:val="957"/>
    <w:uiPriority w:val="99"/>
    <w:qFormat/>
    <w:pPr>
      <w:ind w:left="200"/>
      <w:spacing w:line="360" w:lineRule="auto"/>
    </w:pPr>
    <w:rPr>
      <w:rFonts w:ascii="宋体" w:hAnsi="宋体"/>
      <w:b/>
      <w:sz w:val="24"/>
    </w:rPr>
  </w:style>
  <w:style w:type="paragraph" w:styleId="1346" w:customStyle="1">
    <w:name w:val="部分1"/>
    <w:basedOn w:val="957"/>
    <w:uiPriority w:val="99"/>
    <w:qFormat/>
    <w:pPr>
      <w:jc w:val="center"/>
      <w:keepNext/>
      <w:pageBreakBefore/>
      <w:spacing w:line="360" w:lineRule="auto"/>
      <w:tabs>
        <w:tab w:val="left" w:pos="360" w:leader="none"/>
      </w:tabs>
      <w:outlineLvl w:val="0"/>
    </w:pPr>
    <w:rPr>
      <w:rFonts w:eastAsia="黑体"/>
      <w:b/>
      <w:sz w:val="36"/>
      <w:szCs w:val="20"/>
    </w:rPr>
  </w:style>
  <w:style w:type="paragraph" w:styleId="1347" w:customStyle="1">
    <w:name w:val="Item List Char Char"/>
    <w:uiPriority w:val="99"/>
    <w:qFormat/>
    <w:pPr>
      <w:jc w:val="both"/>
      <w:spacing w:line="288" w:lineRule="auto"/>
    </w:pPr>
    <w:rPr>
      <w:rFonts w:ascii="Arial" w:hAnsi="Arial" w:eastAsia="宋体" w:cs="Arial"/>
      <w:b/>
      <w:bCs/>
      <w:sz w:val="21"/>
      <w:szCs w:val="28"/>
      <w:lang w:val="en-US" w:eastAsia="zh-CN" w:bidi="ar-SA"/>
    </w:rPr>
  </w:style>
  <w:style w:type="paragraph" w:styleId="1348" w:customStyle="1">
    <w:name w:val="马刚标题4"/>
    <w:basedOn w:val="1338"/>
    <w:next w:val="957"/>
    <w:uiPriority w:val="99"/>
    <w:qFormat/>
    <w:pPr>
      <w:spacing w:before="100" w:after="40"/>
      <w:tabs>
        <w:tab w:val="left" w:pos="1050" w:leader="none"/>
      </w:tabs>
      <w:outlineLvl w:val="3"/>
    </w:pPr>
    <w:rPr>
      <w:b w:val="0"/>
    </w:rPr>
  </w:style>
  <w:style w:type="paragraph" w:styleId="1349" w:customStyle="1">
    <w:name w:val="xl27"/>
    <w:basedOn w:val="95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350" w:customStyle="1">
    <w:name w:val="xl31"/>
    <w:basedOn w:val="95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351" w:customStyle="1">
    <w:name w:val="样式 标题 3H3sect1.2.3BOD 0Heading 3 - oldh3l3CTLevel 3 Head..."/>
    <w:basedOn w:val="960"/>
    <w:uiPriority w:val="99"/>
    <w:qFormat/>
    <w:pPr>
      <w:jc w:val="left"/>
      <w:spacing w:line="240" w:lineRule="auto"/>
    </w:pPr>
    <w:rPr>
      <w:rFonts w:cs="宋体"/>
      <w:sz w:val="30"/>
      <w:szCs w:val="20"/>
    </w:rPr>
  </w:style>
  <w:style w:type="paragraph" w:styleId="1352" w:customStyle="1">
    <w:name w:val="Table Text Char"/>
    <w:uiPriority w:val="99"/>
    <w:qFormat/>
    <w:pPr>
      <w:spacing w:before="80" w:after="80"/>
    </w:pPr>
    <w:rPr>
      <w:rFonts w:ascii="Arial" w:hAnsi="Arial" w:eastAsia="宋体" w:cs="Arial"/>
      <w:sz w:val="18"/>
      <w:szCs w:val="28"/>
      <w:lang w:val="en-US" w:eastAsia="zh-CN" w:bidi="ar-SA"/>
    </w:rPr>
  </w:style>
  <w:style w:type="paragraph" w:styleId="1353" w:customStyle="1">
    <w:name w:val="小四 段落 宋体 Char Char Char Char"/>
    <w:basedOn w:val="957"/>
    <w:uiPriority w:val="99"/>
    <w:qFormat/>
    <w:pPr>
      <w:ind w:right="-33" w:firstLine="480"/>
      <w:jc w:val="left"/>
      <w:spacing w:line="360" w:lineRule="auto"/>
    </w:pPr>
    <w:rPr>
      <w:sz w:val="24"/>
    </w:rPr>
  </w:style>
  <w:style w:type="paragraph" w:styleId="1354" w:customStyle="1">
    <w:name w:val="Pa5"/>
    <w:basedOn w:val="957"/>
    <w:next w:val="957"/>
    <w:uiPriority w:val="99"/>
    <w:qFormat/>
    <w:pPr>
      <w:jc w:val="left"/>
      <w:spacing w:line="241" w:lineRule="atLeast"/>
    </w:pPr>
    <w:rPr>
      <w:rFonts w:ascii="汉仪大黑简" w:eastAsia="汉仪大黑简"/>
      <w:sz w:val="24"/>
    </w:rPr>
  </w:style>
  <w:style w:type="paragraph" w:styleId="1355" w:customStyle="1">
    <w:name w:val="样式 段后: 0.25 行"/>
    <w:basedOn w:val="957"/>
    <w:uiPriority w:val="99"/>
    <w:qFormat/>
    <w:pPr>
      <w:ind w:firstLine="420"/>
      <w:jc w:val="left"/>
      <w:spacing w:line="300" w:lineRule="auto"/>
      <w:widowControl/>
    </w:pPr>
    <w:rPr>
      <w:rFonts w:ascii="Arial" w:hAnsi="Arial" w:cs="宋体"/>
      <w:sz w:val="22"/>
      <w:szCs w:val="20"/>
      <w:lang w:eastAsia="en-US"/>
    </w:rPr>
  </w:style>
  <w:style w:type="paragraph" w:styleId="1356" w:customStyle="1">
    <w:name w:val="flType"/>
    <w:basedOn w:val="1357"/>
    <w:uiPriority w:val="99"/>
    <w:qFormat/>
    <w:pPr>
      <w:spacing w:after="284"/>
    </w:pPr>
    <w:rPr>
      <w:rFonts w:eastAsia="宋体"/>
      <w:b w:val="0"/>
    </w:rPr>
  </w:style>
  <w:style w:type="paragraph" w:styleId="1357" w:customStyle="1">
    <w:name w:val="flName"/>
    <w:basedOn w:val="1358"/>
    <w:uiPriority w:val="99"/>
    <w:qFormat/>
    <w:pPr>
      <w:spacing w:before="0" w:line="113" w:lineRule="atLeast"/>
    </w:pPr>
  </w:style>
  <w:style w:type="paragraph" w:styleId="1358" w:customStyle="1">
    <w:name w:val="flNote"/>
    <w:basedOn w:val="957"/>
    <w:uiPriority w:val="99"/>
    <w:qFormat/>
    <w:pPr>
      <w:jc w:val="center"/>
      <w:spacing w:before="567" w:line="360" w:lineRule="atLeast"/>
    </w:pPr>
    <w:rPr>
      <w:rFonts w:eastAsia="黑体"/>
      <w:b/>
      <w:sz w:val="24"/>
      <w:szCs w:val="20"/>
    </w:rPr>
  </w:style>
  <w:style w:type="paragraph" w:styleId="1359" w:customStyle="1">
    <w:name w:val="qw"/>
    <w:uiPriority w:val="99"/>
    <w:qFormat/>
    <w:pPr>
      <w:jc w:val="both"/>
      <w:spacing w:line="312" w:lineRule="atLeast"/>
      <w:widowControl w:val="off"/>
    </w:pPr>
    <w:rPr>
      <w:rFonts w:ascii="宋体" w:hAnsi="Times New Roman" w:eastAsia="宋体" w:cs="Times New Roman"/>
      <w:sz w:val="24"/>
      <w:lang w:val="en-US" w:eastAsia="zh-CN" w:bidi="ar-SA"/>
    </w:rPr>
  </w:style>
  <w:style w:type="paragraph" w:styleId="1360" w:customStyle="1">
    <w:name w:val="样式 样式 首行缩进:  2 字符 + 行距: 1.5 倍行距"/>
    <w:basedOn w:val="957"/>
    <w:uiPriority w:val="99"/>
    <w:qFormat/>
    <w:pPr>
      <w:ind w:firstLine="470"/>
      <w:spacing w:line="360" w:lineRule="auto"/>
    </w:pPr>
    <w:rPr>
      <w:sz w:val="24"/>
      <w:szCs w:val="20"/>
    </w:rPr>
  </w:style>
  <w:style w:type="paragraph" w:styleId="1361" w:customStyle="1">
    <w:name w:val="_Style 82"/>
    <w:uiPriority w:val="99"/>
    <w:qFormat/>
    <w:rPr>
      <w:rFonts w:ascii="Times New Roman" w:hAnsi="Times New Roman" w:eastAsia="宋体" w:cs="Times New Roman"/>
      <w:sz w:val="22"/>
      <w:szCs w:val="22"/>
      <w:lang w:val="en-US" w:eastAsia="zh-CN" w:bidi="ar-SA"/>
    </w:rPr>
  </w:style>
  <w:style w:type="paragraph" w:styleId="1362" w:customStyle="1">
    <w:name w:val="xl52"/>
    <w:basedOn w:val="957"/>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363" w:customStyle="1">
    <w:name w:val="样式 样式 首行缩进:  0.74 厘米 行距: 1.5 倍行距 + 段后: 0.5 行"/>
    <w:basedOn w:val="957"/>
    <w:uiPriority w:val="99"/>
    <w:qFormat/>
    <w:pPr>
      <w:ind w:firstLine="420"/>
      <w:spacing w:line="360" w:lineRule="auto"/>
    </w:pPr>
    <w:rPr>
      <w:rFonts w:ascii="楷体_GB2312" w:eastAsia="楷体_GB2312"/>
      <w:bCs/>
      <w:sz w:val="24"/>
      <w:szCs w:val="20"/>
    </w:rPr>
  </w:style>
  <w:style w:type="paragraph" w:styleId="1364" w:customStyle="1">
    <w:name w:val="Char Char1"/>
    <w:basedOn w:val="957"/>
    <w:uiPriority w:val="99"/>
    <w:qFormat/>
    <w:rPr>
      <w:rFonts w:ascii="Tahoma" w:hAnsi="Tahoma"/>
      <w:sz w:val="24"/>
      <w:szCs w:val="20"/>
    </w:rPr>
  </w:style>
  <w:style w:type="paragraph" w:styleId="1365" w:customStyle="1">
    <w:name w:val="Char1 Char Char Char"/>
    <w:basedOn w:val="957"/>
    <w:uiPriority w:val="99"/>
    <w:qFormat/>
    <w:rPr>
      <w:rFonts w:ascii="Tahoma" w:hAnsi="Tahoma" w:cs="Tahoma"/>
      <w:sz w:val="24"/>
      <w:szCs w:val="20"/>
    </w:rPr>
  </w:style>
  <w:style w:type="paragraph" w:styleId="1366" w:customStyle="1">
    <w:name w:val="标题2，章节第二层"/>
    <w:basedOn w:val="957"/>
    <w:next w:val="1367"/>
    <w:uiPriority w:val="99"/>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367" w:customStyle="1">
    <w:name w:val="正文格式"/>
    <w:basedOn w:val="957"/>
    <w:uiPriority w:val="99"/>
    <w:qFormat/>
    <w:pPr>
      <w:ind w:left="178" w:right="44" w:hanging="178"/>
      <w:jc w:val="left"/>
      <w:spacing w:line="360" w:lineRule="auto"/>
      <w:widowControl/>
    </w:pPr>
    <w:rPr>
      <w:rFonts w:ascii="宋体" w:hAnsi="宋体"/>
      <w:bCs/>
      <w:szCs w:val="21"/>
    </w:rPr>
  </w:style>
  <w:style w:type="paragraph" w:styleId="1368" w:customStyle="1">
    <w:name w:val="Test2"/>
    <w:basedOn w:val="959"/>
    <w:uiPriority w:val="99"/>
    <w:qFormat/>
    <w:pPr>
      <w:jc w:val="center"/>
      <w:spacing w:line="480" w:lineRule="exact"/>
      <w:widowControl/>
    </w:pPr>
    <w:rPr>
      <w:rFonts w:ascii="黑体"/>
      <w:sz w:val="24"/>
      <w:szCs w:val="24"/>
    </w:rPr>
  </w:style>
  <w:style w:type="paragraph" w:styleId="1369" w:customStyle="1">
    <w:name w:val="xl36"/>
    <w:basedOn w:val="95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70" w:customStyle="1">
    <w:name w:val="font6"/>
    <w:basedOn w:val="957"/>
    <w:uiPriority w:val="99"/>
    <w:qFormat/>
    <w:pPr>
      <w:jc w:val="left"/>
      <w:spacing w:before="100" w:beforeAutospacing="1" w:after="100" w:afterAutospacing="1"/>
      <w:widowControl/>
    </w:pPr>
    <w:rPr>
      <w:rFonts w:ascii="宋体" w:hAnsi="宋体" w:cs="宋体"/>
      <w:b/>
      <w:bCs/>
      <w:sz w:val="20"/>
      <w:szCs w:val="20"/>
    </w:rPr>
  </w:style>
  <w:style w:type="paragraph" w:styleId="1371" w:customStyle="1">
    <w:name w:val="xl58"/>
    <w:basedOn w:val="957"/>
    <w:uiPriority w:val="99"/>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372" w:customStyle="1">
    <w:name w:val="font10"/>
    <w:basedOn w:val="957"/>
    <w:uiPriority w:val="99"/>
    <w:qFormat/>
    <w:pPr>
      <w:jc w:val="left"/>
      <w:spacing w:before="100" w:beforeAutospacing="1" w:after="100" w:afterAutospacing="1"/>
      <w:widowControl/>
    </w:pPr>
    <w:rPr>
      <w:rFonts w:ascii="楷体_GB2312" w:hAnsi="宋体" w:eastAsia="楷体_GB2312" w:cs="宋体"/>
      <w:b/>
      <w:bCs/>
      <w:sz w:val="18"/>
      <w:szCs w:val="18"/>
    </w:rPr>
  </w:style>
  <w:style w:type="paragraph" w:styleId="1373" w:customStyle="1">
    <w:name w:val="xl56"/>
    <w:basedOn w:val="957"/>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374" w:customStyle="1">
    <w:name w:val="样式"/>
    <w:basedOn w:val="957"/>
    <w:uiPriority w:val="99"/>
    <w:qFormat/>
    <w:pPr>
      <w:spacing w:before="120" w:after="120" w:line="360" w:lineRule="auto"/>
    </w:pPr>
    <w:rPr>
      <w:rFonts w:ascii="宋体"/>
      <w:sz w:val="24"/>
      <w:szCs w:val="20"/>
    </w:rPr>
  </w:style>
  <w:style w:type="paragraph" w:styleId="1375" w:customStyle="1">
    <w:name w:val="a0"/>
    <w:basedOn w:val="957"/>
    <w:uiPriority w:val="99"/>
    <w:qFormat/>
    <w:pPr>
      <w:spacing w:before="100" w:beforeAutospacing="1" w:after="100" w:afterAutospacing="1"/>
      <w:widowControl/>
    </w:pPr>
    <w:rPr>
      <w:rFonts w:ascii="宋体" w:hAnsi="宋体" w:cs="宋体"/>
      <w:sz w:val="24"/>
    </w:rPr>
  </w:style>
  <w:style w:type="paragraph" w:styleId="1376" w:customStyle="1">
    <w:name w:val="retrait3"/>
    <w:basedOn w:val="957"/>
    <w:uiPriority w:val="99"/>
    <w:qFormat/>
    <w:pPr>
      <w:ind w:left="851"/>
      <w:jc w:val="left"/>
      <w:spacing w:before="20" w:after="20"/>
      <w:widowControl/>
    </w:pPr>
    <w:rPr>
      <w:rFonts w:ascii="Arial" w:hAnsi="Arial"/>
      <w:sz w:val="24"/>
      <w:szCs w:val="20"/>
      <w:lang w:val="en-GB"/>
    </w:rPr>
  </w:style>
  <w:style w:type="paragraph" w:styleId="1377" w:customStyle="1">
    <w:name w:val="图标"/>
    <w:basedOn w:val="957"/>
    <w:next w:val="957"/>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78" w:customStyle="1">
    <w:name w:val="Char1 Char Char Char1"/>
    <w:basedOn w:val="957"/>
    <w:uiPriority w:val="99"/>
    <w:qFormat/>
    <w:rPr>
      <w:rFonts w:ascii="Tahoma" w:hAnsi="Tahoma"/>
      <w:sz w:val="24"/>
      <w:szCs w:val="20"/>
    </w:rPr>
  </w:style>
  <w:style w:type="paragraph" w:styleId="1379" w:customStyle="1">
    <w:name w:val="样式 样式 标题 3H3sect1.2.3BOD 0Heading 3 - oldh3l3CTLevel 3 Head... +..."/>
    <w:basedOn w:val="957"/>
    <w:uiPriority w:val="99"/>
    <w:qFormat/>
    <w:pPr>
      <w:jc w:val="left"/>
      <w:keepLines/>
      <w:keepNext/>
      <w:outlineLvl w:val="2"/>
    </w:pPr>
    <w:rPr>
      <w:rFonts w:cs="宋体"/>
      <w:b/>
      <w:bCs/>
      <w:sz w:val="24"/>
      <w:szCs w:val="20"/>
    </w:rPr>
  </w:style>
  <w:style w:type="paragraph" w:styleId="1380" w:customStyle="1">
    <w:name w:val="Char Char1 Char1"/>
    <w:basedOn w:val="957"/>
    <w:uiPriority w:val="99"/>
    <w:qFormat/>
    <w:pPr>
      <w:jc w:val="left"/>
      <w:spacing w:after="160" w:line="240" w:lineRule="exact"/>
      <w:widowControl/>
    </w:pPr>
    <w:rPr>
      <w:rFonts w:ascii="Verdana" w:hAnsi="Verdana"/>
      <w:sz w:val="20"/>
      <w:szCs w:val="20"/>
      <w:lang w:eastAsia="en-US"/>
    </w:rPr>
  </w:style>
  <w:style w:type="paragraph" w:styleId="1381"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382" w:customStyle="1">
    <w:name w:val="xl34"/>
    <w:basedOn w:val="95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383" w:customStyle="1">
    <w:name w:val="正文2"/>
    <w:basedOn w:val="957"/>
    <w:uiPriority w:val="99"/>
    <w:qFormat/>
    <w:pPr>
      <w:ind w:firstLine="510"/>
      <w:spacing w:before="156" w:line="360" w:lineRule="auto"/>
    </w:pPr>
    <w:rPr>
      <w:sz w:val="24"/>
      <w:szCs w:val="20"/>
    </w:rPr>
  </w:style>
  <w:style w:type="paragraph" w:styleId="1384" w:customStyle="1">
    <w:name w:val="7"/>
    <w:basedOn w:val="957"/>
    <w:next w:val="1010"/>
    <w:uiPriority w:val="99"/>
    <w:qFormat/>
    <w:pPr>
      <w:jc w:val="left"/>
      <w:spacing w:before="100" w:beforeAutospacing="1" w:after="100" w:afterAutospacing="1"/>
      <w:widowControl/>
    </w:pPr>
    <w:rPr>
      <w:rFonts w:ascii="宋体" w:hAnsi="宋体"/>
      <w:sz w:val="24"/>
      <w:szCs w:val="20"/>
    </w:rPr>
  </w:style>
  <w:style w:type="paragraph" w:styleId="1385" w:customStyle="1">
    <w:name w:val="Char Char Char Char Char Char Char Char Char Char Char1 Char Char Char1"/>
    <w:basedOn w:val="957"/>
    <w:uiPriority w:val="99"/>
    <w:qFormat/>
    <w:pPr>
      <w:ind w:firstLine="200"/>
      <w:jc w:val="left"/>
    </w:pPr>
    <w:rPr>
      <w:rFonts w:ascii="Tahoma" w:hAnsi="Tahoma"/>
      <w:sz w:val="24"/>
    </w:rPr>
  </w:style>
  <w:style w:type="paragraph" w:styleId="1386" w:customStyle="1">
    <w:name w:val="font13"/>
    <w:basedOn w:val="957"/>
    <w:uiPriority w:val="99"/>
    <w:qFormat/>
    <w:pPr>
      <w:jc w:val="left"/>
      <w:spacing w:before="100" w:beforeAutospacing="1" w:after="100" w:afterAutospacing="1"/>
      <w:widowControl/>
    </w:pPr>
    <w:rPr>
      <w:i/>
      <w:iCs/>
      <w:sz w:val="36"/>
      <w:szCs w:val="36"/>
    </w:rPr>
  </w:style>
  <w:style w:type="paragraph" w:styleId="1387" w:customStyle="1">
    <w:name w:val="默认段落字体 Para Char"/>
    <w:basedOn w:val="957"/>
    <w:uiPriority w:val="99"/>
    <w:qFormat/>
    <w:pPr>
      <w:spacing w:line="360" w:lineRule="auto"/>
    </w:pPr>
    <w:rPr>
      <w:sz w:val="24"/>
    </w:rPr>
  </w:style>
  <w:style w:type="paragraph" w:styleId="1388" w:customStyle="1">
    <w:name w:val="xl24"/>
    <w:basedOn w:val="95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89" w:customStyle="1">
    <w:name w:val="xl29"/>
    <w:basedOn w:val="95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390" w:customStyle="1">
    <w:name w:val="无间隔1"/>
    <w:uiPriority w:val="99"/>
    <w:qFormat/>
    <w:pPr>
      <w:jc w:val="both"/>
      <w:widowControl w:val="off"/>
    </w:pPr>
    <w:rPr>
      <w:rFonts w:ascii="Times New Roman" w:hAnsi="Times New Roman" w:eastAsia="微软雅黑" w:cs="Times New Roman"/>
      <w:sz w:val="24"/>
      <w:szCs w:val="22"/>
      <w:lang w:val="en-US" w:eastAsia="zh-CN" w:bidi="ar-SA"/>
    </w:rPr>
  </w:style>
  <w:style w:type="paragraph" w:styleId="1391" w:customStyle="1">
    <w:name w:val="符号与编号 Char Char"/>
    <w:basedOn w:val="957"/>
    <w:uiPriority w:val="99"/>
    <w:qFormat/>
    <w:pPr>
      <w:ind w:left="839" w:hanging="419"/>
      <w:spacing w:line="400" w:lineRule="atLeast"/>
      <w:tabs>
        <w:tab w:val="left" w:pos="840" w:leader="none"/>
      </w:tabs>
    </w:pPr>
    <w:rPr>
      <w:sz w:val="24"/>
    </w:rPr>
  </w:style>
  <w:style w:type="paragraph" w:styleId="1392" w:customStyle="1">
    <w:name w:val="Char Char Char Char Char Char Char Char Char Char Char1"/>
    <w:basedOn w:val="957"/>
    <w:uiPriority w:val="99"/>
    <w:qFormat/>
    <w:rPr>
      <w:rFonts w:ascii="Tahoma" w:hAnsi="Tahoma" w:cs="Tahoma"/>
      <w:sz w:val="24"/>
      <w:szCs w:val="20"/>
    </w:rPr>
  </w:style>
  <w:style w:type="paragraph" w:styleId="1393" w:customStyle="1">
    <w:name w:val="标题1，章节第一层"/>
    <w:basedOn w:val="1367"/>
    <w:next w:val="1367"/>
    <w:uiPriority w:val="99"/>
    <w:qFormat/>
    <w:pPr>
      <w:ind w:left="482"/>
      <w:tabs>
        <w:tab w:val="left" w:pos="693" w:leader="none"/>
      </w:tabs>
      <w:outlineLvl w:val="0"/>
    </w:pPr>
    <w:rPr>
      <w:color w:val="000000"/>
      <w:sz w:val="24"/>
      <w:szCs w:val="24"/>
    </w:rPr>
  </w:style>
  <w:style w:type="paragraph" w:styleId="1394" w:customStyle="1">
    <w:name w:val="af17cgridlangnp1033langf"/>
    <w:uiPriority w:val="99"/>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395" w:customStyle="1">
    <w:name w:val="样式 首行缩进:  2 字符"/>
    <w:basedOn w:val="957"/>
    <w:uiPriority w:val="99"/>
    <w:qFormat/>
    <w:pPr>
      <w:ind w:firstLine="480"/>
      <w:spacing w:line="360" w:lineRule="auto"/>
    </w:pPr>
    <w:rPr>
      <w:rFonts w:cs="宋体"/>
      <w:sz w:val="24"/>
      <w:szCs w:val="20"/>
    </w:rPr>
  </w:style>
  <w:style w:type="paragraph" w:styleId="1396" w:customStyle="1">
    <w:name w:val="标题5，章节第五层"/>
    <w:basedOn w:val="957"/>
    <w:next w:val="957"/>
    <w:uiPriority w:val="99"/>
    <w:qFormat/>
    <w:pPr>
      <w:ind w:left="2100" w:hanging="420"/>
      <w:spacing w:before="78"/>
      <w:tabs>
        <w:tab w:val="left" w:pos="1050" w:leader="none"/>
        <w:tab w:val="left" w:pos="2100" w:leader="none"/>
      </w:tabs>
      <w:outlineLvl w:val="4"/>
    </w:pPr>
    <w:rPr>
      <w:rFonts w:ascii="Arial" w:hAnsi="Arial" w:eastAsia="华文细黑"/>
      <w:sz w:val="30"/>
    </w:rPr>
  </w:style>
  <w:style w:type="paragraph" w:styleId="1397" w:customStyle="1">
    <w:name w:val="表格"/>
    <w:basedOn w:val="957"/>
    <w:uiPriority w:val="99"/>
    <w:qFormat/>
    <w:pPr>
      <w:ind w:firstLine="21"/>
    </w:pPr>
    <w:rPr>
      <w:rFonts w:ascii="宋体" w:hAnsi="宋体" w:cs="宋体"/>
      <w:sz w:val="20"/>
      <w:szCs w:val="20"/>
    </w:rPr>
  </w:style>
  <w:style w:type="paragraph" w:styleId="1398" w:customStyle="1">
    <w:name w:val="正文1"/>
    <w:basedOn w:val="957"/>
    <w:next w:val="957"/>
    <w:uiPriority w:val="99"/>
    <w:qFormat/>
    <w:pPr>
      <w:ind w:firstLine="510"/>
      <w:spacing w:before="156" w:line="360" w:lineRule="auto"/>
    </w:pPr>
    <w:rPr>
      <w:sz w:val="24"/>
      <w:szCs w:val="20"/>
    </w:rPr>
  </w:style>
  <w:style w:type="paragraph" w:styleId="1399" w:customStyle="1">
    <w:name w:val="批注主题1"/>
    <w:basedOn w:val="976"/>
    <w:next w:val="976"/>
    <w:uiPriority w:val="99"/>
    <w:qFormat/>
    <w:rPr>
      <w:b/>
      <w:bCs/>
    </w:rPr>
  </w:style>
  <w:style w:type="paragraph" w:styleId="1400" w:customStyle="1">
    <w:name w:val="样式3"/>
    <w:basedOn w:val="957"/>
    <w:next w:val="957"/>
    <w:uiPriority w:val="99"/>
    <w:qFormat/>
    <w:pPr>
      <w:spacing w:line="360" w:lineRule="auto"/>
    </w:pPr>
    <w:rPr>
      <w:szCs w:val="20"/>
    </w:rPr>
  </w:style>
  <w:style w:type="paragraph" w:styleId="1401" w:customStyle="1">
    <w:name w:val="Char Char Char Char Char Char Char Char Char1"/>
    <w:basedOn w:val="957"/>
    <w:uiPriority w:val="99"/>
    <w:qFormat/>
    <w:pPr>
      <w:ind w:left="360" w:hanging="360"/>
      <w:tabs>
        <w:tab w:val="left" w:pos="360" w:leader="none"/>
      </w:tabs>
    </w:pPr>
    <w:rPr>
      <w:sz w:val="24"/>
    </w:rPr>
  </w:style>
  <w:style w:type="paragraph" w:styleId="1402" w:customStyle="1">
    <w:name w:val="正文--wdh"/>
    <w:basedOn w:val="957"/>
    <w:uiPriority w:val="99"/>
    <w:qFormat/>
    <w:pPr>
      <w:spacing w:line="360" w:lineRule="auto"/>
    </w:pPr>
    <w:rPr>
      <w:sz w:val="24"/>
    </w:rPr>
  </w:style>
  <w:style w:type="paragraph" w:styleId="1403" w:customStyle="1">
    <w:name w:val="Char Char Char Char Char Char Char Char Char Char Char Char Char Char Char Char Char Char Char Char Char Char Char"/>
    <w:basedOn w:val="957"/>
    <w:uiPriority w:val="99"/>
    <w:qFormat/>
    <w:rPr>
      <w:rFonts w:ascii="Tahoma" w:hAnsi="Tahoma"/>
      <w:sz w:val="24"/>
      <w:szCs w:val="20"/>
    </w:rPr>
  </w:style>
  <w:style w:type="paragraph" w:styleId="1404" w:customStyle="1">
    <w:name w:val="Char"/>
    <w:basedOn w:val="957"/>
    <w:uiPriority w:val="99"/>
    <w:qFormat/>
    <w:pPr>
      <w:spacing w:line="360" w:lineRule="auto"/>
    </w:pPr>
    <w:rPr>
      <w:rFonts w:ascii="Tahoma" w:hAnsi="Tahoma"/>
      <w:sz w:val="24"/>
      <w:szCs w:val="20"/>
    </w:rPr>
  </w:style>
  <w:style w:type="paragraph" w:styleId="1405" w:customStyle="1">
    <w:name w:val="Char1"/>
    <w:basedOn w:val="957"/>
    <w:uiPriority w:val="99"/>
    <w:qFormat/>
    <w:rPr>
      <w:rFonts w:ascii="仿宋_GB2312" w:hAnsi="宋体" w:eastAsia="仿宋_GB2312" w:cs="宋体"/>
      <w:b/>
      <w:sz w:val="32"/>
      <w:szCs w:val="32"/>
    </w:rPr>
  </w:style>
  <w:style w:type="paragraph" w:styleId="1406" w:customStyle="1">
    <w:name w:val="xl62"/>
    <w:basedOn w:val="957"/>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407" w:customStyle="1">
    <w:name w:val="xl41"/>
    <w:basedOn w:val="95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08" w:customStyle="1">
    <w:name w:val="xl40"/>
    <w:basedOn w:val="95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409" w:customStyle="1">
    <w:name w:val="xl48"/>
    <w:basedOn w:val="957"/>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410" w:customStyle="1">
    <w:name w:val="font14"/>
    <w:basedOn w:val="957"/>
    <w:uiPriority w:val="99"/>
    <w:qFormat/>
    <w:pPr>
      <w:jc w:val="left"/>
      <w:spacing w:before="100" w:beforeAutospacing="1" w:after="100" w:afterAutospacing="1"/>
      <w:widowControl/>
    </w:pPr>
    <w:rPr>
      <w:sz w:val="36"/>
      <w:szCs w:val="36"/>
    </w:rPr>
  </w:style>
  <w:style w:type="paragraph" w:styleId="1411" w:customStyle="1">
    <w:name w:val="xl53"/>
    <w:basedOn w:val="957"/>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412" w:customStyle="1">
    <w:name w:val="正文文本 21"/>
    <w:basedOn w:val="957"/>
    <w:uiPriority w:val="99"/>
    <w:qFormat/>
    <w:pPr>
      <w:ind w:left="720" w:hanging="720"/>
      <w:widowControl/>
    </w:pPr>
    <w:rPr>
      <w:sz w:val="24"/>
      <w:szCs w:val="20"/>
      <w:lang w:val="en-GB"/>
    </w:rPr>
  </w:style>
  <w:style w:type="paragraph" w:styleId="1413" w:customStyle="1">
    <w:name w:val="xl57"/>
    <w:basedOn w:val="957"/>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414" w:customStyle="1">
    <w:name w:val="Char Char Char Char Char Char Char Char Char Char Char Char Char Char Char Char Char Char Char Char Char Char Char1"/>
    <w:basedOn w:val="957"/>
    <w:uiPriority w:val="99"/>
    <w:qFormat/>
    <w:rPr>
      <w:rFonts w:ascii="Tahoma" w:hAnsi="Tahoma" w:cs="Tahoma"/>
      <w:sz w:val="24"/>
      <w:szCs w:val="20"/>
    </w:rPr>
  </w:style>
  <w:style w:type="paragraph" w:styleId="1415" w:customStyle="1">
    <w:name w:val="正文文本 New New"/>
    <w:basedOn w:val="957"/>
    <w:uiPriority w:val="99"/>
    <w:qFormat/>
    <w:pPr>
      <w:ind w:firstLine="200"/>
      <w:spacing w:before="60" w:after="60" w:line="360" w:lineRule="auto"/>
      <w:widowControl/>
    </w:pPr>
    <w:rPr>
      <w:rFonts w:eastAsia="华文楷体"/>
      <w:sz w:val="24"/>
    </w:rPr>
  </w:style>
  <w:style w:type="paragraph" w:styleId="1416" w:customStyle="1">
    <w:name w:val="Char Char110"/>
    <w:basedOn w:val="957"/>
    <w:uiPriority w:val="99"/>
    <w:qFormat/>
    <w:rPr>
      <w:rFonts w:ascii="Tahoma" w:hAnsi="Tahoma" w:cs="Tahoma"/>
      <w:sz w:val="24"/>
      <w:szCs w:val="20"/>
    </w:rPr>
  </w:style>
  <w:style w:type="paragraph" w:styleId="1417" w:customStyle="1">
    <w:name w:val="表头_5"/>
    <w:basedOn w:val="957"/>
    <w:uiPriority w:val="99"/>
    <w:qFormat/>
    <w:pPr>
      <w:spacing w:line="360" w:lineRule="auto"/>
    </w:pPr>
    <w:rPr>
      <w:b/>
      <w:bCs/>
      <w:sz w:val="28"/>
      <w:szCs w:val="21"/>
    </w:rPr>
  </w:style>
  <w:style w:type="paragraph" w:styleId="1418" w:customStyle="1">
    <w:name w:val="华宇段落1 Char"/>
    <w:basedOn w:val="957"/>
    <w:uiPriority w:val="99"/>
    <w:qFormat/>
    <w:pPr>
      <w:ind w:firstLine="200"/>
      <w:spacing w:line="360" w:lineRule="auto"/>
    </w:pPr>
    <w:rPr>
      <w:bCs/>
      <w:sz w:val="24"/>
    </w:rPr>
  </w:style>
  <w:style w:type="paragraph" w:styleId="1419" w:customStyle="1">
    <w:name w:val="Char Char Char Char Char Char Char Char Char Char Char Char Char Char1"/>
    <w:basedOn w:val="957"/>
    <w:uiPriority w:val="99"/>
    <w:qFormat/>
    <w:rPr>
      <w:rFonts w:ascii="Tahoma" w:hAnsi="Tahoma" w:cs="Tahoma"/>
      <w:sz w:val="24"/>
      <w:szCs w:val="20"/>
    </w:rPr>
  </w:style>
  <w:style w:type="paragraph" w:styleId="1420" w:customStyle="1">
    <w:name w:val="文档正文"/>
    <w:basedOn w:val="957"/>
    <w:uiPriority w:val="99"/>
    <w:qFormat/>
    <w:pPr>
      <w:spacing w:line="360" w:lineRule="auto"/>
    </w:pPr>
    <w:rPr>
      <w:rFonts w:ascii="宋体" w:hAnsi="宋体"/>
      <w:b/>
      <w:bCs/>
    </w:rPr>
  </w:style>
  <w:style w:type="paragraph" w:styleId="1421" w:customStyle="1">
    <w:name w:val="Default Text"/>
    <w:basedOn w:val="957"/>
    <w:uiPriority w:val="99"/>
    <w:qFormat/>
    <w:pPr>
      <w:jc w:val="left"/>
      <w:widowControl/>
    </w:pPr>
    <w:rPr>
      <w:sz w:val="24"/>
      <w:szCs w:val="20"/>
      <w:lang w:eastAsia="en-US"/>
    </w:rPr>
  </w:style>
  <w:style w:type="paragraph" w:styleId="1422" w:customStyle="1">
    <w:name w:val="xl63"/>
    <w:basedOn w:val="957"/>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423" w:customStyle="1">
    <w:name w:val="xl45"/>
    <w:basedOn w:val="957"/>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424" w:customStyle="1">
    <w:name w:val="Char Char Char Char Char"/>
    <w:basedOn w:val="957"/>
    <w:uiPriority w:val="99"/>
    <w:qFormat/>
    <w:rPr>
      <w:rFonts w:ascii="Tahoma" w:hAnsi="Tahoma"/>
      <w:sz w:val="24"/>
      <w:szCs w:val="20"/>
    </w:rPr>
  </w:style>
  <w:style w:type="paragraph" w:styleId="1425" w:customStyle="1">
    <w:name w:val="纯文本1"/>
    <w:basedOn w:val="957"/>
    <w:uiPriority w:val="99"/>
    <w:qFormat/>
    <w:rPr>
      <w:rFonts w:ascii="宋体" w:hAnsi="宋体" w:eastAsia="楷体_GB2312" w:cs="宋体"/>
      <w:sz w:val="28"/>
      <w:szCs w:val="20"/>
    </w:rPr>
  </w:style>
  <w:style w:type="paragraph" w:styleId="1426" w:customStyle="1">
    <w:name w:val="font5"/>
    <w:basedOn w:val="957"/>
    <w:uiPriority w:val="99"/>
    <w:qFormat/>
    <w:pPr>
      <w:jc w:val="left"/>
      <w:spacing w:before="100" w:beforeAutospacing="1" w:after="100" w:afterAutospacing="1"/>
      <w:widowControl/>
    </w:pPr>
    <w:rPr>
      <w:rFonts w:ascii="宋体" w:hAnsi="宋体" w:cs="宋体"/>
      <w:sz w:val="18"/>
      <w:szCs w:val="18"/>
    </w:rPr>
  </w:style>
  <w:style w:type="paragraph" w:styleId="1427" w:customStyle="1">
    <w:name w:val="章标题"/>
    <w:next w:val="1339"/>
    <w:uiPriority w:val="99"/>
    <w:qFormat/>
    <w:pPr>
      <w:jc w:val="both"/>
      <w:outlineLvl w:val="1"/>
    </w:pPr>
    <w:rPr>
      <w:rFonts w:ascii="Times New Roman" w:hAnsi="Times New Roman" w:eastAsia="黑体" w:cs="Times New Roman"/>
      <w:sz w:val="21"/>
      <w:lang w:val="en-US" w:eastAsia="zh-CN" w:bidi="ar-SA"/>
    </w:rPr>
  </w:style>
  <w:style w:type="paragraph" w:styleId="1428" w:customStyle="1">
    <w:name w:val="xl50"/>
    <w:basedOn w:val="95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429" w:customStyle="1">
    <w:name w:val="正文文本缩进1"/>
    <w:basedOn w:val="957"/>
    <w:uiPriority w:val="99"/>
    <w:qFormat/>
    <w:pPr>
      <w:ind w:left="420"/>
      <w:spacing w:after="120"/>
    </w:pPr>
  </w:style>
  <w:style w:type="paragraph" w:styleId="1430" w:customStyle="1">
    <w:name w:val="1"/>
    <w:basedOn w:val="957"/>
    <w:next w:val="1008"/>
    <w:uiPriority w:val="99"/>
    <w:qFormat/>
    <w:pPr>
      <w:spacing w:line="360" w:lineRule="auto"/>
    </w:pPr>
    <w:rPr>
      <w:rFonts w:eastAsia="仿宋_GB2312"/>
      <w:sz w:val="24"/>
    </w:rPr>
  </w:style>
  <w:style w:type="paragraph" w:styleId="1431" w:customStyle="1">
    <w:name w:val="table_1stline"/>
    <w:basedOn w:val="957"/>
    <w:uiPriority w:val="99"/>
    <w:qFormat/>
    <w:pPr>
      <w:jc w:val="left"/>
      <w:spacing w:before="120"/>
      <w:widowControl/>
    </w:pPr>
    <w:rPr>
      <w:bCs/>
      <w:sz w:val="20"/>
      <w:szCs w:val="20"/>
      <w:lang w:val="de-DE" w:eastAsia="de-DE"/>
    </w:rPr>
  </w:style>
  <w:style w:type="paragraph" w:styleId="1432" w:customStyle="1">
    <w:name w:val="xl54"/>
    <w:basedOn w:val="957"/>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433" w:customStyle="1">
    <w:name w:val="111111"/>
    <w:basedOn w:val="957"/>
    <w:uiPriority w:val="99"/>
    <w:qFormat/>
    <w:pPr>
      <w:jc w:val="center"/>
      <w:spacing w:before="120" w:after="120"/>
    </w:pPr>
    <w:rPr>
      <w:rFonts w:ascii="宋体" w:hAnsi="宋体" w:eastAsia="黑体" w:cs="宋体"/>
      <w:b/>
      <w:bCs/>
      <w:szCs w:val="21"/>
    </w:rPr>
  </w:style>
  <w:style w:type="paragraph" w:styleId="1434" w:customStyle="1">
    <w:name w:val="丁华正文"/>
    <w:basedOn w:val="1004"/>
    <w:uiPriority w:val="99"/>
    <w:qFormat/>
    <w:pPr>
      <w:ind w:left="0" w:firstLine="510"/>
      <w:spacing w:before="0" w:after="0" w:line="360" w:lineRule="auto"/>
    </w:pPr>
    <w:rPr>
      <w:rFonts w:ascii="宋体" w:hAnsi="Arial"/>
      <w:bCs w:val="0"/>
      <w:color w:val="000000"/>
      <w:szCs w:val="16"/>
    </w:rPr>
  </w:style>
  <w:style w:type="paragraph" w:styleId="1435" w:customStyle="1">
    <w:name w:val="条1"/>
    <w:basedOn w:val="957"/>
    <w:uiPriority w:val="99"/>
    <w:qFormat/>
    <w:pPr>
      <w:ind w:left="780" w:hanging="360"/>
      <w:spacing w:before="156" w:line="360" w:lineRule="auto"/>
      <w:tabs>
        <w:tab w:val="left" w:pos="780" w:leader="none"/>
      </w:tabs>
    </w:pPr>
    <w:rPr>
      <w:rFonts w:eastAsia="黑体"/>
      <w:sz w:val="24"/>
      <w:szCs w:val="20"/>
    </w:rPr>
  </w:style>
  <w:style w:type="paragraph" w:styleId="1436" w:customStyle="1">
    <w:name w:val="标题4，章节第四层"/>
    <w:basedOn w:val="957"/>
    <w:next w:val="957"/>
    <w:uiPriority w:val="99"/>
    <w:qFormat/>
    <w:pPr>
      <w:spacing w:line="360" w:lineRule="auto"/>
      <w:tabs>
        <w:tab w:val="left" w:pos="0" w:leader="none"/>
      </w:tabs>
      <w:outlineLvl w:val="3"/>
    </w:pPr>
    <w:rPr>
      <w:rFonts w:ascii="宋体" w:hAnsi="宋体"/>
      <w:b/>
      <w:sz w:val="24"/>
    </w:rPr>
  </w:style>
  <w:style w:type="paragraph" w:styleId="1437" w:customStyle="1">
    <w:name w:val="Char Char1 Char"/>
    <w:basedOn w:val="957"/>
    <w:uiPriority w:val="99"/>
    <w:qFormat/>
    <w:pPr>
      <w:jc w:val="left"/>
      <w:spacing w:after="160" w:line="240" w:lineRule="exact"/>
      <w:widowControl/>
    </w:pPr>
    <w:rPr>
      <w:rFonts w:ascii="Verdana" w:hAnsi="Verdana"/>
      <w:sz w:val="20"/>
      <w:szCs w:val="20"/>
      <w:lang w:eastAsia="en-US"/>
    </w:rPr>
  </w:style>
  <w:style w:type="paragraph" w:styleId="1438" w:customStyle="1">
    <w:name w:val="公文标题 2"/>
    <w:basedOn w:val="957"/>
    <w:next w:val="1331"/>
    <w:uiPriority w:val="99"/>
    <w:qFormat/>
    <w:pPr>
      <w:outlineLvl w:val="1"/>
    </w:pPr>
    <w:rPr>
      <w:rFonts w:ascii="仿宋_GB2312" w:hAnsi="宋体" w:eastAsia="仿宋_GB2312"/>
      <w:sz w:val="28"/>
    </w:rPr>
  </w:style>
  <w:style w:type="paragraph" w:styleId="1439" w:customStyle="1">
    <w:name w:val="项目符号，一级"/>
    <w:basedOn w:val="1367"/>
    <w:next w:val="1367"/>
    <w:uiPriority w:val="99"/>
    <w:qFormat/>
    <w:pPr>
      <w:ind w:left="376" w:firstLine="0"/>
      <w:spacing w:line="240" w:lineRule="atLeast"/>
      <w:tabs>
        <w:tab w:val="left" w:pos="1320" w:leader="none"/>
      </w:tabs>
    </w:pPr>
    <w:rPr>
      <w:bCs w:val="0"/>
      <w:color w:val="000000"/>
      <w:szCs w:val="24"/>
    </w:rPr>
  </w:style>
  <w:style w:type="paragraph" w:styleId="1440" w:customStyle="1">
    <w:name w:val="font11"/>
    <w:basedOn w:val="957"/>
    <w:uiPriority w:val="99"/>
    <w:qFormat/>
    <w:pPr>
      <w:jc w:val="left"/>
      <w:spacing w:before="100" w:beforeAutospacing="1" w:after="100" w:afterAutospacing="1"/>
      <w:widowControl/>
    </w:pPr>
    <w:rPr>
      <w:b/>
      <w:bCs/>
      <w:sz w:val="18"/>
      <w:szCs w:val="18"/>
    </w:rPr>
  </w:style>
  <w:style w:type="paragraph" w:styleId="1441" w:customStyle="1">
    <w:name w:val="样式 段后: 0.5 行 左  0.75 字符"/>
    <w:basedOn w:val="957"/>
    <w:uiPriority w:val="99"/>
    <w:qFormat/>
    <w:pPr>
      <w:ind w:firstLine="420"/>
      <w:spacing w:line="360" w:lineRule="auto"/>
      <w:widowControl/>
    </w:pPr>
    <w:rPr>
      <w:rFonts w:hAnsi="Arial" w:cs="Arial"/>
      <w:szCs w:val="21"/>
    </w:rPr>
  </w:style>
  <w:style w:type="paragraph" w:styleId="1442" w:customStyle="1">
    <w:name w:val="xl60"/>
    <w:basedOn w:val="957"/>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443" w:customStyle="1">
    <w:name w:val="表蕊"/>
    <w:basedOn w:val="957"/>
    <w:uiPriority w:val="99"/>
    <w:qFormat/>
    <w:pPr>
      <w:jc w:val="left"/>
      <w:spacing w:line="320" w:lineRule="atLeast"/>
    </w:pPr>
    <w:rPr>
      <w:rFonts w:eastAsia="楷体_GB2312"/>
      <w:spacing w:val="-10"/>
      <w:szCs w:val="20"/>
    </w:rPr>
  </w:style>
  <w:style w:type="paragraph" w:styleId="1444" w:customStyle="1">
    <w:name w:val="Char11"/>
    <w:basedOn w:val="957"/>
    <w:uiPriority w:val="99"/>
    <w:qFormat/>
    <w:rPr>
      <w:rFonts w:ascii="仿宋_GB2312" w:eastAsia="仿宋_GB2312"/>
      <w:b/>
      <w:sz w:val="32"/>
      <w:szCs w:val="32"/>
    </w:rPr>
  </w:style>
  <w:style w:type="paragraph" w:styleId="1445" w:customStyle="1">
    <w:name w:val="符号与编号 Char"/>
    <w:basedOn w:val="957"/>
    <w:uiPriority w:val="99"/>
    <w:qFormat/>
    <w:pPr>
      <w:ind w:left="720"/>
      <w:spacing w:line="400" w:lineRule="atLeast"/>
      <w:tabs>
        <w:tab w:val="left" w:pos="720" w:leader="none"/>
      </w:tabs>
    </w:pPr>
    <w:rPr>
      <w:sz w:val="24"/>
    </w:rPr>
  </w:style>
  <w:style w:type="paragraph" w:styleId="1446" w:customStyle="1">
    <w:name w:val="标题3"/>
    <w:basedOn w:val="960"/>
    <w:uiPriority w:val="99"/>
    <w:qFormat/>
    <w:pPr>
      <w:keepLines w:val="0"/>
      <w:keepNext w:val="0"/>
      <w:spacing w:before="0" w:after="0" w:line="360" w:lineRule="auto"/>
    </w:pPr>
    <w:rPr>
      <w:rFonts w:eastAsia="仿宋_GB2312"/>
      <w:b w:val="0"/>
      <w:sz w:val="30"/>
    </w:rPr>
  </w:style>
  <w:style w:type="paragraph" w:styleId="1447" w:customStyle="1">
    <w:name w:val="表格内文字"/>
    <w:basedOn w:val="957"/>
    <w:uiPriority w:val="99"/>
    <w:qFormat/>
    <w:pPr>
      <w:spacing w:line="300" w:lineRule="atLeast"/>
    </w:pPr>
    <w:rPr>
      <w:sz w:val="18"/>
    </w:rPr>
  </w:style>
  <w:style w:type="paragraph" w:styleId="1448" w:customStyle="1">
    <w:name w:val="xl59"/>
    <w:basedOn w:val="95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449" w:customStyle="1">
    <w:name w:val="正文 居中"/>
    <w:basedOn w:val="957"/>
    <w:uiPriority w:val="99"/>
    <w:qFormat/>
    <w:pPr>
      <w:jc w:val="center"/>
      <w:spacing w:line="360" w:lineRule="auto"/>
    </w:pPr>
    <w:rPr>
      <w:sz w:val="24"/>
      <w:szCs w:val="20"/>
    </w:rPr>
  </w:style>
  <w:style w:type="paragraph" w:styleId="1450" w:customStyle="1">
    <w:name w:val="正文 + Arial Char"/>
    <w:basedOn w:val="957"/>
    <w:uiPriority w:val="99"/>
    <w:qFormat/>
    <w:pPr>
      <w:ind w:left="315" w:hanging="315"/>
      <w:spacing w:line="300" w:lineRule="auto"/>
      <w:widowControl/>
      <w:tabs>
        <w:tab w:val="left" w:pos="315" w:leader="none"/>
      </w:tabs>
    </w:pPr>
    <w:rPr>
      <w:rFonts w:ascii="Arial" w:hAnsi="Arial" w:cs="Arial"/>
      <w:b/>
      <w:color w:val="000000"/>
      <w:szCs w:val="20"/>
    </w:rPr>
  </w:style>
  <w:style w:type="paragraph" w:styleId="1451" w:customStyle="1">
    <w:name w:val="xl35"/>
    <w:basedOn w:val="95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452" w:customStyle="1">
    <w:name w:val="列表内容"/>
    <w:basedOn w:val="957"/>
    <w:next w:val="957"/>
    <w:uiPriority w:val="99"/>
    <w:qFormat/>
    <w:pPr>
      <w:ind w:left="840" w:hanging="420"/>
      <w:jc w:val="left"/>
      <w:widowControl/>
      <w:tabs>
        <w:tab w:val="left" w:pos="840" w:leader="none"/>
      </w:tabs>
    </w:pPr>
    <w:rPr>
      <w:sz w:val="18"/>
    </w:rPr>
  </w:style>
  <w:style w:type="paragraph" w:styleId="1453" w:customStyle="1">
    <w:name w:val="Char Char1 Char Char2 Char Char"/>
    <w:basedOn w:val="957"/>
    <w:uiPriority w:val="99"/>
    <w:qFormat/>
    <w:pPr>
      <w:jc w:val="left"/>
      <w:spacing w:after="160" w:line="240" w:lineRule="exact"/>
      <w:widowControl/>
    </w:pPr>
  </w:style>
  <w:style w:type="paragraph" w:styleId="1454" w:customStyle="1">
    <w:name w:val="方案文档"/>
    <w:basedOn w:val="957"/>
    <w:uiPriority w:val="99"/>
    <w:qFormat/>
    <w:pPr>
      <w:jc w:val="center"/>
      <w:spacing w:before="60" w:after="60" w:line="360" w:lineRule="auto"/>
    </w:pPr>
    <w:rPr>
      <w:rFonts w:ascii="宋体" w:hAnsi="宋体"/>
      <w:sz w:val="24"/>
      <w:szCs w:val="20"/>
      <w:lang w:val="zh-CN"/>
    </w:rPr>
  </w:style>
  <w:style w:type="paragraph" w:styleId="1455" w:customStyle="1">
    <w:name w:val="tableau"/>
    <w:basedOn w:val="957"/>
    <w:uiPriority w:val="99"/>
    <w:qFormat/>
    <w:pPr>
      <w:jc w:val="center"/>
      <w:spacing w:before="20" w:after="20"/>
      <w:widowControl/>
    </w:pPr>
    <w:rPr>
      <w:rFonts w:ascii="Arial" w:hAnsi="Arial"/>
      <w:sz w:val="16"/>
      <w:szCs w:val="20"/>
      <w:lang w:val="en-GB" w:eastAsia="en-US"/>
    </w:rPr>
  </w:style>
  <w:style w:type="paragraph" w:styleId="1456" w:customStyle="1">
    <w:name w:val="样式 标题 2第一章 标题 2Heading 2 HiddenHeading 2 CCBSheading 2H2h2..."/>
    <w:basedOn w:val="959"/>
    <w:uiPriority w:val="99"/>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457" w:customStyle="1">
    <w:name w:val="Char Char Char Char1"/>
    <w:basedOn w:val="975"/>
    <w:uiPriority w:val="99"/>
    <w:qFormat/>
    <w:pPr>
      <w:spacing w:line="360" w:lineRule="auto"/>
    </w:pPr>
    <w:rPr>
      <w:rFonts w:ascii="Tahoma" w:hAnsi="Tahoma"/>
    </w:rPr>
  </w:style>
  <w:style w:type="paragraph" w:styleId="1458" w:customStyle="1">
    <w:name w:val="标题1"/>
    <w:basedOn w:val="957"/>
    <w:next w:val="957"/>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459" w:customStyle="1">
    <w:name w:val="Normal Indent1"/>
    <w:basedOn w:val="957"/>
    <w:uiPriority w:val="99"/>
    <w:qFormat/>
    <w:pPr>
      <w:ind w:firstLine="420"/>
    </w:pPr>
    <w:rPr>
      <w:sz w:val="20"/>
      <w:szCs w:val="20"/>
    </w:rPr>
  </w:style>
  <w:style w:type="paragraph" w:styleId="1460" w:customStyle="1">
    <w:name w:val="Char Char1 Char Char Char Char Char Char Char"/>
    <w:basedOn w:val="957"/>
    <w:uiPriority w:val="99"/>
    <w:qFormat/>
    <w:rPr>
      <w:rFonts w:ascii="Tahoma" w:hAnsi="Tahoma" w:cs="Tahoma"/>
      <w:sz w:val="24"/>
      <w:szCs w:val="20"/>
    </w:rPr>
  </w:style>
  <w:style w:type="paragraph" w:styleId="1461" w:customStyle="1">
    <w:name w:val="font9"/>
    <w:basedOn w:val="957"/>
    <w:uiPriority w:val="99"/>
    <w:qFormat/>
    <w:pPr>
      <w:jc w:val="left"/>
      <w:spacing w:before="100" w:beforeAutospacing="1" w:after="100" w:afterAutospacing="1"/>
      <w:widowControl/>
    </w:pPr>
    <w:rPr>
      <w:b/>
      <w:bCs/>
      <w:sz w:val="20"/>
      <w:szCs w:val="20"/>
    </w:rPr>
  </w:style>
  <w:style w:type="paragraph" w:styleId="1462" w:customStyle="1">
    <w:name w:val="正文 A"/>
    <w:uiPriority w:val="99"/>
    <w:qFormat/>
    <w:pPr>
      <w:jc w:val="both"/>
      <w:widowControl w:val="off"/>
      <w:pBdr>
        <w:top w:val="none" w:color="FFFFFF" w:sz="0" w:space="31"/>
        <w:left w:val="none" w:color="FFFFFF" w:sz="0" w:space="31"/>
        <w:bottom w:val="none" w:color="FFFFFF" w:sz="0" w:space="31"/>
        <w:right w:val="none" w:color="FFFFFF" w:sz="0" w:space="31"/>
      </w:pBdr>
    </w:pPr>
    <w:rPr>
      <w:rFonts w:ascii="Arial Unicode MS" w:hAnsi="Arial Unicode MS" w:eastAsia="宋体" w:cs="Arial Unicode MS"/>
      <w:color w:val="000000"/>
      <w:sz w:val="21"/>
      <w:szCs w:val="22"/>
      <w:lang w:val="en-US" w:eastAsia="zh-CN" w:bidi="ar-SA"/>
    </w:rPr>
  </w:style>
  <w:style w:type="paragraph" w:styleId="1463" w:customStyle="1">
    <w:name w:val="Char Char Char Char Char Char Char1 Char"/>
    <w:basedOn w:val="957"/>
    <w:uiPriority w:val="99"/>
    <w:qFormat/>
    <w:rPr>
      <w:rFonts w:ascii="Tahoma" w:hAnsi="Tahoma" w:cs="Tahoma"/>
      <w:sz w:val="24"/>
      <w:szCs w:val="20"/>
    </w:rPr>
  </w:style>
  <w:style w:type="paragraph" w:styleId="1464" w:customStyle="1">
    <w:name w:val="小四 段落 宋体 Char"/>
    <w:basedOn w:val="973"/>
    <w:uiPriority w:val="99"/>
    <w:qFormat/>
    <w:pPr>
      <w:ind w:left="0" w:right="-33" w:firstLine="600"/>
      <w:jc w:val="left"/>
      <w:tabs>
        <w:tab w:val="clear" w:pos="2952" w:leader="none"/>
      </w:tabs>
    </w:pPr>
    <w:rPr>
      <w:rFonts w:ascii="仿宋_GB2312" w:eastAsia="仿宋_GB2312"/>
      <w:sz w:val="30"/>
      <w:szCs w:val="30"/>
    </w:rPr>
  </w:style>
  <w:style w:type="paragraph" w:styleId="1465" w:customStyle="1">
    <w:name w:val="标准小四"/>
    <w:basedOn w:val="957"/>
    <w:uiPriority w:val="99"/>
    <w:qFormat/>
    <w:pPr>
      <w:ind w:firstLine="480"/>
      <w:spacing w:line="360" w:lineRule="auto"/>
    </w:pPr>
    <w:rPr>
      <w:rFonts w:ascii="Arial" w:hAnsi="Arial"/>
      <w:sz w:val="24"/>
      <w:szCs w:val="21"/>
    </w:rPr>
  </w:style>
  <w:style w:type="paragraph" w:styleId="1466" w:customStyle="1">
    <w:name w:val="xl47"/>
    <w:basedOn w:val="95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467" w:customStyle="1">
    <w:name w:val="xl25"/>
    <w:basedOn w:val="957"/>
    <w:uiPriority w:val="99"/>
    <w:qFormat/>
    <w:pPr>
      <w:jc w:val="center"/>
      <w:spacing w:before="100" w:beforeAutospacing="1" w:after="100" w:afterAutospacing="1"/>
      <w:widowControl/>
      <w:pBdr>
        <w:right w:val="single" w:color="auto" w:sz="4" w:space="0"/>
      </w:pBdr>
    </w:pPr>
    <w:rPr>
      <w:szCs w:val="21"/>
    </w:rPr>
  </w:style>
  <w:style w:type="paragraph" w:styleId="1468" w:customStyle="1">
    <w:name w:val="greytypebeni"/>
    <w:basedOn w:val="957"/>
    <w:uiPriority w:val="99"/>
    <w:qFormat/>
    <w:pPr>
      <w:jc w:val="left"/>
      <w:widowControl/>
    </w:pPr>
    <w:rPr>
      <w:rFonts w:ascii="宋体" w:hAnsi="宋体" w:cs="宋体"/>
      <w:sz w:val="24"/>
    </w:rPr>
  </w:style>
  <w:style w:type="paragraph" w:styleId="1469" w:customStyle="1">
    <w:name w:val="Body Text(ch)"/>
    <w:basedOn w:val="957"/>
    <w:next w:val="979"/>
    <w:uiPriority w:val="99"/>
    <w:qFormat/>
    <w:pPr>
      <w:spacing w:after="120"/>
    </w:pPr>
    <w:rPr>
      <w:rFonts w:ascii="宋体" w:hAnsi="Arial"/>
      <w:bCs/>
      <w:iCs/>
    </w:rPr>
  </w:style>
  <w:style w:type="paragraph" w:styleId="1470" w:customStyle="1">
    <w:name w:val="样式 标题 2H2h2sect 1.2Heading 2 HiddenHeading 2 CCBSheading 2..."/>
    <w:basedOn w:val="959"/>
    <w:uiPriority w:val="99"/>
    <w:qFormat/>
    <w:pPr>
      <w:ind w:left="576" w:hanging="36"/>
      <w:jc w:val="left"/>
      <w:spacing w:line="240" w:lineRule="auto"/>
      <w:tabs>
        <w:tab w:val="left" w:pos="576" w:leader="none"/>
      </w:tabs>
    </w:pPr>
    <w:rPr>
      <w:rFonts w:ascii="宋体" w:hAnsi="宋体" w:eastAsia="宋体"/>
      <w:sz w:val="28"/>
      <w:szCs w:val="20"/>
    </w:rPr>
  </w:style>
  <w:style w:type="paragraph" w:styleId="1471" w:customStyle="1">
    <w:name w:val="a"/>
    <w:basedOn w:val="957"/>
    <w:uiPriority w:val="99"/>
    <w:qFormat/>
    <w:pPr>
      <w:spacing w:before="100" w:beforeAutospacing="1" w:after="100" w:afterAutospacing="1"/>
      <w:widowControl/>
    </w:pPr>
    <w:rPr>
      <w:rFonts w:ascii="宋体" w:hAnsi="宋体" w:cs="宋体"/>
      <w:sz w:val="24"/>
    </w:rPr>
  </w:style>
  <w:style w:type="paragraph" w:styleId="1472" w:customStyle="1">
    <w:name w:val="小四 段落 宋体 Char Char Char"/>
    <w:basedOn w:val="973"/>
    <w:uiPriority w:val="99"/>
    <w:qFormat/>
    <w:pPr>
      <w:ind w:left="0" w:right="-33" w:firstLine="545"/>
      <w:jc w:val="left"/>
      <w:spacing w:line="360" w:lineRule="auto"/>
      <w:tabs>
        <w:tab w:val="clear" w:pos="2952" w:leader="none"/>
      </w:tabs>
    </w:pPr>
    <w:rPr>
      <w:sz w:val="24"/>
    </w:rPr>
  </w:style>
  <w:style w:type="paragraph" w:styleId="1473" w:customStyle="1">
    <w:name w:val="Body Text 211"/>
    <w:basedOn w:val="957"/>
    <w:uiPriority w:val="99"/>
    <w:qFormat/>
    <w:pPr>
      <w:ind w:left="720" w:hanging="720"/>
      <w:widowControl/>
    </w:pPr>
    <w:rPr>
      <w:sz w:val="24"/>
      <w:szCs w:val="20"/>
      <w:lang w:val="en-GB"/>
    </w:rPr>
  </w:style>
  <w:style w:type="paragraph" w:styleId="1474" w:customStyle="1">
    <w:name w:val="Char Char Char Char Char Char Char Char1"/>
    <w:basedOn w:val="957"/>
    <w:uiPriority w:val="99"/>
    <w:qFormat/>
    <w:pPr>
      <w:jc w:val="left"/>
      <w:spacing w:after="160" w:line="240" w:lineRule="exact"/>
      <w:widowControl/>
    </w:pPr>
    <w:rPr>
      <w:rFonts w:ascii="Verdana" w:hAnsi="Verdana"/>
      <w:sz w:val="20"/>
      <w:szCs w:val="20"/>
      <w:lang w:eastAsia="en-US"/>
    </w:rPr>
  </w:style>
  <w:style w:type="paragraph" w:styleId="1475" w:customStyle="1">
    <w:name w:val="xl28"/>
    <w:basedOn w:val="95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476" w:customStyle="1">
    <w:name w:val="标题3，章节第三层"/>
    <w:basedOn w:val="957"/>
    <w:next w:val="1367"/>
    <w:uiPriority w:val="99"/>
    <w:qFormat/>
    <w:pPr>
      <w:spacing w:before="78" w:line="300" w:lineRule="auto"/>
      <w:outlineLvl w:val="2"/>
    </w:pPr>
    <w:rPr>
      <w:rFonts w:ascii="Arial" w:hAnsi="Arial" w:eastAsia="华文细黑"/>
      <w:sz w:val="30"/>
    </w:rPr>
  </w:style>
  <w:style w:type="paragraph" w:styleId="1477" w:customStyle="1">
    <w:name w:val="样式4 Char"/>
    <w:basedOn w:val="957"/>
    <w:uiPriority w:val="99"/>
    <w:qFormat/>
    <w:pPr>
      <w:ind w:firstLine="480"/>
      <w:jc w:val="left"/>
      <w:spacing w:line="360" w:lineRule="auto"/>
      <w:widowControl/>
    </w:pPr>
    <w:rPr>
      <w:rFonts w:cs="宋体"/>
      <w:color w:val="000000"/>
      <w:sz w:val="24"/>
    </w:rPr>
  </w:style>
  <w:style w:type="paragraph" w:styleId="1478" w:customStyle="1">
    <w:name w:val="Body Text 21"/>
    <w:basedOn w:val="957"/>
    <w:uiPriority w:val="99"/>
    <w:qFormat/>
    <w:pPr>
      <w:ind w:left="720" w:hanging="720"/>
      <w:widowControl/>
    </w:pPr>
    <w:rPr>
      <w:sz w:val="24"/>
      <w:szCs w:val="20"/>
      <w:lang w:val="en-GB"/>
    </w:rPr>
  </w:style>
  <w:style w:type="paragraph" w:styleId="1479" w:customStyle="1">
    <w:name w:val="普通文字"/>
    <w:basedOn w:val="957"/>
    <w:next w:val="957"/>
    <w:uiPriority w:val="99"/>
    <w:qFormat/>
    <w:rPr>
      <w:rFonts w:ascii="宋体" w:hAnsi="宋体" w:cs="宋体"/>
      <w:sz w:val="24"/>
      <w:szCs w:val="20"/>
    </w:rPr>
  </w:style>
  <w:style w:type="paragraph" w:styleId="1480" w:customStyle="1">
    <w:name w:val="列出段落1"/>
    <w:basedOn w:val="957"/>
    <w:uiPriority w:val="99"/>
    <w:qFormat/>
    <w:pPr>
      <w:ind w:firstLine="420"/>
    </w:pPr>
    <w:rPr>
      <w:rFonts w:ascii="Calibri" w:hAnsi="Calibri"/>
      <w:szCs w:val="22"/>
    </w:rPr>
  </w:style>
  <w:style w:type="paragraph" w:styleId="1481" w:customStyle="1">
    <w:name w:val="xl46"/>
    <w:basedOn w:val="957"/>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482" w:customStyle="1">
    <w:name w:val="正文 New"/>
    <w:uiPriority w:val="99"/>
    <w:qFormat/>
    <w:pPr>
      <w:jc w:val="both"/>
      <w:widowControl w:val="off"/>
    </w:pPr>
    <w:rPr>
      <w:rFonts w:ascii="Times New Roman" w:hAnsi="Times New Roman" w:eastAsia="宋体" w:cs="Times New Roman"/>
      <w:sz w:val="21"/>
      <w:lang w:val="en-US" w:eastAsia="zh-CN" w:bidi="ar-SA"/>
    </w:rPr>
  </w:style>
  <w:style w:type="paragraph" w:styleId="1483" w:customStyle="1">
    <w:name w:val="font12"/>
    <w:basedOn w:val="957"/>
    <w:uiPriority w:val="99"/>
    <w:qFormat/>
    <w:pPr>
      <w:jc w:val="left"/>
      <w:spacing w:before="100" w:beforeAutospacing="1" w:after="100" w:afterAutospacing="1"/>
      <w:widowControl/>
    </w:pPr>
    <w:rPr>
      <w:rFonts w:ascii="宋体" w:hAnsi="宋体" w:cs="宋体"/>
      <w:sz w:val="36"/>
      <w:szCs w:val="36"/>
    </w:rPr>
  </w:style>
  <w:style w:type="paragraph" w:styleId="1484" w:customStyle="1">
    <w:name w:val="马刚标题1"/>
    <w:basedOn w:val="958"/>
    <w:next w:val="957"/>
    <w:uiPriority w:val="99"/>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485" w:customStyle="1">
    <w:name w:val="Char Char Char Char Char Char Char Char Char Char Char Char Char Char Char Char Char Char Char Char Char"/>
    <w:basedOn w:val="957"/>
    <w:uiPriority w:val="99"/>
    <w:qFormat/>
    <w:rPr>
      <w:rFonts w:ascii="Tahoma" w:hAnsi="Tahoma" w:cs="Tahoma"/>
      <w:sz w:val="24"/>
      <w:szCs w:val="20"/>
    </w:rPr>
  </w:style>
  <w:style w:type="paragraph" w:styleId="1486" w:customStyle="1">
    <w:name w:val="xl30"/>
    <w:basedOn w:val="95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487" w:customStyle="1">
    <w:name w:val="Char Char1 Char Char Char Char"/>
    <w:basedOn w:val="975"/>
    <w:uiPriority w:val="99"/>
    <w:qFormat/>
    <w:pPr>
      <w:ind w:left="357"/>
      <w:jc w:val="left"/>
      <w:spacing w:line="436" w:lineRule="exact"/>
      <w:outlineLvl w:val="3"/>
    </w:pPr>
    <w:rPr>
      <w:rFonts w:ascii="Tahoma" w:hAnsi="Tahoma" w:cs="Tahoma"/>
      <w:b/>
    </w:rPr>
  </w:style>
  <w:style w:type="paragraph" w:styleId="1488" w:customStyle="1">
    <w:name w:val="普通正文"/>
    <w:basedOn w:val="957"/>
    <w:uiPriority w:val="99"/>
    <w:qFormat/>
    <w:pPr>
      <w:ind w:firstLine="480"/>
      <w:jc w:val="left"/>
      <w:spacing w:before="120" w:after="120" w:line="360" w:lineRule="auto"/>
    </w:pPr>
    <w:rPr>
      <w:rFonts w:ascii="Arial" w:hAnsi="Arial"/>
      <w:sz w:val="24"/>
    </w:rPr>
  </w:style>
  <w:style w:type="paragraph" w:styleId="1489" w:customStyle="1">
    <w:name w:val="Char Char Char Char Char Char Char Char Char Char Char Char Char Char"/>
    <w:basedOn w:val="957"/>
    <w:uiPriority w:val="99"/>
    <w:qFormat/>
    <w:rPr>
      <w:rFonts w:ascii="Tahoma" w:hAnsi="Tahoma"/>
      <w:sz w:val="24"/>
      <w:szCs w:val="20"/>
    </w:rPr>
  </w:style>
  <w:style w:type="paragraph" w:styleId="1490" w:customStyle="1">
    <w:name w:val="xl32"/>
    <w:basedOn w:val="95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491" w:customStyle="1">
    <w:name w:val="正文 首行缩进:  2 字符 Char Char"/>
    <w:basedOn w:val="957"/>
    <w:uiPriority w:val="99"/>
    <w:qFormat/>
    <w:pPr>
      <w:ind w:firstLine="480"/>
      <w:spacing w:line="360" w:lineRule="auto"/>
    </w:pPr>
    <w:rPr>
      <w:rFonts w:ascii="楷体_GB2312" w:eastAsia="楷体_GB2312"/>
      <w:bCs/>
      <w:sz w:val="24"/>
    </w:rPr>
  </w:style>
  <w:style w:type="paragraph" w:styleId="1492" w:customStyle="1">
    <w:name w:val="4"/>
    <w:basedOn w:val="957"/>
    <w:next w:val="1004"/>
    <w:uiPriority w:val="99"/>
    <w:qFormat/>
    <w:pPr>
      <w:ind w:firstLine="420"/>
      <w:spacing w:line="360" w:lineRule="auto"/>
    </w:pPr>
    <w:rPr>
      <w:color w:val="ff0000"/>
      <w:sz w:val="24"/>
    </w:rPr>
  </w:style>
  <w:style w:type="paragraph" w:styleId="1493" w:customStyle="1">
    <w:name w:val="font7"/>
    <w:basedOn w:val="957"/>
    <w:uiPriority w:val="99"/>
    <w:qFormat/>
    <w:pPr>
      <w:jc w:val="left"/>
      <w:spacing w:before="100" w:beforeAutospacing="1" w:after="100" w:afterAutospacing="1"/>
      <w:widowControl/>
    </w:pPr>
    <w:rPr>
      <w:rFonts w:ascii="宋体" w:hAnsi="宋体"/>
      <w:b/>
      <w:bCs/>
      <w:sz w:val="24"/>
    </w:rPr>
  </w:style>
  <w:style w:type="paragraph" w:styleId="1494" w:customStyle="1">
    <w:name w:val="Char Char Char Char Char Char Char Char Char Char"/>
    <w:basedOn w:val="957"/>
    <w:uiPriority w:val="99"/>
    <w:qFormat/>
    <w:pPr>
      <w:spacing w:line="360" w:lineRule="auto"/>
    </w:pPr>
    <w:rPr>
      <w:sz w:val="24"/>
      <w:szCs w:val="20"/>
    </w:rPr>
  </w:style>
  <w:style w:type="paragraph" w:styleId="1495" w:customStyle="1">
    <w:name w:val="Char Char Char Char Char Char Char Char Char Char Char Char Char"/>
    <w:basedOn w:val="957"/>
    <w:uiPriority w:val="99"/>
    <w:qFormat/>
    <w:pPr>
      <w:jc w:val="left"/>
      <w:spacing w:after="160" w:line="240" w:lineRule="exact"/>
      <w:widowControl/>
    </w:pPr>
  </w:style>
  <w:style w:type="paragraph" w:styleId="1496" w:customStyle="1">
    <w:name w:val="xl43"/>
    <w:basedOn w:val="95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497" w:customStyle="1">
    <w:name w:val="列出段落2"/>
    <w:basedOn w:val="957"/>
    <w:uiPriority w:val="99"/>
    <w:qFormat/>
    <w:pPr>
      <w:ind w:left="720"/>
      <w:jc w:val="left"/>
      <w:widowControl/>
    </w:pPr>
    <w:rPr>
      <w:rFonts w:ascii="Arial" w:hAnsi="Arial" w:eastAsia="黑体" w:cs="Arial"/>
      <w:sz w:val="24"/>
      <w:lang w:eastAsia="en-US"/>
    </w:rPr>
  </w:style>
  <w:style w:type="paragraph" w:styleId="1498" w:customStyle="1">
    <w:name w:val="默认段落字体 Para Char Char Char Char Char Char Char"/>
    <w:basedOn w:val="957"/>
    <w:uiPriority w:val="99"/>
    <w:qFormat/>
    <w:rPr>
      <w:rFonts w:ascii="Tahoma" w:hAnsi="Tahoma"/>
      <w:sz w:val="24"/>
      <w:szCs w:val="20"/>
    </w:rPr>
  </w:style>
  <w:style w:type="paragraph" w:styleId="1499" w:customStyle="1">
    <w:name w:val="正文--表格内正文"/>
    <w:basedOn w:val="957"/>
    <w:uiPriority w:val="99"/>
    <w:qFormat/>
    <w:pPr>
      <w:jc w:val="center"/>
      <w:spacing w:line="240" w:lineRule="atLeast"/>
    </w:pPr>
    <w:rPr>
      <w:rFonts w:ascii="宋体" w:hAnsi="宋体"/>
      <w:color w:val="000000"/>
      <w:sz w:val="24"/>
    </w:rPr>
  </w:style>
  <w:style w:type="paragraph" w:styleId="1500" w:customStyle="1">
    <w:name w:val="标题 4宋体"/>
    <w:basedOn w:val="961"/>
    <w:uiPriority w:val="99"/>
    <w:qFormat/>
    <w:pPr>
      <w:jc w:val="left"/>
      <w:keepLines w:val="0"/>
      <w:spacing w:before="0" w:after="0" w:line="360" w:lineRule="auto"/>
    </w:pPr>
    <w:rPr>
      <w:rFonts w:ascii="宋体" w:hAnsi="宋体" w:eastAsia="宋体"/>
      <w:bCs/>
      <w:color w:val="000000"/>
      <w:sz w:val="24"/>
    </w:rPr>
  </w:style>
  <w:style w:type="paragraph" w:styleId="1501" w:customStyle="1">
    <w:name w:val="xl42"/>
    <w:basedOn w:val="95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02" w:customStyle="1">
    <w:name w:val="xl39"/>
    <w:basedOn w:val="95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03" w:customStyle="1">
    <w:name w:val="符号与编号"/>
    <w:basedOn w:val="957"/>
    <w:uiPriority w:val="99"/>
    <w:qFormat/>
    <w:pPr>
      <w:ind w:left="900" w:hanging="420"/>
      <w:spacing w:line="400" w:lineRule="atLeast"/>
      <w:tabs>
        <w:tab w:val="left" w:pos="900" w:leader="none"/>
      </w:tabs>
    </w:pPr>
    <w:rPr>
      <w:sz w:val="24"/>
    </w:rPr>
  </w:style>
  <w:style w:type="paragraph" w:styleId="1504" w:customStyle="1">
    <w:name w:val="zw"/>
    <w:basedOn w:val="957"/>
    <w:uiPriority w:val="99"/>
    <w:qFormat/>
    <w:pPr>
      <w:ind w:firstLine="480"/>
      <w:jc w:val="left"/>
      <w:spacing w:line="360" w:lineRule="auto"/>
      <w:widowControl/>
    </w:pPr>
    <w:rPr>
      <w:rFonts w:ascii="宋体" w:hAnsi="宋体"/>
      <w:bCs/>
      <w:sz w:val="24"/>
      <w:szCs w:val="20"/>
    </w:rPr>
  </w:style>
  <w:style w:type="paragraph" w:styleId="1505" w:customStyle="1">
    <w:name w:val="一级标题"/>
    <w:basedOn w:val="957"/>
    <w:uiPriority w:val="99"/>
    <w:qFormat/>
    <w:pPr>
      <w:ind w:left="900" w:hanging="420"/>
      <w:spacing w:line="360" w:lineRule="auto"/>
      <w:tabs>
        <w:tab w:val="left" w:pos="903" w:leader="none"/>
      </w:tabs>
    </w:pPr>
    <w:rPr>
      <w:rFonts w:ascii="Arial" w:hAnsi="Arial" w:cs="Arial"/>
      <w:sz w:val="24"/>
      <w:szCs w:val="20"/>
    </w:rPr>
  </w:style>
  <w:style w:type="paragraph" w:styleId="1506" w:customStyle="1">
    <w:name w:val="段落"/>
    <w:uiPriority w:val="99"/>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1507" w:customStyle="1">
    <w:name w:val="font8"/>
    <w:basedOn w:val="957"/>
    <w:uiPriority w:val="99"/>
    <w:qFormat/>
    <w:pPr>
      <w:jc w:val="left"/>
      <w:spacing w:before="100" w:beforeAutospacing="1" w:after="100" w:afterAutospacing="1"/>
      <w:widowControl/>
    </w:pPr>
    <w:rPr>
      <w:rFonts w:ascii="宋体" w:hAnsi="宋体" w:cs="宋体"/>
      <w:b/>
      <w:bCs/>
      <w:i/>
      <w:iCs/>
      <w:sz w:val="20"/>
      <w:szCs w:val="20"/>
    </w:rPr>
  </w:style>
  <w:style w:type="paragraph" w:styleId="1508" w:customStyle="1">
    <w:name w:val="丁华标题2"/>
    <w:basedOn w:val="959"/>
    <w:next w:val="1434"/>
    <w:uiPriority w:val="99"/>
    <w:qFormat/>
    <w:pPr>
      <w:ind w:left="567" w:hanging="567"/>
      <w:jc w:val="left"/>
      <w:spacing w:before="120" w:after="120"/>
      <w:tabs>
        <w:tab w:val="left" w:pos="567" w:leader="none"/>
      </w:tabs>
    </w:pPr>
    <w:rPr>
      <w:color w:val="000000"/>
      <w:sz w:val="28"/>
      <w:szCs w:val="20"/>
    </w:rPr>
  </w:style>
  <w:style w:type="paragraph" w:styleId="1509" w:customStyle="1">
    <w:name w:val="xl38"/>
    <w:basedOn w:val="95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10" w:customStyle="1">
    <w:name w:val="小四 段落 宋体"/>
    <w:basedOn w:val="973"/>
    <w:uiPriority w:val="99"/>
    <w:qFormat/>
    <w:pPr>
      <w:ind w:left="113" w:right="113" w:firstLine="425"/>
      <w:jc w:val="left"/>
      <w:spacing w:line="360" w:lineRule="auto"/>
      <w:tabs>
        <w:tab w:val="clear" w:pos="2952" w:leader="none"/>
      </w:tabs>
    </w:pPr>
    <w:rPr>
      <w:sz w:val="24"/>
    </w:rPr>
  </w:style>
  <w:style w:type="paragraph" w:styleId="1511" w:customStyle="1">
    <w:name w:val="xl51"/>
    <w:basedOn w:val="957"/>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512" w:customStyle="1">
    <w:name w:val="List Paragraph1"/>
    <w:basedOn w:val="957"/>
    <w:uiPriority w:val="99"/>
    <w:qFormat/>
    <w:pPr>
      <w:ind w:left="720"/>
      <w:jc w:val="left"/>
      <w:widowControl/>
    </w:pPr>
    <w:rPr>
      <w:rFonts w:ascii="Arial" w:hAnsi="Arial" w:eastAsia="黑体"/>
      <w:sz w:val="24"/>
      <w:lang w:eastAsia="en-US"/>
    </w:rPr>
  </w:style>
  <w:style w:type="paragraph" w:styleId="1513" w:customStyle="1">
    <w:name w:val="Char Char Char Char Char Char Char Char"/>
    <w:basedOn w:val="957"/>
    <w:uiPriority w:val="99"/>
    <w:qFormat/>
    <w:pPr>
      <w:jc w:val="left"/>
      <w:spacing w:after="160" w:line="240" w:lineRule="exact"/>
      <w:widowControl/>
    </w:pPr>
    <w:rPr>
      <w:rFonts w:ascii="Verdana" w:hAnsi="Verdana"/>
      <w:sz w:val="20"/>
      <w:szCs w:val="20"/>
      <w:lang w:eastAsia="en-US"/>
    </w:rPr>
  </w:style>
  <w:style w:type="paragraph" w:styleId="1514" w:customStyle="1">
    <w:name w:val="批注框文本1"/>
    <w:basedOn w:val="957"/>
    <w:uiPriority w:val="99"/>
    <w:qFormat/>
    <w:rPr>
      <w:sz w:val="18"/>
      <w:szCs w:val="18"/>
    </w:rPr>
  </w:style>
  <w:style w:type="paragraph" w:styleId="1515" w:customStyle="1">
    <w:name w:val="默认段落字体 Para Char Char Char Char Char Char Char Char Char1 Char Char Char Char Char Char Char"/>
    <w:basedOn w:val="975"/>
    <w:uiPriority w:val="99"/>
    <w:qFormat/>
    <w:rPr>
      <w:szCs w:val="20"/>
    </w:rPr>
  </w:style>
  <w:style w:type="paragraph" w:styleId="1516" w:customStyle="1">
    <w:name w:val="Pa6"/>
    <w:basedOn w:val="957"/>
    <w:next w:val="957"/>
    <w:uiPriority w:val="99"/>
    <w:qFormat/>
    <w:pPr>
      <w:jc w:val="left"/>
      <w:spacing w:line="241" w:lineRule="atLeast"/>
    </w:pPr>
    <w:rPr>
      <w:rFonts w:ascii="汉仪大黑简" w:eastAsia="汉仪大黑简"/>
      <w:sz w:val="24"/>
    </w:rPr>
  </w:style>
  <w:style w:type="paragraph" w:styleId="1517" w:customStyle="1">
    <w:name w:val="xl49"/>
    <w:basedOn w:val="957"/>
    <w:uiPriority w:val="99"/>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518" w:customStyle="1">
    <w:name w:val="列出段落11"/>
    <w:basedOn w:val="957"/>
    <w:uiPriority w:val="99"/>
    <w:qFormat/>
    <w:pPr>
      <w:ind w:firstLine="200"/>
    </w:pPr>
    <w:rPr>
      <w:rFonts w:ascii="Calibri" w:hAnsi="Calibri" w:cs="宋体"/>
      <w:szCs w:val="22"/>
    </w:rPr>
  </w:style>
  <w:style w:type="paragraph" w:styleId="1519" w:customStyle="1">
    <w:name w:val="Char Char Char Char Char Char Char1"/>
    <w:basedOn w:val="957"/>
    <w:uiPriority w:val="99"/>
    <w:qFormat/>
    <w:rPr>
      <w:rFonts w:ascii="Tahoma" w:hAnsi="Tahoma"/>
      <w:sz w:val="24"/>
      <w:szCs w:val="20"/>
    </w:rPr>
  </w:style>
  <w:style w:type="paragraph" w:styleId="1520" w:customStyle="1">
    <w:name w:val="大标题"/>
    <w:basedOn w:val="957"/>
    <w:next w:val="957"/>
    <w:uiPriority w:val="99"/>
    <w:qFormat/>
    <w:pPr>
      <w:ind w:hanging="420"/>
      <w:pageBreakBefore/>
      <w:spacing w:line="360" w:lineRule="auto"/>
      <w:tabs>
        <w:tab w:val="left" w:pos="420" w:leader="none"/>
      </w:tabs>
      <w:outlineLvl w:val="0"/>
    </w:pPr>
    <w:rPr>
      <w:b/>
      <w:iCs/>
      <w:sz w:val="44"/>
    </w:rPr>
  </w:style>
  <w:style w:type="paragraph" w:styleId="1521" w:customStyle="1">
    <w:name w:val="Char2 Char Char Char Char Char Char1"/>
    <w:basedOn w:val="957"/>
    <w:uiPriority w:val="99"/>
    <w:qFormat/>
    <w:pPr>
      <w:ind w:hanging="425"/>
      <w:keepNext/>
      <w:spacing w:before="80" w:after="80"/>
      <w:widowControl/>
      <w:tabs>
        <w:tab w:val="left" w:pos="425" w:leader="none"/>
      </w:tabs>
    </w:pPr>
    <w:rPr>
      <w:rFonts w:ascii="Arial" w:hAnsi="Arial" w:cs="Arial"/>
      <w:sz w:val="20"/>
      <w:szCs w:val="20"/>
    </w:rPr>
  </w:style>
  <w:style w:type="paragraph" w:styleId="1522" w:customStyle="1">
    <w:name w:val="Char Char"/>
    <w:basedOn w:val="957"/>
    <w:uiPriority w:val="99"/>
    <w:qFormat/>
    <w:rPr>
      <w:rFonts w:ascii="Tahoma" w:hAnsi="Tahoma"/>
      <w:sz w:val="24"/>
      <w:szCs w:val="20"/>
    </w:rPr>
  </w:style>
  <w:style w:type="paragraph" w:styleId="1523" w:customStyle="1">
    <w:name w:val="Char Char Char Char"/>
    <w:basedOn w:val="975"/>
    <w:uiPriority w:val="99"/>
    <w:qFormat/>
    <w:pPr>
      <w:spacing w:line="360" w:lineRule="auto"/>
    </w:pPr>
    <w:rPr>
      <w:rFonts w:ascii="Tahoma" w:hAnsi="Tahoma"/>
    </w:rPr>
  </w:style>
  <w:style w:type="paragraph" w:styleId="1524" w:customStyle="1">
    <w:name w:val="ewb-con-p2"/>
    <w:basedOn w:val="957"/>
    <w:uiPriority w:val="99"/>
    <w:qFormat/>
    <w:pPr>
      <w:jc w:val="left"/>
      <w:spacing w:before="100" w:beforeAutospacing="1" w:after="100" w:afterAutospacing="1"/>
      <w:widowControl/>
    </w:pPr>
    <w:rPr>
      <w:rFonts w:ascii="宋体" w:hAnsi="宋体" w:cs="宋体"/>
      <w:sz w:val="24"/>
    </w:rPr>
  </w:style>
  <w:style w:type="paragraph" w:styleId="1525" w:customStyle="1">
    <w:name w:val="xl61"/>
    <w:basedOn w:val="957"/>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526" w:customStyle="1">
    <w:name w:val="xl55"/>
    <w:basedOn w:val="957"/>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527" w:customStyle="1">
    <w:name w:val="Char Char Char1"/>
    <w:basedOn w:val="975"/>
    <w:uiPriority w:val="99"/>
    <w:qFormat/>
    <w:pPr>
      <w:spacing w:line="436" w:lineRule="exact"/>
    </w:pPr>
  </w:style>
  <w:style w:type="paragraph" w:styleId="1528" w:customStyle="1">
    <w:name w:val="段 Char"/>
    <w:uiPriority w:val="99"/>
    <w:qFormat/>
    <w:pPr>
      <w:ind w:firstLine="200"/>
      <w:jc w:val="both"/>
    </w:pPr>
    <w:rPr>
      <w:rFonts w:ascii="宋体" w:hAnsi="Times New Roman" w:eastAsia="宋体" w:cs="Times New Roman"/>
      <w:sz w:val="21"/>
      <w:lang w:val="en-US" w:eastAsia="zh-CN" w:bidi="ar-SA"/>
    </w:rPr>
  </w:style>
  <w:style w:type="paragraph" w:styleId="1529" w:customStyle="1">
    <w:name w:val="正文 首行缩进:  2 字符 Char"/>
    <w:basedOn w:val="957"/>
    <w:uiPriority w:val="99"/>
    <w:qFormat/>
    <w:pPr>
      <w:ind w:firstLine="480"/>
      <w:spacing w:line="360" w:lineRule="auto"/>
    </w:pPr>
    <w:rPr>
      <w:rFonts w:cs="宋体"/>
      <w:sz w:val="24"/>
      <w:szCs w:val="20"/>
    </w:rPr>
  </w:style>
  <w:style w:type="paragraph" w:styleId="1530" w:customStyle="1">
    <w:name w:val="正文 New New New New New"/>
    <w:uiPriority w:val="99"/>
    <w:qFormat/>
    <w:pPr>
      <w:jc w:val="both"/>
      <w:widowControl w:val="off"/>
    </w:pPr>
    <w:rPr>
      <w:rFonts w:ascii="Times New Roman" w:hAnsi="Times New Roman" w:eastAsia="宋体" w:cs="Times New Roman"/>
      <w:sz w:val="21"/>
      <w:szCs w:val="24"/>
      <w:lang w:val="en-US" w:eastAsia="zh-CN" w:bidi="ar-SA"/>
    </w:rPr>
  </w:style>
  <w:style w:type="paragraph" w:styleId="1531" w:customStyle="1">
    <w:name w:val="xl33"/>
    <w:basedOn w:val="95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32" w:customStyle="1">
    <w:name w:val="表格内容"/>
    <w:basedOn w:val="957"/>
    <w:uiPriority w:val="99"/>
    <w:qFormat/>
    <w:pPr>
      <w:jc w:val="center"/>
      <w:spacing w:before="60" w:line="300" w:lineRule="auto"/>
      <w:widowControl/>
    </w:pPr>
    <w:rPr>
      <w:szCs w:val="20"/>
    </w:rPr>
  </w:style>
  <w:style w:type="paragraph" w:styleId="1533" w:customStyle="1">
    <w:name w:val="正文lzq"/>
    <w:basedOn w:val="957"/>
    <w:uiPriority w:val="99"/>
    <w:qFormat/>
    <w:pPr>
      <w:ind w:firstLine="480"/>
      <w:spacing w:line="360" w:lineRule="auto"/>
    </w:pPr>
    <w:rPr>
      <w:sz w:val="24"/>
      <w:szCs w:val="20"/>
    </w:rPr>
  </w:style>
  <w:style w:type="paragraph" w:styleId="1534" w:customStyle="1">
    <w:name w:val="附录1"/>
    <w:uiPriority w:val="99"/>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535" w:customStyle="1">
    <w:name w:val="Char Char Char Char Char Char Char Char Char"/>
    <w:basedOn w:val="957"/>
    <w:uiPriority w:val="99"/>
    <w:qFormat/>
    <w:pPr>
      <w:ind w:left="200" w:hanging="200"/>
      <w:tabs>
        <w:tab w:val="left" w:pos="360" w:leader="none"/>
      </w:tabs>
    </w:pPr>
    <w:rPr>
      <w:sz w:val="24"/>
    </w:rPr>
  </w:style>
  <w:style w:type="paragraph" w:styleId="1536" w:customStyle="1">
    <w:name w:val="项目符号：一级"/>
    <w:basedOn w:val="1367"/>
    <w:next w:val="1367"/>
    <w:uiPriority w:val="99"/>
    <w:qFormat/>
    <w:pPr>
      <w:ind w:right="-134"/>
    </w:pPr>
    <w:rPr>
      <w:bCs w:val="0"/>
    </w:rPr>
  </w:style>
  <w:style w:type="paragraph" w:styleId="1537" w:customStyle="1">
    <w:name w:val="content_lineheight"/>
    <w:basedOn w:val="957"/>
    <w:uiPriority w:val="99"/>
    <w:qFormat/>
    <w:pPr>
      <w:jc w:val="left"/>
      <w:spacing w:before="100" w:beforeAutospacing="1" w:after="100" w:afterAutospacing="1"/>
      <w:widowControl/>
    </w:pPr>
    <w:rPr>
      <w:rFonts w:ascii="宋体" w:hAnsi="宋体"/>
      <w:sz w:val="24"/>
    </w:rPr>
  </w:style>
  <w:style w:type="paragraph" w:styleId="1538" w:customStyle="1">
    <w:name w:val="项目符号，二级"/>
    <w:basedOn w:val="1367"/>
    <w:next w:val="1367"/>
    <w:uiPriority w:val="99"/>
    <w:qFormat/>
    <w:pPr>
      <w:ind w:left="1337" w:right="-27" w:firstLine="480"/>
      <w:tabs>
        <w:tab w:val="left" w:pos="1211" w:leader="none"/>
        <w:tab w:val="left" w:pos="1337" w:leader="none"/>
      </w:tabs>
    </w:pPr>
    <w:rPr>
      <w:bCs w:val="0"/>
      <w:color w:val="000000"/>
      <w:sz w:val="24"/>
      <w:szCs w:val="24"/>
    </w:rPr>
  </w:style>
  <w:style w:type="paragraph" w:styleId="1539" w:customStyle="1">
    <w:name w:val="小四 段落 宋体 Char Char"/>
    <w:basedOn w:val="957"/>
    <w:uiPriority w:val="99"/>
    <w:qFormat/>
    <w:pPr>
      <w:ind w:firstLine="480"/>
      <w:spacing w:line="360" w:lineRule="auto"/>
    </w:pPr>
    <w:rPr>
      <w:rFonts w:ascii="宋体" w:hAnsi="宋体"/>
      <w:sz w:val="24"/>
    </w:rPr>
  </w:style>
  <w:style w:type="paragraph" w:styleId="1540" w:customStyle="1">
    <w:name w:val="正文文本缩进 31"/>
    <w:basedOn w:val="957"/>
    <w:uiPriority w:val="99"/>
    <w:qFormat/>
    <w:pPr>
      <w:ind w:firstLine="504"/>
      <w:spacing w:line="360" w:lineRule="auto"/>
      <w:tabs>
        <w:tab w:val="left" w:pos="0" w:leader="none"/>
      </w:tabs>
    </w:pPr>
    <w:rPr>
      <w:rFonts w:ascii="宋体"/>
      <w:b/>
      <w:bCs/>
      <w:sz w:val="24"/>
    </w:rPr>
  </w:style>
  <w:style w:type="paragraph" w:styleId="1541" w:customStyle="1">
    <w:name w:val="标题 41"/>
    <w:basedOn w:val="957"/>
    <w:uiPriority w:val="99"/>
    <w:qFormat/>
    <w:pPr>
      <w:ind w:left="618"/>
      <w:jc w:val="left"/>
      <w:outlineLvl w:val="4"/>
    </w:pPr>
    <w:rPr>
      <w:rFonts w:ascii="宋体" w:hAnsi="宋体" w:cs="宋体"/>
      <w:b/>
      <w:bCs/>
      <w:sz w:val="24"/>
      <w:lang w:val="zh-CN"/>
    </w:rPr>
  </w:style>
  <w:style w:type="paragraph" w:styleId="1542" w:customStyle="1">
    <w:name w:val="msolistparagraph"/>
    <w:basedOn w:val="957"/>
    <w:uiPriority w:val="99"/>
    <w:qFormat/>
    <w:pPr>
      <w:ind w:left="420" w:firstLine="420"/>
      <w:spacing w:line="400" w:lineRule="exact"/>
    </w:pPr>
    <w:rPr>
      <w:rFonts w:ascii="Calibri" w:hAnsi="Calibri"/>
    </w:rPr>
  </w:style>
  <w:style w:type="paragraph" w:styleId="1543" w:customStyle="1">
    <w:name w:val="Blockquote"/>
    <w:basedOn w:val="957"/>
    <w:uiPriority w:val="99"/>
    <w:qFormat/>
    <w:pPr>
      <w:ind w:left="360" w:right="360"/>
      <w:jc w:val="left"/>
      <w:spacing w:before="100" w:after="100"/>
    </w:pPr>
    <w:rPr>
      <w:sz w:val="24"/>
    </w:rPr>
  </w:style>
  <w:style w:type="character" w:styleId="1544" w:customStyle="1">
    <w:name w:val="无"/>
    <w:uiPriority w:val="0"/>
    <w:qFormat/>
  </w:style>
  <w:style w:type="character" w:styleId="1545" w:customStyle="1">
    <w:name w:val="Hyperlink.1"/>
    <w:uiPriority w:val="0"/>
    <w:qFormat/>
    <w:rPr>
      <w:rFonts w:ascii="宋体" w:hAnsi="宋体" w:eastAsia="宋体" w:cs="宋体"/>
      <w:shd w:val="clear" w:color="auto" w:fill="auto"/>
      <w:lang w:val="zh-TW" w:eastAsia="zh-TW"/>
    </w:rPr>
  </w:style>
  <w:style w:type="table" w:styleId="1546"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character" w:styleId="1547" w:customStyle="1">
    <w:name w:val="not([class*=suffix])"/>
    <w:basedOn w:val="967"/>
    <w:uiPriority w:val="0"/>
    <w:qFormat/>
  </w:style>
  <w:style w:type="character" w:styleId="1548" w:customStyle="1">
    <w:name w:val="not([class*=suffix])1"/>
    <w:basedOn w:val="967"/>
    <w:uiPriority w:val="0"/>
    <w:qFormat/>
    <w:rPr>
      <w:sz w:val="13"/>
      <w:szCs w:val="13"/>
    </w:rPr>
  </w:style>
  <w:style w:type="paragraph" w:styleId="1549" w:customStyle="1">
    <w:name w:val="Table Paragraph"/>
    <w:basedOn w:val="957"/>
    <w:uiPriority w:val="1"/>
    <w:qFormat/>
    <w:pPr>
      <w:jc w:val="left"/>
    </w:pPr>
    <w:rPr>
      <w:rFonts w:ascii="宋体" w:hAnsi="宋体" w:cs="宋体"/>
      <w:sz w:val="22"/>
      <w:szCs w:val="22"/>
      <w:lang w:val="zh-CN" w:bidi="zh-CN"/>
    </w:rPr>
  </w:style>
  <w:style w:type="paragraph" w:styleId="1550" w:customStyle="1">
    <w:name w:val="BodyText"/>
    <w:basedOn w:val="957"/>
    <w:uiPriority w:val="0"/>
    <w:qFormat/>
    <w:pPr>
      <w:spacing w:after="120"/>
    </w:pPr>
    <w:rPr>
      <w:rFonts w:ascii="Calibri"/>
      <w:sz w:val="20"/>
      <w:szCs w:val="20"/>
    </w:rPr>
  </w:style>
  <w:style w:type="character" w:styleId="1551" w:customStyle="1">
    <w:name w:val="样式 仿宋"/>
    <w:uiPriority w:val="0"/>
    <w:qFormat/>
    <w:rPr>
      <w:rFonts w:ascii="仿宋" w:hAnsi="仿宋" w:eastAsia="仿宋"/>
    </w:rPr>
  </w:style>
  <w:style w:type="character" w:styleId="1552" w:customStyle="1">
    <w:name w:val="font51"/>
    <w:basedOn w:val="967"/>
    <w:uiPriority w:val="0"/>
    <w:qFormat/>
    <w:rPr>
      <w:rFonts w:hint="default" w:ascii="Times New Roman" w:hAnsi="Times New Roman" w:cs="Times New Roman"/>
      <w:color w:val="000000"/>
      <w:sz w:val="20"/>
      <w:szCs w:val="20"/>
      <w:u w:val="none"/>
    </w:rPr>
  </w:style>
  <w:style w:type="character" w:styleId="1553" w:customStyle="1">
    <w:name w:val="NormalCharacter"/>
    <w:uiPriority w:val="0"/>
    <w:qFormat/>
    <w:rPr>
      <w:rFonts w:ascii="KNLe" w:hAnsi="KNLe" w:eastAsia="Ari" w:cs="KNLe"/>
      <w:sz w:val="21"/>
      <w:szCs w:val="22"/>
      <w:lang w:val="en-US" w:eastAsia="zh-CN" w:bidi="ar-SA"/>
    </w:rPr>
  </w:style>
  <w:style w:type="paragraph" w:styleId="1554" w:customStyle="1">
    <w:name w:val="正文段"/>
    <w:basedOn w:val="957"/>
    <w:uiPriority w:val="0"/>
    <w:qFormat/>
    <w:pPr>
      <w:ind w:firstLine="200"/>
      <w:spacing w:after="50"/>
      <w:widowControl/>
    </w:pPr>
    <w:rPr>
      <w:sz w:val="24"/>
    </w:rPr>
  </w:style>
  <w:style w:type="paragraph" w:styleId="1555" w:customStyle="1">
    <w:name w:val="章正文"/>
    <w:basedOn w:val="957"/>
    <w:uiPriority w:val="0"/>
    <w:qFormat/>
    <w:pPr>
      <w:ind w:firstLine="480"/>
      <w:spacing w:before="156" w:after="120" w:line="300" w:lineRule="auto"/>
    </w:pPr>
    <w:rPr>
      <w:rFonts w:ascii="Helvetica" w:hAnsi="Helvetica"/>
    </w:rPr>
  </w:style>
  <w:style w:type="character" w:styleId="1556" w:customStyle="1">
    <w:name w:val="font101"/>
    <w:uiPriority w:val="0"/>
    <w:qFormat/>
    <w:rPr>
      <w:rFonts w:hint="default" w:ascii="Times New Roman" w:hAnsi="Times New Roman" w:cs="Times New Roman"/>
      <w:color w:val="000000"/>
      <w:sz w:val="20"/>
      <w:szCs w:val="20"/>
      <w:u w:val="none"/>
    </w:rPr>
  </w:style>
  <w:style w:type="character" w:styleId="1557" w:customStyle="1">
    <w:name w:val="font31"/>
    <w:basedOn w:val="967"/>
    <w:uiPriority w:val="0"/>
    <w:qFormat/>
    <w:rPr>
      <w:rFonts w:hint="eastAsia" w:ascii="微软雅黑" w:hAnsi="微软雅黑" w:eastAsia="微软雅黑" w:cs="微软雅黑"/>
      <w:color w:val="000000"/>
      <w:sz w:val="20"/>
      <w:szCs w:val="20"/>
      <w:u w:val="none"/>
    </w:rPr>
  </w:style>
  <w:style w:type="paragraph" w:styleId="1558" w:customStyle="1">
    <w:name w:val="正文首行缩进1"/>
    <w:basedOn w:val="1559"/>
    <w:uiPriority w:val="0"/>
    <w:qFormat/>
    <w:pPr>
      <w:ind w:firstLine="100"/>
    </w:pPr>
  </w:style>
  <w:style w:type="paragraph" w:styleId="1559" w:customStyle="1">
    <w:name w:val="正文文本1"/>
    <w:basedOn w:val="957"/>
    <w:next w:val="957"/>
    <w:uiPriority w:val="0"/>
    <w:qFormat/>
    <w:rPr>
      <w:rFonts w:ascii="宋体"/>
      <w:sz w:val="28"/>
    </w:rPr>
  </w:style>
  <w:style w:type="paragraph" w:styleId="1560" w:customStyle="1">
    <w:name w:val="标题二、"/>
    <w:basedOn w:val="957"/>
    <w:uiPriority w:val="99"/>
    <w:qFormat/>
    <w:pPr>
      <w:ind w:firstLine="420"/>
      <w:spacing w:line="360" w:lineRule="auto"/>
      <w:outlineLvl w:val="2"/>
    </w:pPr>
    <w:rPr>
      <w:rFonts w:ascii="宋体" w:hAnsi="宋体"/>
      <w:b/>
      <w:color w:val="ff0000"/>
      <w:szCs w:val="21"/>
    </w:rPr>
  </w:style>
  <w:style w:type="character" w:styleId="1561" w:customStyle="1">
    <w:name w:val="active16"/>
    <w:basedOn w:val="967"/>
    <w:uiPriority w:val="0"/>
    <w:qFormat/>
    <w:rPr>
      <w:color w:val="ffffff"/>
      <w:shd w:val="clear" w:color="auto" w:fill="0f5bb9"/>
    </w:rPr>
  </w:style>
  <w:style w:type="character" w:styleId="1562" w:customStyle="1">
    <w:name w:val="active"/>
    <w:basedOn w:val="967"/>
    <w:uiPriority w:val="0"/>
    <w:qFormat/>
    <w:rPr>
      <w:color w:val="ffffff"/>
      <w:shd w:val="clear" w:color="auto" w:fill="0f5bb9"/>
    </w:rPr>
  </w:style>
  <w:style w:type="character" w:styleId="1563" w:customStyle="1">
    <w:name w:val="font01"/>
    <w:basedOn w:val="967"/>
    <w:uiPriority w:val="0"/>
    <w:qFormat/>
    <w:rPr>
      <w:rFonts w:hint="eastAsia" w:ascii="宋体" w:hAnsi="宋体" w:eastAsia="宋体" w:cs="宋体"/>
      <w:color w:val="000000"/>
      <w:sz w:val="20"/>
      <w:szCs w:val="20"/>
      <w:u w:val="none"/>
    </w:rPr>
  </w:style>
  <w:style w:type="character" w:styleId="1564" w:customStyle="1">
    <w:name w:val="font71"/>
    <w:basedOn w:val="967"/>
    <w:uiPriority w:val="0"/>
    <w:qFormat/>
    <w:rPr>
      <w:rFonts w:ascii="Calibri" w:hAnsi="Calibri" w:cs="Calibri"/>
      <w:color w:val="000000"/>
      <w:sz w:val="24"/>
      <w:szCs w:val="24"/>
      <w:u w:val="none"/>
    </w:rPr>
  </w:style>
  <w:style w:type="numbering" w:styleId="15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焦翔</dc:creator>
  <cp:lastModifiedBy>李佳蓉</cp:lastModifiedBy>
  <cp:revision>12</cp:revision>
  <dcterms:created xsi:type="dcterms:W3CDTF">2026-08-10T07:31:00Z</dcterms:created>
  <dcterms:modified xsi:type="dcterms:W3CDTF">2026-08-11T07:28:25Z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5561282D8B2645B7A98FD21EFA02E61D_13</vt:lpwstr>
  </property>
  <property fmtid="{D5CDD505-2E9C-101B-9397-08002B2CF9AE}" pid="4" name="commondata">
    <vt:lpwstr>eyJoZGlkIjoiMzRjYzhjMjM2MzIwNWZiYjI5ZGZjZjAyNjdmMTc5ZDgifQ==</vt:lpwstr>
  </property>
  <property fmtid="{D5CDD505-2E9C-101B-9397-08002B2CF9AE}" pid="5" name="KSOTemplateDocerSaveRecord">
    <vt:lpwstr>eyJoZGlkIjoiYzFjYzk3NmMxNzk2YzNlZGU4NzkzM2Y3ZjIxZDdjNzAiLCJ1c2VySWQiOiIxMzYyMTQ5MzYyIn0=</vt:lpwstr>
  </property>
</Properties>
</file>