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9"/>
        <w:ind w:firstLine="0"/>
        <w:rPr>
          <w:rFonts w:hint="eastAsia" w:eastAsia="黑体"/>
          <w:b/>
          <w:bCs/>
          <w:sz w:val="84"/>
          <w:highlight w:val="none"/>
        </w:rPr>
      </w:pPr>
      <w:r>
        <w:rPr>
          <w:rFonts w:hint="eastAsia" w:eastAsia="黑体"/>
          <w:b/>
          <w:bCs/>
          <w:sz w:val="84"/>
          <w:highlight w:val="none"/>
        </w:rPr>
      </w:r>
      <w:r>
        <w:rPr>
          <w:highlight w:val="none"/>
        </w:rPr>
      </w:r>
      <w:r/>
    </w:p>
    <w:p>
      <w:pPr>
        <w:pStyle w:val="1049"/>
        <w:ind w:firstLine="0"/>
        <w:jc w:val="center"/>
        <w:rPr>
          <w:rFonts w:hint="eastAsia" w:ascii="方正小标宋_GBK" w:hAnsi="方正小标宋_GBK" w:eastAsia="方正小标宋_GBK" w:cs="方正小标宋_GBK"/>
          <w:b/>
          <w:bCs/>
          <w:sz w:val="40"/>
          <w:szCs w:val="40"/>
          <w:highlight w:val="none"/>
        </w:rPr>
      </w:pPr>
      <w:r>
        <w:rPr>
          <w:rFonts w:hint="eastAsia" w:ascii="方正小标宋_GBK" w:hAnsi="方正小标宋_GBK" w:eastAsia="方正小标宋_GBK" w:cs="方正小标宋_GBK"/>
          <w:b/>
          <w:bCs/>
          <w:sz w:val="40"/>
          <w:szCs w:val="40"/>
          <w:highlight w:val="none"/>
        </w:rPr>
        <w:t xml:space="preserve">招　标　文　件</w:t>
      </w:r>
      <w:r>
        <w:rPr>
          <w:highlight w:val="none"/>
        </w:rPr>
      </w:r>
      <w:r/>
    </w:p>
    <w:p>
      <w:pPr>
        <w:pStyle w:val="1049"/>
        <w:ind w:firstLine="1968"/>
        <w:spacing w:line="400" w:lineRule="exact"/>
        <w:rPr>
          <w:rFonts w:hint="eastAsia"/>
          <w:b/>
          <w:bCs/>
          <w:sz w:val="28"/>
          <w:szCs w:val="28"/>
          <w:highlight w:val="none"/>
        </w:rPr>
      </w:pPr>
      <w:r>
        <w:rPr>
          <w:rFonts w:hint="eastAsia"/>
          <w:b/>
          <w:bCs/>
          <w:sz w:val="28"/>
          <w:szCs w:val="28"/>
          <w:highlight w:val="none"/>
        </w:rPr>
      </w:r>
      <w:r>
        <w:rPr>
          <w:highlight w:val="none"/>
        </w:rPr>
      </w:r>
      <w:r/>
    </w:p>
    <w:p>
      <w:pPr>
        <w:pStyle w:val="961"/>
        <w:ind w:firstLine="560"/>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项目名称：__医疗运营综合智慧平台__</w:t>
      </w:r>
      <w:r>
        <w:rPr>
          <w:highlight w:val="none"/>
        </w:rPr>
      </w:r>
      <w:r/>
    </w:p>
    <w:p>
      <w:pPr>
        <w:pStyle w:val="961"/>
        <w:ind w:firstLine="560"/>
        <w:jc w:val="center"/>
        <w:spacing w:before="120" w:after="120" w:line="400" w:lineRule="exact"/>
        <w:rPr>
          <w:rFonts w:hint="eastAsia"/>
          <w:b/>
          <w:color w:val="ff0000"/>
          <w:sz w:val="28"/>
          <w:szCs w:val="28"/>
          <w:highlight w:val="none"/>
        </w:rPr>
      </w:pPr>
      <w:r>
        <w:rPr>
          <w:rFonts w:hint="eastAsia" w:ascii="方正黑体_GBK" w:hAnsi="方正黑体_GBK" w:eastAsia="方正黑体_GBK" w:cs="方正黑体_GBK"/>
          <w:color w:val="000000"/>
          <w:sz w:val="28"/>
          <w:szCs w:val="28"/>
          <w:highlight w:val="none"/>
        </w:rPr>
        <w:t xml:space="preserve">采购编号：</w:t>
      </w:r>
      <w:r>
        <w:rPr>
          <w:rFonts w:hint="eastAsia" w:eastAsia="方正黑体_GBK"/>
          <w:color w:val="000000"/>
          <w:sz w:val="28"/>
          <w:szCs w:val="28"/>
          <w:highlight w:val="none"/>
        </w:rPr>
        <w:t xml:space="preserve">JSZC-320000-SCZX-G2026-0317</w:t>
      </w:r>
      <w:r>
        <w:rPr>
          <w:highlight w:val="none"/>
        </w:rPr>
      </w:r>
      <w:r/>
    </w:p>
    <w:p>
      <w:pPr>
        <w:pStyle w:val="961"/>
        <w:jc w:val="center"/>
        <w:rPr>
          <w:rFonts w:hint="eastAsia"/>
          <w:b/>
          <w:color w:val="ff0000"/>
          <w:sz w:val="28"/>
          <w:szCs w:val="28"/>
          <w:highlight w:val="none"/>
        </w:rPr>
      </w:pPr>
      <w:r>
        <w:rPr>
          <w:rFonts w:hint="eastAsia"/>
          <w:b/>
          <w:color w:val="ff0000"/>
          <w:sz w:val="28"/>
          <w:szCs w:val="28"/>
          <w:highlight w:val="none"/>
        </w:rPr>
      </w:r>
      <w:r>
        <w:rPr>
          <w:highlight w:val="none"/>
        </w:rPr>
      </w:r>
      <w:r/>
    </w:p>
    <w:p>
      <w:pPr>
        <w:pStyle w:val="1049"/>
        <w:ind w:firstLine="0"/>
        <w:spacing w:before="0" w:after="0"/>
        <w:rPr>
          <w:rFonts w:hint="eastAsia" w:ascii="宋体" w:hAnsi="宋体"/>
          <w:sz w:val="28"/>
          <w:szCs w:val="28"/>
          <w:highlight w:val="none"/>
        </w:rPr>
      </w:pPr>
      <w:r>
        <w:rPr>
          <w:rFonts w:hint="eastAsia" w:ascii="宋体" w:hAnsi="宋体"/>
          <w:sz w:val="28"/>
          <w:szCs w:val="28"/>
          <w:highlight w:val="none"/>
        </w:rPr>
      </w:r>
      <w:r>
        <w:rPr>
          <w:highlight w:val="none"/>
        </w:rPr>
      </w:r>
      <w:r/>
    </w:p>
    <w:p>
      <w:pPr>
        <w:pStyle w:val="1049"/>
        <w:ind w:firstLine="0"/>
        <w:spacing w:before="0" w:after="0"/>
        <w:rPr>
          <w:rFonts w:hint="eastAsia" w:ascii="宋体" w:hAnsi="宋体"/>
          <w:sz w:val="28"/>
          <w:szCs w:val="28"/>
          <w:highlight w:val="none"/>
        </w:rPr>
      </w:pPr>
      <w:r>
        <w:rPr>
          <w:rFonts w:hint="eastAsia" w:ascii="宋体" w:hAnsi="宋体"/>
          <w:sz w:val="28"/>
          <w:szCs w:val="28"/>
          <w:highlight w:val="none"/>
        </w:rPr>
      </w:r>
      <w:r>
        <w:rPr>
          <w:highlight w:val="none"/>
        </w:rPr>
      </w:r>
      <w:r/>
    </w:p>
    <w:p>
      <w:pPr>
        <w:pStyle w:val="1049"/>
        <w:ind w:firstLine="0"/>
        <w:spacing w:before="0" w:after="0"/>
        <w:rPr>
          <w:rFonts w:hint="eastAsia" w:ascii="宋体" w:hAnsi="宋体"/>
          <w:sz w:val="28"/>
          <w:szCs w:val="28"/>
          <w:highlight w:val="none"/>
        </w:rPr>
      </w:pPr>
      <w:r>
        <w:rPr>
          <w:rFonts w:hint="eastAsia" w:ascii="宋体" w:hAnsi="宋体"/>
          <w:sz w:val="28"/>
          <w:szCs w:val="28"/>
          <w:highlight w:val="none"/>
        </w:rPr>
      </w:r>
      <w:r>
        <w:rPr>
          <w:highlight w:val="none"/>
        </w:rPr>
      </w:r>
      <w:r/>
    </w:p>
    <w:p>
      <w:pPr>
        <w:pStyle w:val="1049"/>
        <w:ind w:firstLine="0"/>
        <w:spacing w:before="0" w:after="0"/>
        <w:rPr>
          <w:rFonts w:hint="eastAsia" w:ascii="宋体" w:hAnsi="宋体"/>
          <w:sz w:val="28"/>
          <w:szCs w:val="28"/>
          <w:highlight w:val="none"/>
        </w:rPr>
      </w:pPr>
      <w:r>
        <w:rPr>
          <w:rFonts w:hint="eastAsia" w:ascii="宋体" w:hAnsi="宋体"/>
          <w:sz w:val="28"/>
          <w:szCs w:val="28"/>
          <w:highlight w:val="none"/>
        </w:rPr>
      </w:r>
      <w:r>
        <w:rPr>
          <w:highlight w:val="none"/>
        </w:rPr>
      </w:r>
      <w:r/>
    </w:p>
    <w:p>
      <w:pPr>
        <w:pStyle w:val="1049"/>
        <w:ind w:firstLine="0"/>
        <w:spacing w:before="0" w:after="0"/>
        <w:rPr>
          <w:rFonts w:hint="eastAsia" w:ascii="宋体" w:hAnsi="宋体"/>
          <w:sz w:val="28"/>
          <w:szCs w:val="28"/>
          <w:highlight w:val="none"/>
        </w:rPr>
      </w:pPr>
      <w:r>
        <w:rPr>
          <w:rFonts w:hint="eastAsia" w:ascii="宋体" w:hAnsi="宋体"/>
          <w:sz w:val="28"/>
          <w:szCs w:val="28"/>
          <w:highlight w:val="none"/>
        </w:rPr>
      </w:r>
      <w:r>
        <w:rPr>
          <w:highlight w:val="none"/>
        </w:rPr>
      </w:r>
      <w:r/>
    </w:p>
    <w:p>
      <w:pPr>
        <w:pStyle w:val="1049"/>
        <w:ind w:firstLine="0"/>
        <w:spacing w:before="0" w:after="0"/>
        <w:rPr>
          <w:rFonts w:hint="eastAsia" w:ascii="宋体" w:hAnsi="宋体"/>
          <w:sz w:val="28"/>
          <w:szCs w:val="28"/>
          <w:highlight w:val="none"/>
        </w:rPr>
      </w:pPr>
      <w:r>
        <w:rPr>
          <w:rFonts w:hint="eastAsia" w:ascii="宋体" w:hAnsi="宋体"/>
          <w:sz w:val="28"/>
          <w:szCs w:val="28"/>
          <w:highlight w:val="none"/>
        </w:rPr>
      </w:r>
      <w:r>
        <w:rPr>
          <w:highlight w:val="none"/>
        </w:rPr>
      </w:r>
      <w:r/>
    </w:p>
    <w:p>
      <w:pPr>
        <w:pStyle w:val="1049"/>
        <w:ind w:firstLine="0"/>
        <w:spacing w:before="0" w:after="0"/>
        <w:rPr>
          <w:rFonts w:hint="eastAsia" w:ascii="宋体" w:hAnsi="宋体"/>
          <w:sz w:val="28"/>
          <w:szCs w:val="28"/>
          <w:highlight w:val="none"/>
        </w:rPr>
      </w:pPr>
      <w:r>
        <w:rPr>
          <w:rFonts w:hint="eastAsia" w:ascii="宋体" w:hAnsi="宋体"/>
          <w:sz w:val="28"/>
          <w:szCs w:val="28"/>
          <w:highlight w:val="none"/>
        </w:rPr>
      </w:r>
      <w:r>
        <w:rPr>
          <w:highlight w:val="none"/>
        </w:rPr>
      </w:r>
      <w:r/>
    </w:p>
    <w:p>
      <w:pPr>
        <w:pStyle w:val="961"/>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rPr>
          <w:highlight w:val="none"/>
        </w:rPr>
      </w:r>
      <w:r/>
    </w:p>
    <w:p>
      <w:pPr>
        <w:pStyle w:val="961"/>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_2026_年_7_月</w:t>
      </w:r>
      <w:r>
        <w:rPr>
          <w:highlight w:val="none"/>
        </w:rPr>
      </w:r>
      <w:r/>
    </w:p>
    <w:p>
      <w:pPr>
        <w:pStyle w:val="1049"/>
        <w:ind w:firstLine="0"/>
        <w:rPr>
          <w:rFonts w:hint="eastAsia"/>
          <w:highlight w:val="none"/>
          <w:u w:val="single"/>
        </w:rPr>
      </w:pPr>
      <w:r>
        <w:rPr>
          <w:rFonts w:hint="eastAsia"/>
          <w:highlight w:val="none"/>
        </w:rPr>
        <w:t xml:space="preserve">                        </w:t>
      </w:r>
      <w:r>
        <w:rPr>
          <w:highlight w:val="none"/>
        </w:rPr>
      </w:r>
      <w:r/>
    </w:p>
    <w:p>
      <w:pPr>
        <w:pStyle w:val="1049"/>
        <w:ind w:firstLine="0"/>
        <w:jc w:val="center"/>
        <w:rPr>
          <w:rFonts w:hint="eastAsia"/>
          <w:highlight w:val="none"/>
        </w:rPr>
      </w:pPr>
      <w:r>
        <w:rPr>
          <w:rFonts w:hint="eastAsia"/>
          <w:highlight w:val="none"/>
        </w:rPr>
      </w:r>
      <w:r>
        <w:rPr>
          <w:highlight w:val="none"/>
        </w:rPr>
      </w:r>
      <w:r/>
    </w:p>
    <w:p>
      <w:pPr>
        <w:pStyle w:val="961"/>
        <w:jc w:val="center"/>
        <w:spacing w:line="400" w:lineRule="exact"/>
        <w:rPr>
          <w:rFonts w:hint="eastAsia" w:ascii="方正黑体_GBK" w:hAnsi="方正黑体_GBK" w:eastAsia="方正黑体_GBK" w:cs="方正黑体_GBK"/>
          <w:b/>
          <w:color w:val="000000"/>
          <w:sz w:val="28"/>
          <w:szCs w:val="28"/>
          <w:highlight w:val="none"/>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rPr>
          <w:highlight w:val="none"/>
        </w:rPr>
      </w:r>
      <w:bookmarkStart w:id="0" w:name="_Toc120614210"/>
      <w:r>
        <w:rPr>
          <w:highlight w:val="none"/>
        </w:rPr>
      </w:r>
      <w:bookmarkStart w:id="1" w:name="_Toc513029200"/>
      <w:r>
        <w:rPr>
          <w:highlight w:val="none"/>
        </w:rPr>
      </w:r>
      <w:bookmarkStart w:id="2" w:name="_Toc16938516"/>
      <w:r>
        <w:rPr>
          <w:highlight w:val="none"/>
        </w:rPr>
      </w:r>
      <w:bookmarkStart w:id="3" w:name="_Toc523127445"/>
      <w:r>
        <w:rPr>
          <w:highlight w:val="none"/>
        </w:rPr>
      </w:r>
      <w:bookmarkStart w:id="4" w:name="_Toc20823272"/>
      <w:r>
        <w:rPr>
          <w:highlight w:val="none"/>
        </w:rPr>
      </w:r>
      <w:bookmarkStart w:id="5" w:name="_Toc479757206"/>
      <w:r>
        <w:rPr>
          <w:highlight w:val="none"/>
        </w:rPr>
      </w:r>
      <w:r/>
    </w:p>
    <w:p>
      <w:pPr>
        <w:pStyle w:val="961"/>
        <w:jc w:val="center"/>
        <w:spacing w:line="400" w:lineRule="exact"/>
        <w:rPr>
          <w:rFonts w:hint="eastAsia" w:ascii="黑体" w:hAnsi="Arial" w:eastAsia="黑体"/>
          <w:b/>
          <w:sz w:val="28"/>
          <w:szCs w:val="28"/>
          <w:highlight w:val="none"/>
        </w:rPr>
        <w:outlineLvl w:val="0"/>
      </w:pPr>
      <w:r>
        <w:rPr>
          <w:rFonts w:hint="eastAsia" w:ascii="方正黑体_GBK" w:hAnsi="方正黑体_GBK" w:eastAsia="方正黑体_GBK" w:cs="方正黑体_GBK"/>
          <w:b/>
          <w:color w:val="000000"/>
          <w:sz w:val="28"/>
          <w:szCs w:val="28"/>
          <w:highlight w:val="none"/>
        </w:rPr>
        <w:t xml:space="preserve"> </w:t>
      </w:r>
      <w:r>
        <w:rPr>
          <w:rFonts w:hint="eastAsia" w:ascii="方正黑体_GBK" w:hAnsi="方正黑体_GBK" w:eastAsia="方正黑体_GBK" w:cs="方正黑体_GBK"/>
          <w:bCs/>
          <w:color w:val="000000"/>
          <w:sz w:val="28"/>
          <w:szCs w:val="28"/>
          <w:highlight w:val="none"/>
        </w:rPr>
        <w:t xml:space="preserve">总  目  录</w:t>
      </w:r>
      <w:r>
        <w:rPr>
          <w:highlight w:val="none"/>
        </w:rPr>
      </w:r>
      <w:r/>
    </w:p>
    <w:p>
      <w:pPr>
        <w:pStyle w:val="961"/>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rPr>
          <w:highlight w:val="none"/>
        </w:rPr>
      </w:r>
      <w:r/>
    </w:p>
    <w:p>
      <w:pPr>
        <w:pStyle w:val="1012"/>
        <w:tabs>
          <w:tab w:val="right" w:pos="8720" w:leader="dot"/>
        </w:tabs>
        <w:rPr>
          <w:rFonts w:hint="eastAsia" w:ascii="等线" w:hAnsi="等线" w:eastAsia="等线"/>
          <w:caps w:val="0"/>
          <w:color w:val="000000"/>
          <w:sz w:val="22"/>
          <w:highlight w:val="none"/>
        </w:rPr>
      </w:pPr>
      <w:r>
        <w:rPr>
          <w:b/>
          <w:bCs/>
          <w:color w:val="000000"/>
          <w:sz w:val="36"/>
          <w:szCs w:val="36"/>
          <w:highlight w:val="none"/>
        </w:rPr>
        <w:fldChar w:fldCharType="begin"/>
      </w:r>
      <w:r>
        <w:rPr>
          <w:b/>
          <w:bCs/>
          <w:color w:val="000000"/>
          <w:sz w:val="36"/>
          <w:szCs w:val="36"/>
          <w:highlight w:val="none"/>
        </w:rPr>
        <w:instrText xml:space="preserve"> TOC \o "1-1" \u </w:instrText>
      </w:r>
      <w:r>
        <w:rPr>
          <w:b/>
          <w:bCs/>
          <w:color w:val="000000"/>
          <w:sz w:val="36"/>
          <w:szCs w:val="36"/>
          <w:highlight w:val="none"/>
        </w:rPr>
        <w:fldChar w:fldCharType="separate"/>
      </w:r>
      <w:r>
        <w:rPr>
          <w:rFonts w:hint="eastAsia" w:ascii="方正黑体_GBK" w:hAnsi="方正黑体_GBK" w:eastAsia="方正黑体_GBK" w:cs="方正黑体_GBK"/>
          <w:color w:val="000000"/>
          <w:highlight w:val="none"/>
        </w:rPr>
        <w:t xml:space="preserve">第一章  投标邀请</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_Toc233969277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rPr>
          <w:highlight w:val="none"/>
        </w:rPr>
      </w:r>
      <w:r/>
    </w:p>
    <w:p>
      <w:pPr>
        <w:pStyle w:val="1012"/>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一、项目基本情况</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_Toc233969278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rPr>
          <w:highlight w:val="none"/>
        </w:rPr>
      </w:r>
      <w:r/>
    </w:p>
    <w:p>
      <w:pPr>
        <w:pStyle w:val="1012"/>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二、申请人的资格要求</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_Toc233969279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rPr>
          <w:highlight w:val="none"/>
        </w:rPr>
      </w:r>
      <w:r/>
    </w:p>
    <w:p>
      <w:pPr>
        <w:pStyle w:val="1012"/>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三、获取招标文件</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_Toc233969280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highlight w:val="none"/>
        </w:rPr>
      </w:r>
      <w:r/>
    </w:p>
    <w:p>
      <w:pPr>
        <w:pStyle w:val="1012"/>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四、提交投标文件截止时间、开标时间和地点</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_Toc233969281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highlight w:val="none"/>
        </w:rPr>
      </w:r>
      <w:r/>
    </w:p>
    <w:p>
      <w:pPr>
        <w:pStyle w:val="1012"/>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五、公告期限</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_Toc233969282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highlight w:val="none"/>
        </w:rPr>
      </w:r>
      <w:r/>
    </w:p>
    <w:p>
      <w:pPr>
        <w:pStyle w:val="1012"/>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六、其他补充事宜</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_Toc233969283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highlight w:val="none"/>
        </w:rPr>
      </w:r>
      <w:r/>
    </w:p>
    <w:p>
      <w:pPr>
        <w:pStyle w:val="1012"/>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七、本次招标联系方式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_Toc233969284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highlight w:val="none"/>
        </w:rPr>
      </w:r>
      <w:r/>
    </w:p>
    <w:p>
      <w:pPr>
        <w:pStyle w:val="1012"/>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八、其他</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_Toc233969285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3</w:t>
      </w:r>
      <w:r>
        <w:rPr>
          <w:rFonts w:hint="eastAsia"/>
          <w:color w:val="000000"/>
          <w:highlight w:val="none"/>
        </w:rPr>
        <w:fldChar w:fldCharType="end"/>
      </w:r>
      <w:r>
        <w:rPr>
          <w:highlight w:val="none"/>
        </w:rPr>
      </w:r>
      <w:r/>
    </w:p>
    <w:p>
      <w:pPr>
        <w:pStyle w:val="1012"/>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第二章  投标人须知</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_Toc233969286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w:t>
      </w:r>
      <w:r>
        <w:rPr>
          <w:rFonts w:hint="eastAsia"/>
          <w:color w:val="000000"/>
          <w:highlight w:val="none"/>
        </w:rPr>
        <w:fldChar w:fldCharType="end"/>
      </w:r>
      <w:r>
        <w:rPr>
          <w:highlight w:val="none"/>
        </w:rPr>
      </w:r>
      <w:r/>
    </w:p>
    <w:p>
      <w:pPr>
        <w:pStyle w:val="1012"/>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第三章  合同文本</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_Toc233969287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lang w:val="en-US" w:eastAsia="zh-CN"/>
        </w:rPr>
        <w:t xml:space="preserve">6</w:t>
      </w:r>
      <w:r>
        <w:rPr>
          <w:rFonts w:hint="eastAsia"/>
          <w:color w:val="000000"/>
          <w:highlight w:val="none"/>
        </w:rPr>
        <w:fldChar w:fldCharType="end"/>
      </w:r>
      <w:r>
        <w:rPr>
          <w:highlight w:val="none"/>
        </w:rPr>
      </w:r>
      <w:r/>
    </w:p>
    <w:p>
      <w:pPr>
        <w:pStyle w:val="1012"/>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第四章 采购需求</w:t>
      </w:r>
      <w:r>
        <w:rPr>
          <w:rFonts w:hint="eastAsia"/>
          <w:color w:val="000000"/>
          <w:highlight w:val="none"/>
        </w:rPr>
        <w:tab/>
      </w:r>
      <w:r>
        <w:rPr>
          <w:rFonts w:hint="eastAsia"/>
          <w:color w:val="000000"/>
          <w:highlight w:val="none"/>
        </w:rPr>
        <w:t xml:space="preserve">20</w:t>
      </w:r>
      <w:r>
        <w:rPr>
          <w:highlight w:val="none"/>
        </w:rPr>
      </w:r>
      <w:r/>
    </w:p>
    <w:p>
      <w:pPr>
        <w:pStyle w:val="1012"/>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第五章  评标方法与评标标准</w:t>
      </w:r>
      <w:r>
        <w:rPr>
          <w:rFonts w:hint="eastAsia"/>
          <w:color w:val="000000"/>
          <w:highlight w:val="none"/>
        </w:rPr>
        <w:tab/>
      </w:r>
      <w:r>
        <w:rPr>
          <w:rFonts w:hint="eastAsia"/>
          <w:color w:val="000000"/>
          <w:highlight w:val="none"/>
        </w:rPr>
        <w:t xml:space="preserve">47</w:t>
      </w:r>
      <w:r>
        <w:rPr>
          <w:highlight w:val="none"/>
        </w:rPr>
      </w:r>
      <w:r/>
    </w:p>
    <w:p>
      <w:pPr>
        <w:pStyle w:val="1012"/>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第六章  投标文件格式</w:t>
      </w:r>
      <w:r>
        <w:rPr>
          <w:rFonts w:hint="eastAsia"/>
          <w:color w:val="000000"/>
          <w:highlight w:val="none"/>
        </w:rPr>
        <w:tab/>
      </w:r>
      <w:r>
        <w:rPr>
          <w:rFonts w:hint="eastAsia"/>
          <w:color w:val="000000"/>
          <w:highlight w:val="none"/>
        </w:rPr>
        <w:t xml:space="preserve">55</w:t>
      </w:r>
      <w:r>
        <w:rPr>
          <w:highlight w:val="none"/>
        </w:rPr>
      </w:r>
      <w:r/>
    </w:p>
    <w:p>
      <w:pPr>
        <w:pStyle w:val="961"/>
        <w:rPr>
          <w:rFonts w:hint="eastAsia"/>
          <w:highlight w:val="none"/>
        </w:rPr>
      </w:pPr>
      <w:r>
        <w:rPr>
          <w:rFonts w:hAnsi="宋体"/>
          <w:bCs/>
          <w:color w:val="000000"/>
          <w:szCs w:val="36"/>
          <w:highlight w:val="none"/>
        </w:rPr>
        <w:fldChar w:fldCharType="end"/>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sectPr>
          <w:footerReference w:type="default" r:id="rId13"/>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rPr>
          <w:rFonts w:hint="eastAsia"/>
          <w:highlight w:val="none"/>
        </w:rPr>
      </w:pPr>
      <w:r>
        <w:rPr>
          <w:rFonts w:hint="eastAsia"/>
          <w:highlight w:val="none"/>
        </w:rPr>
      </w:r>
      <w:r>
        <w:rPr>
          <w:highlight w:val="none"/>
        </w:rPr>
      </w:r>
      <w:r/>
    </w:p>
    <w:p>
      <w:pPr>
        <w:pStyle w:val="961"/>
        <w:jc w:val="center"/>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受〔江苏省中医院〕的委托，江苏省政府采购中心就〔医疗运营综合智慧平台〕(〔JSZC-320000-SCZX-G2026-0317〕)项目进行公开招标采购，欢迎符合条件的供应商投标。</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rPr>
          <w:highlight w:val="none"/>
        </w:rPr>
      </w:r>
      <w:r/>
    </w:p>
    <w:p>
      <w:pPr>
        <w:pStyle w:val="961"/>
        <w:ind w:firstLine="560"/>
        <w:spacing w:line="400" w:lineRule="exact"/>
        <w:rPr>
          <w:rFonts w:ascii="宋体" w:hAnsi="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医疗运营综合智慧平台</w:t>
      </w:r>
      <w:r>
        <w:rPr>
          <w:rFonts w:hint="eastAsia" w:ascii="方正仿宋_GBK" w:hAnsi="方正仿宋_GBK" w:eastAsia="方正仿宋_GBK" w:cs="方正仿宋_GBK"/>
          <w:sz w:val="28"/>
          <w:szCs w:val="28"/>
          <w:highlight w:val="none"/>
        </w:rPr>
        <w:t xml:space="preserve"> 招标项目的潜在投标人可在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招标文件，并于</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21</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sz w:val="28"/>
          <w:szCs w:val="28"/>
          <w:highlight w:val="none"/>
        </w:rPr>
        <w:t xml:space="preserve">分（北京时间）前递交投标文件</w:t>
      </w:r>
      <w:r>
        <w:rPr>
          <w:rFonts w:hint="eastAsia" w:ascii="方正仿宋_GBK" w:hAnsi="方正仿宋_GBK" w:eastAsia="方正仿宋_GBK" w:cs="方正仿宋_GBK"/>
          <w:sz w:val="28"/>
          <w:szCs w:val="28"/>
          <w:highlight w:val="none"/>
        </w:rPr>
        <w:t xml:space="preserve">。</w:t>
      </w:r>
      <w:r>
        <w:rPr>
          <w:highlight w:val="none"/>
        </w:rPr>
      </w:r>
      <w:r/>
    </w:p>
    <w:p>
      <w:pPr>
        <w:pStyle w:val="961"/>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highlight w:val="none"/>
        </w:rPr>
      </w:r>
      <w:bookmarkStart w:id="6" w:name="_Toc38985263"/>
      <w:r>
        <w:rPr>
          <w:highlight w:val="none"/>
        </w:rPr>
      </w:r>
      <w:bookmarkStart w:id="7" w:name="_Toc35393621"/>
      <w:r>
        <w:rPr>
          <w:highlight w:val="none"/>
        </w:rPr>
      </w:r>
      <w:bookmarkStart w:id="8" w:name="_Toc35393790"/>
      <w:r>
        <w:rPr>
          <w:highlight w:val="none"/>
        </w:rPr>
      </w:r>
      <w:bookmarkStart w:id="9" w:name="_Toc28359079"/>
      <w:r>
        <w:rPr>
          <w:highlight w:val="none"/>
        </w:rPr>
      </w:r>
      <w:bookmarkStart w:id="10" w:name="_Toc28359002"/>
      <w:r>
        <w:rPr>
          <w:highlight w:val="none"/>
        </w:rPr>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hint="eastAsia" w:eastAsia="方正仿宋_GBK"/>
          <w:color w:val="000000"/>
          <w:sz w:val="28"/>
          <w:szCs w:val="28"/>
          <w:highlight w:val="none"/>
        </w:rPr>
        <w:t xml:space="preserve">：JSZC-320000-SCZX-G2026-0317  </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hint="eastAsia" w:eastAsia="方正仿宋_GBK"/>
          <w:color w:val="000000"/>
          <w:sz w:val="28"/>
          <w:szCs w:val="28"/>
          <w:highlight w:val="none"/>
        </w:rPr>
        <w:t xml:space="preserve">医疗运营综合智慧平台</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highlight w:val="none"/>
        </w:rPr>
      </w:r>
      <w:bookmarkEnd w:id="11"/>
      <w:r>
        <w:rPr>
          <w:rFonts w:hint="eastAsia" w:ascii="方正仿宋_GBK" w:hAnsi="方正仿宋_GBK" w:eastAsia="方正仿宋_GBK" w:cs="方正仿宋_GBK"/>
          <w:color w:val="000000"/>
          <w:sz w:val="28"/>
          <w:szCs w:val="28"/>
          <w:highlight w:val="none"/>
        </w:rPr>
        <w:t xml:space="preserve">3.预算金额</w:t>
      </w:r>
      <w:r>
        <w:rPr>
          <w:highlight w:val="none"/>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highlight w:val="none"/>
              </w:rPr>
            </w:r>
            <w:r/>
          </w:p>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highlight w:val="none"/>
              </w:rPr>
            </w:r>
            <w:r/>
          </w:p>
        </w:tc>
        <w:tc>
          <w:tcPr>
            <w:tcW w:w="3312"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rPr>
                <w:highlight w:val="none"/>
              </w:rPr>
            </w:r>
            <w:r/>
          </w:p>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rPr>
                <w:highlight w:val="none"/>
              </w:rPr>
            </w:r>
            <w:r/>
          </w:p>
        </w:tc>
      </w:tr>
      <w:tr>
        <w:trPr/>
        <w:tc>
          <w:tcPr>
            <w:tcW w:w="1092" w:type="dxa"/>
            <w:vAlign w:val="top"/>
            <w:textDirection w:val="lrTb"/>
            <w:noWrap w:val="false"/>
          </w:tcPr>
          <w:p>
            <w:pPr>
              <w:pStyle w:val="961"/>
              <w:ind w:firstLine="28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3312" w:type="dxa"/>
            <w:vAlign w:val="top"/>
            <w:textDirection w:val="lrTb"/>
            <w:noWrap w:val="false"/>
          </w:tcPr>
          <w:p>
            <w:pPr>
              <w:pStyle w:val="961"/>
              <w:ind w:firstLine="1120"/>
              <w:spacing w:line="400" w:lineRule="exact"/>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400</w:t>
            </w:r>
            <w:r>
              <w:rPr>
                <w:highlight w:val="none"/>
              </w:rPr>
            </w:r>
            <w:r/>
          </w:p>
        </w:tc>
      </w:tr>
    </w:tbl>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highlight w:val="none"/>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highlight w:val="none"/>
              </w:rPr>
            </w:r>
            <w:r/>
          </w:p>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highlight w:val="none"/>
              </w:rPr>
            </w:r>
            <w:r/>
          </w:p>
        </w:tc>
        <w:tc>
          <w:tcPr>
            <w:tcW w:w="3233"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最高限价</w:t>
            </w:r>
            <w:r>
              <w:rPr>
                <w:highlight w:val="none"/>
              </w:rPr>
            </w:r>
            <w:r/>
          </w:p>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rPr>
                <w:highlight w:val="none"/>
              </w:rPr>
            </w:r>
            <w:r/>
          </w:p>
        </w:tc>
      </w:tr>
      <w:tr>
        <w:trPr/>
        <w:tc>
          <w:tcPr>
            <w:tcW w:w="114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3233" w:type="dxa"/>
            <w:vAlign w:val="top"/>
            <w:textDirection w:val="lrTb"/>
            <w:noWrap w:val="false"/>
          </w:tcPr>
          <w:p>
            <w:pPr>
              <w:pStyle w:val="961"/>
              <w:jc w:val="center"/>
              <w:spacing w:line="400" w:lineRule="exact"/>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383</w:t>
            </w:r>
            <w:r>
              <w:rPr>
                <w:highlight w:val="none"/>
              </w:rPr>
            </w:r>
            <w:r/>
          </w:p>
        </w:tc>
      </w:tr>
    </w:tbl>
    <w:p>
      <w:pPr>
        <w:pStyle w:val="961"/>
        <w:ind w:firstLine="560"/>
        <w:jc w:val="left"/>
        <w:spacing w:line="400" w:lineRule="exact"/>
        <w:rPr>
          <w:rFonts w:hint="eastAsia" w:ascii="方正仿宋_GBK" w:hAnsi="方正仿宋_GBK" w:eastAsia="方正仿宋_GBK" w:cs="方正仿宋_GBK"/>
          <w:sz w:val="28"/>
          <w:szCs w:val="28"/>
          <w:highlight w:val="none"/>
          <w:u w:val="single"/>
        </w:rPr>
      </w:pPr>
      <w:r>
        <w:rPr>
          <w:highlight w:val="none"/>
        </w:rPr>
      </w:r>
      <w:bookmarkStart w:id="12" w:name="_Toc38985264"/>
      <w:r>
        <w:rPr>
          <w:highlight w:val="none"/>
        </w:rPr>
      </w:r>
      <w:bookmarkStart w:id="13" w:name="_Toc35393622"/>
      <w:r>
        <w:rPr>
          <w:highlight w:val="none"/>
        </w:rPr>
      </w:r>
      <w:bookmarkStart w:id="14" w:name="_Toc28359003"/>
      <w:r>
        <w:rPr>
          <w:highlight w:val="none"/>
        </w:rPr>
      </w:r>
      <w:bookmarkStart w:id="15" w:name="_Toc35393791"/>
      <w:r>
        <w:rPr>
          <w:highlight w:val="none"/>
        </w:rPr>
      </w:r>
      <w:bookmarkStart w:id="16" w:name="_Toc28359080"/>
      <w:r>
        <w:rPr>
          <w:rFonts w:hint="eastAsia" w:ascii="方正仿宋_GBK" w:hAnsi="方正仿宋_GBK" w:eastAsia="方正仿宋_GBK" w:cs="方正仿宋_GBK"/>
          <w:sz w:val="28"/>
          <w:szCs w:val="28"/>
          <w:highlight w:val="none"/>
        </w:rPr>
        <w:t xml:space="preserve">5.采购需求(简介)：本项目为江苏省中医院</w:t>
      </w:r>
      <w:r>
        <w:rPr>
          <w:rFonts w:hint="eastAsia" w:eastAsia="方正仿宋_GBK"/>
          <w:color w:val="000000"/>
          <w:sz w:val="28"/>
          <w:szCs w:val="28"/>
          <w:highlight w:val="none"/>
        </w:rPr>
        <w:t xml:space="preserve">医疗运营综合智慧平台</w:t>
      </w:r>
      <w:r>
        <w:rPr>
          <w:rFonts w:hint="eastAsia" w:ascii="方正仿宋_GBK" w:hAnsi="方正仿宋_GBK" w:eastAsia="方正仿宋_GBK" w:cs="方正仿宋_GBK"/>
          <w:sz w:val="28"/>
          <w:szCs w:val="28"/>
          <w:highlight w:val="none"/>
        </w:rPr>
        <w:t xml:space="preserve">项目。本项目通过运营数据治理与决策分析体系建设，以及医院运营管理组织与能力建设等多种手段，构建覆盖“全院-科室-病种-医师”的四级数据链，实现从全院到科室到病种级的成本控制，提升科室运营效率。</w:t>
      </w:r>
      <w:r>
        <w:rPr>
          <w:rFonts w:hint="eastAsia" w:ascii="方正仿宋_GBK" w:hAnsi="方正仿宋_GBK" w:eastAsia="方正仿宋_GBK" w:cs="方正仿宋_GBK"/>
          <w:sz w:val="28"/>
          <w:szCs w:val="28"/>
          <w:highlight w:val="none"/>
        </w:rPr>
        <w:t xml:space="preserve">（详细内容见本招标文件第四章）</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6.合同履行期限：自合同签订之日起12个月内。</w:t>
      </w:r>
      <w:r>
        <w:rPr>
          <w:highlight w:val="none"/>
        </w:rPr>
      </w:r>
      <w:r/>
    </w:p>
    <w:p>
      <w:pPr>
        <w:pStyle w:val="961"/>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961"/>
        <w:ind w:firstLine="560"/>
        <w:spacing w:line="400" w:lineRule="exact"/>
        <w:rPr>
          <w:rFonts w:hint="eastAsia" w:ascii="方正楷体_GBK" w:hAnsi="方正楷体_GBK" w:eastAsia="方正楷体_GBK" w:cs="方正楷体_GBK"/>
          <w:color w:val="000000"/>
          <w:sz w:val="28"/>
          <w:szCs w:val="28"/>
          <w:highlight w:val="none"/>
        </w:rPr>
      </w:pPr>
      <w:r>
        <w:rPr>
          <w:highlight w:val="none"/>
        </w:rPr>
      </w:r>
      <w:bookmarkStart w:id="17" w:name="_Toc35393792"/>
      <w:r>
        <w:rPr>
          <w:highlight w:val="none"/>
        </w:rPr>
      </w:r>
      <w:bookmarkStart w:id="18" w:name="_Toc28359004"/>
      <w:r>
        <w:rPr>
          <w:highlight w:val="none"/>
        </w:rPr>
      </w:r>
      <w:bookmarkStart w:id="19" w:name="_Toc28359081"/>
      <w:r>
        <w:rPr>
          <w:highlight w:val="none"/>
        </w:rPr>
      </w:r>
      <w:bookmarkStart w:id="20" w:name="_Toc38985265"/>
      <w:r>
        <w:rPr>
          <w:highlight w:val="none"/>
        </w:rPr>
      </w:r>
      <w:bookmarkStart w:id="21" w:name="_Toc35393623"/>
      <w:r>
        <w:rPr>
          <w:rFonts w:hint="eastAsia" w:ascii="方正楷体_GBK" w:hAnsi="方正楷体_GBK" w:eastAsia="方正楷体_GBK" w:cs="方正楷体_GBK"/>
          <w:color w:val="000000"/>
          <w:sz w:val="28"/>
          <w:szCs w:val="28"/>
          <w:highlight w:val="none"/>
        </w:rPr>
        <w:t xml:space="preserve">（一）通用资格要求</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3.落实政府采购政策需满足的资格要求：无。</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rPr>
          <w:highlight w:val="none"/>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highlight w:val="none"/>
              </w:rPr>
            </w:r>
            <w:r/>
          </w:p>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highlight w:val="none"/>
              </w:rPr>
            </w:r>
            <w:r/>
          </w:p>
        </w:tc>
        <w:tc>
          <w:tcPr>
            <w:tcW w:w="296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rPr>
                <w:highlight w:val="none"/>
              </w:rPr>
            </w:r>
            <w:r/>
          </w:p>
        </w:tc>
        <w:tc>
          <w:tcPr>
            <w:tcW w:w="2967"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rPr>
                <w:highlight w:val="none"/>
              </w:rPr>
            </w:r>
            <w:r/>
          </w:p>
        </w:tc>
      </w:tr>
      <w:tr>
        <w:trPr/>
        <w:tc>
          <w:tcPr>
            <w:tcW w:w="114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296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highlight w:val="none"/>
              </w:rPr>
            </w:r>
            <w:r/>
          </w:p>
        </w:tc>
        <w:tc>
          <w:tcPr>
            <w:tcW w:w="2967"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tc>
      </w:tr>
    </w:tbl>
    <w:p>
      <w:pPr>
        <w:pStyle w:val="961"/>
        <w:ind w:firstLine="560"/>
        <w:spacing w:line="40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highlight w:val="none"/>
        </w:rPr>
      </w:r>
      <w:r/>
    </w:p>
    <w:tbl>
      <w:tblPr>
        <w:tblW w:w="0" w:type="auto"/>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highlight w:val="none"/>
              </w:rPr>
            </w:r>
            <w:r/>
          </w:p>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highlight w:val="none"/>
              </w:rPr>
            </w:r>
            <w:r/>
          </w:p>
        </w:tc>
        <w:tc>
          <w:tcPr>
            <w:tcW w:w="5921"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highlight w:val="none"/>
              </w:rPr>
            </w:r>
            <w:r/>
          </w:p>
        </w:tc>
      </w:tr>
      <w:tr>
        <w:trPr/>
        <w:tc>
          <w:tcPr>
            <w:tcW w:w="114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5921"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tc>
      </w:tr>
    </w:tbl>
    <w:p>
      <w:pPr>
        <w:pStyle w:val="961"/>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r>
        <w:rPr>
          <w:highlight w:val="none"/>
        </w:rPr>
      </w:r>
      <w:r/>
    </w:p>
    <w:p>
      <w:pPr>
        <w:pStyle w:val="961"/>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highlight w:val="none"/>
        </w:rPr>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bookmarkStart w:id="22" w:name="_Toc28359084"/>
      <w:r>
        <w:rPr>
          <w:highlight w:val="none"/>
        </w:rPr>
      </w:r>
      <w:bookmarkStart w:id="23" w:name="_Toc35393625"/>
      <w:r>
        <w:rPr>
          <w:highlight w:val="none"/>
        </w:rPr>
      </w:r>
      <w:bookmarkStart w:id="24" w:name="_Toc28359007"/>
      <w:r>
        <w:rPr>
          <w:highlight w:val="none"/>
        </w:rPr>
      </w:r>
      <w:bookmarkStart w:id="25" w:name="_Toc38985267"/>
      <w:r>
        <w:rPr>
          <w:highlight w:val="none"/>
        </w:rPr>
      </w:r>
      <w:bookmarkStart w:id="26" w:name="_Toc35393794"/>
      <w:r>
        <w:rPr>
          <w:highlight w:val="none"/>
        </w:rPr>
      </w:r>
      <w:bookmarkStart w:id="27" w:name="_Toc28359005"/>
      <w:r>
        <w:rPr>
          <w:highlight w:val="none"/>
        </w:rPr>
      </w:r>
      <w:bookmarkStart w:id="28" w:name="_Toc28359082"/>
      <w:r>
        <w:rPr>
          <w:highlight w:val="none"/>
        </w:rPr>
      </w:r>
      <w:bookmarkStart w:id="29" w:name="_Toc35393793"/>
      <w:r>
        <w:rPr>
          <w:highlight w:val="none"/>
        </w:rPr>
      </w:r>
      <w:bookmarkStart w:id="30" w:name="_Toc35393624"/>
      <w:r>
        <w:rPr>
          <w:highlight w:val="none"/>
        </w:rPr>
      </w:r>
      <w:bookmarkStart w:id="31" w:name="_Toc38985266"/>
      <w:r>
        <w:rPr>
          <w:rFonts w:hint="eastAsia" w:ascii="方正黑体_GBK" w:hAnsi="方正黑体_GBK" w:eastAsia="方正黑体_GBK" w:cs="方正黑体_GBK"/>
          <w:color w:val="000000"/>
          <w:sz w:val="28"/>
          <w:szCs w:val="28"/>
          <w:highlight w:val="none"/>
        </w:rPr>
        <w:t xml:space="preserve">四、提交投标文件</w:t>
      </w:r>
      <w:bookmarkEnd w:id="27"/>
      <w:r>
        <w:rPr>
          <w:highlight w:val="none"/>
        </w:rPr>
      </w:r>
      <w:bookmarkEnd w:id="28"/>
      <w:r>
        <w:rPr>
          <w:rFonts w:hint="eastAsia" w:ascii="方正黑体_GBK" w:hAnsi="方正黑体_GBK" w:eastAsia="方正黑体_GBK" w:cs="方正黑体_GBK"/>
          <w:color w:val="000000"/>
          <w:sz w:val="28"/>
          <w:szCs w:val="28"/>
          <w:highlight w:val="none"/>
        </w:rPr>
        <w:t xml:space="preserve">截止时间、开标时间和地点</w:t>
      </w:r>
      <w:bookmarkEnd w:id="29"/>
      <w:r>
        <w:rPr>
          <w:highlight w:val="none"/>
        </w:rPr>
      </w:r>
      <w:bookmarkEnd w:id="30"/>
      <w:r>
        <w:rPr>
          <w:highlight w:val="none"/>
        </w:rPr>
      </w:r>
      <w:bookmarkEnd w:id="31"/>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21</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sz w:val="28"/>
          <w:szCs w:val="28"/>
          <w:highlight w:val="none"/>
        </w:rPr>
        <w:t xml:space="preserve">。</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rPr>
          <w:highlight w:val="none"/>
        </w:rPr>
      </w:r>
      <w:r/>
    </w:p>
    <w:p>
      <w:pPr>
        <w:pStyle w:val="961"/>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highlight w:val="none"/>
        </w:rPr>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bookmarkStart w:id="32" w:name="_Toc38985268"/>
      <w:r>
        <w:rPr>
          <w:highlight w:val="none"/>
        </w:rPr>
      </w:r>
      <w:bookmarkStart w:id="33" w:name="_Toc35393626"/>
      <w:r>
        <w:rPr>
          <w:highlight w:val="none"/>
        </w:rPr>
      </w:r>
      <w:bookmarkStart w:id="34" w:name="_Toc35393795"/>
      <w:r>
        <w:rPr>
          <w:rFonts w:hint="eastAsia" w:ascii="方正黑体_GBK" w:hAnsi="方正黑体_GBK" w:eastAsia="方正黑体_GBK" w:cs="方正黑体_GBK"/>
          <w:color w:val="000000"/>
          <w:sz w:val="28"/>
          <w:szCs w:val="28"/>
          <w:highlight w:val="none"/>
        </w:rPr>
        <w:t xml:space="preserve">五、公告期限</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r>
        <w:rPr>
          <w:highlight w:val="none"/>
        </w:rPr>
      </w:r>
      <w:r/>
    </w:p>
    <w:p>
      <w:pPr>
        <w:pStyle w:val="961"/>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highlight w:val="none"/>
        </w:rPr>
      </w:r>
      <w:bookmarkEnd w:id="32"/>
      <w:r>
        <w:rPr>
          <w:highlight w:val="none"/>
        </w:rPr>
      </w:r>
      <w:bookmarkEnd w:id="33"/>
      <w:r>
        <w:rPr>
          <w:highlight w:val="none"/>
        </w:rPr>
      </w:r>
      <w:bookmarkEnd w:id="34"/>
      <w:r>
        <w:rPr>
          <w:highlight w:val="none"/>
        </w:rPr>
      </w:r>
      <w:bookmarkStart w:id="35" w:name="_Toc35393627"/>
      <w:r>
        <w:rPr>
          <w:highlight w:val="none"/>
        </w:rPr>
      </w:r>
      <w:bookmarkStart w:id="36" w:name="_Toc35393796"/>
      <w:r>
        <w:rPr>
          <w:highlight w:val="none"/>
        </w:rPr>
      </w:r>
      <w:bookmarkStart w:id="37" w:name="_Toc28359085"/>
      <w:r>
        <w:rPr>
          <w:highlight w:val="none"/>
        </w:rPr>
      </w:r>
      <w:bookmarkStart w:id="38" w:name="_Toc28359008"/>
      <w:r>
        <w:rPr>
          <w:highlight w:val="none"/>
        </w:rPr>
      </w:r>
      <w:bookmarkStart w:id="39" w:name="_Toc38985269"/>
      <w:r>
        <w:rPr>
          <w:rFonts w:hint="eastAsia" w:ascii="方正黑体_GBK" w:hAnsi="方正黑体_GBK" w:eastAsia="方正黑体_GBK" w:cs="方正黑体_GBK"/>
          <w:color w:val="000000"/>
          <w:sz w:val="28"/>
          <w:szCs w:val="28"/>
          <w:highlight w:val="none"/>
        </w:rPr>
        <w:t xml:space="preserve">六、其他补充事宜</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无。</w:t>
      </w:r>
      <w:r>
        <w:rPr>
          <w:highlight w:val="none"/>
        </w:rPr>
      </w:r>
      <w:r/>
    </w:p>
    <w:p>
      <w:pPr>
        <w:pStyle w:val="961"/>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highlight w:val="none"/>
        </w:rPr>
      </w:r>
      <w:bookmarkEnd w:id="35"/>
      <w:r>
        <w:rPr>
          <w:highlight w:val="none"/>
        </w:rPr>
      </w:r>
      <w:bookmarkEnd w:id="36"/>
      <w:r>
        <w:rPr>
          <w:highlight w:val="none"/>
        </w:rPr>
      </w:r>
      <w:bookmarkEnd w:id="37"/>
      <w:r>
        <w:rPr>
          <w:highlight w:val="none"/>
        </w:rPr>
      </w:r>
      <w:bookmarkEnd w:id="38"/>
      <w:r>
        <w:rPr>
          <w:highlight w:val="none"/>
        </w:rPr>
      </w:r>
      <w:bookmarkEnd w:id="39"/>
      <w:r>
        <w:rPr>
          <w:rFonts w:hint="eastAsia" w:ascii="方正黑体_GBK" w:hAnsi="方正黑体_GBK" w:eastAsia="方正黑体_GBK" w:cs="方正黑体_GBK"/>
          <w:color w:val="000000"/>
          <w:sz w:val="28"/>
          <w:szCs w:val="28"/>
          <w:highlight w:val="none"/>
        </w:rPr>
        <w:t xml:space="preserve">七、本次招标联系方式</w:t>
      </w:r>
      <w:r>
        <w:rPr>
          <w:highlight w:val="none"/>
        </w:rPr>
      </w:r>
      <w:r/>
    </w:p>
    <w:p>
      <w:pPr>
        <w:pStyle w:val="961"/>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rPr>
          <w:highlight w:val="none"/>
        </w:rPr>
      </w:r>
      <w:r/>
    </w:p>
    <w:p>
      <w:pPr>
        <w:pStyle w:val="96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宋体" w:hAnsi="宋体" w:cs="宋体"/>
          <w:sz w:val="24"/>
          <w:szCs w:val="24"/>
          <w:highlight w:val="none"/>
          <w:u w:val="single"/>
        </w:rPr>
        <w:t xml:space="preserve">江苏省中医院</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宋体" w:hAnsi="宋体" w:cs="宋体"/>
          <w:sz w:val="24"/>
          <w:szCs w:val="24"/>
          <w:highlight w:val="none"/>
          <w:u w:val="single"/>
        </w:rPr>
        <w:t xml:space="preserve">南京市汉中路155号门诊3号楼15楼1508室招标办公室</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宋体" w:hAnsi="宋体" w:cs="宋体"/>
          <w:sz w:val="24"/>
          <w:szCs w:val="24"/>
          <w:highlight w:val="none"/>
          <w:u w:val="single"/>
        </w:rPr>
        <w:t xml:space="preserve">诸老师</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ind w:firstLine="560"/>
        <w:jc w:val="left"/>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宋体" w:hAnsi="宋体" w:cs="宋体"/>
          <w:sz w:val="24"/>
          <w:szCs w:val="24"/>
          <w:highlight w:val="none"/>
          <w:u w:val="single"/>
        </w:rPr>
        <w:t xml:space="preserve">025-86617141-69300；025-86558915</w:t>
      </w:r>
      <w:r>
        <w:rPr>
          <w:rFonts w:hint="eastAsia" w:ascii="方正仿宋_GBK" w:hAnsi="方正仿宋_GBK" w:eastAsia="方正仿宋_GBK" w:cs="方正仿宋_GBK"/>
          <w:color w:val="000000"/>
          <w:sz w:val="28"/>
          <w:szCs w:val="28"/>
          <w:highlight w:val="none"/>
          <w:u w:val="single"/>
        </w:rPr>
        <w:t xml:space="preserve"> </w:t>
      </w:r>
      <w:bookmarkStart w:id="40" w:name="_Toc28359009"/>
      <w:r>
        <w:rPr>
          <w:highlight w:val="none"/>
        </w:rPr>
      </w:r>
      <w:bookmarkStart w:id="41" w:name="_Toc28359086"/>
      <w:r>
        <w:rPr>
          <w:highlight w:val="none"/>
        </w:rPr>
      </w:r>
      <w:r/>
    </w:p>
    <w:p>
      <w:pPr>
        <w:pStyle w:val="96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rPr>
          <w:highlight w:val="none"/>
        </w:rPr>
      </w:r>
      <w:bookmarkEnd w:id="41"/>
      <w:r>
        <w:rPr>
          <w:highlight w:val="none"/>
        </w:rPr>
      </w:r>
      <w:r/>
    </w:p>
    <w:p>
      <w:pPr>
        <w:pStyle w:val="961"/>
        <w:ind w:firstLine="48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南京市汉中门大街145号省政务中心二期3楼南区　</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厉彬彬、唐文                     </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bookmarkStart w:id="42" w:name="_Toc28359010"/>
      <w:r>
        <w:rPr>
          <w:highlight w:val="none"/>
        </w:rPr>
      </w:r>
      <w:bookmarkStart w:id="43" w:name="_Toc28359087"/>
      <w:r>
        <w:rPr>
          <w:rFonts w:hint="eastAsia" w:ascii="方正仿宋_GBK" w:hAnsi="方正仿宋_GBK" w:eastAsia="方正仿宋_GBK" w:cs="方正仿宋_GBK"/>
          <w:color w:val="000000"/>
          <w:sz w:val="28"/>
          <w:szCs w:val="28"/>
          <w:highlight w:val="none"/>
          <w:u w:val="single"/>
        </w:rPr>
        <w:t xml:space="preserve">025-83668517/83668519　　　　　　</w:t>
      </w:r>
      <w:r>
        <w:rPr>
          <w:highlight w:val="none"/>
        </w:rPr>
      </w:r>
      <w:r/>
    </w:p>
    <w:p>
      <w:pPr>
        <w:pStyle w:val="961"/>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highlight w:val="none"/>
        </w:rPr>
      </w:r>
      <w:bookmarkEnd w:id="42"/>
      <w:r>
        <w:rPr>
          <w:highlight w:val="none"/>
        </w:rPr>
      </w:r>
      <w:bookmarkEnd w:id="43"/>
      <w:r>
        <w:rPr>
          <w:rFonts w:hint="eastAsia" w:ascii="方正黑体_GBK" w:hAnsi="方正黑体_GBK" w:eastAsia="方正黑体_GBK" w:cs="方正黑体_GBK"/>
          <w:color w:val="000000"/>
          <w:sz w:val="28"/>
          <w:szCs w:val="28"/>
          <w:highlight w:val="none"/>
        </w:rPr>
        <w:t xml:space="preserve">八、其他</w:t>
      </w:r>
      <w:r>
        <w:rPr>
          <w:highlight w:val="none"/>
        </w:rPr>
      </w:r>
      <w:r/>
    </w:p>
    <w:p>
      <w:pPr>
        <w:pStyle w:val="961"/>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 xml:space="preserve">http://www.ccgp-jiangsu.gov.cn/jiangsu/zlxz/ee/ee3a4bc5a3454aa2b0d9312230633ce9.html。</w:t>
      </w:r>
      <w:r>
        <w:rPr>
          <w:highlight w:val="none"/>
        </w:rPr>
      </w:r>
      <w:r/>
    </w:p>
    <w:p>
      <w:pPr>
        <w:pStyle w:val="961"/>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highlight w:val="none"/>
        </w:rPr>
      </w:r>
      <w:r/>
    </w:p>
    <w:p>
      <w:pPr>
        <w:pStyle w:val="961"/>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rPr>
          <w:highlight w:val="none"/>
        </w:rPr>
      </w:r>
      <w:r/>
    </w:p>
    <w:p>
      <w:pPr>
        <w:pStyle w:val="961"/>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rPr>
          <w:highlight w:val="none"/>
        </w:rPr>
      </w:r>
      <w:r/>
    </w:p>
    <w:p>
      <w:pPr>
        <w:pStyle w:val="961"/>
        <w:ind w:right="840"/>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61"/>
        <w:ind w:right="839"/>
        <w:jc w:val="center"/>
        <w:keepLines w:val="0"/>
        <w:keepNext w:val="0"/>
        <w:pageBreakBefore w:val="0"/>
        <w:spacing w:line="400" w:lineRule="exact"/>
        <w:widowControl w:val="off"/>
        <w:rPr>
          <w:rFonts w:hint="eastAsia" w:ascii="宋体" w:hAnsi="宋体"/>
          <w:sz w:val="28"/>
          <w:szCs w:val="28"/>
          <w:highlight w:val="none"/>
        </w:rPr>
      </w:pPr>
      <w:r>
        <w:rPr>
          <w:rFonts w:ascii="宋体" w:hAnsi="宋体"/>
          <w:sz w:val="24"/>
          <w:szCs w:val="24"/>
          <w:highlight w:val="none"/>
        </w:rPr>
        <w:br w:type="page" w:clear="all"/>
      </w:r>
      <w:bookmarkStart w:id="44" w:name="_Toc120614211"/>
      <w:r>
        <w:rPr>
          <w:rFonts w:hint="eastAsia" w:ascii="方正黑体_GBK" w:hAnsi="方正黑体_GBK" w:eastAsia="方正黑体_GBK" w:cs="方正黑体_GBK"/>
          <w:color w:val="000000"/>
          <w:sz w:val="28"/>
          <w:szCs w:val="28"/>
          <w:highlight w:val="none"/>
        </w:rPr>
        <w:t xml:space="preserve">第二章  投标人须知</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招标方式</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合格的投标人</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适用法律</w:t>
      </w:r>
      <w:r>
        <w:rPr>
          <w:rFonts w:hint="eastAsia" w:ascii="方正仿宋_GBK" w:hAnsi="方正仿宋_GBK" w:eastAsia="方正仿宋_GBK" w:cs="方正仿宋_GBK"/>
          <w:bCs/>
          <w:sz w:val="28"/>
          <w:szCs w:val="28"/>
          <w:highlight w:val="none"/>
          <w:lang w:eastAsia="zh-CN"/>
        </w:rPr>
        <w:t xml:space="preserve">和标准</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3.2 在本项目政府采购活动过程中，如果所执行的标准有更新的，按照最新标准执行。</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投标费用</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4.2本次招标采购中心和采购人不收取标书工本费与中标服务费。</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招标文件的约束力</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招标文件构成</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招标文件的修改</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rPr>
          <w:highlight w:val="none"/>
        </w:rPr>
      </w:r>
      <w:r/>
    </w:p>
    <w:p>
      <w:pPr>
        <w:pStyle w:val="96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三、投标文件的编制</w:t>
      </w:r>
      <w:r>
        <w:rPr>
          <w:highlight w:val="none"/>
        </w:rPr>
      </w:r>
      <w:r/>
    </w:p>
    <w:p>
      <w:pPr>
        <w:pStyle w:val="965"/>
        <w:ind w:firstLine="560"/>
        <w:pageBreakBefore w:val="0"/>
        <w:spacing w:before="0" w:after="0" w:line="400" w:lineRule="exact"/>
        <w:widowControl w:val="off"/>
        <w:rPr>
          <w:rFonts w:hint="eastAsia" w:ascii="方正仿宋_GBK" w:hAnsi="方正仿宋_GBK" w:eastAsia="方正仿宋_GBK" w:cs="方正仿宋_GBK"/>
          <w:bCs w:val="0"/>
          <w:sz w:val="28"/>
          <w:szCs w:val="28"/>
          <w:highlight w:val="none"/>
        </w:rPr>
      </w:pPr>
      <w:r>
        <w:rPr>
          <w:rFonts w:hint="eastAsia" w:ascii="方正仿宋_GBK" w:hAnsi="方正仿宋_GBK" w:eastAsia="方正仿宋_GBK" w:cs="方正仿宋_GBK"/>
          <w:b w:val="0"/>
          <w:bCs w:val="0"/>
          <w:sz w:val="28"/>
          <w:szCs w:val="28"/>
          <w:highlight w:val="none"/>
        </w:rPr>
        <w:t xml:space="preserve">8</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投标文件的语言及度量衡单位</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8.1</w:t>
      </w:r>
      <w:r>
        <w:rPr>
          <w:rFonts w:hint="eastAsia" w:ascii="方正仿宋_GBK" w:hAnsi="方正仿宋_GBK" w:eastAsia="方正仿宋_GBK" w:cs="方正仿宋_GBK"/>
          <w:sz w:val="28"/>
          <w:szCs w:val="28"/>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highlight w:val="none"/>
        </w:rPr>
        <w:t xml:space="preserve">简体中文</w:t>
      </w:r>
      <w:r>
        <w:rPr>
          <w:rFonts w:hint="eastAsia" w:ascii="方正仿宋_GBK" w:hAnsi="方正仿宋_GBK" w:eastAsia="方正仿宋_GBK" w:cs="方正仿宋_GBK"/>
          <w:sz w:val="28"/>
          <w:szCs w:val="28"/>
          <w:highlight w:val="none"/>
        </w:rPr>
        <w:t xml:space="preserve">。</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8.2</w:t>
      </w:r>
      <w:r>
        <w:rPr>
          <w:rFonts w:hint="eastAsia" w:ascii="方正仿宋_GBK" w:hAnsi="方正仿宋_GBK" w:eastAsia="方正仿宋_GBK" w:cs="方正仿宋_GBK"/>
          <w:sz w:val="28"/>
          <w:szCs w:val="28"/>
          <w:highlight w:val="none"/>
        </w:rPr>
        <w:t xml:space="preserve"> 除技术性能另有规定外，投标文件所使用的度量衡单位，均须采用国家法定计量单位。</w:t>
      </w:r>
      <w:r>
        <w:rPr>
          <w:highlight w:val="none"/>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9</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投标文件构成</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9.1</w:t>
      </w:r>
      <w:r>
        <w:rPr>
          <w:rFonts w:hint="eastAsia" w:ascii="方正仿宋_GBK" w:hAnsi="方正仿宋_GBK" w:eastAsia="方正仿宋_GBK" w:cs="方正仿宋_GBK"/>
          <w:sz w:val="28"/>
          <w:szCs w:val="28"/>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如标书制作工具中格式和内容与“江苏政府采购网”发布的招标文件不一致，请以“江苏政府采购网”发布的招标文件为准。</w:t>
      </w:r>
      <w:r>
        <w:rPr>
          <w:highlight w:val="none"/>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10</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证明投标人及投标标的符合招标文件规定的文件</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投标人应按照法律、法规、规章和规范性文件以及招标文件要求提交证明文件，证明其及投标标的符合招标文件规定。</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10.2招标文件对证明文件无明确形式要求的，证明文件可以以文字资料、图纸和数据等形式提交。</w:t>
      </w:r>
      <w:r>
        <w:rPr>
          <w:highlight w:val="none"/>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11</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投标分项报价表</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w:t>
      </w:r>
      <w:r>
        <w:rPr>
          <w:rFonts w:hint="eastAsia" w:ascii="方正仿宋_GBK" w:hAnsi="方正仿宋_GBK" w:eastAsia="方正仿宋_GBK" w:cs="方正仿宋_GBK"/>
          <w:sz w:val="28"/>
          <w:szCs w:val="28"/>
          <w:highlight w:val="none"/>
        </w:rPr>
        <w:t xml:space="preserve"> 投标人按照招标文件规定格式填报投标分项报价表。</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11.2</w:t>
      </w:r>
      <w:r>
        <w:rPr>
          <w:rFonts w:hint="eastAsia" w:ascii="方正仿宋_GBK" w:hAnsi="方正仿宋_GBK" w:eastAsia="方正仿宋_GBK" w:cs="方正仿宋_GBK"/>
          <w:bCs/>
          <w:sz w:val="28"/>
          <w:szCs w:val="28"/>
          <w:highlight w:val="none"/>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highlight w:val="none"/>
        </w:rPr>
        <w:t xml:space="preserve">招标文件中另有规定的按规定执行。</w:t>
      </w:r>
      <w:r>
        <w:rPr>
          <w:highlight w:val="none"/>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12</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技术要求响应及偏离表、商务要求响应及偏离表</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lang w:val="zh-CN"/>
        </w:rPr>
        <w:t xml:space="preserve">12.1</w:t>
      </w:r>
      <w:r>
        <w:rPr>
          <w:rFonts w:hint="eastAsia" w:ascii="方正仿宋_GBK" w:hAnsi="方正仿宋_GBK" w:eastAsia="方正仿宋_GBK" w:cs="方正仿宋_GBK"/>
          <w:sz w:val="28"/>
          <w:szCs w:val="28"/>
          <w:highlight w:val="none"/>
          <w:lang w:val="zh-CN"/>
        </w:rPr>
        <w:t xml:space="preserve"> 投标人需对招标文件中的技术要求与商务要求逐项作出响应或偏离，并说明原因。</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zh-CN"/>
        </w:rPr>
        <w:t xml:space="preserve">12.2 投标人需按照招标文件要求，在投标文件中提供与技术要求和商务要求相关的证明材料。</w:t>
      </w:r>
      <w:r>
        <w:rPr>
          <w:highlight w:val="none"/>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13</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投标函和开标一览表</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13.1</w:t>
      </w:r>
      <w:r>
        <w:rPr>
          <w:rFonts w:hint="eastAsia" w:ascii="方正仿宋_GBK" w:hAnsi="方正仿宋_GBK" w:eastAsia="方正仿宋_GBK" w:cs="方正仿宋_GBK"/>
          <w:sz w:val="28"/>
          <w:szCs w:val="28"/>
          <w:highlight w:val="none"/>
        </w:rPr>
        <w:t xml:space="preserve"> 投标人应按照招标文件中提供的格式完整、正确填写投标函、开标一览表。</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13.2</w:t>
      </w:r>
      <w:r>
        <w:rPr>
          <w:rFonts w:hint="eastAsia" w:ascii="方正仿宋_GBK" w:hAnsi="方正仿宋_GBK" w:eastAsia="方正仿宋_GBK" w:cs="方正仿宋_GBK"/>
          <w:sz w:val="28"/>
          <w:szCs w:val="28"/>
          <w:highlight w:val="none"/>
        </w:rPr>
        <w:t xml:space="preserve"> 对于采用货币报价的项目，</w:t>
      </w:r>
      <w:r>
        <w:rPr>
          <w:rFonts w:hint="eastAsia" w:ascii="方正仿宋_GBK" w:hAnsi="方正仿宋_GBK" w:eastAsia="方正仿宋_GBK" w:cs="方正仿宋_GBK"/>
          <w:bCs/>
          <w:sz w:val="28"/>
          <w:szCs w:val="28"/>
          <w:highlight w:val="none"/>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highlight w:val="none"/>
        </w:rPr>
        <w:t xml:space="preserve">不作为无效投标处理</w:t>
      </w:r>
      <w:r>
        <w:rPr>
          <w:rFonts w:hint="eastAsia" w:ascii="方正仿宋_GBK" w:hAnsi="方正仿宋_GBK" w:eastAsia="方正仿宋_GBK" w:cs="方正仿宋_GBK"/>
          <w:bCs/>
          <w:sz w:val="28"/>
          <w:szCs w:val="28"/>
          <w:highlight w:val="none"/>
        </w:rPr>
        <w:t xml:space="preserve">，但评标时按开标一览表中价格为准</w:t>
      </w:r>
      <w:r>
        <w:rPr>
          <w:rFonts w:hint="eastAsia" w:ascii="方正仿宋_GBK" w:hAnsi="方正仿宋_GBK" w:eastAsia="方正仿宋_GBK" w:cs="方正仿宋_GBK"/>
          <w:b/>
          <w:bCs/>
          <w:sz w:val="28"/>
          <w:szCs w:val="28"/>
          <w:highlight w:val="none"/>
        </w:rPr>
        <w:t xml:space="preserve">。</w:t>
      </w:r>
      <w:r>
        <w:rPr>
          <w:highlight w:val="none"/>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14</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投标有效期</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14.1</w:t>
      </w:r>
      <w:r>
        <w:rPr>
          <w:rFonts w:hint="eastAsia" w:ascii="方正仿宋_GBK" w:hAnsi="方正仿宋_GBK" w:eastAsia="方正仿宋_GBK" w:cs="方正仿宋_GBK"/>
          <w:bCs/>
          <w:sz w:val="28"/>
          <w:szCs w:val="28"/>
          <w:highlight w:val="none"/>
        </w:rPr>
        <w:t xml:space="preserve"> 投标有效期为采购中心规定的开标之日后</w:t>
      </w:r>
      <w:r>
        <w:rPr>
          <w:rFonts w:hint="eastAsia" w:ascii="方正仿宋_GBK" w:hAnsi="方正仿宋_GBK" w:eastAsia="方正仿宋_GBK" w:cs="方正仿宋_GBK"/>
          <w:b/>
          <w:sz w:val="28"/>
          <w:szCs w:val="28"/>
          <w:highlight w:val="none"/>
          <w:u w:val="single"/>
        </w:rPr>
        <w:t xml:space="preserve">六十（60）天</w:t>
      </w:r>
      <w:r>
        <w:rPr>
          <w:rFonts w:hint="eastAsia" w:ascii="方正仿宋_GBK" w:hAnsi="方正仿宋_GBK" w:eastAsia="方正仿宋_GBK" w:cs="方正仿宋_GBK"/>
          <w:bCs/>
          <w:sz w:val="28"/>
          <w:szCs w:val="28"/>
          <w:highlight w:val="none"/>
        </w:rPr>
        <w:t xml:space="preserve">。投标有效期比规定短的将被视为未实质性响应招标文件而予以拒绝。</w:t>
      </w:r>
      <w:r>
        <w:rPr>
          <w:highlight w:val="none"/>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15</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投标有效期的延长</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15.1</w:t>
      </w:r>
      <w:r>
        <w:rPr>
          <w:rFonts w:hint="eastAsia" w:ascii="方正仿宋_GBK" w:hAnsi="方正仿宋_GBK" w:eastAsia="方正仿宋_GBK" w:cs="方正仿宋_GBK"/>
          <w:bCs/>
          <w:sz w:val="28"/>
          <w:szCs w:val="28"/>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sz w:val="28"/>
          <w:szCs w:val="28"/>
          <w:highlight w:val="none"/>
        </w:rPr>
        <w:t xml:space="preserve">同意延长投标有效期的投标人既不能要求也不允许修改其投标文件</w:t>
      </w:r>
      <w:r>
        <w:rPr>
          <w:rFonts w:hint="eastAsia" w:ascii="方正仿宋_GBK" w:hAnsi="方正仿宋_GBK" w:eastAsia="方正仿宋_GBK" w:cs="方正仿宋_GBK"/>
          <w:sz w:val="28"/>
          <w:szCs w:val="28"/>
          <w:highlight w:val="none"/>
        </w:rPr>
        <w:t xml:space="preserve">，同时受投标有效期约束的所有权利与义务均延长至新的有效期</w:t>
      </w:r>
      <w:r>
        <w:rPr>
          <w:rFonts w:hint="eastAsia" w:ascii="方正仿宋_GBK" w:hAnsi="方正仿宋_GBK" w:eastAsia="方正仿宋_GBK" w:cs="方正仿宋_GBK"/>
          <w:bCs/>
          <w:sz w:val="28"/>
          <w:szCs w:val="28"/>
          <w:highlight w:val="none"/>
        </w:rPr>
        <w:t xml:space="preserve">。</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四、投标文件的递交</w:t>
      </w:r>
      <w:r>
        <w:rPr>
          <w:highlight w:val="none"/>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16</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投标文件的递交</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16.1</w:t>
      </w:r>
      <w:r>
        <w:rPr>
          <w:rFonts w:hint="eastAsia" w:ascii="方正仿宋_GBK" w:hAnsi="方正仿宋_GBK" w:eastAsia="方正仿宋_GBK" w:cs="方正仿宋_GBK"/>
          <w:bCs/>
          <w:sz w:val="28"/>
          <w:szCs w:val="28"/>
          <w:highlight w:val="none"/>
        </w:rPr>
        <w:t xml:space="preserve"> 电子投标文件的递交</w:t>
      </w:r>
      <w:r>
        <w:rPr>
          <w:highlight w:val="none"/>
        </w:rPr>
      </w:r>
      <w:r/>
    </w:p>
    <w:p>
      <w:pPr>
        <w:pStyle w:val="107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投标人应当按照《操作手册》规定，在投标截止时间前制作并上传电子投标文件。</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bidi="ar-SA"/>
        </w:rPr>
        <w:t xml:space="preserve">17.投标截止时间</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17.1</w:t>
      </w:r>
      <w:r>
        <w:rPr>
          <w:rFonts w:hint="eastAsia" w:ascii="方正仿宋_GBK" w:hAnsi="方正仿宋_GBK" w:eastAsia="方正仿宋_GBK" w:cs="方正仿宋_GBK"/>
          <w:bCs/>
          <w:sz w:val="28"/>
          <w:szCs w:val="28"/>
          <w:highlight w:val="none"/>
        </w:rPr>
        <w:t xml:space="preserve"> 投标人上传电子投标文件的时间不得迟于招标公告中规定的投标截止时间。</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投标人应充分考虑到网络环境、网络带宽等风险因素，如因投标人自身原因造成的电子投标文件上传不成功的按照本招标文件第二章第25.1.2条规定做无效投标处理。</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17.2</w:t>
      </w:r>
      <w:r>
        <w:rPr>
          <w:rFonts w:hint="eastAsia" w:ascii="方正仿宋_GBK" w:hAnsi="方正仿宋_GBK" w:eastAsia="方正仿宋_GBK" w:cs="方正仿宋_GBK"/>
          <w:bCs/>
          <w:sz w:val="28"/>
          <w:szCs w:val="28"/>
          <w:highlight w:val="none"/>
        </w:rPr>
        <w:t xml:space="preserve"> 采购中心可以按照规定，通过修改招标文件酌情延长投标截止时间，在此情况下，投标人的所有权利和义务以及投标人受制的截止时间均应以延长后新的截止时间为准。</w:t>
      </w:r>
      <w:r>
        <w:rPr>
          <w:highlight w:val="none"/>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18</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投标文件的拒收</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18.1</w:t>
      </w:r>
      <w:r>
        <w:rPr>
          <w:rFonts w:hint="eastAsia" w:ascii="方正仿宋_GBK" w:hAnsi="方正仿宋_GBK" w:eastAsia="方正仿宋_GBK" w:cs="方正仿宋_GBK"/>
          <w:bCs/>
          <w:sz w:val="28"/>
          <w:szCs w:val="28"/>
          <w:highlight w:val="none"/>
        </w:rPr>
        <w:t xml:space="preserve">采购中心拒绝接收在其规定的投标截止时间后上传的任何投标文件。</w:t>
      </w:r>
      <w:r>
        <w:rPr>
          <w:highlight w:val="none"/>
        </w:rPr>
      </w:r>
      <w:r/>
    </w:p>
    <w:p>
      <w:pPr>
        <w:pStyle w:val="96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19</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投标文件的撤回和修改</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投标文件的撤回</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19.1.1 电子投标文件的撤回</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投标人可在投标截止时间前，撤回其电子投标文件，具体操作方法见《操作手册》。</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19.1.2 投标人撤回电子投标文件，则认为其不再参与本项目投标活动。</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投标文件的修改</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19.2.1投标人可在投标截止时间前，对其电子投标文件进行修改，具体操作方法见《操作手册》。</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19.2.2</w:t>
      </w:r>
      <w:r>
        <w:rPr>
          <w:rFonts w:hint="eastAsia" w:ascii="方正仿宋_GBK" w:hAnsi="方正仿宋_GBK" w:eastAsia="方正仿宋_GBK" w:cs="方正仿宋_GBK"/>
          <w:bCs/>
          <w:sz w:val="28"/>
          <w:szCs w:val="28"/>
          <w:highlight w:val="none"/>
        </w:rPr>
        <w:t xml:space="preserve"> 在投标截止时间之后，投标人不得对其电子投标文件作任何修改。</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19.3</w:t>
      </w:r>
      <w:r>
        <w:rPr>
          <w:rFonts w:hint="eastAsia" w:ascii="方正仿宋_GBK" w:hAnsi="方正仿宋_GBK" w:eastAsia="方正仿宋_GBK" w:cs="方正仿宋_GBK"/>
          <w:bCs/>
          <w:sz w:val="28"/>
          <w:szCs w:val="28"/>
          <w:highlight w:val="none"/>
        </w:rPr>
        <w:t xml:space="preserve"> 在投标截止时间至招标文件中规定的投标有效期满之间的这段时间内，投标人不得撤回其投标。</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五、开标与评标</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开标</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采购中心将在招标公告中规定的时间和地点组织公开开标。投标人应当按照《操作手册》规定，参加开标活动和在苏采云系统规定的时间内对投标文件进行解密。</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20.2开标仪式由采购中心组织。苏采云系统将自动对项目进行开标，并宣布各投标人名称和投标价格。</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20.3投标人在开标过程中涉及到的投标文件解密、开标结果确认等工作，应按照《操作手册》规定执行。</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20.4投标人如果对开标过程和开标记录有疑义，应当根据《操作手册》规定提出，如苏采云系统中《开标记录表》宣布后5分钟内未提出的，视同认可开标结果。</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评标委员会</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开标后，采购中心将立即组织评标委员会进行评标。</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由采购人代表和有关技术、经济等方面的专家组成，且人员构成符合政府采购有关规定。</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21.3</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独立工作，负责评审所有投标文件并确定中标侯选人。</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评标过程的保密与公正</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22.1凡是与审查、澄清、评价和比较投标的有关资料以及授标建议等，采购人、评委、采购中心均不得向投标人或与评标无关的其他人员透露。</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22.2在评标过程中，投标人不得以任何行为影响评标过程，否则其投标文件将被作为无效投标文件。</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 采购中心和评标委员会不向未中标的投标人解释未中标原因，也不公布评标过程中的相关细节。</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 采用综合评分法的项目，未中标的投标人可于中标结果公告期限届满之日起通过苏采云系统查看自己的评审得分及排序情况。</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投标文件的澄清</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23.1评标期间，</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对投标文件中含义不明确、同类问题表述不一致或者有明显文字和计算错误的内容 ，有权要求投标人作出必要的澄清、说明或者补正。</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投标人的澄清、说明或者补正不得超出投标文件的范围或者改变投标文件的实质性内容。</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评标委员会并非对每个投标人都做澄清要求。</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23.2需要供应商进行澄清、说明和补正的，</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pStyle w:val="961"/>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23.3 接到</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澄清、说明和补正要求的投标人如未按规定做出澄清、说明和补正，其风险由投标人自行承担。</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24.对投标文件的初审</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24.1投标文件初审分为资格审查和符合性审查。</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24.1.1 资格审查：依据法律法规和招标文件的规定，由采购人对投标文件中的资格证明文件进行审查。资格审查的结论，采购人以书面形式向评标委员会进行反馈。</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highlight w:val="none"/>
          <w:lang w:val="en-US" w:eastAsia="zh-CN"/>
        </w:rPr>
        <w:t xml:space="preserve">www.creditchina.gov.cn</w:t>
      </w:r>
      <w:r>
        <w:rPr>
          <w:rFonts w:hint="eastAsia" w:ascii="方正仿宋_GBK" w:hAnsi="方正仿宋_GBK" w:eastAsia="方正仿宋_GBK" w:cs="方正仿宋_GBK"/>
          <w:sz w:val="28"/>
          <w:szCs w:val="28"/>
          <w:highlight w:val="none"/>
          <w:lang w:val="en-US" w:eastAsia="zh-CN"/>
        </w:rPr>
        <w:t xml:space="preserve">）查询投标人的信用记录，以确定投标人是否具备投标资格,查询结果留存并归档。</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24.1.2 符合性审查：依据招标文件的规定，由评标委员会从投标文件的有效性、完整性和对招标文件的响应程度进行审查，以确定是否对招标文件的实质性要求作出响应。</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24.3如果投标文件实质上没有响应招标文件的要求，评标委员会将予以拒绝，投标人不得通过修改或撤销不符合要求的偏离或保留而使其投标成为实质性响应的投标。</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24.4评标委员会将对确定为实质性响应的投标进行进一步审核，确定其是否有计算上或累加上的算术错误，修正错误的原则如下：</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（1）投标文件中开标一览表内容与投标文件中相应内容不一致的，以开标一览表为准。</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（2）大写金额和小写金额不一致的，以大写金额为准。</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（3）单价金额小数点或者百分比有明显错位的，以开标一览表的总价为准，并修改单价。</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（4）总价金额与按单价汇总金额不一致的，以单价金额计算结果为准。</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同时出现两种以上错误的，按照前款规定的顺序修正。</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24.6投标人在开、评标全过程中应保持通讯畅通，及时登录苏采云系统查阅、答复相关信息，并安排专人与采购中心及评标委员会联系。</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24.7 异常低价投标审查</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24.7.1 评标过程中出现下列情形之一的，评标委员会应当启动异常低价投标审查程序：</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（1）投标报价低于全部通过符合性审查供应商投标报价平均值50%的，即投标报价&lt;全部通过符合性审查供应商投标报价平均值×50%；</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（2）投标报价低于通过符合性审查的次低报价供应商投标报价50%的，即投标报价&lt;通过符合性审查的次低报价供应商投标报价×50%；</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（3）投标报价低于采购项目最高限价45%的，即投标报价&lt;采购项目最高限价×45%；</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（4）评标委员会基于专业判断，认为供应商报价过低，有可能影响产品质量或者不能诚信履约的其他情形。</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25.无效投标条款和废标条款</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25.1无效投标条款</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25.1.1 投标人在苏采云系统规定的时间内未成功解密电子投标文件的。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25.1.2 投标人未按照招标文件要求上传电子投标文件的。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25.1.3 投标人同一采购包提交两个（含两个）以上不同的投标报价的。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25.1.4投标人不具备招标文件中规定资格要求的。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25.1.5投标人的报价超过了采购预算或最高限价的。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25.1.6未通过符合性审查的。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highlight w:val="none"/>
          <w:u w:val="single"/>
        </w:rPr>
      </w:pPr>
      <w:r>
        <w:rPr>
          <w:rFonts w:hint="eastAsia" w:ascii="方正仿宋_GBK" w:hAnsi="方正仿宋_GBK" w:eastAsia="方正仿宋_GBK" w:cs="方正仿宋_GBK"/>
          <w:bCs/>
          <w:sz w:val="28"/>
          <w:szCs w:val="28"/>
          <w:highlight w:val="none"/>
        </w:rPr>
        <w:t xml:space="preserve">25.1.7不符合招标文件中规定的实质性要求的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号条款为实质性要求）</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25.1.8 投标人被 “信用中国”网站（</w:t>
      </w:r>
      <w:r>
        <w:rPr>
          <w:rFonts w:hint="eastAsia" w:ascii="Times New Roman" w:hAnsi="Times New Roman" w:eastAsia="方正仿宋_GBK" w:cs="Times New Roman"/>
          <w:color w:val="000000"/>
          <w:sz w:val="28"/>
          <w:szCs w:val="28"/>
          <w:highlight w:val="none"/>
          <w:lang w:val="en-US" w:eastAsia="zh-CN"/>
        </w:rPr>
        <w:t xml:space="preserve">www.creditchina.gov.cn</w:t>
      </w:r>
      <w:r>
        <w:rPr>
          <w:rFonts w:hint="eastAsia" w:ascii="方正仿宋_GBK" w:hAnsi="方正仿宋_GBK" w:eastAsia="方正仿宋_GBK" w:cs="方正仿宋_GBK"/>
          <w:sz w:val="28"/>
          <w:szCs w:val="28"/>
          <w:highlight w:val="none"/>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25.1.9 投标文件含有采购人不能接受的附加条件的。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25.1.10评标委员会按照本招标文件规定对投标人进行异常低价投标审查后，认为投标人不能证明其报价合理性的。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25.1.11 投标文件未按照招标文件要求加盖CA电子公章的。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25.1.12 投标人所提供的服务不符合招标文件中所列国家强制性标准的。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25.1.13其他法律、法规及本招标文件规定的属无效投标的情形。</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25.2废标条款</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25.2.1符合专业条件的供应商或者对招标文件作实质响应的供应商不足三家的。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25.2.2出现影响采购公正的违法、违规行为的。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25.2.3因重大变故，采购任务取消的。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25.2.4评标委员会认定招标文件存在歧义、重大缺陷导致评审工作无法进行。</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25.2.5 因苏采云系统故障原因造成开标不成功的。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25.3 投标截止时间结束后参加投标的供应商不足三家的处理：</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25.3.1如出现投标截止时间结束后参加投标的供应商或者在评标期间对招标文件做出实质响应的供应商不足三家情况，按政府采购相关规定执行。</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六、定标</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26.确定中标单位</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26.1中标候选人的选取原则和数量见招标文件第五章规定。 </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26.2采购人应根据评标委员会推荐的中标候选人确定中标供应商。</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26.3 采购中心将在“江苏政府采购网”发布中标公告，公告期限为1个工作日。</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26.4 若有充分证据证明，中标供应商出现下列情况之一的，一经查实，将被取消中标资格：</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26.4.1提供虚假材料谋取中标的。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26.4.2向采购人、采购中心行贿或者提供其他不正当利益的。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26.4.3属于本文件规定的无效条件，但在评标过程中又未被评标委员会发现的。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26.4.4与采购人或者其他供应商恶意串通的。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26.4.5采取不正当手段诋毁、排挤其他供应商的。</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26.5有下列情形之一的，视为投标人串通投标，投标无效：</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26.5.1不同投标人的投标文件由同一单位或者个人编制。</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26.5.2不同投标人委托同一单位或者个人办理投标事宜。</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26.5.3 不同投标人的投标文件载明的项目管理成员或者联系人员为同一人。</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26.5.4不同投标人的投标文件异常一致或者投标报价呈规律性差异。</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27.质疑处理</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27.1 提出质疑的供应商应当是参与所质疑项目采购活动的供应商。潜在供应商依法获取其可质疑的采购文件的，可以对采购文件提出质疑。</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27.2.1对可以质疑的采购文件提出质疑的，为收到采购文件之日或者采购文件公告期限届满之日；</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27.2.2对采购过程提出质疑的，为各采购程序环节结束之日；</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27.2.3对中标或者成交结果提出质疑的，为中标或者成交结果公告期限届满之日。</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采购人及采购中心只接收以纸质原件形式送达的质疑,建议供应商尽量通过邮寄方式提交质疑（采购人和采购中心不接受无快递运单号的快递）。</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采购中心质疑接收部门为质疑处理科（快递运单上的收件人填写“质疑处理科”即可），联系地址：南京市汉中门大街145号省政务中心二期3楼南区3029室，联系电话：025-83668531。</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采购人质疑接收人及联系方式见招标文件第一章。</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27.5 以下情形的质疑不予受理</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27.5.1 内容不符合《政府采购质疑和投诉办法》第十二条规定的质疑。</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27.5.2 超出政府采购法定期限的质疑。</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27.5.3 以传真、电子邮件等方式递交的非原件形式的质疑。</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27.5.4 未参加投标活动的供应商或在投标活动中自身权益未受到损害的供应商所提出的质疑。</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27.5.5供应商组成联合体参加投标，联合体中任何一方或多方未按要求签字、盖章、加盖公章的质疑。</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28.中标通知书</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pStyle w:val="96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七、授予合同</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29.签订合同</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29.l中标供应商应当在中标通知书发出之日起三十日内，按照招标文件确定的事项与采购人签订政府采购合同。</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29.2 招标文件、中标供应商的投标文件及招标过程中有关澄清、承诺文件均应作为合同附件。</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30.服务（包含与服务相关的货物）的追加</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31.政府采购履约资金扶持政策</w:t>
      </w:r>
      <w:r>
        <w:rPr>
          <w:highlight w:val="none"/>
        </w:rPr>
      </w:r>
      <w:r/>
    </w:p>
    <w:p>
      <w:pPr>
        <w:pStyle w:val="961"/>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中标供应商可凭政府采购合同办理融资贷款，详情请见江苏政府采购网“政采贷”专栏。</w:t>
      </w:r>
      <w:r>
        <w:rPr>
          <w:highlight w:val="none"/>
        </w:rPr>
      </w:r>
      <w:r/>
    </w:p>
    <w:p>
      <w:pPr>
        <w:pStyle w:val="975"/>
        <w:spacing w:line="400" w:lineRule="exact"/>
        <w:rPr>
          <w:rFonts w:hint="eastAsia" w:ascii="宋体" w:hAnsi="宋体"/>
          <w:bCs/>
          <w:sz w:val="24"/>
          <w:highlight w:val="none"/>
        </w:rPr>
      </w:pPr>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4"/>
      <w:r>
        <w:rPr>
          <w:highlight w:val="none"/>
        </w:rPr>
      </w:r>
      <w:bookmarkStart w:id="45" w:name="_Toc120614221"/>
      <w:r>
        <w:rPr>
          <w:highlight w:val="none"/>
        </w:rPr>
      </w:r>
      <w:bookmarkStart w:id="46" w:name="_Toc20823314"/>
      <w:r>
        <w:rPr>
          <w:highlight w:val="none"/>
        </w:rPr>
      </w:r>
      <w:bookmarkStart w:id="47" w:name="_Toc16938558"/>
      <w:r>
        <w:rPr>
          <w:highlight w:val="none"/>
        </w:rPr>
      </w:r>
      <w:bookmarkStart w:id="48" w:name="_Toc479757207"/>
      <w:r>
        <w:rPr>
          <w:highlight w:val="none"/>
        </w:rPr>
      </w:r>
      <w:bookmarkStart w:id="49" w:name="_Toc513029242"/>
      <w:r>
        <w:rPr>
          <w:highlight w:val="none"/>
        </w:rPr>
      </w:r>
      <w:r/>
    </w:p>
    <w:p>
      <w:pPr>
        <w:pStyle w:val="975"/>
        <w:spacing w:line="400" w:lineRule="exact"/>
        <w:rPr>
          <w:rFonts w:hint="eastAsia" w:ascii="宋体" w:hAnsi="宋体"/>
          <w:bCs/>
          <w:sz w:val="24"/>
          <w:highlight w:val="none"/>
        </w:rPr>
      </w:pPr>
      <w:r>
        <w:rPr>
          <w:rFonts w:hint="eastAsia" w:ascii="宋体" w:hAnsi="宋体"/>
          <w:bCs/>
          <w:sz w:val="24"/>
          <w:highlight w:val="none"/>
        </w:rPr>
      </w:r>
      <w:r>
        <w:rPr>
          <w:highlight w:val="none"/>
        </w:rPr>
      </w:r>
      <w:r/>
    </w:p>
    <w:p>
      <w:pPr>
        <w:pStyle w:val="975"/>
        <w:spacing w:line="400" w:lineRule="exact"/>
        <w:rPr>
          <w:rFonts w:hint="eastAsia" w:ascii="宋体" w:hAnsi="宋体"/>
          <w:bCs/>
          <w:sz w:val="24"/>
          <w:highlight w:val="none"/>
        </w:rPr>
      </w:pPr>
      <w:r>
        <w:rPr>
          <w:rFonts w:hint="eastAsia" w:ascii="宋体" w:hAnsi="宋体"/>
          <w:bCs/>
          <w:sz w:val="24"/>
          <w:highlight w:val="none"/>
        </w:rPr>
      </w:r>
      <w:r>
        <w:rPr>
          <w:highlight w:val="none"/>
        </w:rPr>
      </w:r>
      <w:r/>
    </w:p>
    <w:p>
      <w:pPr>
        <w:pStyle w:val="975"/>
        <w:spacing w:line="400" w:lineRule="exact"/>
        <w:rPr>
          <w:rFonts w:hint="eastAsia" w:ascii="宋体" w:hAnsi="宋体"/>
          <w:bCs/>
          <w:sz w:val="24"/>
          <w:highlight w:val="none"/>
        </w:rPr>
      </w:pPr>
      <w:r>
        <w:rPr>
          <w:rFonts w:hint="eastAsia" w:ascii="宋体" w:hAnsi="宋体"/>
          <w:bCs/>
          <w:sz w:val="24"/>
          <w:highlight w:val="none"/>
        </w:rPr>
      </w:r>
      <w:r>
        <w:rPr>
          <w:highlight w:val="none"/>
        </w:rPr>
      </w:r>
      <w:r/>
    </w:p>
    <w:p>
      <w:pPr>
        <w:pStyle w:val="975"/>
        <w:spacing w:line="400" w:lineRule="exact"/>
        <w:rPr>
          <w:rFonts w:hint="eastAsia" w:ascii="宋体" w:hAnsi="宋体"/>
          <w:bCs/>
          <w:sz w:val="24"/>
          <w:highlight w:val="none"/>
        </w:rPr>
      </w:pPr>
      <w:r>
        <w:rPr>
          <w:rFonts w:hint="eastAsia" w:ascii="宋体" w:hAnsi="宋体"/>
          <w:bCs/>
          <w:sz w:val="24"/>
          <w:highlight w:val="none"/>
        </w:rPr>
      </w:r>
      <w:r>
        <w:rPr>
          <w:highlight w:val="none"/>
        </w:rPr>
      </w:r>
      <w:r/>
    </w:p>
    <w:p>
      <w:pPr>
        <w:pStyle w:val="961"/>
        <w:ind w:right="839"/>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rPr>
          <w:highlight w:val="none"/>
        </w:rPr>
      </w:r>
      <w:r/>
    </w:p>
    <w:p>
      <w:pPr>
        <w:pStyle w:val="961"/>
        <w:ind w:right="839"/>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br w:type="page" w:clear="all"/>
      </w:r>
      <w:r>
        <w:rPr>
          <w:rFonts w:hint="eastAsia" w:ascii="方正黑体_GBK" w:hAnsi="方正黑体_GBK" w:eastAsia="方正黑体_GBK" w:cs="方正黑体_GBK"/>
          <w:color w:val="000000"/>
          <w:sz w:val="28"/>
          <w:szCs w:val="28"/>
          <w:highlight w:val="none"/>
        </w:rPr>
        <w:t xml:space="preserve">第三章  合同</w:t>
      </w:r>
      <w:bookmarkEnd w:id="45"/>
      <w:r>
        <w:rPr>
          <w:highlight w:val="none"/>
        </w:rPr>
      </w:r>
      <w:bookmarkEnd w:id="46"/>
      <w:r>
        <w:rPr>
          <w:highlight w:val="none"/>
        </w:rPr>
      </w:r>
      <w:bookmarkEnd w:id="47"/>
      <w:r>
        <w:rPr>
          <w:highlight w:val="none"/>
        </w:rPr>
      </w:r>
      <w:bookmarkEnd w:id="48"/>
      <w:r>
        <w:rPr>
          <w:highlight w:val="none"/>
        </w:rPr>
      </w:r>
      <w:bookmarkEnd w:id="49"/>
      <w:r>
        <w:rPr>
          <w:rFonts w:hint="eastAsia" w:ascii="方正黑体_GBK" w:hAnsi="方正黑体_GBK" w:eastAsia="方正黑体_GBK" w:cs="方正黑体_GBK"/>
          <w:color w:val="000000"/>
          <w:sz w:val="28"/>
          <w:szCs w:val="28"/>
          <w:highlight w:val="none"/>
        </w:rPr>
        <w:t xml:space="preserve">文本</w:t>
      </w:r>
      <w:r>
        <w:rPr>
          <w:highlight w:val="none"/>
        </w:rPr>
      </w:r>
      <w:r/>
    </w:p>
    <w:p>
      <w:pPr>
        <w:pStyle w:val="961"/>
        <w:ind w:firstLine="560"/>
        <w:spacing w:line="400" w:lineRule="exact"/>
        <w:rPr>
          <w:rFonts w:hint="eastAsia" w:ascii="方正仿宋_GBK" w:hAnsi="方正仿宋_GBK" w:eastAsia="方正仿宋_GBK" w:cs="方正仿宋_GBK"/>
          <w:bCs/>
          <w:sz w:val="28"/>
          <w:szCs w:val="28"/>
          <w:highlight w:val="none"/>
        </w:rPr>
      </w:pPr>
      <w:r>
        <w:rPr>
          <w:highlight w:val="none"/>
        </w:rPr>
      </w:r>
      <w:bookmarkStart w:id="50" w:name="_Toc513029243"/>
      <w:r>
        <w:rPr>
          <w:highlight w:val="none"/>
        </w:rPr>
      </w:r>
      <w:bookmarkStart w:id="51" w:name="_Toc20823315"/>
      <w:r>
        <w:rPr>
          <w:highlight w:val="none"/>
        </w:rPr>
      </w:r>
      <w:bookmarkStart w:id="52" w:name="_Toc16938559"/>
      <w:r>
        <w:rPr>
          <w:highlight w:val="none"/>
        </w:rPr>
      </w:r>
      <w:r/>
    </w:p>
    <w:p>
      <w:pPr>
        <w:pStyle w:val="992"/>
        <w:jc w:val="center"/>
        <w:spacing w:line="40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r>
      <w:r>
        <w:rPr>
          <w:highlight w:val="none"/>
        </w:rPr>
      </w:r>
      <w:r/>
    </w:p>
    <w:p>
      <w:pPr>
        <w:pStyle w:val="992"/>
        <w:jc w:val="center"/>
        <w:spacing w:line="38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t xml:space="preserve">江苏省政府采购合同（服务）（合同编号）</w:t>
      </w:r>
      <w:r>
        <w:rPr>
          <w:highlight w:val="none"/>
        </w:rPr>
      </w:r>
      <w:r/>
    </w:p>
    <w:p>
      <w:pPr>
        <w:pStyle w:val="961"/>
        <w:ind w:firstLine="560"/>
        <w:spacing w:before="120" w:after="120" w:line="38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eastAsia="方正仿宋_GBK"/>
          <w:color w:val="000000"/>
          <w:sz w:val="28"/>
          <w:szCs w:val="28"/>
          <w:highlight w:val="none"/>
        </w:rPr>
        <w:t xml:space="preserve">XXXX </w:t>
      </w:r>
      <w:r>
        <w:rPr>
          <w:rFonts w:hint="eastAsia" w:ascii="方正仿宋_GBK" w:hAnsi="方正仿宋_GBK" w:eastAsia="方正仿宋_GBK" w:cs="方正仿宋_GBK"/>
          <w:color w:val="000000"/>
          <w:sz w:val="28"/>
          <w:szCs w:val="28"/>
          <w:highlight w:val="none"/>
        </w:rPr>
        <w:t xml:space="preserve">                  </w:t>
      </w:r>
      <w:r>
        <w:rPr>
          <w:highlight w:val="none"/>
        </w:rPr>
      </w:r>
      <w:r/>
    </w:p>
    <w:p>
      <w:pPr>
        <w:pStyle w:val="961"/>
        <w:ind w:firstLine="560"/>
        <w:spacing w:before="120" w:after="120" w:line="380" w:lineRule="exact"/>
        <w:rPr>
          <w:rFonts w:hint="eastAsia" w:ascii="方正仿宋_GBK" w:hAnsi="方正仿宋_GBK" w:eastAsia="方正仿宋_GBK" w:cs="方正仿宋_GBK"/>
          <w:color w:val="ff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ff0000"/>
          <w:sz w:val="28"/>
          <w:szCs w:val="28"/>
          <w:highlight w:val="none"/>
        </w:rPr>
        <w:t xml:space="preserve"> </w:t>
      </w:r>
      <w:r>
        <w:rPr>
          <w:highlight w:val="none"/>
        </w:rPr>
      </w:r>
      <w:r/>
    </w:p>
    <w:p>
      <w:pPr>
        <w:pStyle w:val="961"/>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color w:val="000000"/>
          <w:sz w:val="28"/>
          <w:szCs w:val="28"/>
          <w:highlight w:val="none"/>
        </w:rPr>
        <w:t xml:space="preserve">XX</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甲方：（买方/采购人）_________</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乙方：（卖方/中标供应商）_________</w:t>
      </w:r>
      <w:r>
        <w:rPr>
          <w:highlight w:val="none"/>
        </w:rPr>
      </w:r>
      <w:r/>
    </w:p>
    <w:p>
      <w:pPr>
        <w:pStyle w:val="999"/>
        <w:ind w:firstLine="560"/>
        <w:spacing w:before="120" w:after="120" w:line="38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甲、乙双方根据江苏省政府采购中心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项目公开招标的结果，签署本合同。</w:t>
      </w:r>
      <w:r>
        <w:rPr>
          <w:highlight w:val="none"/>
        </w:rPr>
      </w:r>
      <w:r/>
    </w:p>
    <w:p>
      <w:pPr>
        <w:pStyle w:val="999"/>
        <w:ind w:firstLine="560"/>
        <w:spacing w:before="120" w:after="120" w:line="38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一、合同内容</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标的名称：</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1.2标的质量：</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履行地点：</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 履行方式：</w:t>
      </w:r>
      <w:r>
        <w:rPr>
          <w:highlight w:val="none"/>
        </w:rPr>
      </w:r>
      <w:r/>
    </w:p>
    <w:p>
      <w:pPr>
        <w:pStyle w:val="999"/>
        <w:ind w:firstLine="560"/>
        <w:spacing w:before="120" w:after="120" w:line="38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二、合同金额</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本合同金额为（大写）：________圆（________元）人民币或其他币种。</w:t>
      </w:r>
      <w:r>
        <w:rPr>
          <w:highlight w:val="none"/>
        </w:rPr>
      </w:r>
      <w:r/>
    </w:p>
    <w:p>
      <w:pPr>
        <w:pStyle w:val="999"/>
        <w:ind w:firstLine="560"/>
        <w:spacing w:before="120" w:after="120" w:line="38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三、技术资料</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3.1乙方应按招标文件规定的时间向甲方提供服务（包含与服务相关的货物）的有关技术资料。</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999"/>
        <w:ind w:firstLine="560"/>
        <w:spacing w:before="120" w:after="120" w:line="38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四、知识产权</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highlight w:val="none"/>
        </w:rPr>
      </w:r>
      <w:r/>
    </w:p>
    <w:p>
      <w:pPr>
        <w:pStyle w:val="999"/>
        <w:ind w:firstLine="560"/>
        <w:spacing w:before="120" w:after="120" w:line="38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五、产权担保</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乙方保证所交付的服务（包含与服务相关的货物）的所有权完全属于乙方且无任何抵押、查封等产权瑕疵。</w:t>
      </w:r>
      <w:r>
        <w:rPr>
          <w:highlight w:val="none"/>
        </w:rPr>
      </w:r>
      <w:r/>
    </w:p>
    <w:p>
      <w:pPr>
        <w:pStyle w:val="999"/>
        <w:ind w:firstLine="560"/>
        <w:spacing w:before="120" w:after="120" w:line="38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六、履约保证金</w:t>
      </w:r>
      <w:r>
        <w:rPr>
          <w:highlight w:val="none"/>
        </w:rPr>
      </w:r>
      <w:r/>
    </w:p>
    <w:p>
      <w:pPr>
        <w:pStyle w:val="99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乙方交纳人民币_合同总价10%_作为本合同的履约保证金。（不得超过合同金额的10%）</w:t>
      </w:r>
      <w:r>
        <w:rPr>
          <w:highlight w:val="none"/>
        </w:rPr>
      </w:r>
      <w:r/>
    </w:p>
    <w:p>
      <w:pPr>
        <w:pStyle w:val="99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6.2合同履行结束后，甲方应及时退还交纳的履约保证金。</w:t>
      </w:r>
      <w:r>
        <w:rPr>
          <w:highlight w:val="none"/>
        </w:rPr>
      </w:r>
      <w:r/>
    </w:p>
    <w:p>
      <w:pPr>
        <w:pStyle w:val="961"/>
        <w:ind w:firstLine="560"/>
        <w:spacing w:line="360" w:lineRule="auto"/>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6.2.1履约保证金退还方式：</w:t>
      </w:r>
      <w:r>
        <w:rPr>
          <w:rFonts w:ascii="方正仿宋_GBK" w:hAnsi="方正仿宋_GBK" w:eastAsia="方正仿宋_GBK" w:cs="方正仿宋_GBK"/>
          <w:sz w:val="28"/>
          <w:szCs w:val="28"/>
          <w:highlight w:val="none"/>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rPr>
          <w:highlight w:val="none"/>
        </w:rPr>
      </w:r>
      <w:r/>
    </w:p>
    <w:p>
      <w:pPr>
        <w:pStyle w:val="999"/>
        <w:ind w:firstLine="560"/>
        <w:spacing w:before="120" w:after="12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6.2.2履约保证金退还时间：</w:t>
      </w:r>
      <w:r>
        <w:rPr>
          <w:rFonts w:ascii="方正仿宋_GBK" w:hAnsi="方正仿宋_GBK" w:eastAsia="方正仿宋_GBK" w:cs="方正仿宋_GBK"/>
          <w:sz w:val="28"/>
          <w:szCs w:val="28"/>
          <w:highlight w:val="none"/>
          <w:lang w:val="en-US" w:eastAsia="zh-CN"/>
        </w:rPr>
        <w:t xml:space="preserve">符合退还条件的5个工作日内退还</w:t>
      </w:r>
      <w:r>
        <w:rPr>
          <w:rFonts w:hint="eastAsia" w:ascii="方正仿宋_GBK" w:hAnsi="方正仿宋_GBK" w:eastAsia="方正仿宋_GBK" w:cs="方正仿宋_GBK"/>
          <w:sz w:val="28"/>
          <w:szCs w:val="28"/>
          <w:highlight w:val="none"/>
          <w:lang w:val="en-US" w:eastAsia="zh-CN"/>
        </w:rPr>
        <w:t xml:space="preserve">；</w:t>
      </w:r>
      <w:r>
        <w:rPr>
          <w:highlight w:val="none"/>
        </w:rPr>
      </w:r>
      <w:r/>
    </w:p>
    <w:p>
      <w:pPr>
        <w:pStyle w:val="999"/>
        <w:ind w:firstLine="560"/>
        <w:spacing w:before="120" w:after="12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6.2.3履约保证金退还条件：</w:t>
      </w:r>
      <w:r>
        <w:rPr>
          <w:rFonts w:ascii="方正仿宋_GBK" w:hAnsi="方正仿宋_GBK" w:eastAsia="方正仿宋_GBK" w:cs="方正仿宋_GBK"/>
          <w:sz w:val="28"/>
          <w:szCs w:val="28"/>
          <w:highlight w:val="none"/>
          <w:lang w:val="en-US" w:eastAsia="zh-CN"/>
        </w:rPr>
        <w:t xml:space="preserve">采购人在项目通过验收后按照合同条款规定的时间内将履约保证金退还中标人</w:t>
      </w:r>
      <w:r>
        <w:rPr>
          <w:rFonts w:hint="eastAsia" w:ascii="方正仿宋_GBK" w:hAnsi="方正仿宋_GBK" w:eastAsia="方正仿宋_GBK" w:cs="方正仿宋_GBK"/>
          <w:sz w:val="28"/>
          <w:szCs w:val="28"/>
          <w:highlight w:val="none"/>
          <w:lang w:val="en-US" w:eastAsia="zh-CN"/>
        </w:rPr>
        <w:t xml:space="preserve">；</w:t>
      </w:r>
      <w:r>
        <w:rPr>
          <w:highlight w:val="none"/>
        </w:rPr>
      </w:r>
      <w:r/>
    </w:p>
    <w:p>
      <w:pPr>
        <w:pStyle w:val="961"/>
        <w:ind w:firstLine="560"/>
        <w:spacing w:line="360" w:lineRule="auto"/>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6.2.4履约保证金不予退还的情形：</w:t>
      </w:r>
      <w:r>
        <w:rPr>
          <w:rFonts w:ascii="方正仿宋_GBK" w:hAnsi="方正仿宋_GBK" w:eastAsia="方正仿宋_GBK" w:cs="方正仿宋_GBK"/>
          <w:sz w:val="28"/>
          <w:szCs w:val="28"/>
          <w:highlight w:val="none"/>
        </w:rPr>
        <w:t xml:space="preserve">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rFonts w:hint="eastAsia" w:ascii="方正仿宋_GBK" w:hAnsi="方正仿宋_GBK" w:eastAsia="方正仿宋_GBK" w:cs="方正仿宋_GBK"/>
          <w:sz w:val="28"/>
          <w:szCs w:val="28"/>
          <w:highlight w:val="none"/>
        </w:rPr>
        <w:t xml:space="preserve">。</w:t>
      </w:r>
      <w:r>
        <w:rPr>
          <w:highlight w:val="none"/>
        </w:rPr>
      </w:r>
      <w:r/>
    </w:p>
    <w:p>
      <w:pPr>
        <w:pStyle w:val="99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七、合同转包或分包</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7.1乙方不得将合同标的转包给他人履行。</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7.3乙方如有转包或未经甲方同意的分包行为，甲方有权解除合同。</w:t>
      </w:r>
      <w:r>
        <w:rPr>
          <w:highlight w:val="none"/>
        </w:rPr>
      </w:r>
      <w:r/>
    </w:p>
    <w:p>
      <w:pPr>
        <w:pStyle w:val="999"/>
        <w:ind w:firstLine="560"/>
        <w:spacing w:before="120" w:after="120" w:line="38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八、合同款项支付</w:t>
      </w:r>
      <w:r>
        <w:rPr>
          <w:highlight w:val="none"/>
        </w:rPr>
      </w:r>
      <w:r/>
    </w:p>
    <w:p>
      <w:pPr>
        <w:pStyle w:val="99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8.1合同款项的支付方式及进度安排</w:t>
      </w:r>
      <w:r>
        <w:rPr>
          <w:highlight w:val="none"/>
        </w:rPr>
      </w:r>
      <w:r/>
    </w:p>
    <w:p>
      <w:pPr>
        <w:pStyle w:val="99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8.1.1 预付款支付时间：合同签订后</w:t>
      </w:r>
      <w:r>
        <w:rPr>
          <w:rFonts w:hint="eastAsia" w:ascii="Times New Roman" w:hAnsi="Times New Roman" w:eastAsia="方正仿宋_GBK"/>
          <w:color w:val="000000"/>
          <w:sz w:val="28"/>
          <w:szCs w:val="28"/>
          <w:highlight w:val="none"/>
        </w:rPr>
        <w:t xml:space="preserve">10个</w:t>
      </w:r>
      <w:r>
        <w:rPr>
          <w:rFonts w:hint="eastAsia" w:ascii="方正仿宋_GBK" w:hAnsi="方正仿宋_GBK" w:eastAsia="方正仿宋_GBK" w:cs="方正仿宋_GBK"/>
          <w:sz w:val="28"/>
          <w:szCs w:val="28"/>
          <w:highlight w:val="none"/>
        </w:rPr>
        <w:t xml:space="preserve">工作日内，预付款支付比例：合同金额的</w:t>
      </w:r>
      <w:r>
        <w:rPr>
          <w:rFonts w:hint="eastAsia" w:ascii="Times New Roman" w:hAnsi="Times New Roman" w:eastAsia="方正仿宋_GBK"/>
          <w:color w:val="000000"/>
          <w:sz w:val="28"/>
          <w:szCs w:val="28"/>
          <w:highlight w:val="none"/>
          <w:u w:val="single"/>
        </w:rPr>
        <w:t xml:space="preserve">30</w:t>
      </w:r>
      <w:r>
        <w:rPr>
          <w:rFonts w:hint="eastAsia" w:ascii="方正仿宋_GBK" w:hAnsi="方正仿宋_GBK" w:eastAsia="方正仿宋_GBK" w:cs="方正仿宋_GBK"/>
          <w:sz w:val="28"/>
          <w:szCs w:val="28"/>
          <w:highlight w:val="none"/>
        </w:rPr>
        <w:t xml:space="preserve">%。</w:t>
      </w:r>
      <w:r>
        <w:rPr>
          <w:highlight w:val="none"/>
        </w:rPr>
      </w:r>
      <w:r/>
    </w:p>
    <w:p>
      <w:pPr>
        <w:pStyle w:val="999"/>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8.1.2 尾款支付时间：采购人收到发票后10个工作日内，尾款支付比例：合同金额的</w:t>
      </w:r>
      <w:r>
        <w:rPr>
          <w:rFonts w:hint="eastAsia" w:ascii="Times New Roman" w:hAnsi="Times New Roman" w:eastAsia="方正仿宋_GBK"/>
          <w:color w:val="000000"/>
          <w:sz w:val="28"/>
          <w:szCs w:val="28"/>
          <w:highlight w:val="none"/>
          <w:u w:val="single"/>
        </w:rPr>
        <w:t xml:space="preserve">70</w:t>
      </w:r>
      <w:r>
        <w:rPr>
          <w:rFonts w:hint="eastAsia" w:ascii="方正仿宋_GBK" w:hAnsi="方正仿宋_GBK" w:eastAsia="方正仿宋_GBK" w:cs="方正仿宋_GBK"/>
          <w:sz w:val="28"/>
          <w:szCs w:val="28"/>
          <w:highlight w:val="none"/>
        </w:rPr>
        <w:t xml:space="preserve">%。</w:t>
      </w:r>
      <w:r>
        <w:rPr>
          <w:highlight w:val="none"/>
        </w:rPr>
      </w:r>
      <w:r/>
    </w:p>
    <w:p>
      <w:pPr>
        <w:pStyle w:val="999"/>
        <w:ind w:firstLine="560"/>
        <w:spacing w:before="120" w:after="120" w:line="38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九、税费</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9.1本合同执行中相关的一切税费均由乙方负担。</w:t>
      </w:r>
      <w:r>
        <w:rPr>
          <w:highlight w:val="none"/>
        </w:rPr>
      </w:r>
      <w:r/>
    </w:p>
    <w:p>
      <w:pPr>
        <w:pStyle w:val="999"/>
        <w:ind w:firstLine="560"/>
        <w:spacing w:before="120" w:after="120" w:line="38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十、项目验收</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甲方依法组织履约验收工作。</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10.3 对于实际使用人和甲方分离的项目，甲方邀请实际使用人参与验收。</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10.4 如有必要，甲方邀请参加本项目的其他供应商或第三方专业机构及专家参与验收，相关意见将作为验收书的参考资料。</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highlight w:val="none"/>
        </w:rPr>
      </w:r>
      <w:r/>
    </w:p>
    <w:p>
      <w:pPr>
        <w:pStyle w:val="999"/>
        <w:ind w:firstLine="560"/>
        <w:spacing w:before="120" w:after="120" w:line="38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十一、违约责任</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 甲乙双方任何一方违反本合同的相关规定，应承担相应的违约责任。</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11.2 双方均不可擅自终止合同或拒不履行合同，任何一方擅自终止合同(对方违约，一方有权解除本合同的除外)或拒不履行合同的，应支付给守约方相当于本合同总金额30%的违约金。</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11.3 因乙方原因造成软件安装、调试、验收迟延的，乙方应承担违约责任，从延迟交付第10日起，每逾期一日，按合同总价款的1%计算。逾期超过40天的，甲方有权解除合同，并要求按合同总价款30%支付违约金。如由此造成甲方损失的，乙方还应另行赔偿。</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11.4 如在试运行或验收过程中，乙方交付的系统与本合同及附件约定的技术指标、功能、质量要求不符，拒绝修改或经两次修改仍不符合的，甲方有权解除合同，拒付剩余合同款项，并有权自行或委托第三方对软件进行修改或另行开发，所发生的费用以及遭受的损失全部由乙方承担。</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11.5 如乙方交付的系统(包括软件和硬件)与本合同及附件约定的技术指标、功能、质量要求不符或乙方实施人员人为错误操作，导致甲方设备故障、数据丢失、被盗、信息泄露、系统停止运营甚至停止营业的，乙方应负责赔偿甲方的全部损失。如甲方损失金额难以举证的，乙方同意至少向甲方支付壹万元作为违约金，以弥补甲方损失。</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11.6 如在免费维保期内，乙方对甲方的服务请求迟延响应或拒绝响应的，每迟延(包括拒绝)一天，按合同总价款的1%支付违约金。如项目产品发生故障或问题，导致应用软件不能正常运行，且无法修复，或同一故障或问题经两次修复仍然存在，或项目产品因存在不同故障或问题修复三次以上，甲方有权按合同款项的10%追索乙方的违约金，并有权自行或委托第三方对软件进行修改或另行开发，所发生的费用以及遭受的损失全部由乙方承担。</w:t>
      </w:r>
      <w:r>
        <w:rPr>
          <w:highlight w:val="none"/>
        </w:rPr>
      </w:r>
      <w:r/>
    </w:p>
    <w:p>
      <w:pPr>
        <w:pStyle w:val="999"/>
        <w:ind w:firstLine="560"/>
        <w:spacing w:before="120" w:after="120" w:line="38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十二、不可抗力事件处理</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 在合同有效期内，任何一方因不可抗力事件导致不能履行合同，则合同履行期可延长，其延长期与不可抗力影响 期相同。</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 不可抗力事件发生后，应立即通知对方，并寄送有关权威机构出具的证明。</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12.3 不可抗力事件延续120天以上，双方应通过友好协商，确定是否继续履行合同。</w:t>
      </w:r>
      <w:r>
        <w:rPr>
          <w:highlight w:val="none"/>
        </w:rPr>
      </w:r>
      <w:r/>
    </w:p>
    <w:p>
      <w:pPr>
        <w:pStyle w:val="999"/>
        <w:ind w:firstLine="560"/>
        <w:spacing w:before="120" w:after="120" w:line="38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十三、解决争议的方法</w:t>
      </w:r>
      <w:r>
        <w:rPr>
          <w:highlight w:val="none"/>
        </w:rPr>
      </w:r>
      <w:r/>
    </w:p>
    <w:p>
      <w:pPr>
        <w:pStyle w:val="999"/>
        <w:ind w:firstLine="560"/>
        <w:spacing w:before="120" w:after="120" w:line="380" w:lineRule="exact"/>
        <w:rPr>
          <w:rFonts w:hint="eastAsia" w:hAnsi="宋体"/>
          <w:sz w:val="28"/>
          <w:szCs w:val="28"/>
          <w:highlight w:val="none"/>
        </w:rPr>
      </w:pPr>
      <w:r>
        <w:rPr>
          <w:rFonts w:hint="eastAsia" w:ascii="方正仿宋_GBK" w:hAnsi="方正仿宋_GBK" w:eastAsia="方正仿宋_GBK" w:cs="方正仿宋_GBK"/>
          <w:sz w:val="28"/>
          <w:szCs w:val="28"/>
          <w:highlight w:val="none"/>
        </w:rPr>
        <w:t xml:space="preserve">13.1双方在签订、履行合同中所发生的一切争议，应通过友好协商解决。如协商不成，由甲方住所地人民法院管辖。</w:t>
      </w:r>
      <w:r>
        <w:rPr>
          <w:highlight w:val="none"/>
        </w:rPr>
      </w:r>
      <w:r/>
    </w:p>
    <w:p>
      <w:pPr>
        <w:pStyle w:val="999"/>
        <w:ind w:firstLine="560"/>
        <w:spacing w:before="120" w:after="120" w:line="38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十四、合同生效及其它</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14.1 合同经双方法定代表人或授权委托代表人签字并加盖单位公章后生效。</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14.2本合同未尽事宜，遵照中华人民共和国现行法律法规有关条文执行。</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14.3 本合同正本一式两份，具有同等法律效力，甲方、乙方各执一份。</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                        乙方： </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地址： </w:t>
      </w:r>
      <w:r>
        <w:rPr>
          <w:highlight w:val="none"/>
        </w:rPr>
      </w:r>
      <w:r/>
    </w:p>
    <w:p>
      <w:pPr>
        <w:pStyle w:val="999"/>
        <w:ind w:firstLine="560"/>
        <w:spacing w:before="120" w:after="120" w:line="38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法定代表人或授权代表：        法定代表人或授权代表：</w:t>
      </w:r>
      <w:r>
        <w:rPr>
          <w:highlight w:val="none"/>
        </w:rPr>
      </w:r>
      <w:r/>
    </w:p>
    <w:p>
      <w:pPr>
        <w:pStyle w:val="999"/>
        <w:ind w:firstLine="560"/>
        <w:spacing w:before="120" w:after="120" w:line="380" w:lineRule="exact"/>
        <w:rPr>
          <w:rFonts w:hint="eastAsia"/>
          <w:sz w:val="28"/>
          <w:szCs w:val="28"/>
          <w:highlight w:val="none"/>
        </w:rPr>
      </w:pPr>
      <w:r>
        <w:rPr>
          <w:rFonts w:hint="eastAsia" w:ascii="方正仿宋_GBK" w:hAnsi="方正仿宋_GBK" w:eastAsia="方正仿宋_GBK" w:cs="方正仿宋_GBK"/>
          <w:sz w:val="28"/>
          <w:szCs w:val="28"/>
          <w:highlight w:val="none"/>
        </w:rPr>
        <w:t xml:space="preserve">联系电话：                    联系电话：    </w:t>
      </w:r>
      <w:r>
        <w:rPr>
          <w:rFonts w:hint="eastAsia" w:hAnsi="宋体"/>
          <w:sz w:val="28"/>
          <w:szCs w:val="28"/>
          <w:highlight w:val="none"/>
        </w:rPr>
        <w:t xml:space="preserve">      </w:t>
      </w:r>
      <w:r>
        <w:rPr>
          <w:highlight w:val="none"/>
        </w:rPr>
      </w:r>
      <w:r/>
    </w:p>
    <w:p>
      <w:pPr>
        <w:pStyle w:val="999"/>
        <w:jc w:val="right"/>
        <w:spacing w:before="120" w:after="120" w:line="400" w:lineRule="exact"/>
        <w:rPr>
          <w:sz w:val="28"/>
          <w:szCs w:val="28"/>
          <w:highlight w:val="none"/>
        </w:rPr>
      </w:pPr>
      <w:r>
        <w:rPr>
          <w:rFonts w:hint="eastAsia"/>
          <w:sz w:val="28"/>
          <w:szCs w:val="28"/>
          <w:highlight w:val="none"/>
        </w:rPr>
        <w:t xml:space="preserve"> </w:t>
      </w:r>
      <w:r>
        <w:rPr>
          <w:highlight w:val="none"/>
        </w:rPr>
      </w:r>
      <w:r/>
    </w:p>
    <w:p>
      <w:pPr>
        <w:pStyle w:val="999"/>
        <w:jc w:val="center"/>
        <w:spacing w:before="120" w:after="120" w:line="400" w:lineRule="exact"/>
        <w:rPr>
          <w:rFonts w:hint="eastAsia" w:ascii="方正黑体_GBK" w:hAnsi="方正黑体_GBK" w:eastAsia="方正黑体_GBK" w:cs="方正黑体_GBK"/>
          <w:bCs/>
          <w:color w:val="000000"/>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签订日期：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bookmarkEnd w:id="50"/>
      <w:r>
        <w:rPr>
          <w:highlight w:val="none"/>
        </w:rPr>
      </w:r>
      <w:bookmarkEnd w:id="51"/>
      <w:r>
        <w:rPr>
          <w:highlight w:val="none"/>
        </w:rPr>
      </w:r>
      <w:bookmarkEnd w:id="52"/>
      <w:r>
        <w:rPr>
          <w:highlight w:val="none"/>
        </w:rPr>
      </w:r>
      <w:bookmarkStart w:id="53" w:name="_Hlt16619369"/>
      <w:r>
        <w:rPr>
          <w:highlight w:val="none"/>
        </w:rPr>
      </w:r>
      <w:bookmarkEnd w:id="53"/>
      <w:r>
        <w:rPr>
          <w:highlight w:val="none"/>
        </w:rPr>
      </w:r>
      <w:bookmarkStart w:id="54" w:name="_Hlt16619350"/>
      <w:r>
        <w:rPr>
          <w:highlight w:val="none"/>
        </w:rPr>
      </w:r>
      <w:bookmarkStart w:id="55" w:name="_Toc120614244"/>
      <w:r>
        <w:rPr>
          <w:highlight w:val="none"/>
        </w:rPr>
      </w:r>
      <w:bookmarkStart w:id="56" w:name="_Toc20823346"/>
      <w:r>
        <w:rPr>
          <w:highlight w:val="none"/>
        </w:rPr>
      </w:r>
      <w:bookmarkStart w:id="57" w:name="_Toc16938590"/>
      <w:r>
        <w:rPr>
          <w:highlight w:val="none"/>
        </w:rPr>
      </w:r>
      <w:bookmarkStart w:id="58" w:name="_Toc462564139"/>
      <w:r>
        <w:rPr>
          <w:highlight w:val="none"/>
        </w:rPr>
      </w:r>
      <w:bookmarkStart w:id="59" w:name="_Toc479757211"/>
      <w:r>
        <w:rPr>
          <w:rFonts w:ascii="黑体" w:eastAsia="黑体"/>
          <w:bCs/>
          <w:sz w:val="28"/>
          <w:szCs w:val="28"/>
          <w:highlight w:val="none"/>
        </w:rPr>
        <w:br w:type="page" w:clear="all"/>
      </w:r>
      <w:r>
        <w:rPr>
          <w:rFonts w:hint="eastAsia" w:ascii="方正黑体_GBK" w:hAnsi="方正黑体_GBK" w:eastAsia="方正黑体_GBK" w:cs="方正黑体_GBK"/>
          <w:color w:val="000000"/>
          <w:sz w:val="28"/>
          <w:szCs w:val="28"/>
          <w:highlight w:val="none"/>
        </w:rPr>
        <w:t xml:space="preserve">第</w:t>
      </w:r>
      <w:bookmarkEnd w:id="54"/>
      <w:r>
        <w:rPr>
          <w:rFonts w:hint="eastAsia" w:ascii="方正黑体_GBK" w:hAnsi="方正黑体_GBK" w:eastAsia="方正黑体_GBK" w:cs="方正黑体_GBK"/>
          <w:color w:val="000000"/>
          <w:sz w:val="28"/>
          <w:szCs w:val="28"/>
          <w:highlight w:val="none"/>
        </w:rPr>
        <w:t xml:space="preserve">四章 采购需求</w:t>
      </w:r>
      <w:bookmarkEnd w:id="55"/>
      <w:r>
        <w:rPr>
          <w:highlight w:val="none"/>
        </w:rPr>
      </w:r>
      <w:bookmarkEnd w:id="56"/>
      <w:r>
        <w:rPr>
          <w:highlight w:val="none"/>
        </w:rPr>
      </w:r>
      <w:bookmarkEnd w:id="57"/>
      <w:r>
        <w:rPr>
          <w:highlight w:val="none"/>
        </w:rPr>
      </w:r>
      <w:r/>
    </w:p>
    <w:p>
      <w:pPr>
        <w:pStyle w:val="999"/>
        <w:ind w:firstLine="560"/>
        <w:spacing w:before="120" w:after="120" w:line="400" w:lineRule="exact"/>
        <w:rPr>
          <w:rFonts w:hint="eastAsia" w:ascii="方正黑体_GBK" w:hAnsi="方正黑体_GBK" w:eastAsia="方正黑体_GBK" w:cs="方正黑体_GBK"/>
          <w:bCs/>
          <w:sz w:val="28"/>
          <w:szCs w:val="28"/>
          <w:highlight w:val="none"/>
        </w:rPr>
      </w:pPr>
      <w:r>
        <w:rPr>
          <w:highlight w:val="none"/>
        </w:rPr>
      </w:r>
      <w:bookmarkStart w:id="60" w:name="_Toc49090575"/>
      <w:r>
        <w:rPr>
          <w:highlight w:val="none"/>
        </w:rPr>
      </w:r>
      <w:bookmarkStart w:id="61" w:name="_Toc26554093"/>
      <w:r>
        <w:rPr>
          <w:rFonts w:hint="eastAsia" w:ascii="方正黑体_GBK" w:hAnsi="方正黑体_GBK" w:eastAsia="方正黑体_GBK" w:cs="方正黑体_GBK"/>
          <w:bCs/>
          <w:sz w:val="28"/>
          <w:szCs w:val="28"/>
          <w:highlight w:val="none"/>
        </w:rPr>
        <w:t xml:space="preserve">一、采购标的清单</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164"/>
        <w:gridCol w:w="3325"/>
        <w:gridCol w:w="2438"/>
      </w:tblGrid>
      <w:tr>
        <w:trPr>
          <w:cantSplit/>
          <w:trHeight w:val="701"/>
        </w:trPr>
        <w:tc>
          <w:tcPr>
            <w:tcW w:w="790"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highlight w:val="none"/>
              </w:rPr>
            </w:r>
            <w:r/>
          </w:p>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highlight w:val="none"/>
              </w:rPr>
            </w:r>
            <w:r/>
          </w:p>
        </w:tc>
        <w:tc>
          <w:tcPr>
            <w:tcW w:w="1164"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highlight w:val="none"/>
              </w:rPr>
            </w:r>
            <w:r/>
          </w:p>
        </w:tc>
        <w:tc>
          <w:tcPr>
            <w:tcW w:w="3325"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rPr>
                <w:highlight w:val="none"/>
              </w:rPr>
            </w:r>
            <w:r/>
          </w:p>
        </w:tc>
        <w:tc>
          <w:tcPr>
            <w:tcW w:w="2438"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rPr>
                <w:highlight w:val="none"/>
              </w:rPr>
            </w:r>
            <w:r/>
          </w:p>
        </w:tc>
      </w:tr>
      <w:tr>
        <w:trPr>
          <w:cantSplit/>
          <w:trHeight w:val="291"/>
        </w:trPr>
        <w:tc>
          <w:tcPr>
            <w:tcW w:w="790"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1</w:t>
            </w:r>
            <w:r>
              <w:rPr>
                <w:highlight w:val="none"/>
              </w:rPr>
            </w:r>
            <w:r/>
          </w:p>
        </w:tc>
        <w:tc>
          <w:tcPr>
            <w:tcW w:w="1164"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3325" w:type="dxa"/>
            <w:vAlign w:val="top"/>
            <w:textDirection w:val="lrTb"/>
            <w:noWrap w:val="false"/>
          </w:tcPr>
          <w:p>
            <w:pPr>
              <w:pStyle w:val="961"/>
              <w:jc w:val="center"/>
              <w:spacing w:line="400" w:lineRule="exact"/>
              <w:tabs>
                <w:tab w:val="left" w:pos="2020" w:leader="none"/>
              </w:tabs>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医疗运营综合智慧平台</w:t>
            </w:r>
            <w:r>
              <w:rPr>
                <w:highlight w:val="none"/>
              </w:rPr>
            </w:r>
            <w:r/>
          </w:p>
        </w:tc>
        <w:tc>
          <w:tcPr>
            <w:tcW w:w="2438" w:type="dxa"/>
            <w:vAlign w:val="top"/>
            <w:textDirection w:val="lrTb"/>
            <w:noWrap w:val="false"/>
          </w:tcPr>
          <w:p>
            <w:pPr>
              <w:pStyle w:val="961"/>
              <w:jc w:val="center"/>
              <w:spacing w:line="400" w:lineRule="exact"/>
              <w:tabs>
                <w:tab w:val="left" w:pos="2020" w:leader="none"/>
              </w:tabs>
              <w:rPr>
                <w:rFonts w:eastAsia="方正仿宋_GBK"/>
                <w:color w:val="000000"/>
                <w:sz w:val="28"/>
                <w:szCs w:val="28"/>
                <w:highlight w:val="none"/>
              </w:rPr>
            </w:pPr>
            <w:r>
              <w:rPr>
                <w:rFonts w:hint="eastAsia" w:ascii="方正仿宋_GBK" w:hAnsi="宋体"/>
                <w:sz w:val="24"/>
                <w:szCs w:val="24"/>
                <w:highlight w:val="none"/>
              </w:rPr>
              <w:t xml:space="preserve">软</w:t>
            </w:r>
            <w:r>
              <w:rPr>
                <w:rFonts w:hint="eastAsia" w:ascii="宋体" w:hAnsi="宋体"/>
                <w:sz w:val="24"/>
                <w:szCs w:val="24"/>
                <w:highlight w:val="none"/>
              </w:rPr>
              <w:t xml:space="preserve">件与信息服务业</w:t>
            </w:r>
            <w:r>
              <w:rPr>
                <w:highlight w:val="none"/>
              </w:rPr>
            </w:r>
            <w:r/>
          </w:p>
        </w:tc>
      </w:tr>
    </w:tbl>
    <w:p>
      <w:pPr>
        <w:pStyle w:val="99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项目属性:服务类项目。</w:t>
      </w:r>
      <w:r>
        <w:rPr>
          <w:highlight w:val="none"/>
        </w:rPr>
      </w:r>
      <w:r/>
    </w:p>
    <w:p>
      <w:pPr>
        <w:pStyle w:val="999"/>
        <w:ind w:firstLine="560"/>
        <w:spacing w:before="120" w:after="120" w:line="400" w:lineRule="exact"/>
        <w:rPr>
          <w:rFonts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lang w:val="en-US" w:eastAsia="zh-CN"/>
        </w:rPr>
        <w:t xml:space="preserve">不接受进口产品投标。</w:t>
      </w:r>
      <w:r>
        <w:rPr>
          <w:highlight w:val="none"/>
        </w:rPr>
      </w:r>
      <w:r/>
    </w:p>
    <w:p>
      <w:pPr>
        <w:pStyle w:val="99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二、政府采购中实施本国产品标准及相关政策</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pStyle w:val="99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三、技术要求</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项目定位于适应中医医院的公立医院运营管理、智慧管理评级、高质量发展等新的政策和制度要求，建立符合现代化管理制度、符合公立医院改革精神的医院运营数据中心及管理决策分析系统，从顶层规划和全院信息化布局出发，满足未来医院5-10年发展的要求。</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根据医院运营管理规范化、精细化、科学化管理的要求，以新的业务架构为导向，通过运营数据中心及管理决策分析系统建设，以建立整合的运营数据中心为核心，实现对临床相关系统、运营管理系统的数据整合集成、资源协同、数据共享，构建院级、科室级、病种级运营管理决策支持体系（包括移动分析应用），包括全院运营分析、科室运营分析、专科运营分析、专项服务分析等运营管理的应用场景，助力医院提升智慧化、智能化管理水平。</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（一）项目范围</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本次项目建设范围包括江苏省中医院集团下的院区：包括本部、紫东院区、钟山院区、江宁院区等，以下统称江苏省中医院。</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（二）整体目标</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项目立足于巩固和提升医院的运营管理基础，着眼于增强医院的发展动力与效率，通过运营数据治理与决策分析体系建设，以及医院运营管理组织与能力建设等多种手段，构建覆盖“全院-科室-病种-医师”的四级数据链，实现从全院到科室到病种级的成本控制，提升科室运营效率。</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2.1 临床科室主动运营管理模式探索</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完善科室运营管理体系，实现科室运营数据的采集、分析、监控，以现状分析、目标偏差、同类横向对标等多种技术形式，为科室运营提供参考和借鉴。以智能分析系统、智能报告等数据分析工具，支撑全院、院区、大科、科室四级运营体系。</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2.2 病种运营体系建设</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基于病种成本核算结果，完善病种/病组运营分析能力。围绕权重-盈亏-规模三个基本维度进行DRG/DIP病种综合评价分析。应用大数据统计分析建模方法，建立全院病种总费用、药耗服、中草药、中成药关键资源费用标杆模型，并以此为基础开展科室病种成本管控评价。构建优势病种的“量、质、效”同步发展的病种运营管理体系，提升科室运营管理水平。</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2.3 全院综合运营分析与科室绩效监管系统建设</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搭建全院综合运营分析系统，为运营管理办公室提供信息工具，及时发现、分析全院运营管理问题，为院领导、相关科室及时提供数据分析支持。搭建科室绩效监管和分析系统，衔接绩效考核与分配结果，监测跟踪绩效考核与分配结果状况，及时反馈科室绩效异常。</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2.4 资源监控与分析系统建设</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建立医院重点医疗资源监控和分析系统，实现床位、手术间、门诊诊室等关键资源监控和分析。</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2.5 建立运营大数据中心（ODR）与智能分析支撑系统</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围绕管理场景的决策分析需求以及成本管理与绩效管理数据应用需求，集成临床域与管理域数据资源，并进行规范治理统一建立，沉淀运营数据资产，为决策分析应用提供数据保障。</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综合应用可视化分析、机器学习等AI算法以及以大语言模型的智能分析能力，提供监测、预测、总结分析能力，提高决策支持有效性。</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（三）项目需求</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3.1 功能性需求概述</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江苏省中医院医疗运营综合智慧平台项目涉及涉及的软件、硬件相关技术和产品须满足信创要求，采购的系统内容如下：</w:t>
      </w:r>
      <w:r>
        <w:rPr>
          <w:highlight w:val="none"/>
        </w:rPr>
      </w:r>
      <w:r/>
    </w:p>
    <w:tbl>
      <w:tblPr>
        <w:tblW w:w="4736" w:type="pct"/>
        <w:tblInd w:w="138" w:type="dxa"/>
        <w:tblLayout w:type="autofit"/>
        <w:tblCellMar>
          <w:left w:w="108" w:type="dxa"/>
          <w:top w:w="0" w:type="dxa"/>
          <w:right w:w="108" w:type="dxa"/>
          <w:bottom w:w="0" w:type="dxa"/>
        </w:tblCellMar>
        <w:tblLook w:val="04A0" w:firstRow="1" w:lastRow="0" w:firstColumn="1" w:lastColumn="0" w:noHBand="0" w:noVBand="1"/>
      </w:tblPr>
      <w:tblGrid>
        <w:gridCol w:w="1021"/>
        <w:gridCol w:w="2496"/>
        <w:gridCol w:w="3139"/>
        <w:gridCol w:w="911"/>
        <w:gridCol w:w="845"/>
        <w:gridCol w:w="273"/>
      </w:tblGrid>
      <w:tr>
        <w:trPr>
          <w:gridAfter w:val="1"/>
          <w:trHeight w:val="580"/>
        </w:trPr>
        <w:tc>
          <w:tcPr>
            <w:tcBorders>
              <w:top w:val="single" w:color="000000" w:sz="4" w:space="0"/>
              <w:left w:val="single" w:color="000000" w:sz="4" w:space="0"/>
              <w:bottom w:val="single" w:color="000000" w:sz="4" w:space="0"/>
              <w:right w:val="single" w:color="000000" w:sz="4" w:space="0"/>
            </w:tcBorders>
            <w:tcW w:w="588" w:type="dxa"/>
            <w:vAlign w:val="center"/>
            <w:vMerge w:val="restart"/>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1436" w:type="dxa"/>
            <w:vAlign w:val="center"/>
            <w:vMerge w:val="restart"/>
            <w:textDirection w:val="lrTb"/>
            <w:noWrap w:val="false"/>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1806" w:type="dxa"/>
            <w:vAlign w:val="center"/>
            <w:vMerge w:val="restart"/>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功能清单</w:t>
            </w:r>
            <w:r>
              <w:rPr>
                <w:highlight w:val="none"/>
              </w:rPr>
            </w:r>
            <w:r/>
          </w:p>
        </w:tc>
        <w:tc>
          <w:tcPr>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486" w:type="dxa"/>
            <w:vAlign w:val="center"/>
            <w:vMerge w:val="restart"/>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单位</w:t>
            </w:r>
            <w:r>
              <w:rPr>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W w:w="588"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0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157" w:type="dxa"/>
            <w:vAlign w:val="bottom"/>
            <w:textDirection w:val="lrTb"/>
            <w:noWrap/>
          </w:tcPr>
          <w:p>
            <w:pPr>
              <w:pStyle w:val="961"/>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W w:w="1436" w:type="dxa"/>
            <w:vAlign w:val="center"/>
            <w:vMerge w:val="restart"/>
            <w:textDirection w:val="lrTb"/>
            <w:noWrap w:val="false"/>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院级运营管理平台</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全院运营管理驾驶舱</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收支余分析</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工作量分析</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病种分析</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5</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绩效分析</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6</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运营分析报告</w:t>
            </w:r>
            <w:r>
              <w:rPr>
                <w:highlight w:val="none"/>
              </w:rPr>
            </w:r>
            <w:r/>
          </w:p>
        </w:tc>
        <w:tc>
          <w:tcPr>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7</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RBRVS点数分析</w:t>
            </w:r>
            <w:r>
              <w:rPr>
                <w:highlight w:val="none"/>
              </w:rPr>
            </w:r>
            <w:r/>
          </w:p>
        </w:tc>
        <w:tc>
          <w:tcPr>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8</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全院运营大屏</w:t>
            </w:r>
            <w:r>
              <w:rPr>
                <w:highlight w:val="none"/>
              </w:rPr>
            </w:r>
            <w:r/>
          </w:p>
        </w:tc>
        <w:tc>
          <w:tcPr>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405"/>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9</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医院运营管理系统（手机端）</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10</w:t>
            </w:r>
            <w:r>
              <w:rPr>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W w:w="1436" w:type="dxa"/>
            <w:vAlign w:val="center"/>
            <w:vMerge w:val="restart"/>
            <w:textDirection w:val="lrTb"/>
            <w:noWrap w:val="false"/>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临床科室经营平台</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专科目标管理驾驶舱</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11</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科室工作台</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12</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科室运营日报</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13</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科室收支余分析</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14</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科室病种分析</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15</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科室工作量分析</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16</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专科运营管理系统（手机端）</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17</w:t>
            </w:r>
            <w:r>
              <w:rPr>
                <w:highlight w:val="none"/>
              </w:rPr>
            </w:r>
            <w:r/>
          </w:p>
        </w:tc>
        <w:tc>
          <w:tcPr>
            <w:shd w:val="clear" w:color="000000" w:fill="ffffff"/>
            <w:tcBorders>
              <w:top w:val="none" w:color="000000" w:sz="4" w:space="0"/>
              <w:left w:val="single" w:color="000000" w:sz="4" w:space="0"/>
              <w:bottom w:val="none" w:color="000000" w:sz="0" w:space="0"/>
              <w:right w:val="single" w:color="000000" w:sz="4" w:space="0"/>
            </w:tcBorders>
            <w:tcW w:w="1436" w:type="dxa"/>
            <w:vAlign w:val="center"/>
            <w:vMerge w:val="restart"/>
            <w:textDirection w:val="lrTb"/>
            <w:noWrap w:val="false"/>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医疗质量控制平台</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医疗质量控制管理</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18</w:t>
            </w:r>
            <w:r>
              <w:rPr>
                <w:highlight w:val="none"/>
              </w:rPr>
            </w:r>
            <w:r/>
          </w:p>
        </w:tc>
        <w:tc>
          <w:tcPr>
            <w:shd w:val="clear" w:color="000000" w:fill="ffffff"/>
            <w:tcBorders>
              <w:top w:val="none" w:color="000000" w:sz="0" w:space="0"/>
              <w:left w:val="single" w:color="000000" w:sz="4" w:space="0"/>
              <w:bottom w:val="none" w:color="000000" w:sz="0" w:space="0"/>
              <w:right w:val="single" w:color="000000" w:sz="4" w:space="0"/>
            </w:tcBorders>
            <w:tcW w:w="1436" w:type="dxa"/>
            <w:vAlign w:val="center"/>
            <w:vMerge w:val="continue"/>
            <w:textDirection w:val="lrTb"/>
            <w:noWrap w:val="false"/>
          </w:tcPr>
          <w:p>
            <w:pPr>
              <w:pStyle w:val="961"/>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药学质量控制管理</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19</w:t>
            </w:r>
            <w:r>
              <w:rPr>
                <w:highlight w:val="none"/>
              </w:rPr>
            </w:r>
            <w:r/>
          </w:p>
        </w:tc>
        <w:tc>
          <w:tcPr>
            <w:shd w:val="clear" w:color="000000" w:fill="ffffff"/>
            <w:tcBorders>
              <w:top w:val="none" w:color="000000" w:sz="0"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center"/>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护理质量控制管理</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20</w:t>
            </w:r>
            <w:r>
              <w:rPr>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W w:w="1436" w:type="dxa"/>
            <w:vAlign w:val="center"/>
            <w:vMerge w:val="restart"/>
            <w:textDirection w:val="lrTb"/>
            <w:noWrap w:val="false"/>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运营管理大数据中心</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数据资产管理</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21</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数据血缘</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28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22</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数据质控</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23</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数据服务</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24</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权限管理</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25</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系统管理</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26</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日志查看</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27</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运营数据综合治理服务</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666"/>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28</w:t>
            </w:r>
            <w:r>
              <w:rPr>
                <w:highlight w:val="none"/>
              </w:rPr>
            </w:r>
            <w:r/>
          </w:p>
        </w:tc>
        <w:tc>
          <w:tcPr>
            <w:shd w:val="clear" w:color="000000" w:fill="ffffff"/>
            <w:tcBorders>
              <w:top w:val="none" w:color="000000" w:sz="4" w:space="0"/>
              <w:left w:val="single" w:color="000000" w:sz="4" w:space="0"/>
              <w:bottom w:val="single" w:color="000000" w:sz="4" w:space="0"/>
              <w:right w:val="single" w:color="000000" w:sz="4" w:space="0"/>
            </w:tcBorders>
            <w:tcW w:w="1436" w:type="dxa"/>
            <w:vAlign w:val="center"/>
            <w:vMerge w:val="restart"/>
            <w:textDirection w:val="lrTb"/>
            <w:noWrap w:val="false"/>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人工智能（AI）应用</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智能BI</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300"/>
        </w:trPr>
        <w:tc>
          <w:tcPr>
            <w:shd w:val="clear" w:color="000000" w:fill="ffffff"/>
            <w:tcBorders>
              <w:top w:val="non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29</w:t>
            </w:r>
            <w:r>
              <w:rPr>
                <w:highlight w:val="none"/>
              </w:rPr>
            </w:r>
            <w:r/>
          </w:p>
        </w:tc>
        <w:tc>
          <w:tcPr>
            <w:tcBorders>
              <w:top w:val="non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pStyle w:val="961"/>
              <w:jc w:val="left"/>
              <w:widowControl/>
              <w:rPr>
                <w:rFonts w:hint="eastAsia" w:ascii="宋体" w:hAnsi="宋体" w:cs="宋体"/>
                <w:sz w:val="24"/>
                <w:szCs w:val="24"/>
              </w:rPr>
            </w:pPr>
            <w:r>
              <w:rPr>
                <w:rFonts w:hint="eastAsia" w:ascii="宋体" w:hAnsi="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806" w:type="dxa"/>
            <w:vAlign w:val="center"/>
            <w:textDirection w:val="lrTb"/>
            <w:noWrap w:val="false"/>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语音检索</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810"/>
        </w:trPr>
        <w:tc>
          <w:tcPr>
            <w:shd w:val="clear" w:color="000000" w:fill="ffffff"/>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30</w:t>
            </w:r>
            <w:r>
              <w:rPr>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第三方数据接口服务</w:t>
            </w:r>
            <w:r>
              <w:rPr>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第三方数据接口服务</w:t>
            </w:r>
            <w:r>
              <w:rPr>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r>
        <w:trPr>
          <w:trHeight w:val="810"/>
        </w:trPr>
        <w:tc>
          <w:tcPr>
            <w:shd w:val="clear" w:color="000000" w:fill="ffffff"/>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31</w:t>
            </w:r>
            <w:r>
              <w:rPr>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运营管理培训服务</w:t>
            </w:r>
            <w:r>
              <w:rPr>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806" w:type="dxa"/>
            <w:vAlign w:val="center"/>
            <w:textDirection w:val="lrTb"/>
            <w:noWrap/>
          </w:tcPr>
          <w:p>
            <w:pPr>
              <w:pStyle w:val="961"/>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运营能力培训和咨询服务</w:t>
            </w:r>
            <w:r>
              <w:rPr>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524"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61"/>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套</w:t>
            </w:r>
            <w:r>
              <w:rPr>
                <w:highlight w:val="none"/>
              </w:rPr>
            </w:r>
            <w:r/>
          </w:p>
        </w:tc>
        <w:tc>
          <w:tcPr>
            <w:tcBorders>
              <w:top w:val="none" w:color="000000" w:sz="0" w:space="0"/>
              <w:left w:val="none" w:color="000000" w:sz="0" w:space="0"/>
              <w:bottom w:val="none" w:color="000000" w:sz="0" w:space="0"/>
              <w:right w:val="none" w:color="000000" w:sz="0" w:space="0"/>
            </w:tcBorders>
            <w:tcW w:w="157" w:type="dxa"/>
            <w:vAlign w:val="center"/>
            <w:textDirection w:val="lrTb"/>
            <w:noWrap w:val="false"/>
          </w:tcPr>
          <w:p>
            <w:pPr>
              <w:pStyle w:val="961"/>
              <w:jc w:val="left"/>
              <w:widowControl/>
              <w:rPr>
                <w:rFonts w:hint="eastAsia" w:ascii="宋体" w:hAnsi="宋体"/>
                <w:sz w:val="24"/>
                <w:szCs w:val="24"/>
                <w:highlight w:val="none"/>
              </w:rPr>
            </w:pPr>
            <w:r>
              <w:rPr>
                <w:rFonts w:hint="eastAsia" w:ascii="宋体" w:hAnsi="宋体"/>
                <w:sz w:val="24"/>
                <w:szCs w:val="24"/>
                <w:highlight w:val="none"/>
              </w:rPr>
            </w:r>
            <w:r>
              <w:rPr>
                <w:highlight w:val="none"/>
              </w:rPr>
            </w:r>
            <w:r/>
          </w:p>
        </w:tc>
      </w:tr>
    </w:tbl>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 详细功能要求</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3.2.1 院级运营管理平台</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▲3.2.1.1 全院运营管理驾驶舱</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提供全院收支、工作量、病种以及三级中医院国</w:t>
      </w:r>
      <w:r>
        <w:rPr>
          <w:rFonts w:hint="eastAsia" w:ascii="方正仿宋_GBK" w:hAnsi="方正仿宋_GBK" w:eastAsia="方正仿宋_GBK" w:cs="方正仿宋_GBK"/>
          <w:sz w:val="28"/>
          <w:szCs w:val="28"/>
          <w:highlight w:val="none"/>
          <w:lang w:eastAsia="zh-CN"/>
        </w:rPr>
        <w:t xml:space="preserve">监</w:t>
      </w:r>
      <w:r>
        <w:rPr>
          <w:rFonts w:hint="eastAsia" w:ascii="方正仿宋_GBK" w:hAnsi="方正仿宋_GBK" w:eastAsia="方正仿宋_GBK" w:cs="方正仿宋_GBK"/>
          <w:sz w:val="28"/>
          <w:szCs w:val="28"/>
          <w:highlight w:val="none"/>
        </w:rPr>
        <w:t xml:space="preserve">等维度的核心运营指标运行情况，进行可视化监控和趋势分析，并警示异常值，支持下钻到需求的最小单元，使医院管理者能便捷明了地掌握医院运营情况。</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（1）首页</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从全院的收入、能力、资源效率、医疗质量、病种等维度，按照环比、同比及预算口径监测核心指标的运行情况。警示院级管理者关注变化明显的指标，并引导下钻到收支、效率、国</w:t>
      </w:r>
      <w:r>
        <w:rPr>
          <w:rFonts w:hint="eastAsia" w:ascii="方正仿宋_GBK" w:hAnsi="方正仿宋_GBK" w:eastAsia="方正仿宋_GBK" w:cs="方正仿宋_GBK"/>
          <w:sz w:val="28"/>
          <w:szCs w:val="28"/>
          <w:highlight w:val="none"/>
          <w:lang w:eastAsia="zh-CN"/>
        </w:rPr>
        <w:t xml:space="preserve">监</w:t>
      </w:r>
      <w:r>
        <w:rPr>
          <w:rFonts w:hint="eastAsia" w:ascii="方正仿宋_GBK" w:hAnsi="方正仿宋_GBK" w:eastAsia="方正仿宋_GBK" w:cs="方正仿宋_GBK"/>
          <w:sz w:val="28"/>
          <w:szCs w:val="28"/>
          <w:highlight w:val="none"/>
        </w:rPr>
        <w:t xml:space="preserve">指标等不同主题的管理分析界面。时间维度可以选择年度、半年度、季度、月度、周度、日度，也可以选择时间区间。</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（2）费用分析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监测全院门诊费用（次均费用）、住院费用（次均费用）、药品费（次均费用）、医服务费（次均费用）、检查检验费（次均费用）、西药费（次均费用）、中成药费（次均费用）、中草药费（次均费用）、院内制剂费用（次均费用）等指标。对指标的占比、次均、趋势等分析，可进行全院及各院区对比分析、科室排名分析、指标历史趋势分析等，点击院区可联动展示科室排名指标。</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（3）工作量和工作能力</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支持全院工作量分析，包括门急诊人次、出院人次、手术人次等指标。支持全院工作能力指标分析，如四级手术占比、危重病人抢救成功率、手术患者并发症发生率、I类切口手术部位感染率等，进行各院区对比分析、科室排名分析、指标历史趋势分析等，点击院区可联动展示科室排名指标。</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（4）资源效率</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手术间、床位、门诊诊间、设备、医师的效率分析。手术间的资源效率主要看每手术间日均的手术台次。床位的效率从床日收入、平均住院天数、床日产能来衡量。设备效率主要分析大型机器的使用效率，如CT、核磁、PET-CT，从日均检查人次。门诊诊间主要分析利用率、每节次就诊人数、产出收益等。医师效率分别看每名执业医师日均加权服务量、每名执业医师日均住院工作负担。</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（5）病种分析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基于病种成本核算核算结果，完善病种/病组运营分析能力。支持全院和各院区的DRG分析，包括：DRG组数、CMI总值、CMI均值等指标。支持院区间、科间数据对比分析，支持科室排名分析，院区/大科点击可联动科室排名数据。支持DRG病组的CMI均值&amp;例均总结余&amp;病例数、例均院内结余&amp;例均医保结余&amp;病例数四象限气泡图分析。</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（6）自助分析工具平台</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①即席分析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支持基于已创建的指标列表提供即席分析。按照指标内容和范围，支持灵活自主选择指标、指标维度、过滤条件、展示图形等内容进行数据的自由分析。支持更换指标分析图表，基于返回结果类型与场景的自动图表类型识别，支持数据展现类型切换，包括：柱状图，堆积柱状图，折线图，饼图，环状图，象限图等多种图表类型。</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②多维查询</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支持选择已构建的数据集，选择度量/指标，拉取维度构建可视化视图，可以选择显示为列表或者统计图。支持设置可视化图表的展现形式，可以切换不同的分析图形。支持可视化视图下载为图片，支持指标明细数据的下载导出功能。</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③指标数据填报</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针对具体管理场景使用的部分指标没有系统的数据来源，提供填报功能，支持职能科室和临床科室可以通过发布的表单进行静态数据定期填报。支持基于填报数据进行后台指标生产形成指标，参与相关统计分析。</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▲3.2.1.2 收支余分析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提供全院、门诊、住院、手术的收入、成本及医疗盈余分析。通过系统提供的业务分析模型以及异常探查引擎、因果引擎找到异常原因。通过AI算法预测医疗收入、成本以及盈余等。提供相应收支余的智能报告，快速导入收支余相关的核心信息。</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（1）全院收支情况总览</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为科室所有数据，将盈余、收入、成本与预算、去年同期、上期进行对比，判断盈余、收入、成本数据是否异常。其中收入和成本进行构成分析，收入分为医疗服务收入、检查收入、检验收入、药品收入、中药收入、中药饮片收入、中药制剂收入、耗材收入，成本分为直接人力成本、直接变动成本、直接固定成本、间接成本。对比方式有：同比、环比、与预算比。点击医疗收入的和医疗成本的数字可以进入到收入和成本的数据下钻。</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（2）医疗盈余趋势</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从连续六个周期的医疗盈余及成本收益率进行分析。成本收益率=（收入-成本）/成本。点击智能分析、决策建议，引入人工智能对数据进行分析、预测全年盈余。</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（3）病种收支明细</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对科室、医疗组的收入、支出、成本进行分析。表格主体部分为科系、科室、医疗组的数据，通过三角箭头进行收缩，展示同比、环比情况。</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对全院住院数据进行分析，结合病种结构和DRGs盈余，对住院盈余、收入、成本的分析。对病种的次均收入、次均成本、次均结余、病种收益率进行分析，针对盈余前十的病种进行病种收益率、收入、盈余分析。</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（4）收入异常探查</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用二维矩阵的方式展现全院的科室收入变化情况，通过横坐标-收入同比（或环比）增长率，纵坐标-收入占全院比固定科室当期数值点。收入可以选择全部收入、有效收入、医疗服务收入，对比方式可以选择同比或环比。点击表格视图可以看到科室收入的数据表格。</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▲3.2.1.3 工作量和工作效率分析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提供各类工作量效率、质量、结构维度的分析，跟进目标化考核完成情况，从国</w:t>
      </w:r>
      <w:r>
        <w:rPr>
          <w:rFonts w:hint="eastAsia" w:ascii="方正仿宋_GBK" w:hAnsi="方正仿宋_GBK" w:eastAsia="方正仿宋_GBK" w:cs="方正仿宋_GBK"/>
          <w:sz w:val="28"/>
          <w:szCs w:val="28"/>
          <w:highlight w:val="none"/>
          <w:lang w:eastAsia="zh-CN"/>
        </w:rPr>
        <w:t xml:space="preserve">监</w:t>
      </w:r>
      <w:r>
        <w:rPr>
          <w:rFonts w:hint="eastAsia" w:ascii="方正仿宋_GBK" w:hAnsi="方正仿宋_GBK" w:eastAsia="方正仿宋_GBK" w:cs="方正仿宋_GBK"/>
          <w:sz w:val="28"/>
          <w:szCs w:val="28"/>
          <w:highlight w:val="none"/>
        </w:rPr>
        <w:t xml:space="preserve">评价以及医保支付管理视角评价资源投入和产出的关系，提供同类型标杆医院数据参照，给出进一步调整和优化的方向建议。通过系统提供的业务分析模型以及异常探查引擎、因果引擎找到异常原因。通过AI算法预测出院人次、门诊人次、手术人次以及四级手术人次等，帮助院级管理者提前布局制定相应的管理措施。提供工作量主题的智能报告，快速导入工作量相关的核心信息。</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（1）全院临床工作量总览</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分析全院的手术人次、出院人次、急诊人次、门诊人次，通过仪表盘的形式展现数据的对比情况。显示排名，对科室的各类工作量进行分析，通过右上角的下拉框可以进行切换。展示科室的同比、环比情况。</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（2）手术间监控分析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对手术台次与增长趋势的监测，按照手术类型统计，如择期手术、急诊手术、日间手术、手术分级（Ⅰ-Ⅳ级）等例数，分析同比增长率，支持院区间对比。</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手术间使用效率分析，指标包括总利用率、各手术间利用率对比、手术患者明细（手术日期、手术间、手术名称、手术名称、手术级别、开始时间、结束时间、手术医师、手术时长）、首台准时率、接台间隔时长、手术间日均使用时长等关键指标，支持院区间对比。</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（3）门诊诊室分析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门诊诊室工作量分</w:t>
      </w:r>
      <w:r>
        <w:rPr>
          <w:rFonts w:hint="eastAsia" w:ascii="方正仿宋_GBK" w:hAnsi="方正仿宋_GBK" w:eastAsia="方正仿宋_GBK" w:cs="方正仿宋_GBK"/>
          <w:sz w:val="28"/>
          <w:szCs w:val="28"/>
          <w:highlight w:val="none"/>
        </w:rPr>
        <w:t xml:space="preserve">析指标包括挂号量、号源饱和度、放号量、加号量等指标，支持院区间、科室间对比。支持门诊患者来源分析，针对门诊患者地域（本市、本省外市、外省、其他）占比及就诊人次变动情况分析，支持院区间、科室间对比。支持门诊医师工作量分析，指标包括门急诊号源构成（普通号、主任医师、副主任医师、专家号）、医师放号量、医师号源饱和度、出诊频次、每门诊医师次均接诊人次、接入院人次、门急诊入院率等指标，支持医师门诊业务量对比。支持门诊诊室运行效率分析，指标包括平均候诊时长、平均接诊人次、平均问诊时长等，支持院区间、科室间、诊室间对比。</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ascii="Calibri" w:hAnsi="Calibri" w:eastAsia="方正仿宋_GBK" w:cs="Calibri"/>
          <w:sz w:val="28"/>
          <w:szCs w:val="28"/>
          <w:highlight w:val="none"/>
        </w:rPr>
        <w:t xml:space="preserve">①</w:t>
      </w:r>
      <w:r>
        <w:rPr>
          <w:rFonts w:hint="eastAsia" w:ascii="方正仿宋_GBK" w:hAnsi="方正仿宋_GBK" w:eastAsia="方正仿宋_GBK" w:cs="方正仿宋_GBK"/>
          <w:sz w:val="28"/>
          <w:szCs w:val="28"/>
          <w:highlight w:val="none"/>
        </w:rPr>
        <w:t xml:space="preserve">目标化监测</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支持全院及科室核心指标目标值的计算方法设定和目标值计算，方法包括但不限于按时间序列法、历史趋势法等；同时支持按不同方法调整计算后的目标值，如手工输入、按系数调整等。</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支持多种目标值分解方法，如按比例分解、跟随年度目标等；支持多种目标分解路径，如从组织维度上将全院目标向科室分解，从时间维度上将年度目标向月度分解。</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支持通过阈值设定进行指标的主动预警，通过预警方案管理可生成多级预警规则，如正常、轻度、重度预警，指标预警结果支持用不同颜色直观区分预警等级。</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支持对全院及科室重点指标变动趋势的诊断，通过多种统计方法计算斜率，并建立规则评价指标趋势向好向坏。</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支持不同类型指标的预警监控，如工作量类（出院人次、手术人次等）、收入结构类（有效收入占比、中药制剂收入占比等）、次均费用类（住院次均费用、住院次均中成药费等）、医疗服务类（CMI均值、平均住院日等）。</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基于实际值与目标值的差异对比，实现对科室目标完成情况监控，定位较目标值偏差较大的指标，并对异常指标进行深入挖掘，可通过既定分析路径实现穿透分析，如点击重度预警科室数量可下钻查看重度科室详情。</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▲3.2.1.4 病种分析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以DRG/DIP为主要的病种（组）管理口径，提供满足国</w:t>
      </w:r>
      <w:r>
        <w:rPr>
          <w:rFonts w:hint="eastAsia" w:ascii="方正仿宋_GBK" w:hAnsi="方正仿宋_GBK" w:eastAsia="方正仿宋_GBK" w:cs="方正仿宋_GBK"/>
          <w:sz w:val="28"/>
          <w:szCs w:val="28"/>
          <w:highlight w:val="none"/>
          <w:lang w:eastAsia="zh-CN"/>
        </w:rPr>
        <w:t xml:space="preserve">监</w:t>
      </w:r>
      <w:r>
        <w:rPr>
          <w:rFonts w:hint="eastAsia" w:ascii="方正仿宋_GBK" w:hAnsi="方正仿宋_GBK" w:eastAsia="方正仿宋_GBK" w:cs="方正仿宋_GBK"/>
          <w:sz w:val="28"/>
          <w:szCs w:val="28"/>
          <w:highlight w:val="none"/>
        </w:rPr>
        <w:t xml:space="preserve">要求和医保约束的不同管理目标的全院病种分析。标注病种（组）分类，引导关注重点病种（组）。依据结算的不同阶段提供预分组、模拟分组，测算结算费用、实际病种（组）成本，找到重点/异常病种以及科室，帮助医院管理者建立以病种（组）为产出和产品的运营规划，从而实现病种（组）运营的效益最大化。提供病种（组）主题的智能报告，快速导入病种（组）相关的核心信息。</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（1）总览</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全院的病种进行分析，可以通过点击医疗成本/医疗业务成本，全部病人/医保病人下拉框，对总览进行控制。分别对病种的量、难度、广度、经济情况进行监控。产能=病例所属病种RW之和，病种覆盖组数即收治病种组数，CMI=病例所属病种RW的平均值。病种结算总结余=病种结算收入-成本。通过仪表盘的形式展现数据的对比情况。</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（2）指数分析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病种效率分析病种的四个指数，分别对病种的费用、时间、药品、材料进行分析。手术结构变化趋势主要是为了查看手术的难度情况，以及微创、日间手术的变化。</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（3）全院病种收治排名</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对全院所有病种进行分析，通过下拉框产能、病种结算结余进行切换。根据外科组、内科组、非手术操作组来分类病种，四象限图展示，点击气泡显示明细。</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（4）异常病种监控分析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异常病种监控分析分为费用分析、产能分析、效率分析，分别对病种的费用变化、产能变化、床日产能变化情况进行对比分析，找到变化异常病种，并找到有异动的科室。</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（5）费用变动异常分析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过构建横轴-次均药耗同比增幅、纵轴-总费用建立气泡图。其中重点关注一为次均药耗费用同比增幅达到了20%以上，同时病种的总费用是75分位以上。重点关注二为次均药耗费用同比增幅达到了-20%以下，同时病种的总费用是75分位以上。</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（6）国家卫健版DRG</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支持国</w:t>
      </w:r>
      <w:r>
        <w:rPr>
          <w:rFonts w:hint="eastAsia" w:ascii="方正仿宋_GBK" w:hAnsi="方正仿宋_GBK" w:eastAsia="方正仿宋_GBK" w:cs="方正仿宋_GBK"/>
          <w:sz w:val="28"/>
          <w:szCs w:val="28"/>
          <w:highlight w:val="none"/>
          <w:lang w:eastAsia="zh-CN"/>
        </w:rPr>
        <w:t xml:space="preserve">监</w:t>
      </w:r>
      <w:r>
        <w:rPr>
          <w:rFonts w:hint="eastAsia" w:ascii="方正仿宋_GBK" w:hAnsi="方正仿宋_GBK" w:eastAsia="方正仿宋_GBK" w:cs="方正仿宋_GBK"/>
          <w:sz w:val="28"/>
          <w:szCs w:val="28"/>
          <w:highlight w:val="none"/>
        </w:rPr>
        <w:t xml:space="preserve">版DRG分组器，监测全院的CMI、RW、时间和费用消耗指数，供医院运营决策使用。与同类型标杆医院科室数据对比。</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▲3.2.1.5 绩效分析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将绩效视为资源和制度投入，分析投入产出的结果是否达到预期，找到绩效效果不佳的科室及原因，提供同行的投入和产出的标杆数据，为优化绩效方案提供决策依据。提供绩效主题的智能报告，快速导入绩效相关的核心信息。分析各类专项奖是否持续有效，建立量化评价模型。分析不同岗位、科系、医疗组之间的人均绩效和人均工作量水平，比较不同科系的绩效和工作量波动、收支波动的趋势是否一致。</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☆3.2.1.6 运营分析报告</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从多维度、全方位视角进行分析，建立医院综合运营分析报告模板，以周、月、季、年多维度周期定期生成医院运营分析报告，对分析结果以文字、表格、图表等相结合的形式进行高效、直观地展示。支持分析报告下载。</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▲3.2.1.7 RBRVS点数分析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根据医院现行的收费项目，和RBRVS点数做匹配，再将点数返还到各个科室，用来监控各个科室在RBRVS视角下的运行状况。评价收费和非收费诊疗项目。使用RBRVS评价除药品、材料以外的收费项目的工作强度、知识和技能要求、风险程度。借鉴劳动价值点数和执业风险作为医务人员工作量的绩效评价依据。</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☆3.2.1.8 全院运营大屏</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实时显示全院各类高频、运营发展相关的重要运营指标。对全院当前核心工作量指标（门急诊人次、住院人次）、物理资源利用指标（手术室运行效率、门诊诊间效率）、病种收治、重点设备运营效率等实时监测。以大屏、实时滚动的形式，展示影响医院运营的关键高频指标数据及其变化。标注、提示异常值。</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▲3.2.1.9 医院运营管理系统（手机端）</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提供医院在移动端快速查阅运营相关的核心指标，并提供异常预警功能。支持嵌入医院第三方移动办公软件，满足一体化办公需求。</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（1）首页</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首页展示全院当期收入、人次、CMI等各项核心指标，展示当期院科二级目标化完成情况，以及当期指标的环比、同比趋势，可选择时间区间切换。</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（2）模块切换</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可在菜单中切换收支分析、工作量分析、病种分析，查看其他模块指标。</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（3）收支分析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可切换年、季、月、周、日和设置时间区间，显示全院近期医疗盈余数值、环比增长率、各科室占全院比。分别显示有效收入、有效收入占比、药占比、耗占比、住院次均费用、门诊次均费用，分别显示全院各指标的当期值，以及环比、同比上升、下降的幅度。</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（4）工作量分析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显示全院门诊数据，包括人次、饮片使用率等中医类指标，环比、同比，支持下钻到科室、个人。显示住院相关工作指标。显示近期全院出院人次、CMI值、手术相关指标等，环比、同比，支持下钻到科室、医疗组。</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（5）病种分析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结合DRGs数据，查看全院病种相关指标。通过产能图表显示近期产能数据。在产能下显示入组例数、入组率，及对应环比、同比。</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3.2.2 科室经营平台</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☆3.2.2.1 专科目标管理驾驶舱</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从科室的收入、门诊、效率、病种、医疗质量等维度，按照环比、同比及目标口径监测核心指标的运行情况。并对门急诊收入、住院收入嵌入本量利分析、因果图谱分析，为科室的资源配置、成本优化提供决策依据。</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☆3.2.2.2 科室工作台</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提供基于大数据技术、因果引擎、异常引擎的问题识别功能。提供基于PDCA的计划制定、执行、检查、改进的目标管理功能。依据动态运营数据，自动生成科室运营相关的全面运营分析报告。通过指标监控各科室的异常分析，由科室运营主任根据科室的异常情况，建立对应的目标、计划，通过观察指标查看该项是否有所好转。显示该科室的正常指标以及异常指标。</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☆3.2.2.3 科室运营日报</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提供科室经济运行、工作量、流程效率等相关指标快速导览，包括日报和周报。提供指标数据监测、异常报警功能。展示各科室的医疗收入、有效收入、医疗服务收入、药占比、门诊人次、出科人次、产能、床日有效产能、床日有效收入对应的数值及增幅。N+1展示。</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☆3.2.2.4 科室收支余分析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提供科室门诊、住院、手术等不同业务类型的收入、成本及医疗盈余分析。通过系统提供的业务分析模型以及异常探查引擎、因果引擎找到异常原因；通过AI算法预测医疗收入、成本以及盈余等，帮助科室管理者提前布局制定相应的管理措施。提供相应收支余的智能报告，快速导入收支余相关的核心信息。</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（1）整体分析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为科室所有数据，将盈余、收入、成本与预算、去年同期、上期进行对比，判断盈余、收入、成本数据是否异常。其中收入和成本还会进行构成分析，收入分为医疗服务收入、检查收入、检验收入、药品收入、耗材收入，成本分为直接人力成本、直接变动成本、直接固定成本、间接成本。</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（2）门诊分析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对科室的门诊数据进行分析，对门诊盈余、收入、成本的分析，以及从诊间、医生维度进行经济分析。</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（3）住院分析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科室的住院数据进行分析，结合病种结构和DRGs盈余，对住院盈余、收入、成本的分析。对病种的次均收入、次均成本、次均结余、病种收益率进行分析，针对盈余前十的病种进行病种收益率、收入、盈余分析。</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（4）手术分析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手术分析包括医疗组、医生和手术病人三个维度的医疗盈余、收入、成本分析。</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☆3.2.2.5 科室工作量和工作能力分析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支持显示监控科室、医疗组、医师个人核心工作量和工作能力指标，如手术量、出科人次、门诊人次、门诊中药饮片使用率、CMI值等核心指标。根据科室属性区分展示侧重，不同科系关注不同工作量。支持科室医师工作负荷分析。支持表格和视图切换，支持导出EXCEL。</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提供同行的标杆数据参照，聚焦代表科室发展的核心工作量和工作能力指标，通过系统提供的业务分析模型以及异常探查引擎、因果引擎找到异常原因，给出进一步调整和优化的方向。通过AI算法预测出院人次、门诊人次、手术人次以及四级手术人次等，提供保本工作量以及边际效应分析模型。</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（3）提供工作量主题的智能报告，快速导入工作量相关的核心信息。</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☆3.2.2.6 科室病种分析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查看病种核心运营指标如产能、本专业RW前25%占比、CMI、药品指数、材料指数、费用消耗指数、时间消耗指数的运行情况发现问题，通过指标下钻找出异常原因并提示改善方向。对该科室的所有病种进行盘点，包括各病种的指标数据对比，以及病种的分类，如关键病种、优势病种、经济病种等。点击气泡出现该病种的明细信息，支持病种数据下钻到医疗组。病种RW-结余率分析和病种RW-费用消耗指数分析从多维度审视病种。</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☆3.2.2.7 专科运营管理系统（手机端）</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为科主任提供本科室关键指标的手机端实时监测，涵盖医疗质量、工作量、病种分布，包括医疗收入、有效收入、医疗服务收入、药占比、门诊人次、出科人次、产能、床日有效产能、床日有效收入等。支持模式切换，选择绩效分析、目标化完成情况、工作量和工作能力分析、病种分析等不同模块；可切换时间区间；异常波动即时提醒，助力科室精细化管理。提供科室级用户在手机端监控科室/医疗组/医师个人运营相关的核心指标，当出现异常时候予以警示。支持运营管理处等职能部门与科主任针对每月绩效考核数据进行线上反馈、申诉交流等。</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3.2.3 医疗质量控制平台</w:t>
      </w:r>
      <w:r>
        <w:rPr>
          <w:highlight w:val="none"/>
        </w:rPr>
      </w:r>
      <w:r/>
    </w:p>
    <w:p>
      <w:pPr>
        <w:pStyle w:val="961"/>
        <w:ind w:firstLine="562"/>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3.2.3.1 医疗质量控制管理</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包括年度国家医疗质量安全改进目标、国家医疗质量安全核心制度落实情况监测指标、专业医疗质量控制指标，以及院内个性化指标。</w:t>
      </w:r>
      <w:r>
        <w:rPr>
          <w:highlight w:val="none"/>
        </w:rPr>
      </w:r>
      <w:r/>
    </w:p>
    <w:p>
      <w:pPr>
        <w:pStyle w:val="961"/>
        <w:ind w:firstLine="562"/>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sz w:val="28"/>
          <w:szCs w:val="28"/>
          <w:highlight w:val="none"/>
        </w:rPr>
        <w:t xml:space="preserve">（1）主要质控指标包括但不限于：四级手术术前多学科讨论完成率、非计划重返手术室再手术率、非计划再入院率、入院48小时内转科的比例、入院8小时内查房率、上级医师查房记录规范率、非计划手术率、急会诊及时到位率、急会诊有效率、普通会诊及时完成率、普通会诊有效率、手术患者特级护理/一级护理出院率、四级手术患者手术当日床旁交接班占比、非计划再次住院/手术患者疑难病例讨论完成率、高额异常费用患者进行疑难病例讨论的占比</w:t>
      </w:r>
      <w:r>
        <w:rPr>
          <w:rFonts w:hint="eastAsia" w:ascii="方正仿宋_GBK" w:hAnsi="方正仿宋_GBK" w:eastAsia="方正仿宋_GBK" w:cs="方正仿宋_GBK"/>
          <w:sz w:val="28"/>
          <w:szCs w:val="28"/>
          <w:highlight w:val="none"/>
        </w:rPr>
        <w:t xml:space="preserve">、急危重症患者抢救成功率、术前讨论完成率、术者参加术前讨论率、术前讨论计划手术一致率、实际手术术者与计划手术术者一致率、死亡病例讨论5日完成率、科主任主持死亡病例讨论率、长期医嘱当日终止率、手术医师手术时间重合率、麻醉医师手术时间重合率、四级手术与三级手术并发症发生率比、四级手术与三级手术患者死亡率比、三/四级手术实际开展率、新技术新项目留存转化率、危急值报告时间、住院患者危急值当日及时处置率、特殊使用级抗菌药物使用会诊率、临床用血后评估记录率、术中自体血回输率、住院患者围手术期死亡率、手术并发症发生率等。</w:t>
      </w:r>
      <w:r>
        <w:rPr>
          <w:highlight w:val="none"/>
        </w:rPr>
      </w:r>
      <w:r/>
    </w:p>
    <w:p>
      <w:pPr>
        <w:pStyle w:val="961"/>
        <w:ind w:firstLine="562"/>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sz w:val="28"/>
          <w:szCs w:val="28"/>
          <w:highlight w:val="none"/>
        </w:rPr>
        <w:t xml:space="preserve">（2）医师工作量：查询支持门诊数据查询（不同职称医师门诊量、中药饮片处方张数、非药物疗法使用率、门诊中医药使用率、急诊接诊人次等）、住院数据查询（不同职称医师出院人次、以中医为主出院人次、疑难危重患者诊治率等）、手术数据查询（不同职称医师主刀/一助/二助手术台次、各级别手术量、四级手术占比、微创手术占比等）。</w:t>
      </w:r>
      <w:r>
        <w:rPr>
          <w:highlight w:val="none"/>
        </w:rPr>
      </w:r>
      <w:r/>
    </w:p>
    <w:p>
      <w:pPr>
        <w:pStyle w:val="961"/>
        <w:ind w:firstLine="562"/>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sz w:val="28"/>
          <w:szCs w:val="28"/>
          <w:highlight w:val="none"/>
        </w:rPr>
        <w:t xml:space="preserve">（3）手术查询：支持围术期死亡率查询（围手术期死亡率=围手术期死亡人数/同期住院手术患者总人数×100%，包含姓名、住院号、入院时间、手术名称、手术时间、死亡时间、死亡原因）。</w:t>
      </w:r>
      <w:r>
        <w:rPr>
          <w:highlight w:val="none"/>
        </w:rPr>
      </w:r>
      <w:r/>
    </w:p>
    <w:p>
      <w:pPr>
        <w:pStyle w:val="961"/>
        <w:ind w:firstLine="562"/>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sz w:val="28"/>
          <w:szCs w:val="28"/>
          <w:highlight w:val="none"/>
        </w:rPr>
        <w:t xml:space="preserve">（4）微创质控数据查询：支持微创技术基础指标、肿瘤消融治疗技术基础指标及分部位（肺部/肝脏/肾脏/甲状腺良性肿瘤/PTC消融治疗）专业医疗质量控制指标、机器人辅助手术基础指标及分专科（胸外/普外/泌尿外科/妇科）手术质量控制指标、镜下手术（腰椎髓核摘术/ACL重建术/肩袖修补术）质量控制指标。</w:t>
      </w:r>
      <w:r>
        <w:rPr>
          <w:highlight w:val="none"/>
        </w:rPr>
      </w:r>
      <w:r/>
    </w:p>
    <w:p>
      <w:pPr>
        <w:pStyle w:val="961"/>
        <w:ind w:firstLine="562"/>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sz w:val="28"/>
          <w:szCs w:val="28"/>
          <w:highlight w:val="none"/>
        </w:rPr>
        <w:t xml:space="preserve">（5）专病门诊：支持按诊断名称抓取门诊数据。临床路径支持按国家上报要求抓取数据。优势病种支持按诊断抓取门诊和住院数据。</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☆3.2.3.2 药学质量控制管理</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（1）国</w:t>
      </w:r>
      <w:r>
        <w:rPr>
          <w:rFonts w:hint="eastAsia" w:ascii="方正仿宋_GBK" w:hAnsi="方正仿宋_GBK" w:eastAsia="方正仿宋_GBK" w:cs="方正仿宋_GBK"/>
          <w:sz w:val="28"/>
          <w:szCs w:val="28"/>
          <w:highlight w:val="none"/>
          <w:lang w:eastAsia="zh-CN"/>
        </w:rPr>
        <w:t xml:space="preserve">监</w:t>
      </w:r>
      <w:r>
        <w:rPr>
          <w:rFonts w:hint="eastAsia" w:ascii="方正仿宋_GBK" w:hAnsi="方正仿宋_GBK" w:eastAsia="方正仿宋_GBK" w:cs="方正仿宋_GBK"/>
          <w:sz w:val="28"/>
          <w:szCs w:val="28"/>
          <w:highlight w:val="none"/>
        </w:rPr>
        <w:t xml:space="preserve">药学指标：点评处方占处方总数的比例、点评出院患者医嘱比例、点评中药处方占中药处方总数的比例、抗菌药物使用强度（DDDs）、门诊患者基本药物处方占比、住院患者基本药物使用率、基本药物采购品种数占比、国家组织药品集中采购中标药品使用比例、医院药师（包括药剂师和临床药师）总人数、中药药师人员总人数等。</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中药质控指标：中药饮片收入占药品收入比例、取得医疗机构中药制剂注册证号或备案号的数量、医疗机构中药制剂收入占药品收入比例、中药专业技术人员占比、中药饮片处方系统前置审方比例、由本医疗机构专业人员对中药饮片代煎质量控制的处方比例、医疗机构药品不良反应上报数等。</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他监测指标：门诊抗菌药物使用人次、门诊静脉用药人次、门诊不合格处方占全部处方比例、急诊抗菌药物使用人次、急诊静脉用药人次、住院患者使用抗菌药物总例数、住院患者静脉输液总袋（瓶）数、中药饮片帖均费用（膏方除外）、国家基本药物目录品种使用金额、抗菌药物总费用、中药饮片总费用、中药制剂总费用、辅助用药总费用、国家谈判药品总费用、集中采购药品总费用等。</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☆3.2.3.3 护理质量控制管理</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护理质量控制管理包括等级医院中医护理指标9项：全院护士数与开放床位数比、病区护士数与开放床位数比、护理人员接受中医药知识和技能岗位培训占比、老年病科护士数与老年病科开放床位数比、固定急诊护士数占急诊在岗护士数的比例、重症医学科护士数与重症医学科开放床位数比、手术间麻醉护士数与实际开放手术台数量比、固定护士数占感染性疾病科在岗护士数的比例、住院患者跌倒致2级及以上伤害发生率。</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（2）国家护理质量数据平台3项：季末全院医师数量、血液净化用中心静脉导管相关血流感染发生例次数、血液净化用中心静脉导管留置总日数。</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长三角中医护理质控一体化管理联合体质控指标7项：医疗机构床护比、中医药院校毕业或中医护理专业毕业护士占比、中医类专科护士占比、出院患者使用中医护理技术比例、出院患者中医护理服务满意度、中医护理技术相关皮肤非热力性损伤发生率、中医护理技术相关烫伤发生率。</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江苏省中医护理专业质量控制中心指标5项：中医药院校毕业或中医护理专业毕业护士占比、中医类专科护士占比、按适应症实施中医护理技术比例、出院患者中医护理服务满意度、血液净化中心静脉导管相关血流感染发生率。</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3.2.4 运营管理数据中心</w:t>
      </w:r>
      <w:r>
        <w:rPr>
          <w:highlight w:val="none"/>
        </w:rPr>
      </w:r>
      <w:r/>
    </w:p>
    <w:p>
      <w:pPr>
        <w:pStyle w:val="961"/>
        <w:ind w:firstLine="562"/>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☆3.2.4.1 运营数据资产管理</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全域运营数据进行整合、治理、加工，形成标准化、资产化数据资源。以运营业务场景为导向，将分散的原始数据转化为可复用的标签、指标、模型等资产，并通过API接口、分析工具等形式赋能业务，实现数据驱动的智能化决策与高效运营。应包含主数据管理、元数据管理、数据维护、对象管理、资产使用、资产清单等功能。</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▲3.2.4.2 数据血缘</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反映数据从产生、加工到应用的全生命周期流转关系。</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（1）对象分析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展示对象的血缘关系，并且可以树型结构查看，对各类对象处理、传递过程中形成的关联关系进行追踪和分析。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（2）任务分析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追踪和梳理任务执行过程中的数据、操作、依赖关系，通过构建任务间的关联脉络，清晰掌握数据流转与业务逻辑。</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（3）指标分析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追踪和剖析指标在数据体系中的产生、计算、流转及应用的全过程，通过构建指标间的关联关系网络，清晰呈现数据的来龙去脉。</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☆3.2.4.3 运营数据综合治理服务</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基于原始数据进行业务口径、语义上的二次治理，对数据的采集、存储、处理、应用等全生命周期进行质量监控和管理，完成从数据集成到数据治理、质量控制的全流程服务，解决数据标准化、数据清洗和规整，消除歧义，确保数据的准确性、完整性、一致性、及时性、可用性和安全性，符合数据质量要求。通过构建质控体系、执行流程、技术工具和组织管理框架，选择不同的质控规则对数据全生命周期进行监控与优化，</w:t>
      </w:r>
      <w:r>
        <w:rPr>
          <w:rFonts w:hint="eastAsia" w:ascii="方正仿宋_GBK" w:hAnsi="方正仿宋_GBK" w:eastAsia="方正仿宋_GBK" w:cs="方正仿宋_GBK"/>
          <w:sz w:val="28"/>
          <w:szCs w:val="28"/>
          <w:highlight w:val="none"/>
        </w:rPr>
        <w:t xml:space="preserve">形成系统化、多层次的数据质量保障机制。借助技术手段对数据在采集、传输、处理等各个环节进行即时监测，一旦发现数据异常实时提醒。建立质控规则体系，制定一系列标准化的检查与验证逻辑规则，对数据的准确性、非空、数量一致性、值域列表、关联性、数据重复、指标范围、指标业务、指标趋势等关键维度进行约束，及时发现并纠正数据问题，包括但不限于以下技术手段：数据一致性检查、无效值和缺失值检查、数据关联性检查、数据等价检查、数据重复检查、数据值域检查、指标业务逻辑检查、指标趋势波动检查、指标范围检查、其他必要检查及数据问题处理。</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☆3.2.4.4 数据服务</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通过对全域运营数据进行整合、清洗、建模和深度加工，将运营数据资产转化为标准化、可复用的数据能力组件，并以API、可视化界面或算法模型等形式，为内外部业务场景提供高效、安全的数据支撑服务。</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☆3.2.4.5 权限管理</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通过制定规则、策略和技术手段，对系统资源的访问和操作进行控制，确保用户或实体仅能在授权范围内使用资源，实现“最小权限原则”和“按需授权”，保障系统安全、合规和稳定运行。</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☆3.2.4.6 系统管理</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从数据源头、异常处理、数据流转等环节进行系统管理，保障系统稳定运行、高效服务。包括但不限于以下功能：管理平台外部接入数据源配置、数据手工录入、导入流程管理等；数据ETL任务配置、修改、时间调度等；数据模型、任务模型等数据汇聚、处理、统计模型的异常处理；科室、院区、人员、诊断等基础数据采集、录入、变更、清洗、标准化、对照、数据分发等；数据统计指标制作、指标归口权限管理、指标口径管理、指标分级管理等；报表自定义制作、报表修改及可视化看板界面制作、修改等。</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☆3.2.4.7 日志查看</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记录系统运行过程中的各类事件，为使用分析、故障定位、性能优化提供关键线索。</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3.2.5 人工智能（AI）应用</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▲3.2.5.1 智能BI</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支持通过自然语言的方式和系统对话，利用人工智能技术对全部专科运营范围内的数据进行检索，最终以结构化的表格和图表等方式返回查询到的数据。</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（1）支持用户以日常口语化表达方式发起查询，系统自动理解用户意图并转化为数据查询指令。针对目标值完成、收入变动、工作量变动、费用变动、药耗占比、中成药占比、中草药占比等关键内容提供响应。</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（2）支持多轮对话交互，用户可根据返回结果进行追问和深入分析。</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（3）返回结果支持多样化图表形态，包括柱状图、折线图、条形图、堆积图、表格、标签等。</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（4）支持对查询结果中图表、表格、标签里的数据进行自动解读和说明。</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（5）支持对问答结果的进一步提问，如在展示出药品成本排名前十的科室后，继续追问特定科室的详细情况，系统会从图表或表格明细中提取对应数据，给出答案。</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（6）支持查看历史对话记录，完整保留对话细节，自动存储用户与AI的每一轮交互内容，包括用户提问的原文、回复内容等。</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☆3.2.5.2 语音检索</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支持用户在手机端以语音交互的方式，向系统发送自然语言的问题，通过人工智能深度思考并返回所需要的信息。包括表格、图表、行业知识等。</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（1）支持手机端语音输入，用户通过语音发起查询请求。</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（2）支持语音转文字后的自然语言理解与意图识别。</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（3）支持通过语音指令查询运营数据，返回结果以结构化表格和图表形式呈现。</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（4）支持通过语音指令查询政策法规和行业知识。</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（5）支持语音交互的多轮对话，用户可通过语音进行追问。</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（6）支持语音检索结果在移动端的友好展示，适配手机屏幕。</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☆3.2.6 第三方数据接口服务</w:t>
      </w:r>
      <w:r>
        <w:rPr>
          <w:highlight w:val="none"/>
        </w:rPr>
      </w:r>
      <w:r/>
    </w:p>
    <w:p>
      <w:pPr>
        <w:pStyle w:val="961"/>
        <w:ind w:firstLine="560"/>
        <w:spacing w:line="360" w:lineRule="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（1）接口内容</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医疗运营综合智慧平台需汇聚医院运营管理相关数据，运营管理数据来源包括但不限于HIS、LIS、PACS、EMR、病案首页、DRG/DIP系统、成本系统、会计核算系统、预算系统、绩效系统、人力资源系统、设备物资管理系统、药品管理系统等。</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医院已搭建ODS贴源层数据库，医疗运营综合智慧平台直接对接ODS库进行数据汇聚。ODS已完成</w:t>
      </w:r>
      <w:r>
        <w:rPr>
          <w:rFonts w:ascii="方正仿宋_GBK" w:hAnsi="方正仿宋_GBK" w:eastAsia="方正仿宋_GBK" w:cs="方正仿宋_GBK"/>
          <w:sz w:val="28"/>
          <w:szCs w:val="28"/>
          <w:highlight w:val="none"/>
        </w:rPr>
        <w:t xml:space="preserve">HIS、LIS、EMR、PACS </w:t>
      </w:r>
      <w:r>
        <w:rPr>
          <w:rFonts w:hint="eastAsia" w:ascii="方正仿宋_GBK" w:hAnsi="方正仿宋_GBK" w:eastAsia="方正仿宋_GBK" w:cs="方正仿宋_GBK"/>
          <w:sz w:val="28"/>
          <w:szCs w:val="28"/>
          <w:highlight w:val="none"/>
        </w:rPr>
        <w:t xml:space="preserve">、病案系统</w:t>
      </w:r>
      <w:r>
        <w:rPr>
          <w:rFonts w:ascii="方正仿宋_GBK" w:hAnsi="方正仿宋_GBK" w:eastAsia="方正仿宋_GBK" w:cs="方正仿宋_GBK"/>
          <w:sz w:val="28"/>
          <w:szCs w:val="28"/>
          <w:highlight w:val="none"/>
        </w:rPr>
        <w:t xml:space="preserve">接入</w:t>
      </w:r>
      <w:r>
        <w:rPr>
          <w:rFonts w:hint="eastAsia" w:ascii="方正仿宋_GBK" w:hAnsi="方正仿宋_GBK" w:eastAsia="方正仿宋_GBK" w:cs="方正仿宋_GBK"/>
          <w:sz w:val="28"/>
          <w:szCs w:val="28"/>
          <w:highlight w:val="none"/>
        </w:rPr>
        <w:t xml:space="preserve">，具有</w:t>
      </w:r>
      <w:r>
        <w:rPr>
          <w:rFonts w:ascii="方正仿宋_GBK" w:hAnsi="方正仿宋_GBK" w:eastAsia="方正仿宋_GBK" w:cs="方正仿宋_GBK"/>
          <w:sz w:val="28"/>
          <w:szCs w:val="28"/>
          <w:highlight w:val="none"/>
        </w:rPr>
        <w:t xml:space="preserve">标准化数据接收接口</w:t>
      </w:r>
      <w:r>
        <w:rPr>
          <w:rFonts w:hint="eastAsia" w:ascii="方正仿宋_GBK" w:hAnsi="方正仿宋_GBK" w:eastAsia="方正仿宋_GBK" w:cs="方正仿宋_GBK"/>
          <w:sz w:val="28"/>
          <w:szCs w:val="28"/>
          <w:highlight w:val="none"/>
        </w:rPr>
        <w:t xml:space="preserve">，已纳入的数据可供供应商直接对接；由于</w:t>
      </w:r>
      <w:r>
        <w:rPr>
          <w:rFonts w:ascii="方正仿宋_GBK" w:hAnsi="方正仿宋_GBK" w:eastAsia="方正仿宋_GBK" w:cs="方正仿宋_GBK"/>
          <w:sz w:val="28"/>
          <w:szCs w:val="28"/>
          <w:highlight w:val="none"/>
        </w:rPr>
        <w:t xml:space="preserve">DRG/DIP、成本、会计核算、预算、绩效、人力资源、设备物资管理</w:t>
      </w:r>
      <w:r>
        <w:rPr>
          <w:rFonts w:hint="eastAsia" w:ascii="方正仿宋_GBK" w:hAnsi="方正仿宋_GBK" w:eastAsia="方正仿宋_GBK" w:cs="方正仿宋_GBK"/>
          <w:sz w:val="28"/>
          <w:szCs w:val="28"/>
          <w:highlight w:val="none"/>
        </w:rPr>
        <w:t xml:space="preserve">等</w:t>
      </w:r>
      <w:r>
        <w:rPr>
          <w:rFonts w:ascii="方正仿宋_GBK" w:hAnsi="方正仿宋_GBK" w:eastAsia="方正仿宋_GBK" w:cs="方正仿宋_GBK"/>
          <w:sz w:val="28"/>
          <w:szCs w:val="28"/>
          <w:highlight w:val="none"/>
        </w:rPr>
        <w:t xml:space="preserve">业务系统未对接数据中心ODS</w:t>
      </w:r>
      <w:r>
        <w:rPr>
          <w:rFonts w:hint="eastAsia" w:ascii="方正仿宋_GBK" w:hAnsi="方正仿宋_GBK" w:eastAsia="方正仿宋_GBK" w:cs="方正仿宋_GBK"/>
          <w:sz w:val="28"/>
          <w:szCs w:val="28"/>
          <w:highlight w:val="none"/>
        </w:rPr>
        <w:t xml:space="preserve">，未接入ODS库的业务系统数据及虽系统已接入ODS库但数据广度或字段颗粒度不足的内容，由供应商与ODS厂商（第三方）对接，完成ODS系统采集开发及存量系统数据完善等工作，因该部分工作产生的费用包含在本项目招标总报价中，供应商不再向采购人另行收取任何费用。</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供应商应根据医院数据管理的要求或数据对接方式的变更无偿配合医院完成数据对接调整，保证获取数据的准确完整及前端应用稳定运行。</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（2）接口要求</w:t>
      </w:r>
      <w:r>
        <w:rPr>
          <w:highlight w:val="none"/>
        </w:rPr>
      </w:r>
      <w:r/>
    </w:p>
    <w:p>
      <w:pPr>
        <w:pStyle w:val="961"/>
        <w:ind w:firstLine="560"/>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标准化与兼容性：数据接口应遵循医疗行业或国际通用的数据交换标准（如HL7、DICOM、FHIR等），以确保数据的标准化和与其他系统的兼容性。</w:t>
      </w:r>
      <w:r>
        <w:rPr>
          <w:highlight w:val="none"/>
        </w:rPr>
      </w:r>
      <w:r/>
    </w:p>
    <w:p>
      <w:pPr>
        <w:pStyle w:val="961"/>
        <w:ind w:firstLine="560"/>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安全性：数据接口应采用加密技术（如SSL/TLS）保护数据传输过程中的安全性，同时实施严格的身份认证和访问控制机制，确保只有授权用户能够访问敏感数据。</w:t>
      </w:r>
      <w:r>
        <w:rPr>
          <w:highlight w:val="none"/>
        </w:rPr>
      </w:r>
      <w:r/>
    </w:p>
    <w:p>
      <w:pPr>
        <w:pStyle w:val="961"/>
        <w:ind w:firstLine="560"/>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稳定性与可靠性：数据接口应具备高可用性和容错能力，确保在高峰时段或系统故障时仍能保持稳定运行，不丢失数据。</w:t>
      </w:r>
      <w:r>
        <w:rPr>
          <w:highlight w:val="none"/>
        </w:rPr>
      </w:r>
      <w:r/>
    </w:p>
    <w:p>
      <w:pPr>
        <w:pStyle w:val="961"/>
        <w:ind w:firstLine="560"/>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可扩展性：随着项目的深入和需求的变化，数据接口应能够灵活扩展，支持新增数据类型、数据字段或数据源的接入。</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3.2.7 非功能性需求</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3.2.7.1 系统工具支撑</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（1）支持相关算法库，用作数据处理，算法包括且不限：时间序列法、SARIMA法、多元线性回归预测法、多项式回归法、泰尔森估算法、最小二乘法等算法。</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（2）支持采用通用大模型作为机器学习和运营管理能力训练的基础模型，支持围绕医院核心运营指标构建问答应用，针对收入变动、工作量变动、费用变动、药耗占比等关键内容提供问答响应。</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支持运营分析界面灵活配置，通过拖拽方式灵活布局整个界面，分析图表支持且不限于：柱状图、条形图、堆积图、玫瑰图、漏斗图、桑基图、气泡图等，支持图表间点击互相联动展示。所有页面可根据需求制作表格/图形双版面，并可通过excel/pdf导出。</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支持数据的采集、清洗、推送等数据处理的功能配置。支持通过SQL语句的方式进行数据的处理。支持统一的任务管理调度工具，可以定期执行数据治理的相关任务。支持对任务的执行结果、执行状态的监控和日志。</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（5）支持对相关指标数据的自定义分类的管理可视化操作界面。</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支持对数据表的数据质量进行质控，通过配置质控规则可以产出质量问题报告，支持常规应用数据质控规则内置，包括但不限于字段是否为null、是否符合日期格式等，内置校验规则不少于25条。支持SQL语句方式自定义扩展质控规则。</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3.2.7.2 系统其他相关技术要求</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（1）系统对于敏感数据或者保密数据需要采用不可逆算法加密，要求密码在数据库不能明文保存，要求密码按照系统等保要求，支持8位以上复杂密码（字母大小写+特殊字符+数字）。</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（2）系统用户和密码在网络传输过程中必须加密。</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（3）软件如果有多模块基础，必须采用统一用户，保证所有基础数据共享使用。</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（4）系统涉及到第三方插件或软件（例如报表工具）要提供免责声明，如产生纠纷或者费用由投标单位自行承担。</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（5）采用主流的B/S架构等。</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（7）支持移动应用开发技术，适配安卓、苹果、鸿蒙等。</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（8）采用正版主流国产数据库。</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（9）用户界面要求，界面友好美观，操作简便。</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（10）保证系统7×24小时不间断运行。</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（11）系统能够支持集群、负载均衡部署模式。</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☆3.2.8  运营能力培训与咨询服务</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为保障运营数据中心（ODR）及管理决策分析系统的有效落地和持续发挥价值，本项目需同步建立系统化的运营管理人才培训体系和长效咨询服务机制。培训对象覆盖院级领导、职能部门人员、科主任、护士长及科室运营助理等各层级人员。培训课程应参照现代医院运营管理知识体系，结合江苏省中医院“一院多区”发展实际，设置政策与趋势、运营管理理论、财务管理与成本管控、数据分析与决策支持、病种管理与DRG/DIP、资源管理与效率提升、绩效管理、管理工具应用及信息化系统实操等模块。授课师资应具备丰富的医院运营管理理论研究和实践经验。</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培训采取多元化教学方式，包括集中授课、分科室授课、案例教学（基于标杆医院运营管理实践案例深度剖析）、实操训练（基于ODR系统进行数据分析与报告生成实操）等，确保理论知识与实践能力同步提升。</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除培训外，合作期间供应商应提供持续运营管理咨询服务，响应时间不超过48小时。咨询服务内容包括：协助梳理优化运营指标体系、针对ODR数据质量问题提供诊断和优化建议、围绕病种结构优化及科室成本管控等专项问题提供深度分析报告与改进建议、协助优化绩效考核与分配方案、导入因果分析及目标管理等管理工具。咨询成果以咨询报告形式交付。</w:t>
      </w:r>
      <w:r>
        <w:rPr>
          <w:highlight w:val="none"/>
        </w:rPr>
      </w:r>
      <w:r/>
    </w:p>
    <w:p>
      <w:pPr>
        <w:pStyle w:val="961"/>
        <w:ind w:firstLine="562"/>
        <w:jc w:val="left"/>
        <w:spacing w:line="360" w:lineRule="auto"/>
        <w:rPr>
          <w:b/>
          <w:sz w:val="28"/>
          <w:highlight w:val="none"/>
        </w:rPr>
      </w:pPr>
      <w:r>
        <w:rPr>
          <w:rFonts w:hint="eastAsia"/>
          <w:b/>
          <w:sz w:val="28"/>
          <w:highlight w:val="none"/>
        </w:rPr>
        <w:t xml:space="preserve">四、项目建设要求</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（一）总体设计方案</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供应商应根据项目要求和建设内容，提供详细的设计方案，方案涉及的软件、硬件相关技术和产品须满足国产化要求。设计方案应包括但不限于以下内容：</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1、总体架构设计：提供系统整体架构设计，说明系统硬件（服务器、存储、算力等）配置、网络要求，国产化数据库、中间件适配，客户端架构、应用部署、与现有系统对接及相互间的架构层次关系等。</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2、系统逻辑架构：说明从数据获取到业务应用的整体逻辑架构。</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3、系统数据架构：详细说明数据的采集、存储、处理、分发和治理的全链路设计。</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4、功能模块设计：针对项目需求的各个功能模块及相应的功能细分进行详细设计。</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5、安全合规设计：设计覆盖网络安全、数据安全、应用安全和安全管理等层面。</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（二）实施方案要求</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应根据项目建设目标和建设内容，对项目的需求分析阶段、系统配置、系统集成实施准备阶段、系统培训阶段、系统部署阶段、硬件安装调试、系统试运行阶段、系统验收阶段做出详细的实施方案。包括但不限于以下内容：</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1、实施团队:供应商应成立专门的项目实施团队，明确团队组成、角色分工、职责说明。</w:t>
      </w:r>
      <w:r>
        <w:rPr>
          <w:rFonts w:hint="eastAsia" w:ascii="方正仿宋_GBK" w:hAnsi="方正仿宋_GBK" w:eastAsia="方正仿宋_GBK" w:cs="方正仿宋_GBK"/>
          <w:b/>
          <w:bCs/>
          <w:i/>
          <w:iCs/>
          <w:sz w:val="28"/>
          <w:szCs w:val="28"/>
          <w:highlight w:val="none"/>
          <w:u w:val="single"/>
        </w:rPr>
        <w:t xml:space="preserve">项目实施期间驻场工程师人数不少于8人（不包含项目经理），</w:t>
      </w:r>
      <w:r>
        <w:rPr>
          <w:rFonts w:hint="eastAsia" w:ascii="方正仿宋_GBK" w:hAnsi="方正仿宋_GBK" w:eastAsia="方正仿宋_GBK" w:cs="方正仿宋_GBK"/>
          <w:sz w:val="28"/>
          <w:szCs w:val="28"/>
          <w:highlight w:val="none"/>
        </w:rPr>
        <w:t xml:space="preserve">项目经理应具有3年以上相关项目三甲医院实施工作经验（提供项目经理基本情况介绍及供应商3个月以来任意一个月为其缴纳社保的缴费记录），并参与项目整个开发和实施的过程。驻场人员需遵守院方的各项工作规章制度，并与院方作息时间一致。</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进度计划：明确各阶段任务分解、时间节点、里程碑设置；项目实施流程需按照医院管理规定进行，详细记录系统开发上线的全过程，形成完善的工作文档（包括开发、测试、培训、发布、会议纪要等相关文档），并在信息管理系统中归档。</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3、安全防范：需遵守医院的信息安全规章制度，未经许可不得泄露医院任何资料包括技术文档，数据文件，应用程序等，遵守患者隐私保护相关规定，不得泄露患者个人资料、医疗档案等。</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4、质量管控：供应商应具有完善的质量管理和控制体系，对本项目的风险预见以及风险规避有系统的解决方案，对项目进行中的突发事件有应急预案。</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（三）培训服务方案要求</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供应商应提供完善的培训方案，系统的培训工作要在系统上线试运行前完成，并在培训前编制专门的培训材料。包括但不限于以下内容：</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（1）培训人员：供应商应安排具备相应资质和经验的技术人员、专家进行培训工作。</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培训内容：对采购单位使用部门主要技术人员和骨干用户提供全流程使用及维护培训，对普通用户提供使用培训，确保相关人员能熟练掌握设备或系统的日常使用及维护，对医院主要技术人员提供系统开发所需的主要技术培训，如操作系统、数据库、开发工具的厂家认证培训，以及应用系统平台的二次开发培训。</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（3）培训方式：供应商应提供现场/远程培训，必须无偿提供培训文档等所有相关资料(操作手册、培训视频等)，同时允许在医院内部使用。</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（4）培训计划：培训时间、课时安排、培训材料等。</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（四）应急响应方案要求</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为保障医院整体信息系统安全，系统及其业务数据的安全符合国家相关标准规范的要求，在信息系统出现故障时，进行快速应急反应。根据潜在信息</w:t>
      </w:r>
      <w:r>
        <w:rPr>
          <w:rFonts w:hint="eastAsia" w:ascii="方正仿宋_GBK" w:hAnsi="方正仿宋_GBK" w:eastAsia="方正仿宋_GBK" w:cs="方正仿宋_GBK"/>
          <w:sz w:val="28"/>
          <w:szCs w:val="28"/>
          <w:highlight w:val="none"/>
        </w:rPr>
        <w:t xml:space="preserve">安全风险给出合理的应急响应预案，能对突发事件进行分析与判断，初步确定事件的性质和类型，科学应对系统紧急事件，建立健全应急响应机制，有效预防、及时控制和最大限度地消除系统各类突发事件的危害和影响，在事件检测阶段做到“及时发现”，必须合理利用各种已有的检测手段，综合分析发现安全事件的真实原因，对已有安全防护措施和安全事件应急响应预案进行改进，从而提高医院应对突发事件的组织指挥能力和应急处置能力，使故障恢复工作迅速、高效、有序地进行，满足突发情况下系统保障和系统恢复工作的需要，确保系统的稳定运行。包含但不仅限于：</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1、应急响应流程：响应流程应覆盖应急准备、事件监测预警、事件评估、处置、恢复重建等方面。</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2、应急响应内容：响应内容应覆盖硬件故障、软件故障、网络故障（攻击）、数据泄露等方面</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3、应急响应时间：明确应急响应各环节的时限标准。</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4、人员安排：建立分级负责的应急组织体系，明确人员职责。</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（五）日常维护方案要求</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投标人需提供详细的日常维护方案，保障医院各项业务的连续性与高效性，及时处理系统故障与性能问题，满足医院不断发展的信息化需求，提高用户对信息化平台的满意度。包含但不仅限于：</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1、维护范围：明确日常维护工作涉及的范围，如服务器、数据库、中间件、数据监控、数据备份、应用服务等。</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2、人员组织：建立日常维护人员组织安排，明确工作职责分工。</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3、维护内容：明确维护工作的主要内容，如巡检、监控、日志检查、补丁更新、端口及接口检查、用户请求响应、故障处理、技术支持服务等。</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4、维护流程：制定各项维护工作的操作流程及标准，如制定计划、明确操作步骤、制定处置标准、规范维护记录等</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（六）信息安全保障方案要求</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需提供详细的信息安全保障方案。系统整体设计、开发、测试、上线、运维流程应符合等保2.0的规范要求，参照《江苏省卫生健康信息化项目建设网络安全管理规定（试行）》要求进行规划设计、建设、运行管理，安全防护措施与信息化项目同步规划、同步建设、同步使用。包含但不仅限于：</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（1）身份认证：密码安全、多因素认证（人脸、动态口令等）、会话管理（登录失败处理、登录超时处理）、管理地址限制等使用人员身份认证方案。</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（2）访问控制：提供权限的多级分配、多重角色权限分配，支持最小化权限配置、数据访问权限控制等。</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（3）数据安全：运营数据分类分级、数据存储传输加密、脱敏、备份恢复、防泄漏、全生命周期管理等方案。</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（4）系统安全：操作系统、数据库安全加固、补丁漏洞管理、防病毒部署等。</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（七）验收要求</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项目正式上线稳定运行3个月并且达到院方的验收标准后，双方组织验收，共同签署验收合格同意书。由采购人或其单位对整个项目的成果数据进行验收，如相关成果数据未达到要求，供应商应及时进行修改。并且，由此增加的工期和相应的费用由供应商独自承担。</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在项目验收时应将系统全部有关技术文件、资料、及安装、测试、验收报告、数据结构等文档汇集成册交付院方。验收时需按照医院要求交付相应的需求规格说明书、数据库详细设计说明书、全部源代码、测试报告、用户手册等验收资料。</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主要验收文档包括但不限于：</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13"/>
      </w:tblGrid>
      <w:tr>
        <w:trPr>
          <w:trHeight w:val="448"/>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招投标文件、中标通知书、合同</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开工文档（开工申请、开工令、方案报审）</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软件需求说明书及需求确认表</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软件概要设计、详细设计、数据库设计及设计确认</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接口规范说明（规范文档、第三方对接协议）</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项目变更申请确认表或变更情况说明</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阶段性支付确认</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会议纪要（启动会、周例会、专题协调会）</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现场工作记录（日报、周报或月报）</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测试报告（功能、性能、安全）</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系统部署方案(包括上线切换方案、数据迁移方案和应急预案)</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试运行申请、试运行方案、试运行日志、试运行问题记录、试运行报告</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用户操作手册（包括管理员运维手册、权限分配方案、账号管理台账）</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软硬件兼容认证、国产化选型论证（如有）、安全加固方案及记录（如有）</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培训记录、培训签到表、培训课件</w:t>
            </w:r>
            <w:r>
              <w:rPr>
                <w:highlight w:val="none"/>
              </w:rPr>
            </w:r>
            <w:r/>
          </w:p>
        </w:tc>
      </w:tr>
      <w:tr>
        <w:trPr>
          <w:trHeight w:val="461"/>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szCs w:val="24"/>
                <w:highlight w:val="none"/>
              </w:rPr>
              <w:t xml:space="preserve">源码交付清单</w:t>
            </w:r>
            <w:r>
              <w:rPr>
                <w:highlight w:val="none"/>
              </w:rPr>
            </w:r>
            <w:r/>
          </w:p>
        </w:tc>
      </w:tr>
      <w:tr>
        <w:trPr/>
        <w:tc>
          <w:tcPr>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pStyle w:val="961"/>
              <w:widowControl/>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初、终验收申请表，初、终验收合格表</w:t>
            </w:r>
            <w:r>
              <w:rPr>
                <w:highlight w:val="none"/>
              </w:rPr>
            </w:r>
            <w:r/>
          </w:p>
        </w:tc>
      </w:tr>
    </w:tbl>
    <w:p>
      <w:pPr>
        <w:pStyle w:val="1077"/>
        <w:rPr>
          <w:rFonts w:hint="eastAsia" w:cs="Arial"/>
          <w:b w:val="0"/>
          <w:bCs w:val="0"/>
          <w:color w:val="000000"/>
          <w:sz w:val="24"/>
          <w:szCs w:val="21"/>
          <w:highlight w:val="none"/>
        </w:rPr>
      </w:pPr>
      <w:r>
        <w:rPr>
          <w:rFonts w:hint="eastAsia"/>
          <w:color w:val="000000"/>
          <w:highlight w:val="none"/>
        </w:rPr>
        <w:t xml:space="preserve">五、履约能力</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GB"/>
        </w:rPr>
        <w:t xml:space="preserve">1.投标人应当投入充足的技术力量保证本项目顺利实施，投入1名或以上资深高级项目经理，需具有软件开发项目管理专业能力和类似信息系统开发项目管理经验，</w:t>
      </w:r>
      <w:r>
        <w:rPr>
          <w:rFonts w:hint="eastAsia" w:ascii="方正仿宋_GBK" w:hAnsi="方正仿宋_GBK" w:eastAsia="方正仿宋_GBK" w:cs="方正仿宋_GBK"/>
          <w:b/>
          <w:bCs/>
          <w:i/>
          <w:iCs/>
          <w:sz w:val="28"/>
          <w:szCs w:val="28"/>
          <w:highlight w:val="none"/>
          <w:u w:val="single"/>
        </w:rPr>
        <w:t xml:space="preserve">项目实施期间</w:t>
      </w:r>
      <w:r>
        <w:rPr>
          <w:rFonts w:hint="eastAsia" w:ascii="方正仿宋_GBK" w:hAnsi="方正仿宋_GBK" w:eastAsia="方正仿宋_GBK" w:cs="方正仿宋_GBK"/>
          <w:b/>
          <w:bCs/>
          <w:i/>
          <w:iCs/>
          <w:sz w:val="28"/>
          <w:szCs w:val="28"/>
          <w:highlight w:val="none"/>
          <w:u w:val="single"/>
          <w:lang w:val="en-GB"/>
        </w:rPr>
        <w:t xml:space="preserve">驻场工程师（不含项目经理）人数不少于8人，</w:t>
      </w:r>
      <w:r>
        <w:rPr>
          <w:rFonts w:hint="eastAsia" w:ascii="方正仿宋_GBK" w:hAnsi="方正仿宋_GBK" w:eastAsia="方正仿宋_GBK" w:cs="方正仿宋_GBK"/>
          <w:sz w:val="28"/>
          <w:szCs w:val="28"/>
          <w:highlight w:val="none"/>
          <w:lang w:val="en-GB"/>
        </w:rPr>
        <w:t xml:space="preserve">且需具备类似信息系统软件项目开发能力证书和开发经验。</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GB"/>
        </w:rPr>
        <w:t xml:space="preserve">2.项目实施期间人员名单原则上不得调整，如确需调整，需提前至少一周向采购人报告人员变更情况，且调入人员的资历和从业经验不低于调出人员，在确认不影响项目实施并经采购人许可后方可调换，否则可视为投标人违约，采购人可在项目验收综合考评时扣分，并减值支付合同款项。</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GB"/>
        </w:rPr>
        <w:t xml:space="preserve">3.如项目实施团队成员不能有效完成采购人工作要求，自采购人提出更换要求之日起，中标人需在5个工作日内更换为符合要求的人员。</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GB"/>
        </w:rPr>
        <w:t xml:space="preserve">4. 投标人需提供以下服务能力证明材料：</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GB"/>
        </w:rPr>
        <w:t xml:space="preserve">（1）投标人具有符合需求的软件开发能力，具有包含运营管理、数据安全管理、数据可视化分析、数据应用、数据运维的软件著作权。</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lang w:val="en-GB"/>
        </w:rPr>
        <w:t xml:space="preserve">（2）投标人具有相关认证证书，如ISO9001 质量管理体系认证证书。</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GB"/>
        </w:rPr>
        <w:t xml:space="preserve">（</w:t>
      </w: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GB"/>
        </w:rPr>
        <w:t xml:space="preserve">）投标人配备的项目技术负责人（</w:t>
      </w:r>
      <w:r>
        <w:rPr>
          <w:rFonts w:hint="eastAsia" w:ascii="方正仿宋_GBK" w:hAnsi="方正仿宋_GBK" w:eastAsia="方正仿宋_GBK" w:cs="方正仿宋_GBK"/>
          <w:sz w:val="28"/>
          <w:szCs w:val="28"/>
          <w:highlight w:val="none"/>
        </w:rPr>
        <w:t xml:space="preserve">1人</w:t>
      </w:r>
      <w:r>
        <w:rPr>
          <w:rFonts w:hint="eastAsia" w:ascii="方正仿宋_GBK" w:hAnsi="方正仿宋_GBK" w:eastAsia="方正仿宋_GBK" w:cs="方正仿宋_GBK"/>
          <w:sz w:val="28"/>
          <w:szCs w:val="28"/>
          <w:highlight w:val="none"/>
          <w:lang w:val="en-GB"/>
        </w:rPr>
        <w:t xml:space="preserve">）需具有系统架构设计师、软件设计师、注册信息安全管理人员、信息系统项目管理师等证书，且须为投标人自有员工。须提供投标截止日前由投标人为其缴交的近3个月内任意一个月的社保缴交证明材料</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GB"/>
        </w:rPr>
        <w:t xml:space="preserve">（4）投标人为本项目配备专门的实施团队，项目实施团队成员（不包含技术负责人）具备高级工程师、信息安全工程师、软件设计师、系统架构师、信息系统项目管理师等证书，且须为投标人自有员工。须提供投标截止日前由投标人为其缴交的近3个月内任意一个月的社保缴交证明材料</w:t>
      </w:r>
      <w:r>
        <w:rPr>
          <w:highlight w:val="none"/>
        </w:rPr>
      </w:r>
      <w:r/>
    </w:p>
    <w:p>
      <w:pPr>
        <w:pStyle w:val="961"/>
        <w:ind w:firstLine="560"/>
        <w:jc w:val="left"/>
        <w:spacing w:line="400" w:lineRule="exact"/>
        <w:rPr>
          <w:rFonts w:hint="eastAsia" w:ascii="宋体" w:hAnsi="宋体" w:cs="Arial"/>
          <w:color w:val="000000"/>
          <w:sz w:val="24"/>
          <w:highlight w:val="none"/>
        </w:rPr>
      </w:pPr>
      <w:r>
        <w:rPr>
          <w:rFonts w:hint="eastAsia" w:ascii="方正仿宋_GBK" w:hAnsi="方正仿宋_GBK" w:eastAsia="方正仿宋_GBK" w:cs="方正仿宋_GBK"/>
          <w:sz w:val="28"/>
          <w:szCs w:val="28"/>
          <w:highlight w:val="none"/>
          <w:lang w:val="en-GB"/>
        </w:rPr>
        <w:t xml:space="preserve">（5）类似业绩：投标人提供2023年1月1日以来（以合同签订时间为准）与</w:t>
      </w:r>
      <w:r>
        <w:rPr>
          <w:rFonts w:hint="eastAsia" w:ascii="方正仿宋_GBK" w:hAnsi="方正仿宋_GBK" w:eastAsia="方正仿宋_GBK" w:cs="方正仿宋_GBK"/>
          <w:sz w:val="28"/>
          <w:szCs w:val="28"/>
          <w:highlight w:val="none"/>
        </w:rPr>
        <w:t xml:space="preserve">本项目类似的或与</w:t>
      </w:r>
      <w:r>
        <w:rPr>
          <w:rFonts w:hint="eastAsia" w:ascii="方正仿宋_GBK" w:hAnsi="方正仿宋_GBK" w:eastAsia="方正仿宋_GBK" w:cs="方正仿宋_GBK"/>
          <w:sz w:val="28"/>
          <w:szCs w:val="28"/>
          <w:highlight w:val="none"/>
          <w:lang w:val="en-GB"/>
        </w:rPr>
        <w:t xml:space="preserve">医院运营管理、运营数据中心</w:t>
      </w:r>
      <w:r>
        <w:rPr>
          <w:rFonts w:hint="eastAsia" w:ascii="方正仿宋_GBK" w:hAnsi="方正仿宋_GBK" w:eastAsia="方正仿宋_GBK" w:cs="方正仿宋_GBK"/>
          <w:sz w:val="28"/>
          <w:szCs w:val="28"/>
          <w:highlight w:val="none"/>
        </w:rPr>
        <w:t xml:space="preserve">类似的</w:t>
      </w:r>
      <w:r>
        <w:rPr>
          <w:rFonts w:hint="eastAsia" w:ascii="方正仿宋_GBK" w:hAnsi="方正仿宋_GBK" w:eastAsia="方正仿宋_GBK" w:cs="方正仿宋_GBK"/>
          <w:sz w:val="28"/>
          <w:szCs w:val="28"/>
          <w:highlight w:val="none"/>
          <w:lang w:val="en-GB"/>
        </w:rPr>
        <w:t xml:space="preserve">相关项目业绩，采购合同的复印件（合同关键页，具有与本项目类似的信息系统开发项目案例），且甲方为医疗机构，乙方为投标方。</w:t>
      </w:r>
      <w:r>
        <w:rPr>
          <w:highlight w:val="none"/>
        </w:rPr>
      </w:r>
      <w:r/>
    </w:p>
    <w:p>
      <w:pPr>
        <w:pStyle w:val="999"/>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lang w:val="en-US" w:eastAsia="zh-CN"/>
        </w:rPr>
        <w:t xml:space="preserve">六</w:t>
      </w:r>
      <w:r>
        <w:rPr>
          <w:rFonts w:hint="eastAsia" w:ascii="方正黑体_GBK" w:hAnsi="方正黑体_GBK" w:eastAsia="方正黑体_GBK" w:cs="方正黑体_GBK"/>
          <w:bCs/>
          <w:sz w:val="28"/>
          <w:szCs w:val="28"/>
          <w:highlight w:val="none"/>
        </w:rPr>
        <w:t xml:space="preserve">、商务要求</w:t>
      </w:r>
      <w:r>
        <w:rPr>
          <w:highlight w:val="none"/>
        </w:rPr>
      </w:r>
      <w:r/>
    </w:p>
    <w:p>
      <w:pPr>
        <w:pStyle w:val="961"/>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为实质性要求。</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highlight w:val="none"/>
        </w:rPr>
      </w:r>
      <w:bookmarkStart w:id="62" w:name="_Toc120614281"/>
      <w:r>
        <w:rPr>
          <w:rFonts w:hint="eastAsia" w:ascii="方正仿宋_GBK" w:hAnsi="方正仿宋_GBK" w:eastAsia="方正仿宋_GBK" w:cs="方正仿宋_GBK"/>
          <w:b/>
          <w:bCs/>
          <w:sz w:val="28"/>
          <w:szCs w:val="28"/>
          <w:highlight w:val="none"/>
        </w:rPr>
        <w:t xml:space="preserve">（一）质保及售后技术服务要求</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1、供应商应响应本招标项目服务要求并在投标文件中提供具体的售后服务方案。</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2、供应商对所提供的系统出现的软件缺陷，须实行终身免费修改维护。</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3、供应商应具有完善的售后服务管理体系，提供完善的售后服务和应急响应方案及承诺，投标书中需注明。</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4、免费维保期（质保期）自合同项目正式验收起算起，不少于1年。供应商应列明免费维护结束后,每年的维保费用和维保方案。</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5、免费维保期内，供应商必须派遣至少2名熟悉本项目并有一定的开发维护经验的驻场工程师，每月≥4次对系统进行巡检维护（须提供巡检记录文档），保证系统在最优状态下稳定运行。</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免费维保期内供应商应采用定期走访、现场服务、电话和网络咨询等方式为用户提供全方位技术服务，并提供7*24小时的电话热线咨询服务。对于系统在使用过程中出现的问题，须在30分钟内远程维护响应；若远程维护不能解决，则在60分钟内技术人员须到达现场维修。发生影响系统正常运行的故障，致系统瘫痪等严重问题，须在故障发生后2小时内予以解决，造成恶劣影响的，根据医院相关规定进行处罚。</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7、保密协议</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中标供应商须与医院签订《信息安全与保密协议》，遵守国家相关政策法规及医院信息安全规章制度，未经许可不得泄露医院任何资料，包括但不限于技术文档、数据文件、应用程序、患者资料、医疗档案等。</w:t>
      </w:r>
      <w:r>
        <w:rPr>
          <w:highlight w:val="none"/>
        </w:rPr>
      </w:r>
      <w:r/>
    </w:p>
    <w:p>
      <w:pPr>
        <w:pStyle w:val="961"/>
        <w:ind w:firstLine="482"/>
        <w:spacing w:line="440" w:lineRule="exact"/>
        <w:rPr>
          <w:rFonts w:hint="eastAsia" w:ascii="宋体" w:hAnsi="宋体" w:cs="宋体"/>
          <w:b/>
          <w:sz w:val="24"/>
          <w:highlight w:val="none"/>
        </w:rPr>
      </w:pPr>
      <w:r>
        <w:rPr>
          <w:rFonts w:hint="eastAsia" w:ascii="宋体" w:hAnsi="宋体" w:cs="宋体"/>
          <w:b/>
          <w:i/>
          <w:iCs/>
          <w:sz w:val="24"/>
          <w:highlight w:val="none"/>
          <w:u w:val="single"/>
        </w:rPr>
        <w:t xml:space="preserve">8、</w:t>
      </w:r>
      <w:r>
        <w:rPr>
          <w:rFonts w:hint="eastAsia" w:ascii="宋体" w:hAnsi="宋体"/>
          <w:b/>
          <w:i/>
          <w:iCs/>
          <w:sz w:val="24"/>
          <w:highlight w:val="none"/>
          <w:u w:val="single"/>
        </w:rPr>
        <w:t xml:space="preserve">参加调研供应商需提供以下书面承诺：</w:t>
      </w:r>
      <w:r>
        <w:rPr>
          <w:highlight w:val="none"/>
        </w:rPr>
      </w:r>
      <w:r/>
    </w:p>
    <w:p>
      <w:pPr>
        <w:pStyle w:val="961"/>
        <w:ind w:firstLine="482"/>
        <w:spacing w:line="440" w:lineRule="exact"/>
        <w:rPr>
          <w:rFonts w:hint="eastAsia" w:ascii="宋体" w:hAnsi="宋体"/>
          <w:b/>
          <w:i/>
          <w:iCs/>
          <w:sz w:val="24"/>
          <w:highlight w:val="none"/>
          <w:u w:val="single"/>
        </w:rPr>
      </w:pPr>
      <w:r>
        <w:rPr>
          <w:rFonts w:hint="eastAsia" w:ascii="宋体" w:hAnsi="宋体"/>
          <w:b/>
          <w:i/>
          <w:iCs/>
          <w:sz w:val="24"/>
          <w:highlight w:val="none"/>
          <w:u w:val="single"/>
        </w:rPr>
        <w:t xml:space="preserve">（1）本次采购的软件要求不影响现有的业务系统，供应商要负责平台的部署。本项目投标总报价包括本次采购、安装调试、数据和售后服务等所有费用；</w:t>
      </w:r>
      <w:r>
        <w:rPr>
          <w:highlight w:val="none"/>
        </w:rPr>
      </w:r>
      <w:r/>
    </w:p>
    <w:p>
      <w:pPr>
        <w:pStyle w:val="961"/>
        <w:ind w:firstLine="482"/>
        <w:spacing w:line="440" w:lineRule="exact"/>
        <w:rPr>
          <w:rFonts w:hint="eastAsia" w:ascii="宋体" w:hAnsi="宋体"/>
          <w:b/>
          <w:i/>
          <w:iCs/>
          <w:sz w:val="24"/>
          <w:highlight w:val="none"/>
          <w:u w:val="single"/>
        </w:rPr>
      </w:pPr>
      <w:r>
        <w:rPr>
          <w:rFonts w:hint="eastAsia" w:ascii="宋体" w:hAnsi="宋体"/>
          <w:b/>
          <w:i/>
          <w:iCs/>
          <w:sz w:val="24"/>
          <w:highlight w:val="none"/>
          <w:u w:val="single"/>
        </w:rPr>
        <w:t xml:space="preserve">（2）供应商提供的软件平台（系统）与江苏省中医院现有系统、集成平台无缝集成，包括系统及集成平台所需所有信息。投标系统免费与江苏省中医院集成平台对接，以及免费与江苏省中医院各院区该软件系统间、该系统与其他系统的对接，免费配合江苏省中医院以后的所有过级、评级改造需求。上述工作均含在此次报价中，且不再另行向采购人收费。</w:t>
      </w:r>
      <w:r>
        <w:rPr>
          <w:highlight w:val="none"/>
        </w:rPr>
      </w:r>
      <w:r/>
    </w:p>
    <w:p>
      <w:pPr>
        <w:pStyle w:val="961"/>
        <w:ind w:firstLine="482"/>
        <w:spacing w:line="440" w:lineRule="exact"/>
        <w:rPr>
          <w:rFonts w:hint="eastAsia" w:ascii="宋体" w:hAnsi="宋体"/>
          <w:b/>
          <w:i/>
          <w:iCs/>
          <w:sz w:val="24"/>
          <w:highlight w:val="none"/>
          <w:u w:val="single"/>
        </w:rPr>
      </w:pPr>
      <w:r>
        <w:rPr>
          <w:rFonts w:hint="eastAsia" w:ascii="宋体" w:hAnsi="宋体"/>
          <w:b/>
          <w:i/>
          <w:iCs/>
          <w:sz w:val="24"/>
          <w:highlight w:val="none"/>
          <w:u w:val="single"/>
        </w:rPr>
        <w:t xml:space="preserve">（3）供应商提供的软件平台（系统）终身免费开放软、硬件接口（硬件设备费用按报价收取），即无条件配合采购人增加软件工作站点、无条件配合采购人接入新的硬件设备、无条件配合采购人的其他软件完成与本平台（系统）对</w:t>
      </w:r>
      <w:r>
        <w:rPr>
          <w:rFonts w:hint="eastAsia" w:ascii="宋体" w:hAnsi="宋体"/>
          <w:b/>
          <w:i/>
          <w:iCs/>
          <w:color w:val="000000"/>
          <w:sz w:val="24"/>
          <w:highlight w:val="none"/>
          <w:u w:val="single"/>
        </w:rPr>
        <w:t xml:space="preserve">接；须与其他软件系统对接产生的开发、调试、适配等费用均已包含在本次报价中，供应商不再向采购人另行收取任何费用，并确保系统持续稳定运行。</w:t>
      </w:r>
      <w:r>
        <w:rPr>
          <w:rFonts w:hint="eastAsia" w:ascii="宋体" w:hAnsi="宋体"/>
          <w:b/>
          <w:i/>
          <w:iCs/>
          <w:color w:val="000000"/>
          <w:sz w:val="24"/>
          <w:highlight w:val="none"/>
          <w:u w:val="single"/>
        </w:rPr>
        <w:tab/>
      </w:r>
      <w:r>
        <w:rPr>
          <w:highlight w:val="none"/>
        </w:rPr>
      </w:r>
      <w:r/>
    </w:p>
    <w:p>
      <w:pPr>
        <w:pStyle w:val="961"/>
        <w:ind w:firstLine="482"/>
        <w:spacing w:line="440" w:lineRule="exact"/>
        <w:rPr>
          <w:rFonts w:hint="eastAsia" w:ascii="宋体" w:hAnsi="宋体"/>
          <w:b/>
          <w:i/>
          <w:iCs/>
          <w:sz w:val="24"/>
          <w:highlight w:val="none"/>
          <w:u w:val="single"/>
        </w:rPr>
      </w:pPr>
      <w:r>
        <w:rPr>
          <w:rFonts w:hint="eastAsia" w:ascii="宋体" w:hAnsi="宋体"/>
          <w:b/>
          <w:i/>
          <w:iCs/>
          <w:sz w:val="24"/>
          <w:highlight w:val="none"/>
          <w:u w:val="single"/>
        </w:rPr>
        <w:t xml:space="preserve">（4）在不涉及大版本升级的情况下，无条件配合医院调整功能、需求。软件功能满足采购人个性化需求修改。且不再另行向采购人收费。并保证所涉系统正常运行。</w:t>
      </w:r>
      <w:r>
        <w:rPr>
          <w:highlight w:val="none"/>
        </w:rPr>
      </w:r>
      <w:r/>
    </w:p>
    <w:p>
      <w:pPr>
        <w:pStyle w:val="961"/>
        <w:ind w:firstLine="482"/>
        <w:spacing w:line="440" w:lineRule="exact"/>
        <w:rPr>
          <w:rFonts w:hint="eastAsia" w:ascii="宋体" w:hAnsi="宋体" w:cs="宋体"/>
          <w:b/>
          <w:i/>
          <w:iCs/>
          <w:sz w:val="24"/>
          <w:highlight w:val="none"/>
          <w:u w:val="single"/>
        </w:rPr>
      </w:pPr>
      <w:r>
        <w:rPr>
          <w:rFonts w:hint="eastAsia" w:ascii="宋体" w:hAnsi="宋体" w:cs="宋体"/>
          <w:b/>
          <w:i/>
          <w:iCs/>
          <w:sz w:val="24"/>
          <w:highlight w:val="none"/>
          <w:u w:val="single"/>
        </w:rPr>
        <w:t xml:space="preserve">（5）采购人只提供项目所需硬件资源基础设施，供应商为本项目提供的所有软件（含服务器端的操作系统、数据库等第三方软件），均需为正版软件，若由于未使用正版软件引起纠纷或处罚，由供应商负责。</w:t>
      </w:r>
      <w:r>
        <w:rPr>
          <w:highlight w:val="none"/>
        </w:rPr>
      </w:r>
      <w:r/>
    </w:p>
    <w:p>
      <w:pPr>
        <w:pStyle w:val="961"/>
        <w:ind w:firstLine="562"/>
        <w:jc w:val="left"/>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（二）知识产权</w:t>
      </w:r>
      <w:r>
        <w:rPr>
          <w:highlight w:val="none"/>
        </w:rPr>
      </w:r>
      <w:r/>
    </w:p>
    <w:p>
      <w:pPr>
        <w:pStyle w:val="961"/>
        <w:ind w:firstLine="560"/>
        <w:jc w:val="left"/>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1、在项目开发过程中基于本项目定制所形成的所有知识产权，包括但不限于著作权、专利权、商标权、数据分析模型等，均归医院所有，中标人需无条件配合医院申请各类知识产权过程中需要的支持工作。</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中标人保证其提供的产品、服务及提交给医院使用的软件、源代码或其他技术成果具有完整的知识产权和所有权，在知识产权或其他权益方面没有限制或侵犯第三方的权利，中标人同时保证医院使用中标人提供的产品、服务及其他技术成果或其任何一部分，没有限制或侵犯第三方的专利权、版权、商标权等知识产权或其他权利。</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3、医院有权在本合同之外的场所使用本次项目开发过程中形成的技术成果。未经医院书面同意，中标人不得许可任何他人使用或将其转让给第三方。</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（三）交货期、交货方式及交货地点</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1、交货期：自合同签订之日起12个月内。</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2、交货方式：供应商在采购人指定地点交货，并完成安装、调试。</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3、交货地点：采购人指定地点，由供应商负责办理运输和装卸等，费用由供应商负责，采购人组织验收，检验不合格或不符合质量要求，供应商除无条件退货、返工外，还应承担采购人由此造成的一切损失。</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（四）付款方式</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1、本项目合同签订完成后支付合同总价的30%的预付款，系统进入开发和实施阶段。乙方需提供不低于本次付款金额的发票。</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2、整个系统经江苏省中医院验收合格后，支付合同总额的70%。系统进入免费维护阶段。乙方本次付款前需提供项目全额发票。</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3、履约保证金</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中标人应在合同签订前缴纳合同总价10%的履约保证金。</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（1）履约保证金应在采购合同签订前提交，除银行电汇、网上银行、数字人民币外，投标人还可选用银行保函、担保公司的保证担保或保险公司的保证保险等多种形式向采购人缴纳；</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（3）履约保证金退还的条件：采购人在项目通过验收后满一年，按照合同条款规定的时间内将履约保证金退还中标人；</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履约保证金退还时间：符合退还条件的5个工作日内退还；</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（4）逾期退还履约保证金的违约责任：除应当退还履约保证金外，还应当按照合同条款规定的比例支付超期资金占用费，但因投标人自身原因导致无法及时退还的除外。</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本项目支持和鼓励投标人使用江苏政府采购电子履约保函（保险）代替缴纳履约保证金。关于办理流程、偿付等内容详见江苏省政府采购网《关于在全省政府采购领域推行电子履约保函（保险）的通知》（苏财购﹝2023﹞150号）。</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（五）货币</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zh-CN"/>
        </w:rPr>
        <w:t xml:space="preserve">投标文件中单价和总价均采用人民币报价，以元为单位标注。</w:t>
      </w:r>
      <w:r>
        <w:rPr>
          <w:highlight w:val="none"/>
        </w:rPr>
      </w:r>
      <w:r/>
    </w:p>
    <w:p>
      <w:pPr>
        <w:pStyle w:val="961"/>
        <w:ind w:firstLine="562"/>
        <w:jc w:val="left"/>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（六）出保后年维保价格要求</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质保期满后年维保费用不高于</w:t>
      </w:r>
      <w:r>
        <w:rPr>
          <w:rFonts w:hint="eastAsia" w:ascii="方正仿宋_GBK" w:hAnsi="方正仿宋_GBK" w:eastAsia="方正仿宋_GBK" w:cs="方正仿宋_GBK"/>
          <w:sz w:val="28"/>
          <w:szCs w:val="28"/>
          <w:highlight w:val="none"/>
        </w:rPr>
        <w:t xml:space="preserve">合同</w:t>
      </w:r>
      <w:r>
        <w:rPr>
          <w:rFonts w:hint="eastAsia" w:ascii="方正仿宋_GBK" w:hAnsi="方正仿宋_GBK" w:eastAsia="方正仿宋_GBK" w:cs="方正仿宋_GBK"/>
          <w:sz w:val="28"/>
          <w:szCs w:val="28"/>
          <w:highlight w:val="none"/>
        </w:rPr>
        <w:t xml:space="preserve">总价的7%。</w:t>
      </w:r>
      <w:r>
        <w:rPr>
          <w:highlight w:val="none"/>
        </w:rPr>
      </w:r>
      <w:r/>
    </w:p>
    <w:p>
      <w:pPr>
        <w:pStyle w:val="961"/>
        <w:ind w:firstLine="562"/>
        <w:jc w:val="left"/>
        <w:spacing w:line="400" w:lineRule="exac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七、系统演示</w:t>
      </w:r>
      <w:r>
        <w:rPr>
          <w:highlight w:val="none"/>
        </w:rPr>
      </w:r>
      <w:r/>
    </w:p>
    <w:p>
      <w:pPr>
        <w:pStyle w:val="961"/>
        <w:ind w:firstLine="560"/>
        <w:spacing w:line="3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一）投标人需按照招标文件规定的演示内容制作演示视频文件，演示环境应为可交互系统，如采用静态页面、PPT、动画等其它方式演示，每项得分*0.5，不演示不得分。视频文件的格式为*.mp4或*.avi，投标人须将视频文件分段压缩为*.zip文件上传（单个文件不得大于50M，所有文件总共不得大于300M）。文件上传方式见《操作手册》规定。</w:t>
      </w:r>
      <w:r>
        <w:rPr>
          <w:highlight w:val="none"/>
        </w:rPr>
      </w:r>
      <w:r/>
    </w:p>
    <w:p>
      <w:pPr>
        <w:pStyle w:val="961"/>
        <w:ind w:firstLine="560"/>
        <w:spacing w:line="36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上传的演示视频将作为投标文件的组成部分，视频时长总计不超过10分钟.</w:t>
      </w:r>
      <w:r>
        <w:rPr>
          <w:highlight w:val="none"/>
        </w:rPr>
      </w:r>
      <w:r/>
    </w:p>
    <w:p>
      <w:pPr>
        <w:pStyle w:val="961"/>
        <w:ind w:left="105" w:right="105" w:firstLine="560"/>
        <w:spacing w:line="36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（二）演示应包含以下内容：</w:t>
      </w:r>
      <w:r>
        <w:rPr>
          <w:highlight w:val="none"/>
        </w:rPr>
      </w:r>
      <w:r/>
    </w:p>
    <w:p>
      <w:pPr>
        <w:pStyle w:val="961"/>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1、运营数据中心：（1）展示数据血缘追溯和数据最小颗粒；（2）展示指标自定义操作界面和操作过程。</w:t>
      </w:r>
      <w:r>
        <w:rPr>
          <w:highlight w:val="none"/>
        </w:rPr>
      </w:r>
      <w:r/>
    </w:p>
    <w:p>
      <w:pPr>
        <w:pStyle w:val="961"/>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2、收支余分析：提供科室医疗盈余分析表，提供同一窗口表格下同比、环比、科系比、全院比等。</w:t>
      </w:r>
      <w:r>
        <w:rPr>
          <w:highlight w:val="none"/>
        </w:rPr>
      </w:r>
      <w:r/>
    </w:p>
    <w:p>
      <w:pPr>
        <w:pStyle w:val="961"/>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3、手术运营管理：（1）展示手术预约、手术安排等效率维度，以及四级手术占比、微创手术占比等能力维度，分析手术的财务产出是否符合医院发展预期；（2）通过原因探查，提示管理者制定相应的管理措施。</w:t>
      </w:r>
      <w:r>
        <w:rPr>
          <w:highlight w:val="none"/>
        </w:rPr>
      </w:r>
      <w:r/>
    </w:p>
    <w:p>
      <w:pPr>
        <w:pStyle w:val="961"/>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4、科室画像：</w:t>
      </w:r>
      <w:r>
        <w:rPr>
          <w:rFonts w:hint="eastAsia" w:ascii="方正仿宋_GBK" w:hAnsi="方正仿宋_GBK" w:eastAsia="方正仿宋_GBK" w:cs="方正仿宋_GBK"/>
          <w:sz w:val="28"/>
          <w:szCs w:val="28"/>
          <w:highlight w:val="none"/>
        </w:rPr>
        <w:t xml:space="preserve">（1）以科室住院业务运营为分析场景，从工作量、病种结构、手术级别</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床日、</w:t>
      </w:r>
      <w:r>
        <w:rPr>
          <w:rFonts w:hint="eastAsia" w:ascii="方正仿宋_GBK" w:hAnsi="方正仿宋_GBK" w:eastAsia="方正仿宋_GBK" w:cs="方正仿宋_GBK"/>
          <w:sz w:val="28"/>
          <w:szCs w:val="28"/>
          <w:highlight w:val="none"/>
          <w:lang w:val="en-US" w:eastAsia="zh-CN"/>
        </w:rPr>
        <w:t xml:space="preserve">床均收入、床均医疗服务收入</w:t>
      </w:r>
      <w:r>
        <w:rPr>
          <w:rFonts w:hint="eastAsia" w:ascii="方正仿宋_GBK" w:hAnsi="方正仿宋_GBK" w:eastAsia="方正仿宋_GBK" w:cs="方正仿宋_GBK"/>
          <w:sz w:val="28"/>
          <w:szCs w:val="28"/>
          <w:highlight w:val="none"/>
        </w:rPr>
        <w:t xml:space="preserve">角度，探查住院运营瓶颈问题，提示管理者通过规则制度、绩效等管理手段提高住院运营效率和效益。（2）以科室门诊业务运营为分析场景，从诊间利用率、挂号量、门诊转住院量/比例等，分析门诊工作效率，提示管理手段。</w:t>
      </w:r>
      <w:r>
        <w:rPr>
          <w:highlight w:val="none"/>
        </w:rPr>
      </w:r>
      <w:r/>
    </w:p>
    <w:p>
      <w:pPr>
        <w:pStyle w:val="961"/>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5、病种分析：（1）展示地区医保和国家卫健版DRG分组器对接医院病案系统的应用和统计分析报表（如CMI值测算、药品指数、材料指数、费用消耗指数、时间消耗指数等）</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支持下钻到医疗组分析。（2）提供病种RW分析和结余率分析相结合的四象限波士顿矩阵分析，支持图表和表格双视图切换，支持关键病组、优势病组等特征标注，支持下钻到医疗组分析。</w:t>
      </w:r>
      <w:r>
        <w:rPr>
          <w:highlight w:val="none"/>
        </w:rPr>
      </w:r>
      <w:r/>
    </w:p>
    <w:p>
      <w:pPr>
        <w:pStyle w:val="961"/>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6、绩效考核：（1）展示对科室、医疗组和个人的多维度考核结果、导出，基于资源相对价值（RBRVS点值库）计算某科室医疗组/手术医师绩效分配点值；（2）展示各指标评分方法以及评分规则的格式化配置。</w:t>
      </w:r>
      <w:r>
        <w:rPr>
          <w:highlight w:val="none"/>
        </w:rPr>
      </w:r>
      <w:r/>
    </w:p>
    <w:p>
      <w:pPr>
        <w:pStyle w:val="961"/>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7、掌上运营分析：（1）手机端展示全院日报、科室日报、目标值监测、绩效考核结果模块；（2）展示AI大模型在手机端运营，不少于5个问题的智能问答。</w:t>
      </w:r>
      <w:r>
        <w:rPr>
          <w:highlight w:val="none"/>
        </w:rPr>
      </w:r>
      <w:r/>
    </w:p>
    <w:p>
      <w:pPr>
        <w:pStyle w:val="961"/>
        <w:ind w:firstLine="560"/>
        <w:spacing w:line="440" w:lineRule="exact"/>
        <w:rPr>
          <w:rFonts w:hint="eastAsia" w:ascii="方正仿宋_GBK" w:hAnsi="方正仿宋_GBK" w:eastAsia="方正仿宋_GBK" w:cs="方正仿宋_GBK"/>
          <w:bCs w:val="0"/>
          <w:sz w:val="28"/>
          <w:szCs w:val="28"/>
          <w:highlight w:val="none"/>
        </w:rPr>
      </w:pPr>
      <w:r>
        <w:rPr>
          <w:rFonts w:hint="eastAsia" w:ascii="方正仿宋_GBK" w:hAnsi="方正仿宋_GBK" w:eastAsia="方正仿宋_GBK" w:cs="方正仿宋_GBK"/>
          <w:sz w:val="28"/>
          <w:szCs w:val="28"/>
          <w:highlight w:val="none"/>
          <w:lang w:val="en-US" w:eastAsia="zh-CN"/>
        </w:rPr>
        <w:t xml:space="preserve">8</w:t>
      </w:r>
      <w:r>
        <w:rPr>
          <w:rFonts w:hint="eastAsia" w:ascii="方正仿宋_GBK" w:hAnsi="方正仿宋_GBK" w:eastAsia="方正仿宋_GBK" w:cs="方正仿宋_GBK"/>
          <w:sz w:val="28"/>
          <w:szCs w:val="28"/>
          <w:highlight w:val="none"/>
        </w:rPr>
        <w:t xml:space="preserve">、AI应用服务平台（知识图谱）：支持ICD编码，不同版本的RVU字典值，医疗标准，疾病分析，临床能力，药品，材料，设备，成本，标杆等业务实体。支持知识图谱的可视化展示,支持查看业务实体的中位数、均值、低值、高值等参照数据。</w:t>
      </w:r>
      <w:r>
        <w:rPr>
          <w:highlight w:val="none"/>
        </w:rPr>
      </w:r>
      <w:r/>
    </w:p>
    <w:p>
      <w:pPr>
        <w:pStyle w:val="961"/>
        <w:ind w:firstLine="560"/>
        <w:spacing w:line="440" w:lineRule="exact"/>
        <w:rPr>
          <w:rFonts w:hint="eastAsia" w:ascii="方正仿宋_GBK" w:hAnsi="方正仿宋_GBK" w:eastAsia="方正仿宋_GBK" w:cs="方正仿宋_GBK"/>
          <w:bCs w:val="0"/>
          <w:sz w:val="28"/>
          <w:szCs w:val="28"/>
          <w:highlight w:val="none"/>
        </w:rPr>
      </w:pPr>
      <w:r>
        <w:rPr>
          <w:rFonts w:hint="eastAsia" w:ascii="方正仿宋_GBK" w:hAnsi="方正仿宋_GBK" w:eastAsia="方正仿宋_GBK" w:cs="方正仿宋_GBK"/>
          <w:bCs w:val="0"/>
          <w:sz w:val="28"/>
          <w:szCs w:val="28"/>
          <w:highlight w:val="none"/>
        </w:rPr>
      </w:r>
      <w:r>
        <w:rPr>
          <w:highlight w:val="none"/>
        </w:rPr>
      </w:r>
      <w:r/>
    </w:p>
    <w:p>
      <w:pPr>
        <w:pStyle w:val="963"/>
        <w:spacing w:line="400" w:lineRule="exact"/>
        <w:rPr>
          <w:rFonts w:hint="eastAsia" w:ascii="黑体" w:hAnsi="黑体" w:eastAsia="黑体"/>
          <w:sz w:val="28"/>
          <w:szCs w:val="28"/>
          <w:highlight w:val="none"/>
        </w:rPr>
      </w:pPr>
      <w:r>
        <w:rPr>
          <w:rFonts w:hint="eastAsia" w:ascii="黑体" w:hAnsi="黑体" w:eastAsia="黑体"/>
          <w:sz w:val="28"/>
          <w:szCs w:val="28"/>
          <w:highlight w:val="none"/>
        </w:rPr>
        <w:br w:type="page" w:clear="all"/>
      </w:r>
      <w:r>
        <w:rPr>
          <w:rFonts w:hint="eastAsia" w:ascii="黑体" w:hAnsi="黑体" w:eastAsia="黑体"/>
          <w:sz w:val="28"/>
          <w:szCs w:val="28"/>
          <w:highlight w:val="none"/>
        </w:rPr>
        <w:t xml:space="preserve">第五章  评标方法与评标标准</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highlight w:val="none"/>
        </w:rPr>
        <w:t xml:space="preserve">得分且投标报价相同的并列。</w:t>
      </w:r>
      <w:r>
        <w:rPr>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highlight w:val="none"/>
              </w:rPr>
            </w:r>
            <w:r/>
          </w:p>
        </w:tc>
        <w:tc>
          <w:tcPr>
            <w:tcW w:w="2183"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rPr>
                <w:highlight w:val="none"/>
              </w:rPr>
            </w:r>
            <w:r/>
          </w:p>
        </w:tc>
        <w:tc>
          <w:tcPr>
            <w:tcW w:w="5134"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rPr>
                <w:highlight w:val="none"/>
              </w:rPr>
            </w:r>
            <w:r/>
          </w:p>
        </w:tc>
      </w:tr>
      <w:tr>
        <w:trPr/>
        <w:tc>
          <w:tcPr>
            <w:tcW w:w="160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2183"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5134" w:type="dxa"/>
            <w:vAlign w:val="top"/>
            <w:textDirection w:val="lrTb"/>
            <w:noWrap w:val="false"/>
          </w:tcPr>
          <w:p>
            <w:pPr>
              <w:pStyle w:val="96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rPr>
                <w:highlight w:val="none"/>
              </w:rPr>
            </w:r>
            <w:r/>
          </w:p>
        </w:tc>
      </w:tr>
    </w:tbl>
    <w:p>
      <w:pPr>
        <w:pStyle w:val="1049"/>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rPr>
          <w:highlight w:val="none"/>
        </w:rPr>
      </w:r>
      <w:r/>
    </w:p>
    <w:p>
      <w:pPr>
        <w:pStyle w:val="104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rPr>
          <w:highlight w:val="none"/>
        </w:rPr>
      </w:r>
      <w:r/>
    </w:p>
    <w:p>
      <w:pPr>
        <w:pStyle w:val="1049"/>
        <w:ind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（1）本项目对小型和微型企业提供的服务给予10%的扣除价格，用扣除后的价格参与评审。</w:t>
      </w:r>
      <w:r>
        <w:rPr>
          <w:highlight w:val="none"/>
        </w:rPr>
      </w:r>
      <w:r/>
    </w:p>
    <w:p>
      <w:pPr>
        <w:pStyle w:val="104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rPr>
          <w:highlight w:val="none"/>
        </w:rPr>
      </w:r>
      <w:r/>
    </w:p>
    <w:p>
      <w:pPr>
        <w:pStyle w:val="104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rPr>
          <w:highlight w:val="none"/>
        </w:rPr>
      </w:r>
      <w:r/>
    </w:p>
    <w:p>
      <w:pPr>
        <w:pStyle w:val="1049"/>
        <w:ind w:left="120"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rPr>
          <w:highlight w:val="none"/>
        </w:rPr>
      </w:r>
      <w:r/>
    </w:p>
    <w:p>
      <w:pPr>
        <w:pStyle w:val="1049"/>
        <w:ind w:left="120"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rPr>
          <w:highlight w:val="none"/>
        </w:rPr>
      </w:r>
      <w:r/>
    </w:p>
    <w:p>
      <w:pPr>
        <w:pStyle w:val="1049"/>
        <w:ind w:left="120"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rPr>
          <w:highlight w:val="none"/>
        </w:rPr>
      </w:r>
      <w:r/>
    </w:p>
    <w:p>
      <w:pPr>
        <w:pStyle w:val="104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rPr>
          <w:highlight w:val="none"/>
        </w:rPr>
      </w:r>
      <w:r/>
    </w:p>
    <w:p>
      <w:pPr>
        <w:pStyle w:val="104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rPr>
          <w:highlight w:val="none"/>
        </w:rPr>
      </w:r>
      <w:r/>
    </w:p>
    <w:p>
      <w:pPr>
        <w:pStyle w:val="104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pStyle w:val="104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rPr>
          <w:highlight w:val="none"/>
        </w:rPr>
      </w:r>
      <w:r/>
    </w:p>
    <w:p>
      <w:pPr>
        <w:pStyle w:val="104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rPr>
          <w:highlight w:val="none"/>
        </w:rPr>
      </w:r>
      <w:r/>
    </w:p>
    <w:p>
      <w:pPr>
        <w:pStyle w:val="1049"/>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highlight w:val="none"/>
        </w:rPr>
      </w:r>
      <w:r/>
    </w:p>
    <w:p>
      <w:pPr>
        <w:pStyle w:val="1049"/>
        <w:ind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7.采购本国产品的支持政策</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highlight w:val="none"/>
          <w:u w:val="single"/>
        </w:rPr>
        <w:t xml:space="preserve">20%</w:t>
      </w:r>
      <w:r>
        <w:rPr>
          <w:rFonts w:hint="eastAsia" w:ascii="方正仿宋_GBK" w:hAnsi="方正仿宋_GBK" w:eastAsia="方正仿宋_GBK" w:cs="方正仿宋_GBK"/>
          <w:sz w:val="28"/>
          <w:szCs w:val="28"/>
          <w:highlight w:val="none"/>
        </w:rPr>
        <w:t xml:space="preserve">的价格扣除，用扣除后的价格参与评审。供应商未填写比例数值，或比例数值不足</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 供应商需按照招标文件的要求提供《关于符合本国产品标准的声明函》（以下简称《声明函》），如不提供将不享受本国产品价格评审优惠。</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highlight w:val="none"/>
          <w:u w:val="single"/>
        </w:rPr>
        <w:t xml:space="preserve">“  /  ”</w:t>
      </w:r>
      <w:r>
        <w:rPr>
          <w:rFonts w:hint="eastAsia" w:ascii="方正仿宋_GBK" w:hAnsi="方正仿宋_GBK" w:eastAsia="方正仿宋_GBK" w:cs="方正仿宋_GBK"/>
          <w:sz w:val="28"/>
          <w:szCs w:val="28"/>
          <w:highlight w:val="none"/>
        </w:rPr>
        <w:t xml:space="preserve">的地方无需填写），三项信息中任意一项未填写的视为该项产品不符合本国产品标准，不享受本国产品价格评审优惠。</w:t>
      </w:r>
      <w:r>
        <w:rPr>
          <w:highlight w:val="none"/>
        </w:rPr>
      </w:r>
      <w:r/>
    </w:p>
    <w:p>
      <w:pPr>
        <w:pStyle w:val="961"/>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pStyle w:val="961"/>
        <w:ind w:firstLine="562"/>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rPr>
          <w:highlight w:val="none"/>
        </w:rPr>
      </w:r>
      <w:r/>
    </w:p>
    <w:p>
      <w:pPr>
        <w:pStyle w:val="961"/>
        <w:ind w:firstLine="562"/>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rPr>
          <w:highlight w:val="none"/>
        </w:rPr>
      </w:r>
      <w:r/>
    </w:p>
    <w:p>
      <w:pPr>
        <w:pStyle w:val="961"/>
        <w:ind w:firstLine="562"/>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rPr>
          <w:highlight w:val="none"/>
        </w:rPr>
      </w:r>
      <w:r/>
    </w:p>
    <w:p>
      <w:pPr>
        <w:pStyle w:val="961"/>
        <w:ind w:firstLine="562"/>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rPr>
          <w:highlight w:val="none"/>
        </w:rPr>
      </w:r>
      <w:r/>
    </w:p>
    <w:p>
      <w:pPr>
        <w:pStyle w:val="961"/>
        <w:ind w:firstLine="562"/>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rPr>
          <w:highlight w:val="none"/>
        </w:rPr>
      </w:r>
      <w:r/>
    </w:p>
    <w:tbl>
      <w:tblPr>
        <w:tblpPr w:horzAnchor="page" w:tblpX="1583" w:vertAnchor="text" w:tblpY="487" w:leftFromText="180" w:topFromText="0" w:rightFromText="180" w:bottomFromText="0"/>
        <w:tblW w:w="87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5"/>
        <w:gridCol w:w="1192"/>
        <w:gridCol w:w="6126"/>
        <w:gridCol w:w="820"/>
      </w:tblGrid>
      <w:tr>
        <w:trPr>
          <w:trHeight w:val="860"/>
        </w:trPr>
        <w:tc>
          <w:tcPr>
            <w:tcMar>
              <w:left w:w="0" w:type="dxa"/>
              <w:top w:w="0" w:type="dxa"/>
              <w:right w:w="0" w:type="dxa"/>
              <w:bottom w:w="0" w:type="dxa"/>
            </w:tcMar>
            <w:tcW w:w="585" w:type="dxa"/>
            <w:vAlign w:val="center"/>
            <w:textDirection w:val="lrTb"/>
            <w:noWrap w:val="false"/>
          </w:tcPr>
          <w:p>
            <w:pPr>
              <w:pStyle w:val="961"/>
              <w:jc w:val="center"/>
              <w:spacing w:line="360" w:lineRule="exact"/>
              <w:rPr>
                <w:rFonts w:hint="eastAsia" w:ascii="方正仿宋_GBK" w:hAnsi="方正仿宋_GBK" w:eastAsia="方正仿宋_GBK" w:cs="方正仿宋_GBK"/>
                <w:b/>
                <w:bCs/>
                <w:sz w:val="28"/>
                <w:szCs w:val="28"/>
                <w:highlight w:val="none"/>
              </w:rPr>
              <w:framePr w:vAnchor="text" w:hAnchor="page" w:x="1583" w:y="487"/>
            </w:pPr>
            <w:r>
              <w:rPr>
                <w:highlight w:val="none"/>
              </w:rPr>
            </w:r>
            <w:bookmarkStart w:id="63" w:name="_Hlk104210304"/>
            <w:r>
              <w:rPr>
                <w:rFonts w:hint="eastAsia" w:ascii="方正仿宋_GBK" w:hAnsi="方正仿宋_GBK" w:eastAsia="方正仿宋_GBK" w:cs="方正仿宋_GBK"/>
                <w:b/>
                <w:bCs/>
                <w:sz w:val="28"/>
                <w:szCs w:val="28"/>
                <w:highlight w:val="none"/>
              </w:rPr>
              <w:t xml:space="preserve">序号</w:t>
            </w:r>
            <w:r>
              <w:rPr>
                <w:highlight w:val="none"/>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rPr>
                <w:rFonts w:hint="eastAsia" w:ascii="方正仿宋_GBK" w:hAnsi="方正仿宋_GBK" w:eastAsia="方正仿宋_GBK" w:cs="方正仿宋_GBK"/>
                <w:b/>
                <w:bCs/>
                <w:sz w:val="28"/>
                <w:szCs w:val="28"/>
                <w:highlight w:val="none"/>
              </w:rPr>
              <w:framePr w:vAnchor="text" w:hAnchor="page" w:x="1583" w:y="487"/>
            </w:pPr>
            <w:r>
              <w:rPr>
                <w:rFonts w:hint="eastAsia" w:ascii="方正仿宋_GBK" w:hAnsi="方正仿宋_GBK" w:eastAsia="方正仿宋_GBK" w:cs="方正仿宋_GBK"/>
                <w:b/>
                <w:bCs/>
                <w:sz w:val="28"/>
                <w:szCs w:val="28"/>
                <w:highlight w:val="none"/>
              </w:rPr>
              <w:t xml:space="preserve">评分因素</w:t>
            </w:r>
            <w:r>
              <w:rPr>
                <w:highlight w:val="none"/>
              </w:rPr>
            </w:r>
            <w:r/>
          </w:p>
        </w:tc>
        <w:tc>
          <w:tcPr>
            <w:tcMar>
              <w:left w:w="0" w:type="dxa"/>
              <w:top w:w="0" w:type="dxa"/>
              <w:right w:w="0" w:type="dxa"/>
              <w:bottom w:w="0" w:type="dxa"/>
            </w:tcMar>
            <w:tcW w:w="6126" w:type="dxa"/>
            <w:vAlign w:val="center"/>
            <w:textDirection w:val="lrTb"/>
            <w:noWrap w:val="false"/>
          </w:tcPr>
          <w:p>
            <w:pPr>
              <w:pStyle w:val="961"/>
              <w:jc w:val="center"/>
              <w:spacing w:line="360" w:lineRule="exact"/>
              <w:rPr>
                <w:rFonts w:hint="eastAsia" w:ascii="方正仿宋_GBK" w:hAnsi="方正仿宋_GBK" w:eastAsia="方正仿宋_GBK" w:cs="方正仿宋_GBK"/>
                <w:b/>
                <w:bCs/>
                <w:sz w:val="28"/>
                <w:szCs w:val="28"/>
                <w:highlight w:val="none"/>
              </w:rPr>
              <w:framePr w:vAnchor="text" w:hAnchor="page" w:x="1583" w:y="487"/>
            </w:pPr>
            <w:r>
              <w:rPr>
                <w:rFonts w:hint="eastAsia" w:ascii="方正仿宋_GBK" w:hAnsi="方正仿宋_GBK" w:eastAsia="方正仿宋_GBK" w:cs="方正仿宋_GBK"/>
                <w:b/>
                <w:bCs/>
                <w:sz w:val="28"/>
                <w:szCs w:val="28"/>
                <w:highlight w:val="none"/>
              </w:rPr>
              <w:t xml:space="preserve">评分细则</w:t>
            </w:r>
            <w:r>
              <w:rPr>
                <w:highlight w:val="none"/>
              </w:rPr>
            </w:r>
            <w:r/>
          </w:p>
        </w:tc>
        <w:tc>
          <w:tcPr>
            <w:tcW w:w="820" w:type="dxa"/>
            <w:vAlign w:val="center"/>
            <w:textDirection w:val="lrTb"/>
            <w:noWrap w:val="false"/>
          </w:tcPr>
          <w:p>
            <w:pPr>
              <w:pStyle w:val="961"/>
              <w:jc w:val="center"/>
              <w:spacing w:line="360" w:lineRule="exact"/>
              <w:rPr>
                <w:rFonts w:hint="eastAsia" w:ascii="方正仿宋_GBK" w:hAnsi="方正仿宋_GBK" w:eastAsia="方正仿宋_GBK" w:cs="方正仿宋_GBK"/>
                <w:b/>
                <w:bCs/>
                <w:sz w:val="28"/>
                <w:szCs w:val="28"/>
                <w:highlight w:val="none"/>
              </w:rPr>
              <w:framePr w:vAnchor="text" w:hAnchor="page" w:x="1583" w:y="487"/>
            </w:pPr>
            <w:r>
              <w:rPr>
                <w:rFonts w:hint="eastAsia" w:ascii="方正仿宋_GBK" w:hAnsi="方正仿宋_GBK" w:eastAsia="方正仿宋_GBK" w:cs="方正仿宋_GBK"/>
                <w:b/>
                <w:bCs/>
                <w:sz w:val="28"/>
                <w:szCs w:val="28"/>
                <w:highlight w:val="none"/>
              </w:rPr>
              <w:t xml:space="preserve">分值</w:t>
            </w:r>
            <w:r>
              <w:rPr>
                <w:highlight w:val="none"/>
              </w:rPr>
            </w:r>
            <w:r/>
          </w:p>
        </w:tc>
      </w:tr>
      <w:tr>
        <w:trPr>
          <w:trHeight w:val="90"/>
        </w:trPr>
        <w:tc>
          <w:tcPr>
            <w:tcMar>
              <w:left w:w="0" w:type="dxa"/>
              <w:top w:w="0" w:type="dxa"/>
              <w:right w:w="0" w:type="dxa"/>
              <w:bottom w:w="0" w:type="dxa"/>
            </w:tcMar>
            <w:tcW w:w="585" w:type="dxa"/>
            <w:vAlign w:val="center"/>
            <w:textDirection w:val="lrTb"/>
            <w:noWrap w:val="false"/>
          </w:tcPr>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1</w:t>
            </w:r>
            <w:r>
              <w:rPr>
                <w:highlight w:val="none"/>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价格分</w:t>
            </w:r>
            <w:r>
              <w:rPr>
                <w:highlight w:val="none"/>
              </w:rPr>
            </w:r>
            <w:r/>
          </w:p>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（20分）</w:t>
            </w:r>
            <w:r>
              <w:rPr>
                <w:highlight w:val="none"/>
              </w:rPr>
            </w:r>
            <w:r/>
          </w:p>
        </w:tc>
        <w:tc>
          <w:tcPr>
            <w:tcMar>
              <w:left w:w="0" w:type="dxa"/>
              <w:top w:w="0" w:type="dxa"/>
              <w:right w:w="0" w:type="dxa"/>
              <w:bottom w:w="0" w:type="dxa"/>
            </w:tcMar>
            <w:tcW w:w="6126" w:type="dxa"/>
            <w:vAlign w:val="center"/>
            <w:textDirection w:val="lrTb"/>
            <w:noWrap w:val="false"/>
          </w:tcPr>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价格分采用低价优先法计算，即满足招标文件要求且最后报价最低的投标报价为评标基准价，其价格分为满分20分，其它投标人的价格分统一按照下列公式计算：投标报价得分=（评标基准价/投标报价）×20分。分值保留小数点后2位。</w:t>
            </w:r>
            <w:r>
              <w:rPr>
                <w:highlight w:val="none"/>
              </w:rPr>
            </w:r>
            <w:r/>
          </w:p>
        </w:tc>
        <w:tc>
          <w:tcPr>
            <w:tcW w:w="820" w:type="dxa"/>
            <w:vAlign w:val="center"/>
            <w:textDirection w:val="lrTb"/>
            <w:noWrap w:val="false"/>
          </w:tcPr>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20</w:t>
            </w:r>
            <w:r>
              <w:rPr>
                <w:highlight w:val="none"/>
              </w:rPr>
            </w:r>
            <w:r/>
          </w:p>
        </w:tc>
      </w:tr>
      <w:tr>
        <w:trPr>
          <w:trHeight w:val="90"/>
        </w:trPr>
        <w:tc>
          <w:tcPr>
            <w:tcMar>
              <w:left w:w="0" w:type="dxa"/>
              <w:top w:w="0" w:type="dxa"/>
              <w:right w:w="0" w:type="dxa"/>
              <w:bottom w:w="0" w:type="dxa"/>
            </w:tcMar>
            <w:tcW w:w="585" w:type="dxa"/>
            <w:vAlign w:val="center"/>
            <w:textDirection w:val="lrTb"/>
            <w:noWrap w:val="false"/>
          </w:tcPr>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w:t>
            </w:r>
            <w:r>
              <w:rPr>
                <w:highlight w:val="none"/>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rPr>
                <w:rFonts w:hint="eastAsia" w:ascii="方正仿宋_GBK" w:hAnsi="方正仿宋_GBK" w:eastAsia="方正仿宋_GBK" w:cs="方正仿宋_GBK"/>
                <w:bCs/>
                <w:sz w:val="28"/>
                <w:szCs w:val="28"/>
                <w:highlight w:val="none"/>
              </w:rPr>
              <w:framePr w:vAnchor="text" w:hAnchor="page" w:x="1583" w:y="487"/>
            </w:pPr>
            <w:r>
              <w:rPr>
                <w:rFonts w:hint="eastAsia" w:ascii="方正仿宋_GBK" w:hAnsi="方正仿宋_GBK" w:eastAsia="方正仿宋_GBK" w:cs="方正仿宋_GBK"/>
                <w:bCs/>
                <w:sz w:val="28"/>
                <w:szCs w:val="28"/>
                <w:highlight w:val="none"/>
              </w:rPr>
              <w:t xml:space="preserve">技术参数要求</w:t>
            </w:r>
            <w:r>
              <w:rPr>
                <w:highlight w:val="none"/>
              </w:rPr>
            </w:r>
            <w:r/>
          </w:p>
          <w:p>
            <w:pPr>
              <w:pStyle w:val="961"/>
              <w:jc w:val="center"/>
              <w:spacing w:line="360" w:lineRule="exact"/>
              <w:rPr>
                <w:rFonts w:hint="eastAsia" w:ascii="方正仿宋_GBK" w:hAnsi="方正仿宋_GBK" w:eastAsia="方正仿宋_GBK" w:cs="方正仿宋_GBK"/>
                <w:b/>
                <w:bCs/>
                <w:sz w:val="28"/>
                <w:szCs w:val="28"/>
                <w:highlight w:val="none"/>
              </w:rPr>
              <w:framePr w:vAnchor="text" w:hAnchor="page" w:x="1583" w:y="487"/>
            </w:pPr>
            <w:r>
              <w:rPr>
                <w:rFonts w:hint="eastAsia" w:ascii="方正仿宋_GBK" w:hAnsi="方正仿宋_GBK" w:eastAsia="方正仿宋_GBK" w:cs="方正仿宋_GBK"/>
                <w:bCs/>
                <w:sz w:val="28"/>
                <w:szCs w:val="28"/>
                <w:highlight w:val="none"/>
              </w:rPr>
              <w:t xml:space="preserve">（27分）</w:t>
            </w:r>
            <w:r>
              <w:rPr>
                <w:highlight w:val="none"/>
              </w:rPr>
            </w:r>
            <w:r/>
          </w:p>
        </w:tc>
        <w:tc>
          <w:tcPr>
            <w:tcMar>
              <w:left w:w="0" w:type="dxa"/>
              <w:top w:w="0" w:type="dxa"/>
              <w:right w:w="0" w:type="dxa"/>
              <w:bottom w:w="0" w:type="dxa"/>
            </w:tcMar>
            <w:tcW w:w="6126" w:type="dxa"/>
            <w:vAlign w:val="top"/>
            <w:textDirection w:val="lrTb"/>
            <w:noWrap w:val="false"/>
          </w:tcPr>
          <w:p>
            <w:pPr>
              <w:pStyle w:val="961"/>
              <w:ind w:firstLine="660"/>
              <w:spacing w:line="360" w:lineRule="exact"/>
              <w:rPr>
                <w:rFonts w:hint="eastAsia" w:ascii="方正仿宋_GBK" w:hAnsi="方正仿宋_GBK" w:eastAsia="方正仿宋_GBK" w:cs="方正仿宋_GBK"/>
                <w:bCs/>
                <w:sz w:val="28"/>
                <w:szCs w:val="28"/>
                <w:highlight w:val="none"/>
              </w:rPr>
              <w:framePr w:vAnchor="text" w:hAnchor="page" w:x="1583" w:y="487"/>
            </w:pPr>
            <w:r>
              <w:rPr>
                <w:rFonts w:hint="eastAsia" w:ascii="方正仿宋_GBK" w:hAnsi="方正仿宋_GBK" w:eastAsia="方正仿宋_GBK" w:cs="方正仿宋_GBK"/>
                <w:bCs/>
                <w:sz w:val="28"/>
                <w:szCs w:val="28"/>
                <w:highlight w:val="none"/>
              </w:rPr>
              <w:t xml:space="preserve">根据招标要求逐条响应，完全响应即满足招标文件第四章中“三、技术参数”各项技术指标、参数要求的得25分。</w:t>
            </w:r>
            <w:r>
              <w:rPr>
                <w:highlight w:val="none"/>
              </w:rPr>
            </w:r>
            <w:r/>
          </w:p>
          <w:p>
            <w:pPr>
              <w:pStyle w:val="961"/>
              <w:ind w:firstLine="660"/>
              <w:spacing w:line="360" w:lineRule="exact"/>
              <w:rPr>
                <w:rFonts w:hint="eastAsia" w:ascii="方正仿宋_GBK" w:hAnsi="方正仿宋_GBK" w:eastAsia="方正仿宋_GBK" w:cs="方正仿宋_GBK"/>
                <w:bCs/>
                <w:sz w:val="28"/>
                <w:szCs w:val="28"/>
                <w:highlight w:val="none"/>
              </w:rPr>
              <w:framePr w:vAnchor="text" w:hAnchor="page" w:x="1583" w:y="487"/>
            </w:pPr>
            <w:r>
              <w:rPr>
                <w:rFonts w:hint="eastAsia" w:ascii="方正仿宋_GBK" w:hAnsi="方正仿宋_GBK" w:eastAsia="方正仿宋_GBK" w:cs="方正仿宋_GBK"/>
                <w:bCs/>
                <w:sz w:val="28"/>
                <w:szCs w:val="28"/>
                <w:highlight w:val="none"/>
              </w:rPr>
              <w:t xml:space="preserve">2.1（15分）技术要求中加▲的指标项为重要指标项，共10项，投标人需在“技术参数响应及偏离表”中如实逐项填列所投产品的参数及承诺，提供系统截图，不符合要求每项扣1.5分，总分15分，扣完为止。</w:t>
            </w:r>
            <w:r>
              <w:rPr>
                <w:highlight w:val="none"/>
              </w:rPr>
            </w:r>
            <w:r/>
          </w:p>
          <w:p>
            <w:pPr>
              <w:pStyle w:val="961"/>
              <w:ind w:firstLine="660"/>
              <w:spacing w:line="360" w:lineRule="exact"/>
              <w:rPr>
                <w:rFonts w:hint="eastAsia" w:ascii="方正仿宋_GBK" w:hAnsi="方正仿宋_GBK" w:eastAsia="方正仿宋_GBK" w:cs="方正仿宋_GBK"/>
                <w:bCs/>
                <w:sz w:val="28"/>
                <w:szCs w:val="28"/>
                <w:highlight w:val="none"/>
              </w:rPr>
              <w:framePr w:vAnchor="text" w:hAnchor="page" w:x="1583" w:y="487"/>
            </w:pPr>
            <w:r>
              <w:rPr>
                <w:rFonts w:hint="eastAsia" w:ascii="方正仿宋_GBK" w:hAnsi="方正仿宋_GBK" w:eastAsia="方正仿宋_GBK" w:cs="方正仿宋_GBK"/>
                <w:bCs/>
                <w:sz w:val="28"/>
                <w:szCs w:val="28"/>
                <w:highlight w:val="none"/>
              </w:rPr>
              <w:t xml:space="preserve">2.2（12分）加</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Cs/>
                <w:sz w:val="28"/>
                <w:szCs w:val="28"/>
                <w:highlight w:val="none"/>
              </w:rPr>
              <w:t xml:space="preserve">的技术参数一般指标项，共24项，不符合要求每项扣0.5分，总分12分，扣完为止。</w:t>
            </w:r>
            <w:r>
              <w:rPr>
                <w:highlight w:val="none"/>
              </w:rPr>
            </w:r>
            <w:r/>
          </w:p>
        </w:tc>
        <w:tc>
          <w:tcPr>
            <w:tcW w:w="820" w:type="dxa"/>
            <w:vAlign w:val="center"/>
            <w:textDirection w:val="lrTb"/>
            <w:noWrap w:val="false"/>
          </w:tcPr>
          <w:p>
            <w:pPr>
              <w:pStyle w:val="961"/>
              <w:jc w:val="center"/>
              <w:spacing w:line="360" w:lineRule="exact"/>
              <w:rPr>
                <w:rFonts w:ascii="方正仿宋_GBK" w:hAnsi="方正仿宋_GBK" w:eastAsia="方正仿宋_GBK" w:cs="方正仿宋_GBK"/>
                <w:bCs/>
                <w:sz w:val="28"/>
                <w:szCs w:val="28"/>
                <w:highlight w:val="none"/>
              </w:rPr>
              <w:framePr w:vAnchor="text" w:hAnchor="page" w:x="1583" w:y="487"/>
            </w:pPr>
            <w:r>
              <w:rPr>
                <w:rFonts w:hint="eastAsia" w:ascii="方正仿宋_GBK" w:hAnsi="方正仿宋_GBK" w:eastAsia="方正仿宋_GBK" w:cs="方正仿宋_GBK"/>
                <w:bCs/>
                <w:sz w:val="28"/>
                <w:szCs w:val="28"/>
                <w:highlight w:val="none"/>
              </w:rPr>
              <w:t xml:space="preserve">27</w:t>
            </w:r>
            <w:r>
              <w:rPr>
                <w:highlight w:val="none"/>
              </w:rPr>
            </w:r>
            <w:r/>
          </w:p>
        </w:tc>
      </w:tr>
      <w:tr>
        <w:trPr>
          <w:trHeight w:val="346"/>
        </w:trPr>
        <w:tc>
          <w:tcPr>
            <w:tcMar>
              <w:left w:w="0" w:type="dxa"/>
              <w:top w:w="0" w:type="dxa"/>
              <w:right w:w="0" w:type="dxa"/>
              <w:bottom w:w="0" w:type="dxa"/>
            </w:tcMar>
            <w:tcW w:w="585" w:type="dxa"/>
            <w:vAlign w:val="center"/>
            <w:vMerge w:val="restart"/>
            <w:textDirection w:val="lrTb"/>
            <w:noWrap w:val="false"/>
          </w:tcPr>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w:t>
            </w:r>
            <w:r>
              <w:rPr>
                <w:highlight w:val="none"/>
              </w:rPr>
            </w:r>
            <w:r/>
          </w:p>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r>
            <w:r>
              <w:rPr>
                <w:highlight w:val="none"/>
              </w:rPr>
            </w:r>
            <w:r/>
          </w:p>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r>
            <w:r>
              <w:rPr>
                <w:highlight w:val="none"/>
              </w:rPr>
            </w:r>
            <w:r/>
          </w:p>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r>
            <w:r>
              <w:rPr>
                <w:highlight w:val="none"/>
              </w:rPr>
            </w:r>
            <w:r/>
          </w:p>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r>
            <w:r>
              <w:rPr>
                <w:highlight w:val="none"/>
              </w:rPr>
            </w:r>
            <w:r/>
          </w:p>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r>
            <w:r>
              <w:rPr>
                <w:highlight w:val="none"/>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3.1总体设计方案</w:t>
            </w:r>
            <w:r>
              <w:rPr>
                <w:highlight w:val="none"/>
              </w:rPr>
            </w:r>
            <w:r/>
          </w:p>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（5分）</w:t>
            </w:r>
            <w:r>
              <w:rPr>
                <w:highlight w:val="none"/>
              </w:rPr>
            </w:r>
            <w:r/>
          </w:p>
        </w:tc>
        <w:tc>
          <w:tcPr>
            <w:tcMar>
              <w:left w:w="0" w:type="dxa"/>
              <w:top w:w="0" w:type="dxa"/>
              <w:right w:w="0" w:type="dxa"/>
              <w:bottom w:w="0" w:type="dxa"/>
            </w:tcMar>
            <w:tcW w:w="6126" w:type="dxa"/>
            <w:vAlign w:val="center"/>
            <w:textDirection w:val="lrTb"/>
            <w:noWrap w:val="false"/>
          </w:tcPr>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评委根据投标文件对招标文件第三章“项目建设要求”中“总体设计方案”要求的响应情况进行评审。</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(1)投标文件未符合“总体设计方案”中全部要求的，视为不符合招标文件，本项得0分。</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(2)投标文件符合“总体设计方案”中全部要求的，视为符合招标文件，本项得3分。</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(3)经评委认定，投标文件对“总体设计方案”中</w:t>
            </w:r>
            <w:bookmarkStart w:id="64" w:name="OLE_LINK51"/>
            <w:r>
              <w:rPr>
                <w:highlight w:val="none"/>
              </w:rPr>
            </w:r>
            <w:bookmarkStart w:id="65" w:name="OLE_LINK52"/>
            <w:r>
              <w:rPr>
                <w:rFonts w:hint="eastAsia" w:ascii="方正仿宋_GBK" w:hAnsi="方正仿宋_GBK" w:eastAsia="方正仿宋_GBK" w:cs="方正仿宋_GBK"/>
                <w:sz w:val="28"/>
                <w:szCs w:val="28"/>
                <w:highlight w:val="none"/>
              </w:rPr>
              <w:t xml:space="preserve">“总体架构设计”、“系统逻辑架构”、“功能模块设计”</w:t>
            </w:r>
            <w:bookmarkEnd w:id="64"/>
            <w:r>
              <w:rPr>
                <w:highlight w:val="none"/>
              </w:rPr>
            </w:r>
            <w:bookmarkEnd w:id="65"/>
            <w:r>
              <w:rPr>
                <w:rFonts w:hint="eastAsia" w:ascii="方正仿宋_GBK" w:hAnsi="方正仿宋_GBK" w:eastAsia="方正仿宋_GBK" w:cs="方正仿宋_GBK"/>
                <w:sz w:val="28"/>
                <w:szCs w:val="28"/>
                <w:highlight w:val="none"/>
              </w:rPr>
              <w:t xml:space="preserve">三项要求的响应内容全部优于招标文件要求的</w:t>
            </w:r>
            <w:bookmarkStart w:id="66" w:name="OLE_LINK50"/>
            <w:r>
              <w:rPr>
                <w:rFonts w:hint="eastAsia" w:ascii="方正仿宋_GBK" w:hAnsi="方正仿宋_GBK" w:eastAsia="方正仿宋_GBK" w:cs="方正仿宋_GBK"/>
                <w:sz w:val="28"/>
                <w:szCs w:val="28"/>
                <w:highlight w:val="none"/>
              </w:rPr>
              <w:t xml:space="preserve">（前提是投标文件对“总体设计方案”中除“总体架构设计”、“系统逻辑架构”、“功能模块设计”外其他要求响应内容符合招标文件要求）</w:t>
            </w:r>
            <w:bookmarkEnd w:id="66"/>
            <w:r>
              <w:rPr>
                <w:rFonts w:hint="eastAsia" w:ascii="方正仿宋_GBK" w:hAnsi="方正仿宋_GBK" w:eastAsia="方正仿宋_GBK" w:cs="方正仿宋_GBK"/>
                <w:sz w:val="28"/>
                <w:szCs w:val="28"/>
                <w:highlight w:val="none"/>
              </w:rPr>
              <w:t xml:space="preserve">，本项得5分。</w:t>
            </w:r>
            <w:r>
              <w:rPr>
                <w:highlight w:val="none"/>
              </w:rPr>
            </w:r>
            <w:r/>
          </w:p>
        </w:tc>
        <w:tc>
          <w:tcPr>
            <w:tcW w:w="820"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w:t>
            </w:r>
            <w:r>
              <w:rPr>
                <w:highlight w:val="none"/>
              </w:rPr>
            </w:r>
            <w:r/>
          </w:p>
        </w:tc>
      </w:tr>
      <w:tr>
        <w:trPr>
          <w:trHeight w:val="1201"/>
        </w:trPr>
        <w:tc>
          <w:tcPr>
            <w:tcMar>
              <w:left w:w="0" w:type="dxa"/>
              <w:top w:w="0" w:type="dxa"/>
              <w:right w:w="0" w:type="dxa"/>
              <w:bottom w:w="0" w:type="dxa"/>
            </w:tcMar>
            <w:tcW w:w="585"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sz w:val="28"/>
                <w:szCs w:val="28"/>
              </w:rPr>
              <w:framePr w:vAnchor="text" w:hAnchor="page" w:x="1583" w:y="487"/>
            </w:pPr>
            <w:r>
              <w:rPr>
                <w:rFonts w:hint="eastAsia" w:ascii="方正仿宋_GBK" w:hAnsi="方正仿宋_GBK" w:eastAsia="方正仿宋_GBK" w:cs="方正仿宋_GBK"/>
                <w:sz w:val="28"/>
                <w:szCs w:val="28"/>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3.2实施方案</w:t>
            </w:r>
            <w:r>
              <w:rPr>
                <w:highlight w:val="none"/>
              </w:rPr>
            </w:r>
            <w:r/>
          </w:p>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（5分）</w:t>
            </w:r>
            <w:r>
              <w:rPr>
                <w:highlight w:val="none"/>
              </w:rPr>
            </w:r>
            <w:r/>
          </w:p>
        </w:tc>
        <w:tc>
          <w:tcPr>
            <w:tcMar>
              <w:left w:w="0" w:type="dxa"/>
              <w:top w:w="0" w:type="dxa"/>
              <w:right w:w="0" w:type="dxa"/>
              <w:bottom w:w="0" w:type="dxa"/>
            </w:tcMar>
            <w:tcW w:w="6126" w:type="dxa"/>
            <w:vAlign w:val="center"/>
            <w:textDirection w:val="lrTb"/>
            <w:noWrap w:val="false"/>
          </w:tcPr>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评委根据投标文件对招标文件第三章“项目建设要求”中“实施方案要求”要求的响应情况进行评审。</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(1)投标文件未符合“实施方案要求”中全部要求的，视为不符合招标文件，本项得0分。</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(2)投标文件符合“实施方案要求”中全部要求的，视为符合招标文件，本项得3分。</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经评委认定，投标文件对“实施方案要求”中“实施团队”、“进度计划”两项要求的响应内容全部优于招标文件要求的（前提是投标文件对“实施方案要求”中除“实施团队”、“进度计划”外其他要求响应内容符合招标文件要求），本项得5分。</w:t>
            </w:r>
            <w:r>
              <w:rPr>
                <w:highlight w:val="none"/>
              </w:rPr>
            </w:r>
            <w:r/>
          </w:p>
        </w:tc>
        <w:tc>
          <w:tcPr>
            <w:tcW w:w="820"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w:t>
            </w:r>
            <w:r>
              <w:rPr>
                <w:highlight w:val="none"/>
              </w:rPr>
            </w:r>
            <w:r/>
          </w:p>
        </w:tc>
      </w:tr>
      <w:tr>
        <w:trPr>
          <w:trHeight w:val="359"/>
        </w:trPr>
        <w:tc>
          <w:tcPr>
            <w:tcMar>
              <w:left w:w="0" w:type="dxa"/>
              <w:top w:w="0" w:type="dxa"/>
              <w:right w:w="0" w:type="dxa"/>
              <w:bottom w:w="0" w:type="dxa"/>
            </w:tcMar>
            <w:tcW w:w="585"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sz w:val="28"/>
                <w:szCs w:val="28"/>
              </w:rPr>
              <w:framePr w:vAnchor="text" w:hAnchor="page" w:x="1583" w:y="487"/>
            </w:pPr>
            <w:r>
              <w:rPr>
                <w:rFonts w:hint="eastAsia" w:ascii="方正仿宋_GBK" w:hAnsi="方正仿宋_GBK" w:eastAsia="方正仿宋_GBK" w:cs="方正仿宋_GBK"/>
                <w:sz w:val="28"/>
                <w:szCs w:val="28"/>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3.3培训服务方案</w:t>
            </w:r>
            <w:r>
              <w:rPr>
                <w:highlight w:val="none"/>
              </w:rPr>
            </w:r>
            <w:r/>
          </w:p>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（5分）</w:t>
            </w:r>
            <w:r>
              <w:rPr>
                <w:highlight w:val="none"/>
              </w:rPr>
            </w:r>
            <w:r/>
          </w:p>
        </w:tc>
        <w:tc>
          <w:tcPr>
            <w:tcMar>
              <w:left w:w="0" w:type="dxa"/>
              <w:top w:w="0" w:type="dxa"/>
              <w:right w:w="0" w:type="dxa"/>
              <w:bottom w:w="0" w:type="dxa"/>
            </w:tcMar>
            <w:tcW w:w="6126" w:type="dxa"/>
            <w:vAlign w:val="center"/>
            <w:textDirection w:val="lrTb"/>
            <w:noWrap w:val="false"/>
          </w:tcPr>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评委根据投标文件对招标文件第三章“项目建设要求”中“培训服务方案要求”要求的响应情况进行评审。</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(1)投标文件未符合“培训服务方案要求”中全部要求的，视为不符合招标文件，本项得0分。</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(2)投标文件符合“培训服务方案要求”中全部要求的，视为符合招标文件，本项得3分。</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经评委认定，投标文件对“培训服务方案要求”中“培训人员”、“培训内容”两项要求的响应内容全部优于招标文件要求的（前提是投标文件对“培训服务方案要求”中除“培训人员”、“培训内容”外其他要求响应内容符合招标文件要求），本项得5分。</w:t>
            </w:r>
            <w:r>
              <w:rPr>
                <w:highlight w:val="none"/>
              </w:rPr>
            </w:r>
            <w:r/>
          </w:p>
        </w:tc>
        <w:tc>
          <w:tcPr>
            <w:tcW w:w="820"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w:t>
            </w:r>
            <w:r>
              <w:rPr>
                <w:highlight w:val="none"/>
              </w:rPr>
            </w:r>
            <w:r/>
          </w:p>
        </w:tc>
      </w:tr>
      <w:tr>
        <w:trPr>
          <w:trHeight w:val="90"/>
        </w:trPr>
        <w:tc>
          <w:tcPr>
            <w:tcMar>
              <w:left w:w="0" w:type="dxa"/>
              <w:top w:w="0" w:type="dxa"/>
              <w:right w:w="0" w:type="dxa"/>
              <w:bottom w:w="0" w:type="dxa"/>
            </w:tcMar>
            <w:tcW w:w="585"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sz w:val="28"/>
                <w:szCs w:val="28"/>
              </w:rPr>
              <w:framePr w:vAnchor="text" w:hAnchor="page" w:x="1583" w:y="487"/>
            </w:pPr>
            <w:r>
              <w:rPr>
                <w:rFonts w:hint="eastAsia" w:ascii="方正仿宋_GBK" w:hAnsi="方正仿宋_GBK" w:eastAsia="方正仿宋_GBK" w:cs="方正仿宋_GBK"/>
                <w:sz w:val="28"/>
                <w:szCs w:val="28"/>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3.4应急响应方案</w:t>
            </w:r>
            <w:r>
              <w:rPr>
                <w:highlight w:val="none"/>
              </w:rPr>
            </w:r>
            <w:r/>
          </w:p>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（5分）</w:t>
            </w:r>
            <w:r>
              <w:rPr>
                <w:highlight w:val="none"/>
              </w:rPr>
            </w:r>
            <w:r/>
          </w:p>
        </w:tc>
        <w:tc>
          <w:tcPr>
            <w:tcMar>
              <w:left w:w="0" w:type="dxa"/>
              <w:top w:w="0" w:type="dxa"/>
              <w:right w:w="0" w:type="dxa"/>
              <w:bottom w:w="0" w:type="dxa"/>
            </w:tcMar>
            <w:tcW w:w="6126" w:type="dxa"/>
            <w:vAlign w:val="center"/>
            <w:textDirection w:val="lrTb"/>
            <w:noWrap w:val="false"/>
          </w:tcPr>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评委根据投标文件对招标文件第三章“项目建设要求”中“应急响应方案要求”要求的响应情况进行评审。</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(1)投标文件未符合“应急响应方案要求”中全部要求的，视为不符合招标文件，本项得0分。</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(2)投标文件符合“应急响应方案要求”中全部要求的，视为符合招标文件，本项得3分。</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经评委认定，投标文件对“应急响应方案要求”中“应急相应流程”、“应急相应内容”、“应急相应时间”三项要求的响应内容全部优于招标文件要求的（前提是投标文件对“应急响应方案要求”中除“应急相应流程”、“应急相应内容”、“应急相应时间”外其他要求响应内容符合招标文件要求），本项得5分。</w:t>
            </w:r>
            <w:r>
              <w:rPr>
                <w:highlight w:val="none"/>
              </w:rPr>
            </w:r>
            <w:r/>
          </w:p>
        </w:tc>
        <w:tc>
          <w:tcPr>
            <w:tcW w:w="820"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w:t>
            </w:r>
            <w:r>
              <w:rPr>
                <w:highlight w:val="none"/>
              </w:rPr>
            </w:r>
            <w:r/>
          </w:p>
        </w:tc>
      </w:tr>
      <w:tr>
        <w:trPr>
          <w:trHeight w:val="1201"/>
        </w:trPr>
        <w:tc>
          <w:tcPr>
            <w:tcMar>
              <w:left w:w="0" w:type="dxa"/>
              <w:top w:w="0" w:type="dxa"/>
              <w:right w:w="0" w:type="dxa"/>
              <w:bottom w:w="0" w:type="dxa"/>
            </w:tcMar>
            <w:tcW w:w="585"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sz w:val="28"/>
                <w:szCs w:val="28"/>
              </w:rPr>
              <w:framePr w:vAnchor="text" w:hAnchor="page" w:x="1583" w:y="487"/>
            </w:pPr>
            <w:r>
              <w:rPr>
                <w:rFonts w:hint="eastAsia" w:ascii="方正仿宋_GBK" w:hAnsi="方正仿宋_GBK" w:eastAsia="方正仿宋_GBK" w:cs="方正仿宋_GBK"/>
                <w:sz w:val="28"/>
                <w:szCs w:val="28"/>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3.5日常维护方案</w:t>
            </w:r>
            <w:r>
              <w:rPr>
                <w:highlight w:val="none"/>
              </w:rPr>
            </w:r>
            <w:r/>
          </w:p>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（5分）</w:t>
            </w:r>
            <w:r>
              <w:rPr>
                <w:highlight w:val="none"/>
              </w:rPr>
            </w:r>
            <w:r/>
          </w:p>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r>
            <w:r>
              <w:rPr>
                <w:highlight w:val="none"/>
              </w:rPr>
            </w:r>
            <w:r/>
          </w:p>
        </w:tc>
        <w:tc>
          <w:tcPr>
            <w:tcMar>
              <w:left w:w="0" w:type="dxa"/>
              <w:top w:w="0" w:type="dxa"/>
              <w:right w:w="0" w:type="dxa"/>
              <w:bottom w:w="0" w:type="dxa"/>
            </w:tcMar>
            <w:tcW w:w="6126" w:type="dxa"/>
            <w:vAlign w:val="center"/>
            <w:textDirection w:val="lrTb"/>
            <w:noWrap w:val="false"/>
          </w:tcPr>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评委根据投标文件对招标文件第三章“项目建设要求”中“日常维护方案要求”要求的响应情况进行评审。</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(1)投标文件未符合“日常维护方案要求”中全部要求的，视为不符合招标文件，本项得0分。</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(2)投标文件符合“日常维护方案要求”中全部要求的，视为符合招标文件，本项得3分。</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经评委认定，投标文件对“日常维护方案要求”中“人员组织”、“维护内容”两项要求的响应内容全部优于招标文件要求的（前提是投标文件对“日常维护方案要求”中除“人员组织”、“维护内容”外其他要求响应内容符合招标文件要求），本项得5分。</w:t>
            </w:r>
            <w:r>
              <w:rPr>
                <w:highlight w:val="none"/>
              </w:rPr>
            </w:r>
            <w:r/>
          </w:p>
        </w:tc>
        <w:tc>
          <w:tcPr>
            <w:tcW w:w="820"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w:t>
            </w:r>
            <w:r>
              <w:rPr>
                <w:highlight w:val="none"/>
              </w:rPr>
            </w:r>
            <w:r/>
          </w:p>
        </w:tc>
      </w:tr>
      <w:tr>
        <w:trPr>
          <w:trHeight w:val="1201"/>
        </w:trPr>
        <w:tc>
          <w:tcPr>
            <w:tcMar>
              <w:left w:w="0" w:type="dxa"/>
              <w:top w:w="0" w:type="dxa"/>
              <w:right w:w="0" w:type="dxa"/>
              <w:bottom w:w="0" w:type="dxa"/>
            </w:tcMar>
            <w:tcW w:w="585"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sz w:val="28"/>
                <w:szCs w:val="28"/>
              </w:rPr>
              <w:framePr w:vAnchor="text" w:hAnchor="page" w:x="1583" w:y="487"/>
            </w:pPr>
            <w:r>
              <w:rPr>
                <w:rFonts w:hint="eastAsia" w:ascii="方正仿宋_GBK" w:hAnsi="方正仿宋_GBK" w:eastAsia="方正仿宋_GBK" w:cs="方正仿宋_GBK"/>
                <w:sz w:val="28"/>
                <w:szCs w:val="28"/>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3.6信息安全保障方案</w:t>
            </w:r>
            <w:r>
              <w:rPr>
                <w:highlight w:val="none"/>
              </w:rPr>
            </w:r>
            <w:r/>
          </w:p>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（5分）</w:t>
            </w:r>
            <w:r>
              <w:rPr>
                <w:highlight w:val="none"/>
              </w:rPr>
            </w:r>
            <w:r/>
          </w:p>
        </w:tc>
        <w:tc>
          <w:tcPr>
            <w:tcMar>
              <w:left w:w="0" w:type="dxa"/>
              <w:top w:w="0" w:type="dxa"/>
              <w:right w:w="0" w:type="dxa"/>
              <w:bottom w:w="0" w:type="dxa"/>
            </w:tcMar>
            <w:tcW w:w="6126" w:type="dxa"/>
            <w:vAlign w:val="center"/>
            <w:textDirection w:val="lrTb"/>
            <w:noWrap w:val="false"/>
          </w:tcPr>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评委根据投标文件对招标文件第三章“项目建设要求”中“信息安全保障方案要求”要求的响应情况进行评审。</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(1)投标文件未符合“信息安全保障方案要求”中全部要求的，视为不符合招标文件，本项得0分。</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(2)投标文件符合“信息安全保障方案要求”中全部要求的，视为符合招标文件，本项得3分。</w:t>
            </w:r>
            <w:r>
              <w:rPr>
                <w:highlight w:val="none"/>
              </w:rPr>
            </w:r>
            <w:r/>
          </w:p>
          <w:p>
            <w:pPr>
              <w:pStyle w:val="961"/>
              <w:ind w:left="105" w:right="105"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经评委认定，投标文件对“信息安全保障方案要求”中“身份认证”、“访问控制”、“数据安全”三项要求的响应内容全部优于招标文件要求的（前提是投标文件对“信息安全保障方案要求”中除“身份认证”、“访问控制”、“数据安全”外其他要求响应内容符合招标文件要求），本项得5分。</w:t>
            </w:r>
            <w:r>
              <w:rPr>
                <w:highlight w:val="none"/>
              </w:rPr>
            </w:r>
            <w:r/>
          </w:p>
        </w:tc>
        <w:tc>
          <w:tcPr>
            <w:tcW w:w="820"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w:t>
            </w:r>
            <w:r>
              <w:rPr>
                <w:highlight w:val="none"/>
              </w:rPr>
            </w:r>
            <w:r/>
          </w:p>
        </w:tc>
      </w:tr>
      <w:tr>
        <w:trPr>
          <w:trHeight w:val="594"/>
        </w:trPr>
        <w:tc>
          <w:tcPr>
            <w:tcMar>
              <w:left w:w="0" w:type="dxa"/>
              <w:top w:w="0" w:type="dxa"/>
              <w:right w:w="0" w:type="dxa"/>
              <w:bottom w:w="0" w:type="dxa"/>
            </w:tcMar>
            <w:tcW w:w="585" w:type="dxa"/>
            <w:vAlign w:val="center"/>
            <w:vMerge w:val="restart"/>
            <w:textDirection w:val="lrTb"/>
            <w:noWrap w:val="false"/>
          </w:tcPr>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4</w:t>
            </w:r>
            <w:r>
              <w:rPr>
                <w:highlight w:val="none"/>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4.1软件著作权</w:t>
            </w:r>
            <w:r>
              <w:rPr>
                <w:highlight w:val="none"/>
              </w:rPr>
            </w:r>
            <w:r/>
          </w:p>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(3分)</w:t>
            </w:r>
            <w:r>
              <w:rPr>
                <w:highlight w:val="none"/>
              </w:rPr>
            </w:r>
            <w:r/>
          </w:p>
        </w:tc>
        <w:tc>
          <w:tcPr>
            <w:tcMar>
              <w:left w:w="0" w:type="dxa"/>
              <w:top w:w="0" w:type="dxa"/>
              <w:right w:w="0" w:type="dxa"/>
              <w:bottom w:w="0" w:type="dxa"/>
            </w:tcMar>
            <w:tcW w:w="6126" w:type="dxa"/>
            <w:vAlign w:val="center"/>
            <w:textDirection w:val="lrTb"/>
            <w:noWrap w:val="false"/>
          </w:tcPr>
          <w:p>
            <w:pPr>
              <w:pStyle w:val="961"/>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投标人具有由国家版权局颁发的相关软件著作权登记证书，证书名称</w:t>
            </w:r>
            <w:r>
              <w:rPr>
                <w:rFonts w:hint="eastAsia" w:ascii="方正仿宋_GBK" w:hAnsi="方正仿宋_GBK" w:eastAsia="方正仿宋_GBK" w:cs="方正仿宋_GBK"/>
                <w:sz w:val="28"/>
                <w:szCs w:val="28"/>
                <w:highlight w:val="none"/>
                <w:lang w:val="en-GB"/>
              </w:rPr>
              <w:t xml:space="preserve">包含“运营管理”“数据安全管理”“数据可视化分析”“数据应用”“数据运维”</w:t>
            </w:r>
            <w:r>
              <w:rPr>
                <w:rFonts w:hint="eastAsia" w:ascii="方正仿宋_GBK" w:hAnsi="方正仿宋_GBK" w:eastAsia="方正仿宋_GBK" w:cs="方正仿宋_GBK"/>
                <w:sz w:val="28"/>
                <w:szCs w:val="28"/>
                <w:highlight w:val="none"/>
              </w:rPr>
              <w:t xml:space="preserve">相关的</w:t>
            </w:r>
            <w:r>
              <w:rPr>
                <w:rFonts w:hint="eastAsia" w:ascii="方正仿宋_GBK" w:hAnsi="方正仿宋_GBK" w:eastAsia="方正仿宋_GBK" w:cs="方正仿宋_GBK"/>
                <w:sz w:val="28"/>
                <w:szCs w:val="28"/>
                <w:highlight w:val="none"/>
                <w:lang w:val="en-GB"/>
              </w:rPr>
              <w:t xml:space="preserve">软件著作权。每提供一</w:t>
            </w:r>
            <w:r>
              <w:rPr>
                <w:rFonts w:hint="eastAsia" w:ascii="方正仿宋_GBK" w:hAnsi="方正仿宋_GBK" w:eastAsia="方正仿宋_GBK" w:cs="方正仿宋_GBK"/>
                <w:sz w:val="28"/>
                <w:szCs w:val="28"/>
                <w:highlight w:val="none"/>
              </w:rPr>
              <w:t xml:space="preserve">种</w:t>
            </w:r>
            <w:r>
              <w:rPr>
                <w:rFonts w:hint="eastAsia" w:ascii="方正仿宋_GBK" w:hAnsi="方正仿宋_GBK" w:eastAsia="方正仿宋_GBK" w:cs="方正仿宋_GBK"/>
                <w:sz w:val="28"/>
                <w:szCs w:val="28"/>
                <w:highlight w:val="none"/>
                <w:lang w:val="en-GB"/>
              </w:rPr>
              <w:t xml:space="preserve">软件著作权证书得1分，最多得</w:t>
            </w: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GB"/>
              </w:rPr>
              <w:t xml:space="preserve">分。投标文件中提供证书复印件并加盖投标人公章，否则不得分。</w:t>
            </w:r>
            <w:r>
              <w:rPr>
                <w:highlight w:val="none"/>
              </w:rPr>
            </w:r>
            <w:r/>
          </w:p>
          <w:p>
            <w:pPr>
              <w:pStyle w:val="961"/>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（如投标文件中提供的著作权名称表述与招标文件描述的关键字样不一致，能够在响应文件中证明供应商拥有的著作权具有相同或相似功能和效果的，视同符合要求。）</w:t>
            </w:r>
            <w:r>
              <w:rPr>
                <w:highlight w:val="none"/>
              </w:rPr>
            </w:r>
            <w:r/>
          </w:p>
        </w:tc>
        <w:tc>
          <w:tcPr>
            <w:tcW w:w="820" w:type="dxa"/>
            <w:vAlign w:val="center"/>
            <w:textDirection w:val="lrTb"/>
            <w:noWrap w:val="false"/>
          </w:tcPr>
          <w:p>
            <w:pPr>
              <w:pStyle w:val="961"/>
              <w:ind w:right="105"/>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w:t>
            </w:r>
            <w:r>
              <w:rPr>
                <w:highlight w:val="none"/>
              </w:rPr>
            </w:r>
            <w:r/>
          </w:p>
        </w:tc>
      </w:tr>
      <w:tr>
        <w:trPr>
          <w:trHeight w:val="464"/>
        </w:trPr>
        <w:tc>
          <w:tcPr>
            <w:tcMar>
              <w:left w:w="0" w:type="dxa"/>
              <w:top w:w="0" w:type="dxa"/>
              <w:right w:w="0" w:type="dxa"/>
              <w:bottom w:w="0" w:type="dxa"/>
            </w:tcMar>
            <w:tcW w:w="585"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sz w:val="28"/>
                <w:szCs w:val="28"/>
              </w:rPr>
              <w:framePr w:vAnchor="text" w:hAnchor="page" w:x="1583" w:y="487"/>
            </w:pPr>
            <w:r>
              <w:rPr>
                <w:rFonts w:hint="eastAsia" w:ascii="方正仿宋_GBK" w:hAnsi="方正仿宋_GBK" w:eastAsia="方正仿宋_GBK" w:cs="方正仿宋_GBK"/>
                <w:sz w:val="28"/>
                <w:szCs w:val="28"/>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r>
            <w:r>
              <w:rPr>
                <w:highlight w:val="none"/>
              </w:rPr>
            </w:r>
            <w:r/>
          </w:p>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4.2认证证书（2分）</w:t>
            </w:r>
            <w:r>
              <w:rPr>
                <w:highlight w:val="none"/>
              </w:rPr>
            </w:r>
            <w:r/>
          </w:p>
        </w:tc>
        <w:tc>
          <w:tcPr>
            <w:tcMar>
              <w:left w:w="0" w:type="dxa"/>
              <w:top w:w="0" w:type="dxa"/>
              <w:right w:w="0" w:type="dxa"/>
              <w:bottom w:w="0" w:type="dxa"/>
            </w:tcMar>
            <w:tcW w:w="6126" w:type="dxa"/>
            <w:vAlign w:val="center"/>
            <w:textDirection w:val="lrTb"/>
            <w:noWrap w:val="false"/>
          </w:tcPr>
          <w:p>
            <w:pPr>
              <w:pStyle w:val="961"/>
              <w:ind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投标人具有有效期内的ISO9001 质量管理体系认证的，得2分，未提供或未按要求提供的不得分。</w:t>
            </w:r>
            <w:r>
              <w:rPr>
                <w:highlight w:val="none"/>
              </w:rPr>
            </w:r>
            <w:r/>
          </w:p>
          <w:p>
            <w:pPr>
              <w:pStyle w:val="961"/>
              <w:ind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注：须提供证书清晰扫描件或复印件并加盖投标人公章，否则不得分。</w:t>
            </w:r>
            <w:r>
              <w:rPr>
                <w:highlight w:val="none"/>
              </w:rPr>
            </w:r>
            <w:r/>
          </w:p>
        </w:tc>
        <w:tc>
          <w:tcPr>
            <w:tcW w:w="820" w:type="dxa"/>
            <w:vAlign w:val="center"/>
            <w:textDirection w:val="lrTb"/>
            <w:noWrap w:val="false"/>
          </w:tcPr>
          <w:p>
            <w:pPr>
              <w:pStyle w:val="961"/>
              <w:ind w:right="105"/>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w:t>
            </w:r>
            <w:r>
              <w:rPr>
                <w:highlight w:val="none"/>
              </w:rPr>
            </w:r>
            <w:r/>
          </w:p>
        </w:tc>
      </w:tr>
      <w:tr>
        <w:trPr>
          <w:trHeight w:val="464"/>
        </w:trPr>
        <w:tc>
          <w:tcPr>
            <w:tcMar>
              <w:left w:w="0" w:type="dxa"/>
              <w:top w:w="0" w:type="dxa"/>
              <w:right w:w="0" w:type="dxa"/>
              <w:bottom w:w="0" w:type="dxa"/>
            </w:tcMar>
            <w:tcW w:w="585"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sz w:val="28"/>
                <w:szCs w:val="28"/>
              </w:rPr>
              <w:framePr w:vAnchor="text" w:hAnchor="page" w:x="1583" w:y="487"/>
            </w:pPr>
            <w:r>
              <w:rPr>
                <w:rFonts w:hint="eastAsia" w:ascii="方正仿宋_GBK" w:hAnsi="方正仿宋_GBK" w:eastAsia="方正仿宋_GBK" w:cs="方正仿宋_GBK"/>
                <w:sz w:val="28"/>
                <w:szCs w:val="28"/>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4.3项目技术负责人（2分）</w:t>
            </w:r>
            <w:r>
              <w:rPr>
                <w:highlight w:val="none"/>
              </w:rPr>
            </w:r>
            <w:r/>
          </w:p>
        </w:tc>
        <w:tc>
          <w:tcPr>
            <w:tcMar>
              <w:left w:w="0" w:type="dxa"/>
              <w:top w:w="0" w:type="dxa"/>
              <w:right w:w="0" w:type="dxa"/>
              <w:bottom w:w="0" w:type="dxa"/>
            </w:tcMar>
            <w:tcW w:w="6126" w:type="dxa"/>
            <w:vAlign w:val="center"/>
            <w:textDirection w:val="lrTb"/>
            <w:noWrap w:val="false"/>
          </w:tcPr>
          <w:p>
            <w:pPr>
              <w:pStyle w:val="961"/>
              <w:ind w:right="105"/>
              <w:jc w:val="left"/>
              <w:spacing w:line="360" w:lineRule="exact"/>
              <w:rPr>
                <w:rFonts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项目技术负责人具有：</w:t>
            </w:r>
            <w:r>
              <w:rPr>
                <w:highlight w:val="none"/>
              </w:rPr>
            </w:r>
            <w:r/>
          </w:p>
          <w:p>
            <w:pPr>
              <w:pStyle w:val="961"/>
              <w:ind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（1）系统架构设计师</w:t>
            </w:r>
            <w:r>
              <w:rPr>
                <w:highlight w:val="none"/>
              </w:rPr>
            </w:r>
            <w:r/>
          </w:p>
          <w:p>
            <w:pPr>
              <w:pStyle w:val="961"/>
              <w:ind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（2）软件设计师</w:t>
            </w:r>
            <w:r>
              <w:rPr>
                <w:highlight w:val="none"/>
              </w:rPr>
            </w:r>
            <w:r/>
          </w:p>
          <w:p>
            <w:pPr>
              <w:pStyle w:val="961"/>
              <w:ind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（3）注册信息安全管理人员</w:t>
            </w:r>
            <w:r>
              <w:rPr>
                <w:highlight w:val="none"/>
              </w:rPr>
            </w:r>
            <w:r/>
          </w:p>
          <w:p>
            <w:pPr>
              <w:pStyle w:val="961"/>
              <w:ind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（4）信息系统项目管理师证书</w:t>
            </w:r>
            <w:r>
              <w:rPr>
                <w:highlight w:val="none"/>
              </w:rPr>
            </w:r>
            <w:r/>
          </w:p>
          <w:p>
            <w:pPr>
              <w:pStyle w:val="961"/>
              <w:ind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上述证书每有一个得1分，最高得2分，未提供或未按要求提供的不得分。</w:t>
            </w:r>
            <w:r>
              <w:rPr>
                <w:highlight w:val="none"/>
              </w:rPr>
            </w:r>
            <w:r/>
          </w:p>
          <w:p>
            <w:pPr>
              <w:pStyle w:val="961"/>
              <w:ind w:left="105"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注：1、上述人员必须为投标人自有员工，</w:t>
            </w:r>
            <w:bookmarkStart w:id="67" w:name="OLE_LINK3"/>
            <w:r>
              <w:rPr>
                <w:rFonts w:hint="eastAsia" w:ascii="方正仿宋_GBK" w:hAnsi="方正仿宋_GBK" w:eastAsia="方正仿宋_GBK" w:cs="方正仿宋_GBK"/>
                <w:sz w:val="28"/>
                <w:szCs w:val="28"/>
                <w:highlight w:val="none"/>
              </w:rPr>
              <w:t xml:space="preserve">须提供投标截止日前由投标人为其缴交的近3个月内任意一个月的社保缴交证明材料</w:t>
            </w:r>
            <w:bookmarkEnd w:id="67"/>
            <w:r>
              <w:rPr>
                <w:rFonts w:hint="eastAsia" w:ascii="方正仿宋_GBK" w:hAnsi="方正仿宋_GBK" w:eastAsia="方正仿宋_GBK" w:cs="方正仿宋_GBK"/>
                <w:sz w:val="28"/>
                <w:szCs w:val="28"/>
                <w:highlight w:val="none"/>
              </w:rPr>
              <w:t xml:space="preserve">，未提供不得分，同一个人的证书只计一次分。2、须提供证书清晰扫描件或复印件，否则不得分。</w:t>
            </w:r>
            <w:r>
              <w:rPr>
                <w:highlight w:val="none"/>
              </w:rPr>
            </w:r>
            <w:r/>
          </w:p>
        </w:tc>
        <w:tc>
          <w:tcPr>
            <w:tcW w:w="820" w:type="dxa"/>
            <w:vAlign w:val="center"/>
            <w:textDirection w:val="lrTb"/>
            <w:noWrap w:val="false"/>
          </w:tcPr>
          <w:p>
            <w:pPr>
              <w:pStyle w:val="961"/>
              <w:ind w:right="105"/>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w:t>
            </w:r>
            <w:r>
              <w:rPr>
                <w:highlight w:val="none"/>
              </w:rPr>
            </w:r>
            <w:r/>
          </w:p>
        </w:tc>
      </w:tr>
      <w:tr>
        <w:trPr>
          <w:trHeight w:val="401"/>
        </w:trPr>
        <w:tc>
          <w:tcPr>
            <w:tcMar>
              <w:left w:w="0" w:type="dxa"/>
              <w:top w:w="0" w:type="dxa"/>
              <w:right w:w="0" w:type="dxa"/>
              <w:bottom w:w="0" w:type="dxa"/>
            </w:tcMar>
            <w:tcW w:w="585"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sz w:val="28"/>
                <w:szCs w:val="28"/>
              </w:rPr>
              <w:framePr w:vAnchor="text" w:hAnchor="page" w:x="1583" w:y="487"/>
            </w:pPr>
            <w:r>
              <w:rPr>
                <w:rFonts w:hint="eastAsia" w:ascii="方正仿宋_GBK" w:hAnsi="方正仿宋_GBK" w:eastAsia="方正仿宋_GBK" w:cs="方正仿宋_GBK"/>
                <w:sz w:val="28"/>
                <w:szCs w:val="28"/>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4.4项目实施团队成员</w:t>
            </w:r>
            <w:r>
              <w:rPr>
                <w:highlight w:val="none"/>
              </w:rPr>
            </w:r>
            <w:r/>
          </w:p>
          <w:p>
            <w:pPr>
              <w:pStyle w:val="961"/>
              <w:jc w:val="center"/>
              <w:spacing w:line="360" w:lineRule="exact"/>
              <w:widowControl/>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（2分）</w:t>
            </w:r>
            <w:r>
              <w:rPr>
                <w:highlight w:val="none"/>
              </w:rPr>
            </w:r>
            <w:r/>
          </w:p>
        </w:tc>
        <w:tc>
          <w:tcPr>
            <w:tcMar>
              <w:left w:w="0" w:type="dxa"/>
              <w:top w:w="0" w:type="dxa"/>
              <w:right w:w="0" w:type="dxa"/>
              <w:bottom w:w="0" w:type="dxa"/>
            </w:tcMar>
            <w:tcW w:w="6126" w:type="dxa"/>
            <w:vAlign w:val="center"/>
            <w:textDirection w:val="lrTb"/>
            <w:noWrap w:val="false"/>
          </w:tcPr>
          <w:p>
            <w:pPr>
              <w:pStyle w:val="961"/>
              <w:ind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项目实施团队成员（不包含技术负责人）具有：</w:t>
            </w:r>
            <w:r>
              <w:rPr>
                <w:highlight w:val="none"/>
              </w:rPr>
            </w:r>
            <w:r/>
          </w:p>
          <w:p>
            <w:pPr>
              <w:pStyle w:val="961"/>
              <w:ind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（1）高级工程师</w:t>
            </w:r>
            <w:r>
              <w:rPr>
                <w:highlight w:val="none"/>
              </w:rPr>
            </w:r>
            <w:r/>
          </w:p>
          <w:p>
            <w:pPr>
              <w:pStyle w:val="961"/>
              <w:ind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（2）信息安全工程师</w:t>
            </w:r>
            <w:r>
              <w:rPr>
                <w:highlight w:val="none"/>
              </w:rPr>
            </w:r>
            <w:r/>
          </w:p>
          <w:p>
            <w:pPr>
              <w:pStyle w:val="961"/>
              <w:ind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（3）软件设计师</w:t>
            </w:r>
            <w:r>
              <w:rPr>
                <w:highlight w:val="none"/>
              </w:rPr>
            </w:r>
            <w:r/>
          </w:p>
          <w:p>
            <w:pPr>
              <w:pStyle w:val="961"/>
              <w:ind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（4）系统架构师</w:t>
            </w:r>
            <w:r>
              <w:rPr>
                <w:highlight w:val="none"/>
              </w:rPr>
            </w:r>
            <w:r/>
          </w:p>
          <w:p>
            <w:pPr>
              <w:pStyle w:val="961"/>
              <w:ind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（5）信息系统项目管理师</w:t>
            </w:r>
            <w:r>
              <w:rPr>
                <w:highlight w:val="none"/>
              </w:rPr>
            </w:r>
            <w:r/>
          </w:p>
          <w:p>
            <w:pPr>
              <w:pStyle w:val="961"/>
              <w:ind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上述证书每提供一个得1分，最高得2分，未提供或未按要求提供的不得分。</w:t>
            </w:r>
            <w:r>
              <w:rPr>
                <w:highlight w:val="none"/>
              </w:rPr>
            </w:r>
            <w:r/>
          </w:p>
          <w:p>
            <w:pPr>
              <w:pStyle w:val="961"/>
              <w:ind w:left="105" w:right="105"/>
              <w:jc w:val="left"/>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注：1、上述人员必须为投标人自有员工，须提供投标截止日前由投标人为其缴交的近3个月内任意一个月的社保缴交证明材料，未提供不得分，同一个人的证书只计一次分。2、须提供证书清晰扫描件或复印件，否则不得分。</w:t>
            </w:r>
            <w:r>
              <w:rPr>
                <w:highlight w:val="none"/>
              </w:rPr>
            </w:r>
            <w:r/>
          </w:p>
        </w:tc>
        <w:tc>
          <w:tcPr>
            <w:tcW w:w="820" w:type="dxa"/>
            <w:vAlign w:val="center"/>
            <w:textDirection w:val="lrTb"/>
            <w:noWrap w:val="false"/>
          </w:tcPr>
          <w:p>
            <w:pPr>
              <w:pStyle w:val="961"/>
              <w:ind w:right="105"/>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2</w:t>
            </w:r>
            <w:r>
              <w:rPr>
                <w:highlight w:val="none"/>
              </w:rPr>
            </w:r>
            <w:r/>
          </w:p>
        </w:tc>
      </w:tr>
      <w:tr>
        <w:trPr>
          <w:trHeight w:val="383"/>
        </w:trPr>
        <w:tc>
          <w:tcPr>
            <w:tcMar>
              <w:left w:w="0" w:type="dxa"/>
              <w:top w:w="0" w:type="dxa"/>
              <w:right w:w="0" w:type="dxa"/>
              <w:bottom w:w="0" w:type="dxa"/>
            </w:tcMar>
            <w:tcW w:w="585" w:type="dxa"/>
            <w:vAlign w:val="center"/>
            <w:vMerge w:val="continue"/>
            <w:textDirection w:val="lrTb"/>
            <w:noWrap w:val="false"/>
          </w:tcPr>
          <w:p>
            <w:pPr>
              <w:pStyle w:val="961"/>
              <w:jc w:val="center"/>
              <w:spacing w:line="360" w:lineRule="exact"/>
              <w:rPr>
                <w:rFonts w:hint="eastAsia" w:ascii="方正仿宋_GBK" w:hAnsi="方正仿宋_GBK" w:eastAsia="方正仿宋_GBK" w:cs="方正仿宋_GBK"/>
                <w:sz w:val="28"/>
                <w:szCs w:val="28"/>
              </w:rPr>
              <w:framePr w:vAnchor="text" w:hAnchor="page" w:x="1583" w:y="487"/>
            </w:pPr>
            <w:r>
              <w:rPr>
                <w:rFonts w:hint="eastAsia" w:ascii="方正仿宋_GBK" w:hAnsi="方正仿宋_GBK" w:eastAsia="方正仿宋_GBK" w:cs="方正仿宋_GBK"/>
                <w:sz w:val="28"/>
                <w:szCs w:val="28"/>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4.5类似业绩</w:t>
            </w:r>
            <w:r>
              <w:rPr>
                <w:highlight w:val="none"/>
              </w:rPr>
            </w:r>
            <w:r/>
          </w:p>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（4分）</w:t>
            </w:r>
            <w:r>
              <w:rPr>
                <w:highlight w:val="none"/>
              </w:rPr>
            </w:r>
            <w:r/>
          </w:p>
        </w:tc>
        <w:tc>
          <w:tcPr>
            <w:tcMar>
              <w:left w:w="0" w:type="dxa"/>
              <w:top w:w="0" w:type="dxa"/>
              <w:right w:w="0" w:type="dxa"/>
              <w:bottom w:w="0" w:type="dxa"/>
            </w:tcMar>
            <w:tcW w:w="6126" w:type="dxa"/>
            <w:vAlign w:val="center"/>
            <w:textDirection w:val="lrTb"/>
            <w:noWrap w:val="false"/>
          </w:tcPr>
          <w:p>
            <w:pPr>
              <w:pStyle w:val="961"/>
              <w:ind w:right="105"/>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lang w:val="en-GB"/>
              </w:rPr>
              <w:t xml:space="preserve">投标人提供</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lang w:val="en-GB"/>
              </w:rPr>
              <w:t xml:space="preserve">202</w:t>
            </w: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GB"/>
              </w:rPr>
              <w:t xml:space="preserve">年</w:t>
            </w:r>
            <w:r>
              <w:rPr>
                <w:rFonts w:hint="eastAsia" w:ascii="方正仿宋_GBK" w:hAnsi="方正仿宋_GBK" w:eastAsia="方正仿宋_GBK" w:cs="方正仿宋_GBK"/>
                <w:sz w:val="28"/>
                <w:szCs w:val="28"/>
                <w:highlight w:val="none"/>
              </w:rPr>
              <w:t xml:space="preserve">1月1日以来</w:t>
            </w:r>
            <w:r>
              <w:rPr>
                <w:rFonts w:hint="eastAsia" w:ascii="方正仿宋_GBK" w:hAnsi="方正仿宋_GBK" w:eastAsia="方正仿宋_GBK" w:cs="方正仿宋_GBK"/>
                <w:sz w:val="28"/>
                <w:szCs w:val="28"/>
                <w:highlight w:val="none"/>
                <w:lang w:val="en-GB"/>
              </w:rPr>
              <w:t xml:space="preserve">（以合同签订时间为准）</w:t>
            </w:r>
            <w:r>
              <w:rPr>
                <w:rFonts w:hint="eastAsia" w:ascii="方正仿宋_GBK" w:hAnsi="方正仿宋_GBK" w:eastAsia="方正仿宋_GBK" w:cs="方正仿宋_GBK"/>
                <w:sz w:val="28"/>
                <w:szCs w:val="28"/>
                <w:highlight w:val="none"/>
              </w:rPr>
              <w:t xml:space="preserve">与本项目类似的或与医院运营管理、运营数据中心相关的类似项目业绩</w:t>
            </w:r>
            <w:r>
              <w:rPr>
                <w:rFonts w:hint="eastAsia" w:ascii="方正仿宋_GBK" w:hAnsi="方正仿宋_GBK" w:eastAsia="方正仿宋_GBK" w:cs="方正仿宋_GBK"/>
                <w:sz w:val="28"/>
                <w:szCs w:val="28"/>
                <w:highlight w:val="none"/>
                <w:lang w:val="zh-CN"/>
              </w:rPr>
              <w:t xml:space="preserve">每提供一份合同得</w:t>
            </w: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zh-CN"/>
              </w:rPr>
              <w:t xml:space="preserve">分</w:t>
            </w:r>
            <w:r>
              <w:rPr>
                <w:rFonts w:hint="eastAsia" w:ascii="方正仿宋_GBK" w:hAnsi="方正仿宋_GBK" w:eastAsia="方正仿宋_GBK" w:cs="方正仿宋_GBK"/>
                <w:sz w:val="28"/>
                <w:szCs w:val="28"/>
                <w:highlight w:val="none"/>
                <w:lang w:val="en-GB"/>
              </w:rPr>
              <w:t xml:space="preserve">，</w:t>
            </w:r>
            <w:r>
              <w:rPr>
                <w:rFonts w:hint="eastAsia" w:ascii="方正仿宋_GBK" w:hAnsi="方正仿宋_GBK" w:eastAsia="方正仿宋_GBK" w:cs="方正仿宋_GBK"/>
                <w:sz w:val="28"/>
                <w:szCs w:val="28"/>
                <w:highlight w:val="none"/>
                <w:lang w:val="zh-CN"/>
              </w:rPr>
              <w:t xml:space="preserve">最高</w:t>
            </w: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lang w:val="zh-CN"/>
              </w:rPr>
              <w:t xml:space="preserve">分</w:t>
            </w:r>
            <w:r>
              <w:rPr>
                <w:rFonts w:hint="eastAsia" w:ascii="方正仿宋_GBK" w:hAnsi="方正仿宋_GBK" w:eastAsia="方正仿宋_GBK" w:cs="方正仿宋_GBK"/>
                <w:sz w:val="28"/>
                <w:szCs w:val="28"/>
                <w:highlight w:val="none"/>
                <w:lang w:val="en-GB"/>
              </w:rPr>
              <w:t xml:space="preserve">，</w:t>
            </w:r>
            <w:r>
              <w:rPr>
                <w:rFonts w:hint="eastAsia" w:ascii="方正仿宋_GBK" w:hAnsi="方正仿宋_GBK" w:eastAsia="方正仿宋_GBK" w:cs="方正仿宋_GBK"/>
                <w:sz w:val="28"/>
                <w:szCs w:val="28"/>
                <w:highlight w:val="none"/>
              </w:rPr>
              <w:t xml:space="preserve">未提供或未按要求提供的不得分</w:t>
            </w:r>
            <w:r>
              <w:rPr>
                <w:rFonts w:hint="eastAsia" w:ascii="方正仿宋_GBK" w:hAnsi="方正仿宋_GBK" w:eastAsia="方正仿宋_GBK" w:cs="方正仿宋_GBK"/>
                <w:sz w:val="28"/>
                <w:szCs w:val="28"/>
                <w:highlight w:val="none"/>
                <w:lang w:val="zh-CN"/>
              </w:rPr>
              <w:t xml:space="preserve">。</w:t>
            </w:r>
            <w:r>
              <w:rPr>
                <w:highlight w:val="none"/>
              </w:rPr>
            </w:r>
            <w:r/>
          </w:p>
          <w:p>
            <w:pPr>
              <w:pStyle w:val="961"/>
              <w:ind w:right="105"/>
              <w:spacing w:line="360" w:lineRule="exact"/>
              <w:rPr>
                <w:rFonts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注：</w:t>
            </w:r>
            <w:r>
              <w:rPr>
                <w:rFonts w:hint="eastAsia" w:ascii="方正仿宋_GBK" w:hAnsi="方正仿宋_GBK" w:eastAsia="方正仿宋_GBK" w:cs="方正仿宋_GBK"/>
                <w:sz w:val="28"/>
                <w:szCs w:val="28"/>
                <w:highlight w:val="none"/>
                <w:lang w:val="en-GB"/>
              </w:rPr>
              <w:t xml:space="preserve">提供合同关键页（封面/首页、核心条款页、签字盖章页，</w:t>
            </w:r>
            <w:r>
              <w:rPr>
                <w:rFonts w:hint="eastAsia" w:ascii="方正仿宋_GBK" w:hAnsi="方正仿宋_GBK" w:eastAsia="方正仿宋_GBK" w:cs="方正仿宋_GBK"/>
                <w:sz w:val="28"/>
                <w:szCs w:val="28"/>
                <w:highlight w:val="none"/>
              </w:rPr>
              <w:t xml:space="preserve">并加盖投标人公章。</w:t>
            </w:r>
            <w:r>
              <w:rPr>
                <w:highlight w:val="none"/>
              </w:rPr>
            </w:r>
            <w:r/>
          </w:p>
        </w:tc>
        <w:tc>
          <w:tcPr>
            <w:tcW w:w="820" w:type="dxa"/>
            <w:vAlign w:val="center"/>
            <w:textDirection w:val="lrTb"/>
            <w:noWrap w:val="false"/>
          </w:tcPr>
          <w:p>
            <w:pPr>
              <w:pStyle w:val="961"/>
              <w:ind w:left="105" w:right="105"/>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4</w:t>
            </w:r>
            <w:r>
              <w:rPr>
                <w:highlight w:val="none"/>
              </w:rPr>
            </w:r>
            <w:r/>
          </w:p>
        </w:tc>
      </w:tr>
      <w:tr>
        <w:trPr>
          <w:trHeight w:val="486"/>
        </w:trPr>
        <w:tc>
          <w:tcPr>
            <w:tcMar>
              <w:left w:w="0" w:type="dxa"/>
              <w:top w:w="0" w:type="dxa"/>
              <w:right w:w="0" w:type="dxa"/>
              <w:bottom w:w="0" w:type="dxa"/>
            </w:tcMar>
            <w:tcW w:w="585" w:type="dxa"/>
            <w:vAlign w:val="center"/>
            <w:textDirection w:val="lrTb"/>
            <w:noWrap w:val="false"/>
          </w:tcPr>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w:t>
            </w:r>
            <w:r>
              <w:rPr>
                <w:highlight w:val="none"/>
              </w:rPr>
            </w:r>
            <w:r/>
          </w:p>
        </w:tc>
        <w:tc>
          <w:tcPr>
            <w:tcMar>
              <w:left w:w="0" w:type="dxa"/>
              <w:top w:w="0" w:type="dxa"/>
              <w:right w:w="0" w:type="dxa"/>
              <w:bottom w:w="0" w:type="dxa"/>
            </w:tcMar>
            <w:tcW w:w="1192" w:type="dxa"/>
            <w:vAlign w:val="center"/>
            <w:textDirection w:val="lrTb"/>
            <w:noWrap w:val="false"/>
          </w:tcPr>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5.1系统演示（10）</w:t>
            </w:r>
            <w:r>
              <w:rPr>
                <w:highlight w:val="none"/>
              </w:rPr>
            </w:r>
            <w:r/>
          </w:p>
        </w:tc>
        <w:tc>
          <w:tcPr>
            <w:tcMar>
              <w:left w:w="0" w:type="dxa"/>
              <w:top w:w="0" w:type="dxa"/>
              <w:right w:w="0" w:type="dxa"/>
              <w:bottom w:w="0" w:type="dxa"/>
            </w:tcMar>
            <w:tcW w:w="6126" w:type="dxa"/>
            <w:vAlign w:val="center"/>
            <w:textDirection w:val="lrTb"/>
            <w:noWrap w:val="false"/>
          </w:tcPr>
          <w:p>
            <w:pPr>
              <w:pStyle w:val="961"/>
              <w:ind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2312" w:hAnsi="方正仿宋_GB2312" w:eastAsia="方正仿宋_GB2312" w:cs="方正仿宋_GB2312"/>
                <w:color w:val="000000"/>
                <w:sz w:val="28"/>
                <w:szCs w:val="28"/>
                <w:highlight w:val="none"/>
              </w:rPr>
              <w:t xml:space="preserve">演示环境应为可交互原型系统，如采用静态页面、PPT、动画等其它方式演示，需乘以系数0.5后为演示的最终得分。对于下述每个要求进行功能演示的项目，总时长不超过10分钟。</w:t>
            </w:r>
            <w:r>
              <w:rPr>
                <w:highlight w:val="none"/>
              </w:rPr>
            </w:r>
            <w:r/>
          </w:p>
          <w:p>
            <w:pPr>
              <w:pStyle w:val="961"/>
              <w:ind w:right="0" w:firstLine="560"/>
              <w:spacing w:line="360" w:lineRule="exact"/>
              <w:rPr>
                <w:rFonts w:hint="eastAsia" w:ascii="方正仿宋_GBK" w:hAnsi="方正仿宋_GBK" w:eastAsia="方正仿宋_GBK" w:cs="方正仿宋_GBK"/>
                <w:bCs/>
                <w:sz w:val="28"/>
                <w:szCs w:val="28"/>
                <w:highlight w:val="none"/>
              </w:rPr>
              <w:framePr w:vAnchor="text" w:hAnchor="page" w:x="1583" w:y="487"/>
            </w:pPr>
            <w:r>
              <w:rPr>
                <w:rFonts w:hint="eastAsia" w:ascii="方正仿宋_GBK" w:hAnsi="方正仿宋_GBK" w:eastAsia="方正仿宋_GBK" w:cs="方正仿宋_GBK"/>
                <w:bCs/>
                <w:sz w:val="28"/>
                <w:szCs w:val="28"/>
                <w:highlight w:val="none"/>
              </w:rPr>
              <w:t xml:space="preserve">演示应包含以下内容：</w:t>
            </w:r>
            <w:r>
              <w:rPr>
                <w:highlight w:val="none"/>
              </w:rPr>
            </w:r>
            <w:r/>
          </w:p>
          <w:p>
            <w:pPr>
              <w:pStyle w:val="961"/>
              <w:ind w:firstLine="560"/>
              <w:spacing w:line="360" w:lineRule="exact"/>
              <w:rPr>
                <w:rFonts w:hint="eastAsia" w:ascii="方正仿宋_GB2312" w:hAnsi="方正仿宋_GB2312" w:eastAsia="方正仿宋_GB2312" w:cs="方正仿宋_GB2312"/>
                <w:color w:val="000000"/>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1、运营数据中心：（1）展示数据血缘追溯和数据最小颗粒；（2）展示指标自定义操作界面和操作过程。每演示一个功能得0.5分，满分1分，</w:t>
            </w:r>
            <w:r>
              <w:rPr>
                <w:rFonts w:hint="eastAsia" w:ascii="方正仿宋_GB2312" w:hAnsi="方正仿宋_GB2312" w:eastAsia="方正仿宋_GB2312" w:cs="方正仿宋_GB2312"/>
                <w:color w:val="000000"/>
                <w:sz w:val="28"/>
                <w:szCs w:val="28"/>
                <w:highlight w:val="none"/>
              </w:rPr>
              <w:t xml:space="preserve">演示不全或不演示的不得分；</w:t>
            </w:r>
            <w:r>
              <w:rPr>
                <w:highlight w:val="none"/>
              </w:rPr>
            </w:r>
            <w:r/>
          </w:p>
          <w:p>
            <w:pPr>
              <w:pStyle w:val="961"/>
              <w:ind w:firstLine="560"/>
              <w:spacing w:line="360" w:lineRule="exact"/>
              <w:rPr>
                <w:rFonts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lang w:val="en-US" w:eastAsia="zh-CN"/>
              </w:rPr>
              <w:t xml:space="preserve">2、收支余分析：</w:t>
            </w:r>
            <w:r>
              <w:rPr>
                <w:rFonts w:hint="eastAsia" w:ascii="方正仿宋_GBK" w:hAnsi="方正仿宋_GBK" w:eastAsia="方正仿宋_GBK" w:cs="方正仿宋_GBK"/>
                <w:sz w:val="28"/>
                <w:szCs w:val="28"/>
                <w:highlight w:val="none"/>
              </w:rPr>
              <w:t xml:space="preserve">提供科室医疗盈余分析表，提供同一窗口表格下同比、环比、科系比、全院比。</w:t>
            </w:r>
            <w:r>
              <w:rPr>
                <w:rFonts w:hint="eastAsia" w:ascii="方正仿宋_GBK" w:hAnsi="方正仿宋_GBK" w:eastAsia="方正仿宋_GBK" w:cs="方正仿宋_GBK"/>
                <w:sz w:val="28"/>
                <w:szCs w:val="28"/>
                <w:highlight w:val="none"/>
                <w:lang w:val="en-US" w:eastAsia="zh-CN"/>
              </w:rPr>
              <w:t xml:space="preserve">演示全部功能要求的，得</w:t>
            </w:r>
            <w:r>
              <w:rPr>
                <w:rFonts w:hint="eastAsia" w:ascii="方正仿宋_GBK" w:hAnsi="方正仿宋_GBK" w:eastAsia="方正仿宋_GBK" w:cs="方正仿宋_GBK"/>
                <w:sz w:val="28"/>
                <w:szCs w:val="28"/>
                <w:highlight w:val="none"/>
              </w:rPr>
              <w:t xml:space="preserve">1分，</w:t>
            </w:r>
            <w:r>
              <w:rPr>
                <w:rFonts w:hint="eastAsia" w:ascii="方正仿宋_GB2312" w:hAnsi="方正仿宋_GB2312" w:eastAsia="方正仿宋_GB2312" w:cs="方正仿宋_GB2312"/>
                <w:color w:val="000000"/>
                <w:sz w:val="28"/>
                <w:szCs w:val="28"/>
                <w:highlight w:val="none"/>
              </w:rPr>
              <w:t xml:space="preserve">演示不全或不演示的不得分；</w:t>
            </w:r>
            <w:r>
              <w:rPr>
                <w:highlight w:val="none"/>
              </w:rPr>
            </w:r>
            <w:r/>
          </w:p>
          <w:p>
            <w:pPr>
              <w:pStyle w:val="961"/>
              <w:ind w:firstLine="560"/>
              <w:spacing w:line="360" w:lineRule="exact"/>
              <w:rPr>
                <w:rFonts w:hint="eastAsia" w:ascii="方正仿宋_GBK" w:hAnsi="方正仿宋_GBK" w:eastAsia="方正仿宋_GB2312"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手术运营管理</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展示手术预约、手术安排效率维度，以及四级手术占比、微创手术占比能力维度，分析手术的财务产出是否符合医院发展预期</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通过原因探查，提示管理者制定相应的管理措施。每演示一个功能得</w:t>
            </w:r>
            <w:r>
              <w:rPr>
                <w:rFonts w:hint="eastAsia" w:ascii="方正仿宋_GBK" w:hAnsi="方正仿宋_GBK" w:eastAsia="方正仿宋_GBK" w:cs="方正仿宋_GBK"/>
                <w:sz w:val="28"/>
                <w:szCs w:val="28"/>
                <w:highlight w:val="none"/>
                <w:lang w:val="en-US" w:eastAsia="zh-CN"/>
              </w:rPr>
              <w:t xml:space="preserve">0.5</w:t>
            </w:r>
            <w:r>
              <w:rPr>
                <w:rFonts w:hint="eastAsia" w:ascii="方正仿宋_GBK" w:hAnsi="方正仿宋_GBK" w:eastAsia="方正仿宋_GBK" w:cs="方正仿宋_GBK"/>
                <w:sz w:val="28"/>
                <w:szCs w:val="28"/>
                <w:highlight w:val="none"/>
              </w:rPr>
              <w:t xml:space="preserve">分，满分</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分，</w:t>
            </w:r>
            <w:r>
              <w:rPr>
                <w:rFonts w:hint="eastAsia" w:ascii="方正仿宋_GB2312" w:hAnsi="方正仿宋_GB2312" w:eastAsia="方正仿宋_GB2312" w:cs="方正仿宋_GB2312"/>
                <w:color w:val="000000"/>
                <w:sz w:val="28"/>
                <w:szCs w:val="28"/>
                <w:highlight w:val="none"/>
              </w:rPr>
              <w:t xml:space="preserve">演示不全或不演示的不得分。</w:t>
            </w:r>
            <w:r>
              <w:rPr>
                <w:highlight w:val="none"/>
              </w:rPr>
            </w:r>
            <w:r/>
          </w:p>
          <w:p>
            <w:pPr>
              <w:pStyle w:val="961"/>
              <w:ind w:firstLine="560"/>
              <w:spacing w:line="360" w:lineRule="exact"/>
              <w:rPr>
                <w:rFonts w:hint="eastAsia" w:ascii="方正仿宋_GBK" w:hAnsi="方正仿宋_GBK" w:eastAsia="方正仿宋_GB2312"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、科室</w:t>
            </w:r>
            <w:r>
              <w:rPr>
                <w:rFonts w:hint="eastAsia" w:ascii="方正仿宋_GBK" w:hAnsi="方正仿宋_GBK" w:eastAsia="方正仿宋_GBK" w:cs="方正仿宋_GBK"/>
                <w:sz w:val="28"/>
                <w:szCs w:val="28"/>
                <w:highlight w:val="none"/>
                <w:lang w:eastAsia="zh-CN"/>
              </w:rPr>
              <w:t xml:space="preserve">画像</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以科室住院业务运营为分析场景，从工作量、病种结构、手术级别</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床日、</w:t>
            </w:r>
            <w:r>
              <w:rPr>
                <w:rFonts w:hint="eastAsia" w:ascii="方正仿宋_GBK" w:hAnsi="方正仿宋_GBK" w:eastAsia="方正仿宋_GBK" w:cs="方正仿宋_GBK"/>
                <w:sz w:val="28"/>
                <w:szCs w:val="28"/>
                <w:highlight w:val="none"/>
                <w:lang w:val="en-US" w:eastAsia="zh-CN"/>
              </w:rPr>
              <w:t xml:space="preserve">床均收入、床均医疗服务收入</w:t>
            </w:r>
            <w:r>
              <w:rPr>
                <w:rFonts w:hint="eastAsia" w:ascii="方正仿宋_GBK" w:hAnsi="方正仿宋_GBK" w:eastAsia="方正仿宋_GBK" w:cs="方正仿宋_GBK"/>
                <w:sz w:val="28"/>
                <w:szCs w:val="28"/>
                <w:highlight w:val="none"/>
              </w:rPr>
              <w:t xml:space="preserve">角度</w:t>
            </w:r>
            <w:r>
              <w:rPr>
                <w:rFonts w:hint="eastAsia" w:ascii="方正仿宋_GBK" w:hAnsi="方正仿宋_GBK" w:eastAsia="方正仿宋_GBK" w:cs="方正仿宋_GBK"/>
                <w:sz w:val="28"/>
                <w:szCs w:val="28"/>
                <w:highlight w:val="none"/>
              </w:rPr>
              <w:t xml:space="preserve">探查住院运营瓶颈问题，提示管理者通过规则制度、绩效</w:t>
            </w:r>
            <w:r>
              <w:rPr>
                <w:rFonts w:hint="eastAsia" w:ascii="方正仿宋_GBK" w:hAnsi="方正仿宋_GBK" w:eastAsia="方正仿宋_GBK" w:cs="方正仿宋_GBK"/>
                <w:sz w:val="28"/>
                <w:szCs w:val="28"/>
                <w:highlight w:val="none"/>
                <w:lang w:eastAsia="zh-CN"/>
              </w:rPr>
              <w:t xml:space="preserve">的</w:t>
            </w:r>
            <w:r>
              <w:rPr>
                <w:rFonts w:hint="eastAsia" w:ascii="方正仿宋_GBK" w:hAnsi="方正仿宋_GBK" w:eastAsia="方正仿宋_GBK" w:cs="方正仿宋_GBK"/>
                <w:sz w:val="28"/>
                <w:szCs w:val="28"/>
                <w:highlight w:val="none"/>
              </w:rPr>
              <w:t xml:space="preserve">管理手段提高住院运营效率和效益。</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lang w:eastAsia="zh-CN"/>
              </w:rPr>
              <w:t xml:space="preserve">）以科室门诊业务运营为分析场景，从诊间利用率、挂号量、门诊转住院量</w:t>
            </w:r>
            <w:r>
              <w:rPr>
                <w:rFonts w:hint="eastAsia" w:ascii="方正仿宋_GBK" w:hAnsi="方正仿宋_GBK" w:eastAsia="方正仿宋_GBK" w:cs="方正仿宋_GBK"/>
                <w:sz w:val="28"/>
                <w:szCs w:val="28"/>
                <w:highlight w:val="none"/>
                <w:lang w:val="en-US" w:eastAsia="zh-CN"/>
              </w:rPr>
              <w:t xml:space="preserve">/比例，分析门诊工作效率，提示管理手段。</w:t>
            </w:r>
            <w:r>
              <w:rPr>
                <w:rFonts w:hint="eastAsia" w:ascii="方正仿宋_GBK" w:hAnsi="方正仿宋_GBK" w:eastAsia="方正仿宋_GBK" w:cs="方正仿宋_GBK"/>
                <w:sz w:val="28"/>
                <w:szCs w:val="28"/>
                <w:highlight w:val="none"/>
              </w:rPr>
              <w:t xml:space="preserve">每演示一个功能得</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分，满分2分，</w:t>
            </w:r>
            <w:r>
              <w:rPr>
                <w:rFonts w:hint="eastAsia" w:ascii="方正仿宋_GB2312" w:hAnsi="方正仿宋_GB2312" w:eastAsia="方正仿宋_GB2312" w:cs="方正仿宋_GB2312"/>
                <w:color w:val="000000"/>
                <w:sz w:val="28"/>
                <w:szCs w:val="28"/>
                <w:highlight w:val="none"/>
              </w:rPr>
              <w:t xml:space="preserve">演示不全或不演示的不得分；</w:t>
            </w:r>
            <w:r>
              <w:rPr>
                <w:highlight w:val="none"/>
              </w:rPr>
            </w:r>
            <w:r/>
          </w:p>
          <w:p>
            <w:pPr>
              <w:pStyle w:val="961"/>
              <w:ind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lang w:eastAsia="zh-CN"/>
              </w:rPr>
              <w:t xml:space="preserve">病种分析：（</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展示</w:t>
            </w:r>
            <w:r>
              <w:rPr>
                <w:rFonts w:hint="eastAsia" w:ascii="方正仿宋_GBK" w:hAnsi="方正仿宋_GBK" w:eastAsia="方正仿宋_GBK" w:cs="方正仿宋_GBK"/>
                <w:sz w:val="28"/>
                <w:szCs w:val="28"/>
                <w:highlight w:val="none"/>
                <w:lang w:eastAsia="zh-CN"/>
              </w:rPr>
              <w:t xml:space="preserve">地区医保和</w:t>
            </w:r>
            <w:r>
              <w:rPr>
                <w:rFonts w:hint="eastAsia" w:ascii="方正仿宋_GBK" w:hAnsi="方正仿宋_GBK" w:eastAsia="方正仿宋_GBK" w:cs="方正仿宋_GBK"/>
                <w:sz w:val="28"/>
                <w:szCs w:val="28"/>
                <w:highlight w:val="none"/>
              </w:rPr>
              <w:t xml:space="preserve">国家卫健版DRG分组器对接医院病案系统的应用和统计分析报表（如CMI值测算、</w:t>
            </w:r>
            <w:r>
              <w:rPr>
                <w:rFonts w:hint="eastAsia" w:ascii="方正仿宋_GBK" w:hAnsi="方正仿宋_GBK" w:eastAsia="方正仿宋_GBK" w:cs="方正仿宋_GBK"/>
                <w:color w:val="000000"/>
                <w:sz w:val="28"/>
                <w:szCs w:val="28"/>
                <w:highlight w:val="none"/>
              </w:rPr>
              <w:t xml:space="preserve">药品指数、材料指数、费用消耗指数、时间消耗指数等</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支持下钻</w:t>
            </w:r>
            <w:r>
              <w:rPr>
                <w:rFonts w:hint="eastAsia" w:ascii="方正仿宋_GBK" w:hAnsi="方正仿宋_GBK" w:eastAsia="方正仿宋_GBK" w:cs="方正仿宋_GBK"/>
                <w:color w:val="000000"/>
                <w:sz w:val="28"/>
                <w:szCs w:val="28"/>
                <w:highlight w:val="none"/>
                <w:lang w:eastAsia="zh-CN"/>
              </w:rPr>
              <w:t xml:space="preserve">到医疗组</w:t>
            </w:r>
            <w:r>
              <w:rPr>
                <w:rFonts w:hint="eastAsia" w:ascii="方正仿宋_GBK" w:hAnsi="方正仿宋_GBK" w:eastAsia="方正仿宋_GBK" w:cs="方正仿宋_GBK"/>
                <w:color w:val="000000"/>
                <w:sz w:val="28"/>
                <w:szCs w:val="28"/>
                <w:highlight w:val="none"/>
              </w:rPr>
              <w:t xml:space="preserve">分析。</w:t>
            </w:r>
            <w:r>
              <w:rPr>
                <w:rFonts w:hint="eastAsia" w:ascii="方正仿宋_GBK" w:hAnsi="方正仿宋_GBK" w:eastAsia="方正仿宋_GBK" w:cs="方正仿宋_GBK"/>
                <w:sz w:val="28"/>
                <w:szCs w:val="28"/>
                <w:highlight w:val="none"/>
              </w:rPr>
              <w:t xml:space="preserve">（2）提供</w:t>
            </w:r>
            <w:r>
              <w:rPr>
                <w:rFonts w:hint="eastAsia" w:ascii="方正仿宋_GBK" w:hAnsi="方正仿宋_GBK" w:eastAsia="方正仿宋_GBK" w:cs="方正仿宋_GBK"/>
                <w:sz w:val="28"/>
                <w:szCs w:val="28"/>
                <w:highlight w:val="none"/>
                <w:lang w:eastAsia="zh-CN"/>
              </w:rPr>
              <w:t xml:space="preserve">病种</w:t>
            </w:r>
            <w:r>
              <w:rPr>
                <w:rFonts w:hint="eastAsia" w:ascii="方正仿宋_GBK" w:hAnsi="方正仿宋_GBK" w:eastAsia="方正仿宋_GBK" w:cs="方正仿宋_GBK"/>
                <w:sz w:val="28"/>
                <w:szCs w:val="28"/>
                <w:highlight w:val="none"/>
              </w:rPr>
              <w:t xml:space="preserve">RW分析和结余率分析相结合的四象限波士顿矩阵分析，支持图表和表格双视图切换，支持关键病组、优势病组等特征标注</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支持下钻</w:t>
            </w:r>
            <w:r>
              <w:rPr>
                <w:rFonts w:hint="eastAsia" w:ascii="方正仿宋_GBK" w:hAnsi="方正仿宋_GBK" w:eastAsia="方正仿宋_GBK" w:cs="方正仿宋_GBK"/>
                <w:color w:val="000000"/>
                <w:sz w:val="28"/>
                <w:szCs w:val="28"/>
                <w:highlight w:val="none"/>
                <w:lang w:eastAsia="zh-CN"/>
              </w:rPr>
              <w:t xml:space="preserve">到医疗组</w:t>
            </w:r>
            <w:r>
              <w:rPr>
                <w:rFonts w:hint="eastAsia" w:ascii="方正仿宋_GBK" w:hAnsi="方正仿宋_GBK" w:eastAsia="方正仿宋_GBK" w:cs="方正仿宋_GBK"/>
                <w:color w:val="000000"/>
                <w:sz w:val="28"/>
                <w:szCs w:val="28"/>
                <w:highlight w:val="none"/>
              </w:rPr>
              <w:t xml:space="preserve">分析</w:t>
            </w:r>
            <w:r>
              <w:rPr>
                <w:rFonts w:hint="eastAsia" w:ascii="方正仿宋_GBK" w:hAnsi="方正仿宋_GBK" w:eastAsia="方正仿宋_GBK" w:cs="方正仿宋_GBK"/>
                <w:sz w:val="28"/>
                <w:szCs w:val="28"/>
                <w:highlight w:val="none"/>
              </w:rPr>
              <w:t xml:space="preserve">。每演示一个功能得1分，满分2分，演示不全或不演示的不得分。</w:t>
            </w:r>
            <w:r>
              <w:rPr>
                <w:highlight w:val="none"/>
              </w:rPr>
            </w:r>
            <w:r/>
          </w:p>
          <w:p>
            <w:pPr>
              <w:pStyle w:val="961"/>
              <w:ind w:firstLine="560"/>
              <w:spacing w:line="360" w:lineRule="exact"/>
              <w:rPr>
                <w:rFonts w:hint="eastAsia" w:ascii="方正仿宋_GBK" w:hAnsi="方正仿宋_GBK" w:eastAsia="方正仿宋_GB2312"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绩效考核：（1）展示对科室、医疗组和个人的多维度考核结果、导出，基于资源相对价值（RBRVS点值库）计算某科室医疗组/手术医师绩效分配点值；（2）展示各指标评分方法以及评分规则的格式化配置。每演示一个功能得0.5分，满分1分，</w:t>
            </w:r>
            <w:r>
              <w:rPr>
                <w:rFonts w:hint="eastAsia" w:ascii="方正仿宋_GB2312" w:hAnsi="方正仿宋_GB2312" w:eastAsia="方正仿宋_GB2312" w:cs="方正仿宋_GB2312"/>
                <w:color w:val="000000"/>
                <w:sz w:val="28"/>
                <w:szCs w:val="28"/>
                <w:highlight w:val="none"/>
              </w:rPr>
              <w:t xml:space="preserve">演示不全或不演示的不得分。</w:t>
            </w:r>
            <w:r>
              <w:rPr>
                <w:highlight w:val="none"/>
              </w:rPr>
            </w:r>
            <w:r/>
          </w:p>
          <w:p>
            <w:pPr>
              <w:pStyle w:val="961"/>
              <w:ind w:firstLine="560"/>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、掌上运营分析：（1）手机端展示全院日报、科室日报、目标值监测、绩效考核结果模块；（2）展示AI大模型在手机端运营，不少于5个问题的智能问答，每演示一个功能得0.5分，满分1分，</w:t>
            </w:r>
            <w:r>
              <w:rPr>
                <w:rFonts w:hint="eastAsia" w:ascii="方正仿宋_GB2312" w:hAnsi="方正仿宋_GB2312" w:eastAsia="方正仿宋_GB2312" w:cs="方正仿宋_GB2312"/>
                <w:color w:val="000000"/>
                <w:sz w:val="28"/>
                <w:szCs w:val="28"/>
                <w:highlight w:val="none"/>
              </w:rPr>
              <w:t xml:space="preserve">演示不全或不演示的不得分。</w:t>
            </w:r>
            <w:r>
              <w:rPr>
                <w:highlight w:val="none"/>
              </w:rPr>
            </w:r>
            <w:r/>
          </w:p>
          <w:p>
            <w:pPr>
              <w:pStyle w:val="961"/>
              <w:ind w:firstLine="560"/>
              <w:spacing w:line="360" w:lineRule="exact"/>
              <w:rPr>
                <w:rFonts w:hint="eastAsia" w:ascii="方正仿宋_GBK" w:hAnsi="方正仿宋_GBK" w:eastAsia="方正仿宋_GB2312"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lang w:val="en-US" w:eastAsia="zh-CN"/>
              </w:rPr>
              <w:t xml:space="preserve">8</w:t>
            </w:r>
            <w:r>
              <w:rPr>
                <w:rFonts w:hint="eastAsia" w:ascii="方正仿宋_GBK" w:hAnsi="方正仿宋_GBK" w:eastAsia="方正仿宋_GBK" w:cs="方正仿宋_GBK"/>
                <w:sz w:val="28"/>
                <w:szCs w:val="28"/>
                <w:highlight w:val="none"/>
              </w:rPr>
              <w:t xml:space="preserve">、AI应用服务平台</w:t>
            </w:r>
            <w:r>
              <w:rPr>
                <w:rFonts w:hint="eastAsia" w:ascii="方正仿宋_GBK" w:hAnsi="方正仿宋_GBK" w:eastAsia="方正仿宋_GBK" w:cs="方正仿宋_GBK"/>
                <w:sz w:val="28"/>
                <w:szCs w:val="28"/>
                <w:highlight w:val="none"/>
                <w:lang w:eastAsia="zh-CN"/>
              </w:rPr>
              <w:t xml:space="preserve">（知识图谱）</w:t>
            </w:r>
            <w:r>
              <w:rPr>
                <w:rFonts w:hint="eastAsia" w:ascii="方正仿宋_GBK" w:hAnsi="方正仿宋_GBK" w:eastAsia="方正仿宋_GBK" w:cs="方正仿宋_GBK"/>
                <w:sz w:val="28"/>
                <w:szCs w:val="28"/>
                <w:highlight w:val="none"/>
              </w:rPr>
              <w:t xml:space="preserve">：支持ICD编码，不同版本的RVU字典值，医疗标准，疾病分析，临床能力，药品，材料，设备，成本，标杆等业务实体。支持知识图谱的可视化展示,支持查看业务实体的中位数、均值、低值、高值等参照数据。演示全部功能要求的得1分，</w:t>
            </w:r>
            <w:r>
              <w:rPr>
                <w:rFonts w:hint="eastAsia" w:ascii="方正仿宋_GB2312" w:hAnsi="方正仿宋_GB2312" w:eastAsia="方正仿宋_GB2312" w:cs="方正仿宋_GB2312"/>
                <w:color w:val="000000"/>
                <w:sz w:val="28"/>
                <w:szCs w:val="28"/>
                <w:highlight w:val="none"/>
              </w:rPr>
              <w:t xml:space="preserve">演示不全或不演示的不得分。</w:t>
            </w:r>
            <w:r>
              <w:rPr>
                <w:highlight w:val="none"/>
              </w:rPr>
            </w:r>
            <w:r/>
          </w:p>
        </w:tc>
        <w:tc>
          <w:tcPr>
            <w:tcW w:w="820" w:type="dxa"/>
            <w:vAlign w:val="center"/>
            <w:textDirection w:val="lrTb"/>
            <w:noWrap w:val="false"/>
          </w:tcPr>
          <w:p>
            <w:pPr>
              <w:pStyle w:val="961"/>
              <w:ind w:left="105" w:right="105"/>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10</w:t>
            </w:r>
            <w:r>
              <w:rPr>
                <w:highlight w:val="none"/>
              </w:rPr>
            </w:r>
            <w:r/>
          </w:p>
        </w:tc>
      </w:tr>
      <w:tr>
        <w:trPr>
          <w:trHeight w:val="448"/>
        </w:trPr>
        <w:tc>
          <w:tcPr>
            <w:gridSpan w:val="2"/>
            <w:tcMar>
              <w:left w:w="0" w:type="dxa"/>
              <w:top w:w="0" w:type="dxa"/>
              <w:right w:w="0" w:type="dxa"/>
              <w:bottom w:w="0" w:type="dxa"/>
            </w:tcMar>
            <w:tcW w:w="1777" w:type="dxa"/>
            <w:vAlign w:val="center"/>
            <w:textDirection w:val="lrTb"/>
            <w:noWrap w:val="false"/>
          </w:tcPr>
          <w:p>
            <w:pPr>
              <w:pStyle w:val="961"/>
              <w:ind w:firstLine="560"/>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总计</w:t>
            </w:r>
            <w:r>
              <w:rPr>
                <w:highlight w:val="none"/>
              </w:rPr>
            </w:r>
            <w:r/>
          </w:p>
        </w:tc>
        <w:tc>
          <w:tcPr>
            <w:tcMar>
              <w:left w:w="0" w:type="dxa"/>
              <w:top w:w="0" w:type="dxa"/>
              <w:right w:w="0" w:type="dxa"/>
              <w:bottom w:w="0" w:type="dxa"/>
            </w:tcMar>
            <w:tcW w:w="6126" w:type="dxa"/>
            <w:vAlign w:val="center"/>
            <w:textDirection w:val="lrTb"/>
            <w:noWrap w:val="false"/>
          </w:tcPr>
          <w:p>
            <w:pPr>
              <w:pStyle w:val="961"/>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rPr>
              <w:t xml:space="preserve">100</w:t>
            </w:r>
            <w:r>
              <w:rPr>
                <w:highlight w:val="none"/>
              </w:rPr>
            </w:r>
            <w:r/>
          </w:p>
        </w:tc>
        <w:tc>
          <w:tcPr>
            <w:tcW w:w="820" w:type="dxa"/>
            <w:vAlign w:val="top"/>
            <w:textDirection w:val="lrTb"/>
            <w:noWrap w:val="false"/>
          </w:tcPr>
          <w:p>
            <w:pPr>
              <w:pStyle w:val="961"/>
              <w:ind w:left="105" w:right="105"/>
              <w:jc w:val="center"/>
              <w:spacing w:line="360" w:lineRule="exact"/>
              <w:rPr>
                <w:rFonts w:hint="eastAsia" w:ascii="方正仿宋_GBK" w:hAnsi="方正仿宋_GBK" w:eastAsia="方正仿宋_GBK" w:cs="方正仿宋_GBK"/>
                <w:sz w:val="28"/>
                <w:szCs w:val="28"/>
                <w:highlight w:val="none"/>
              </w:rPr>
              <w:framePr w:vAnchor="text" w:hAnchor="page" w:x="1583" w:y="487"/>
            </w:pPr>
            <w:r>
              <w:rPr>
                <w:rFonts w:hint="eastAsia" w:ascii="方正仿宋_GBK" w:hAnsi="方正仿宋_GBK" w:eastAsia="方正仿宋_GBK" w:cs="方正仿宋_GBK"/>
                <w:sz w:val="28"/>
                <w:szCs w:val="28"/>
                <w:highlight w:val="none"/>
                <w:lang w:val="en-GB"/>
              </w:rPr>
            </w:r>
            <w:r>
              <w:rPr>
                <w:highlight w:val="none"/>
              </w:rPr>
            </w:r>
            <w:r/>
          </w:p>
        </w:tc>
      </w:tr>
    </w:tbl>
    <w:p>
      <w:pPr>
        <w:pStyle w:val="961"/>
        <w:ind w:firstLine="562"/>
        <w:jc w:val="left"/>
        <w:spacing w:line="420" w:lineRule="exact"/>
        <w:widowControl/>
        <w:rPr>
          <w:rFonts w:hint="eastAsia" w:ascii="方正仿宋_GBK" w:hAnsi="方正仿宋_GBK" w:eastAsia="方正仿宋_GBK" w:cs="方正仿宋_GBK"/>
          <w:b/>
          <w:bCs/>
          <w:sz w:val="28"/>
          <w:szCs w:val="28"/>
          <w:highlight w:val="none"/>
        </w:rPr>
      </w:pPr>
      <w:r>
        <w:rPr>
          <w:highlight w:val="none"/>
        </w:rPr>
      </w:r>
      <w:bookmarkEnd w:id="63"/>
      <w:r>
        <w:rPr>
          <w:rFonts w:hint="eastAsia" w:ascii="方正仿宋_GBK" w:hAnsi="方正仿宋_GBK" w:eastAsia="方正仿宋_GBK" w:cs="方正仿宋_GBK"/>
          <w:b/>
          <w:bCs/>
          <w:sz w:val="28"/>
          <w:szCs w:val="28"/>
          <w:highlight w:val="none"/>
        </w:rPr>
        <w:t xml:space="preserve">说明：</w:t>
      </w:r>
      <w:r>
        <w:rPr>
          <w:highlight w:val="none"/>
        </w:rPr>
      </w:r>
      <w:r/>
    </w:p>
    <w:p>
      <w:pPr>
        <w:pStyle w:val="961"/>
        <w:ind w:firstLine="562"/>
        <w:jc w:val="left"/>
        <w:spacing w:line="420" w:lineRule="exact"/>
        <w:widowControl/>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以上证明、证书、认证等资料的复印件或扫描件，采购人有权在中标后签订合同前要求中标人提供原件备查，如有虚假，按虚假投标处理。</w:t>
      </w:r>
      <w:r>
        <w:rPr>
          <w:highlight w:val="none"/>
        </w:rPr>
      </w:r>
      <w:r/>
    </w:p>
    <w:p>
      <w:pPr>
        <w:pStyle w:val="1049"/>
        <w:spacing w:before="0" w:after="0" w:line="480" w:lineRule="exact"/>
        <w:rPr>
          <w:rFonts w:hint="eastAsia" w:ascii="宋体" w:hAnsi="宋体" w:cs="宋体"/>
          <w:highlight w:val="none"/>
        </w:rPr>
      </w:pPr>
      <w:r>
        <w:rPr>
          <w:rFonts w:hint="eastAsia" w:ascii="宋体" w:hAnsi="宋体" w:cs="宋体"/>
          <w:highlight w:val="none"/>
        </w:rPr>
      </w:r>
      <w:r>
        <w:rPr>
          <w:highlight w:val="none"/>
        </w:rPr>
      </w:r>
      <w:r/>
    </w:p>
    <w:p>
      <w:pPr>
        <w:pStyle w:val="961"/>
        <w:ind w:right="839"/>
        <w:jc w:val="center"/>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br w:type="page" w:clear="all"/>
      </w:r>
      <w:r>
        <w:rPr>
          <w:rFonts w:hint="eastAsia" w:ascii="方正黑体_GBK" w:hAnsi="方正黑体_GBK" w:eastAsia="方正黑体_GBK" w:cs="方正黑体_GBK"/>
          <w:color w:val="000000"/>
          <w:sz w:val="28"/>
          <w:szCs w:val="28"/>
          <w:highlight w:val="none"/>
        </w:rPr>
        <w:t xml:space="preserve">第六章  投标</w:t>
      </w:r>
      <w:bookmarkEnd w:id="60"/>
      <w:r>
        <w:rPr>
          <w:highlight w:val="none"/>
        </w:rPr>
      </w:r>
      <w:bookmarkEnd w:id="61"/>
      <w:r>
        <w:rPr>
          <w:highlight w:val="none"/>
        </w:rPr>
      </w:r>
      <w:bookmarkEnd w:id="62"/>
      <w:r>
        <w:rPr>
          <w:rFonts w:hint="eastAsia" w:ascii="方正黑体_GBK" w:hAnsi="方正黑体_GBK" w:eastAsia="方正黑体_GBK" w:cs="方正黑体_GBK"/>
          <w:color w:val="000000"/>
          <w:sz w:val="28"/>
          <w:szCs w:val="28"/>
          <w:highlight w:val="none"/>
        </w:rPr>
        <w:t xml:space="preserve">文件格式 </w:t>
      </w:r>
      <w:r>
        <w:rPr>
          <w:highlight w:val="none"/>
        </w:rPr>
      </w:r>
      <w:r/>
    </w:p>
    <w:p>
      <w:pPr>
        <w:pStyle w:val="961"/>
        <w:jc w:val="center"/>
        <w:rPr>
          <w:rFonts w:hint="eastAsia" w:ascii="宋体" w:hAnsi="宋体"/>
          <w:b/>
          <w:sz w:val="28"/>
          <w:szCs w:val="28"/>
          <w:highlight w:val="none"/>
        </w:rPr>
      </w:pPr>
      <w:r>
        <w:rPr>
          <w:highlight w:val="none"/>
        </w:rPr>
      </w:r>
      <w:bookmarkStart w:id="68" w:name="_Hlt26955039"/>
      <w:r>
        <w:rPr>
          <w:highlight w:val="none"/>
        </w:rPr>
      </w:r>
      <w:bookmarkEnd w:id="68"/>
      <w:r>
        <w:rPr>
          <w:highlight w:val="none"/>
        </w:rPr>
      </w:r>
      <w:bookmarkStart w:id="69" w:name="_Hlt26671244"/>
      <w:r>
        <w:rPr>
          <w:highlight w:val="none"/>
        </w:rPr>
      </w:r>
      <w:bookmarkEnd w:id="69"/>
      <w:r>
        <w:rPr>
          <w:highlight w:val="none"/>
        </w:rPr>
      </w:r>
      <w:bookmarkStart w:id="70" w:name="_Toc120614282"/>
      <w:r>
        <w:rPr>
          <w:highlight w:val="none"/>
        </w:rPr>
      </w:r>
      <w:bookmarkStart w:id="71" w:name="_Toc26554094"/>
      <w:r>
        <w:rPr>
          <w:highlight w:val="none"/>
        </w:rPr>
      </w:r>
      <w:bookmarkStart w:id="72" w:name="_Toc49090576"/>
      <w:r>
        <w:rPr>
          <w:highlight w:val="none"/>
        </w:rPr>
      </w:r>
      <w:r/>
    </w:p>
    <w:p>
      <w:pPr>
        <w:pStyle w:val="961"/>
        <w:jc w:val="center"/>
        <w:rPr>
          <w:rFonts w:hint="eastAsia"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r>
      <w:r>
        <w:rPr>
          <w:highlight w:val="none"/>
        </w:rPr>
      </w:r>
      <w:r/>
    </w:p>
    <w:p>
      <w:pPr>
        <w:pStyle w:val="961"/>
        <w:jc w:val="center"/>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投  标  文  件</w:t>
      </w:r>
      <w:r>
        <w:rPr>
          <w:highlight w:val="none"/>
        </w:rPr>
      </w:r>
      <w:r/>
    </w:p>
    <w:p>
      <w:pPr>
        <w:pStyle w:val="961"/>
        <w:jc w:val="center"/>
        <w:rPr>
          <w:rFonts w:hint="eastAsia" w:ascii="宋体" w:hAnsi="宋体"/>
          <w:b/>
          <w:sz w:val="28"/>
          <w:szCs w:val="28"/>
          <w:highlight w:val="none"/>
        </w:rPr>
      </w:pPr>
      <w:r>
        <w:rPr>
          <w:rFonts w:hint="eastAsia" w:ascii="宋体" w:hAnsi="宋体"/>
          <w:b/>
          <w:sz w:val="28"/>
          <w:szCs w:val="28"/>
          <w:highlight w:val="none"/>
        </w:rPr>
      </w:r>
      <w:r>
        <w:rPr>
          <w:highlight w:val="none"/>
        </w:rPr>
      </w:r>
      <w:r/>
    </w:p>
    <w:p>
      <w:pPr>
        <w:pStyle w:val="961"/>
        <w:jc w:val="center"/>
        <w:rPr>
          <w:rFonts w:hint="eastAsia" w:ascii="宋体" w:hAnsi="宋体"/>
          <w:b/>
          <w:sz w:val="28"/>
          <w:szCs w:val="28"/>
          <w:highlight w:val="none"/>
        </w:rPr>
      </w:pPr>
      <w:r>
        <w:rPr>
          <w:rFonts w:hint="eastAsia" w:ascii="宋体" w:hAnsi="宋体"/>
          <w:b/>
          <w:sz w:val="28"/>
          <w:szCs w:val="28"/>
          <w:highlight w:val="none"/>
        </w:rPr>
      </w:r>
      <w:r>
        <w:rPr>
          <w:highlight w:val="none"/>
        </w:rPr>
      </w:r>
      <w:r/>
    </w:p>
    <w:p>
      <w:pPr>
        <w:pStyle w:val="961"/>
        <w:jc w:val="center"/>
        <w:rPr>
          <w:rFonts w:hint="eastAsia" w:ascii="宋体" w:hAnsi="宋体"/>
          <w:b/>
          <w:sz w:val="28"/>
          <w:szCs w:val="28"/>
          <w:highlight w:val="none"/>
        </w:rPr>
      </w:pPr>
      <w:r>
        <w:rPr>
          <w:rFonts w:hint="eastAsia" w:ascii="宋体" w:hAnsi="宋体"/>
          <w:b/>
          <w:sz w:val="28"/>
          <w:szCs w:val="28"/>
          <w:highlight w:val="none"/>
        </w:rPr>
      </w:r>
      <w:r>
        <w:rPr>
          <w:highlight w:val="none"/>
        </w:rPr>
      </w:r>
      <w:r/>
    </w:p>
    <w:p>
      <w:pPr>
        <w:pStyle w:val="961"/>
        <w:jc w:val="center"/>
        <w:rPr>
          <w:rFonts w:hint="eastAsia" w:ascii="宋体" w:hAnsi="宋体"/>
          <w:b/>
          <w:sz w:val="28"/>
          <w:szCs w:val="28"/>
          <w:highlight w:val="none"/>
        </w:rPr>
      </w:pPr>
      <w:r>
        <w:rPr>
          <w:rFonts w:hint="eastAsia" w:ascii="宋体" w:hAnsi="宋体"/>
          <w:b/>
          <w:sz w:val="28"/>
          <w:szCs w:val="28"/>
          <w:highlight w:val="none"/>
        </w:rPr>
      </w:r>
      <w:r>
        <w:rPr>
          <w:highlight w:val="none"/>
        </w:rPr>
      </w:r>
      <w:r/>
    </w:p>
    <w:p>
      <w:pPr>
        <w:pStyle w:val="961"/>
        <w:jc w:val="center"/>
        <w:rPr>
          <w:rFonts w:hint="eastAsia" w:ascii="宋体" w:hAnsi="宋体"/>
          <w:b/>
          <w:sz w:val="28"/>
          <w:szCs w:val="28"/>
          <w:highlight w:val="none"/>
        </w:rPr>
      </w:pPr>
      <w:r>
        <w:rPr>
          <w:rFonts w:hint="eastAsia" w:ascii="宋体" w:hAnsi="宋体"/>
          <w:b/>
          <w:sz w:val="28"/>
          <w:szCs w:val="28"/>
          <w:highlight w:val="none"/>
        </w:rPr>
      </w:r>
      <w:r>
        <w:rPr>
          <w:highlight w:val="none"/>
        </w:rPr>
      </w:r>
      <w:r/>
    </w:p>
    <w:p>
      <w:pPr>
        <w:pStyle w:val="961"/>
        <w:ind w:firstLine="84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项 目 名 称：</w:t>
      </w:r>
      <w:r>
        <w:rPr>
          <w:rFonts w:hint="eastAsia" w:ascii="方正黑体_GBK" w:hAnsi="方正黑体_GBK" w:eastAsia="方正黑体_GBK" w:cs="方正黑体_GBK"/>
          <w:bCs/>
          <w:sz w:val="28"/>
          <w:szCs w:val="28"/>
          <w:highlight w:val="none"/>
          <w:u w:val="single"/>
        </w:rPr>
        <w:t xml:space="preserve">               </w:t>
      </w:r>
      <w:r>
        <w:rPr>
          <w:highlight w:val="none"/>
        </w:rPr>
      </w:r>
      <w:r/>
    </w:p>
    <w:p>
      <w:pPr>
        <w:pStyle w:val="961"/>
        <w:ind w:firstLine="840"/>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采 购 编 号：</w:t>
      </w:r>
      <w:r>
        <w:rPr>
          <w:rFonts w:hint="eastAsia" w:ascii="方正黑体_GBK" w:hAnsi="方正黑体_GBK" w:eastAsia="方正黑体_GBK" w:cs="方正黑体_GBK"/>
          <w:bCs/>
          <w:sz w:val="28"/>
          <w:szCs w:val="28"/>
          <w:highlight w:val="none"/>
          <w:u w:val="single"/>
        </w:rPr>
        <w:t xml:space="preserve">               </w:t>
      </w:r>
      <w:r>
        <w:rPr>
          <w:highlight w:val="none"/>
        </w:rPr>
      </w:r>
      <w:r/>
    </w:p>
    <w:p>
      <w:pPr>
        <w:pStyle w:val="961"/>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      投标人名称 ：</w:t>
      </w:r>
      <w:r>
        <w:rPr>
          <w:rFonts w:hint="eastAsia" w:ascii="方正黑体_GBK" w:hAnsi="方正黑体_GBK" w:eastAsia="方正黑体_GBK" w:cs="方正黑体_GBK"/>
          <w:bCs/>
          <w:sz w:val="28"/>
          <w:szCs w:val="28"/>
          <w:highlight w:val="none"/>
          <w:u w:val="single"/>
        </w:rPr>
        <w:t xml:space="preserve">（加盖CA电子公章）</w:t>
      </w:r>
      <w:r>
        <w:rPr>
          <w:highlight w:val="none"/>
        </w:rPr>
      </w:r>
      <w:r/>
    </w:p>
    <w:p>
      <w:pPr>
        <w:pStyle w:val="961"/>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      日      期 ：</w:t>
      </w:r>
      <w:r>
        <w:rPr>
          <w:rFonts w:hint="eastAsia" w:ascii="方正黑体_GBK" w:hAnsi="方正黑体_GBK" w:eastAsia="方正黑体_GBK" w:cs="方正黑体_GBK"/>
          <w:bCs/>
          <w:sz w:val="28"/>
          <w:szCs w:val="28"/>
          <w:highlight w:val="none"/>
          <w:u w:val="single"/>
        </w:rPr>
        <w:t xml:space="preserve">               </w:t>
      </w:r>
      <w:r>
        <w:rPr>
          <w:highlight w:val="none"/>
        </w:rPr>
      </w:r>
      <w:r/>
    </w:p>
    <w:p>
      <w:pPr>
        <w:pStyle w:val="961"/>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pStyle w:val="961"/>
        <w:spacing w:line="440" w:lineRule="exact"/>
        <w:rPr>
          <w:rFonts w:ascii="宋体" w:hAnsi="宋体"/>
          <w:highlight w:val="none"/>
        </w:rPr>
      </w:pPr>
      <w:r>
        <w:rPr>
          <w:rFonts w:ascii="宋体" w:hAnsi="宋体"/>
          <w:highlight w:val="none"/>
        </w:rPr>
      </w:r>
      <w:r>
        <w:rPr>
          <w:highlight w:val="none"/>
        </w:rPr>
      </w:r>
      <w:r/>
    </w:p>
    <w:p>
      <w:pPr>
        <w:pStyle w:val="961"/>
        <w:ind w:firstLine="1084"/>
        <w:rPr>
          <w:rFonts w:ascii="宋体" w:hAnsi="宋体"/>
          <w:b/>
          <w:bCs/>
          <w:sz w:val="32"/>
          <w:szCs w:val="32"/>
          <w:highlight w:val="none"/>
        </w:rPr>
      </w:pPr>
      <w:r>
        <w:rPr>
          <w:rFonts w:ascii="宋体" w:hAnsi="宋体"/>
          <w:b/>
          <w:sz w:val="36"/>
          <w:highlight w:val="none"/>
          <w:u w:val="single"/>
        </w:rPr>
        <w:br w:type="page" w:clear="all"/>
      </w:r>
      <w:r>
        <w:rPr>
          <w:highlight w:val="none"/>
        </w:rPr>
      </w:r>
      <w:r/>
    </w:p>
    <w:p>
      <w:pPr>
        <w:pStyle w:val="961"/>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投标文件的组成</w:t>
      </w:r>
      <w:r>
        <w:rPr>
          <w:highlight w:val="none"/>
        </w:rPr>
      </w:r>
      <w:r/>
    </w:p>
    <w:p>
      <w:pPr>
        <w:pStyle w:val="961"/>
        <w:jc w:val="center"/>
        <w:spacing w:line="400" w:lineRule="exact"/>
        <w:rPr>
          <w:rFonts w:hint="eastAsia" w:ascii="宋体" w:hAnsi="宋体"/>
          <w:b/>
          <w:bCs/>
          <w:sz w:val="28"/>
          <w:szCs w:val="28"/>
          <w:highlight w:val="none"/>
        </w:rPr>
      </w:pPr>
      <w:r>
        <w:rPr>
          <w:rFonts w:hint="eastAsia" w:ascii="宋体" w:hAnsi="宋体"/>
          <w:b/>
          <w:bCs/>
          <w:sz w:val="28"/>
          <w:szCs w:val="28"/>
          <w:highlight w:val="none"/>
        </w:rPr>
      </w:r>
      <w:r>
        <w:rPr>
          <w:highlight w:val="none"/>
        </w:rPr>
      </w:r>
      <w:r/>
    </w:p>
    <w:p>
      <w:pPr>
        <w:pStyle w:val="961"/>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一、基本目录</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eastAsia="方正仿宋_GBK"/>
          <w:color w:val="000000"/>
          <w:sz w:val="28"/>
          <w:szCs w:val="28"/>
          <w:highlight w:val="none"/>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w:t>
      </w:r>
      <w:r>
        <w:rPr>
          <w:highlight w:val="none"/>
        </w:rPr>
      </w:r>
      <w:r/>
    </w:p>
    <w:p>
      <w:pPr>
        <w:pStyle w:val="961"/>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二、资格审查内容</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2.上一年度的财务状况报告（投标人成立不满一年无需提供）</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4.具备履行合同所必需的设备和专业技术能力的书面声明（格式见附件5）</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年内在经营活动中没有重大违法记录的书面声明（格式见附件6）</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6.特定资格要求的证明文件（如果本项目对投标人做出特定资格要求的，必须提供）</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8.法人授权书（格式见附件7）</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9.投标函（格式见附件8）</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总备注：上述“资格审查内容”中1-6条、8、9条投标人必须在投标文件中提供相关材料，否则作无效投标处理。</w:t>
      </w:r>
      <w:r>
        <w:rPr>
          <w:highlight w:val="none"/>
        </w:rPr>
      </w:r>
      <w:r/>
    </w:p>
    <w:p>
      <w:pPr>
        <w:pStyle w:val="961"/>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三、符合性审查内容</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投标人必须对招标文件（含技术要求和商务要求）中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的实质性要求逐条做出响应，并按照招标文件要求提供证明材料，否则作无效投标处理。（格式见附件11）</w:t>
      </w:r>
      <w:r>
        <w:rPr>
          <w:highlight w:val="none"/>
        </w:rPr>
      </w:r>
      <w:r/>
    </w:p>
    <w:p>
      <w:pPr>
        <w:pStyle w:val="961"/>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四、价格扣除证明文件</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1.中小微企业声明函（格式见附件9）</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2.残疾人福利性单位声明函（格式见附件10）</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3.关于符合本国产品标准的声明函（格式见附件12）</w:t>
      </w:r>
      <w:r>
        <w:rPr>
          <w:highlight w:val="none"/>
        </w:rPr>
      </w:r>
      <w:r/>
    </w:p>
    <w:p>
      <w:pPr>
        <w:pStyle w:val="961"/>
        <w:spacing w:line="400" w:lineRule="exact"/>
        <w:rPr>
          <w:rFonts w:ascii="宋体" w:hAnsi="宋体"/>
          <w:sz w:val="28"/>
          <w:szCs w:val="28"/>
          <w:highlight w:val="none"/>
        </w:rPr>
      </w:pPr>
      <w:r>
        <w:rPr>
          <w:rFonts w:ascii="宋体" w:hAnsi="宋体"/>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ascii="宋体" w:hAnsi="宋体"/>
          <w:b/>
          <w:color w:val="ff0000"/>
          <w:sz w:val="28"/>
          <w:szCs w:val="28"/>
          <w:highlight w:val="none"/>
        </w:rPr>
      </w:pPr>
      <w:r>
        <w:rPr>
          <w:rFonts w:ascii="宋体" w:hAnsi="宋体"/>
          <w:b/>
          <w:color w:val="ff0000"/>
          <w:sz w:val="28"/>
          <w:szCs w:val="28"/>
          <w:highlight w:val="none"/>
        </w:rPr>
      </w:r>
      <w:r>
        <w:rPr>
          <w:highlight w:val="none"/>
        </w:rPr>
      </w:r>
      <w:r/>
    </w:p>
    <w:p>
      <w:pPr>
        <w:pStyle w:val="961"/>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附件1 开标一览表</w:t>
      </w:r>
      <w:r>
        <w:rPr>
          <w:highlight w:val="none"/>
        </w:rPr>
      </w:r>
      <w:r/>
    </w:p>
    <w:p>
      <w:pPr>
        <w:pStyle w:val="96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rPr>
          <w:highlight w:val="none"/>
        </w:rPr>
      </w:r>
      <w:r/>
    </w:p>
    <w:p>
      <w:pPr>
        <w:pStyle w:val="961"/>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hint="eastAsia" w:eastAsia="方正仿宋_GBK"/>
          <w:color w:val="000000"/>
          <w:sz w:val="28"/>
          <w:szCs w:val="28"/>
          <w:highlight w:val="none"/>
        </w:rPr>
        <w:t xml:space="preserve">XXXX</w:t>
      </w:r>
      <w:r>
        <w:rPr>
          <w:highlight w:val="none"/>
        </w:rPr>
      </w:r>
      <w:r/>
    </w:p>
    <w:p>
      <w:pPr>
        <w:pStyle w:val="96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sz w:val="28"/>
          <w:szCs w:val="28"/>
          <w:highlight w:val="none"/>
        </w:rPr>
        <w:t xml:space="preserve">                                  </w:t>
      </w:r>
      <w:r>
        <w:rPr>
          <w:highlight w:val="none"/>
        </w:rPr>
      </w:r>
      <w:r/>
    </w:p>
    <w:p>
      <w:pPr>
        <w:pStyle w:val="961"/>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color w:val="000000"/>
          <w:sz w:val="28"/>
          <w:szCs w:val="28"/>
          <w:highlight w:val="none"/>
        </w:rPr>
        <w:t xml:space="preserve">XX</w:t>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61"/>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w:t>
            </w:r>
            <w:r>
              <w:rPr>
                <w:highlight w:val="none"/>
              </w:rPr>
            </w:r>
            <w:r/>
          </w:p>
        </w:tc>
      </w:tr>
      <w:tr>
        <w:trPr>
          <w:cantSplit/>
          <w:trHeight w:val="612"/>
        </w:trPr>
        <w:tc>
          <w:tcPr>
            <w:tcW w:w="8934" w:type="dxa"/>
            <w:vAlign w:val="center"/>
            <w:textDirection w:val="lrTb"/>
            <w:noWrap w:val="false"/>
          </w:tcPr>
          <w:p>
            <w:pPr>
              <w:pStyle w:val="1049"/>
              <w:ind w:firstLine="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rPr>
                <w:highlight w:val="none"/>
              </w:rPr>
            </w:r>
            <w:r/>
          </w:p>
        </w:tc>
      </w:tr>
    </w:tbl>
    <w:p>
      <w:pPr>
        <w:pStyle w:val="961"/>
        <w:ind w:firstLine="480"/>
        <w:spacing w:line="400" w:lineRule="exact"/>
        <w:rPr>
          <w:rFonts w:hint="eastAsia" w:ascii="宋体" w:hAnsi="宋体"/>
          <w:sz w:val="28"/>
          <w:szCs w:val="28"/>
          <w:highlight w:val="none"/>
        </w:rPr>
      </w:pPr>
      <w:r>
        <w:rPr>
          <w:rFonts w:hint="eastAsia" w:ascii="宋体" w:hAnsi="宋体"/>
          <w:sz w:val="28"/>
          <w:szCs w:val="28"/>
          <w:highlight w:val="none"/>
        </w:rPr>
      </w:r>
      <w:r>
        <w:rPr>
          <w:highlight w:val="none"/>
        </w:rPr>
      </w:r>
      <w:r/>
    </w:p>
    <w:p>
      <w:pPr>
        <w:pStyle w:val="961"/>
        <w:spacing w:line="400" w:lineRule="exact"/>
        <w:rPr>
          <w:rFonts w:ascii="宋体" w:hAnsi="宋体"/>
          <w:sz w:val="28"/>
          <w:szCs w:val="28"/>
          <w:highlight w:val="none"/>
        </w:rPr>
      </w:pPr>
      <w:r>
        <w:rPr>
          <w:rFonts w:ascii="宋体" w:hAnsi="宋体"/>
          <w:sz w:val="28"/>
          <w:szCs w:val="28"/>
          <w:highlight w:val="none"/>
        </w:rPr>
      </w:r>
      <w:r>
        <w:rPr>
          <w:highlight w:val="none"/>
        </w:rPr>
      </w:r>
      <w:r/>
    </w:p>
    <w:p>
      <w:pPr>
        <w:pStyle w:val="96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附件2 投标分项报价表（采购包号：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highlight w:val="none"/>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highlight w:val="none"/>
              </w:rPr>
            </w:r>
            <w:r/>
          </w:p>
        </w:tc>
        <w:tc>
          <w:tcPr>
            <w:tcW w:w="1106"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1064"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highlight w:val="none"/>
              </w:rPr>
            </w:r>
            <w:r/>
          </w:p>
        </w:tc>
        <w:tc>
          <w:tcPr>
            <w:tcW w:w="10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highlight w:val="none"/>
              </w:rPr>
            </w:r>
            <w:r/>
          </w:p>
        </w:tc>
        <w:tc>
          <w:tcPr>
            <w:tcW w:w="98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highlight w:val="none"/>
              </w:rPr>
            </w:r>
            <w:r/>
          </w:p>
        </w:tc>
        <w:tc>
          <w:tcPr>
            <w:tcW w:w="104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highlight w:val="none"/>
              </w:rPr>
            </w:r>
            <w:r/>
          </w:p>
        </w:tc>
        <w:tc>
          <w:tcPr>
            <w:tcW w:w="125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highlight w:val="none"/>
              </w:rPr>
            </w:r>
            <w:r/>
          </w:p>
        </w:tc>
        <w:tc>
          <w:tcPr>
            <w:tcW w:w="8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rPr>
                <w:highlight w:val="none"/>
              </w:rPr>
            </w:r>
            <w:r/>
          </w:p>
        </w:tc>
        <w:tc>
          <w:tcPr>
            <w:tcW w:w="9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highlight w:val="none"/>
              </w:rPr>
            </w:r>
            <w:r/>
          </w:p>
        </w:tc>
        <w:tc>
          <w:tcPr>
            <w:tcW w:w="86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highlight w:val="none"/>
              </w:rPr>
            </w:r>
            <w:r/>
          </w:p>
        </w:tc>
      </w:tr>
      <w:tr>
        <w:trPr>
          <w:cantSplit/>
          <w:trHeight w:val="294"/>
        </w:trPr>
        <w:tc>
          <w:tcPr>
            <w:tcW w:w="7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1106" w:type="dxa"/>
            <w:vAlign w:val="center"/>
            <w:textDirection w:val="lrTb"/>
            <w:noWrap w:val="false"/>
          </w:tcPr>
          <w:p>
            <w:pPr>
              <w:pStyle w:val="961"/>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分项服务名称/货物名称</w:t>
            </w:r>
            <w:r>
              <w:rPr>
                <w:highlight w:val="none"/>
              </w:rPr>
            </w:r>
            <w:r/>
          </w:p>
        </w:tc>
        <w:tc>
          <w:tcPr>
            <w:tcW w:w="1064"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品牌</w:t>
            </w:r>
            <w:r>
              <w:rPr>
                <w:highlight w:val="none"/>
              </w:rPr>
            </w:r>
            <w:r/>
          </w:p>
        </w:tc>
        <w:tc>
          <w:tcPr>
            <w:tcW w:w="10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规格</w:t>
            </w:r>
            <w:r>
              <w:rPr>
                <w:highlight w:val="none"/>
              </w:rPr>
            </w:r>
            <w:r/>
          </w:p>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型号</w:t>
            </w:r>
            <w:r>
              <w:rPr>
                <w:highlight w:val="none"/>
              </w:rPr>
            </w:r>
            <w:r/>
          </w:p>
        </w:tc>
        <w:tc>
          <w:tcPr>
            <w:tcW w:w="98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制造商名称</w:t>
            </w:r>
            <w:r>
              <w:rPr>
                <w:highlight w:val="none"/>
              </w:rPr>
            </w:r>
            <w:r/>
          </w:p>
        </w:tc>
        <w:tc>
          <w:tcPr>
            <w:tcW w:w="104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产地</w:t>
            </w:r>
            <w:r>
              <w:rPr>
                <w:highlight w:val="none"/>
              </w:rPr>
            </w:r>
            <w:r/>
          </w:p>
        </w:tc>
        <w:tc>
          <w:tcPr>
            <w:tcW w:w="125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交付期/服务期</w:t>
            </w:r>
            <w:r>
              <w:rPr>
                <w:highlight w:val="none"/>
              </w:rPr>
            </w:r>
            <w:r/>
          </w:p>
        </w:tc>
        <w:tc>
          <w:tcPr>
            <w:tcW w:w="8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w:t>
            </w:r>
            <w:r>
              <w:rPr>
                <w:highlight w:val="none"/>
              </w:rPr>
            </w:r>
            <w:r/>
          </w:p>
        </w:tc>
        <w:tc>
          <w:tcPr>
            <w:tcW w:w="9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highlight w:val="none"/>
              </w:rPr>
            </w:r>
            <w:r/>
          </w:p>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单价</w:t>
            </w:r>
            <w:r>
              <w:rPr>
                <w:highlight w:val="none"/>
              </w:rPr>
            </w:r>
            <w:r/>
          </w:p>
        </w:tc>
        <w:tc>
          <w:tcPr>
            <w:tcW w:w="86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highlight w:val="none"/>
              </w:rPr>
            </w:r>
            <w:r/>
          </w:p>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总价</w:t>
            </w:r>
            <w:r>
              <w:rPr>
                <w:highlight w:val="none"/>
              </w:rPr>
            </w:r>
            <w:r/>
          </w:p>
        </w:tc>
      </w:tr>
      <w:tr>
        <w:trPr>
          <w:cantSplit/>
          <w:trHeight w:val="696"/>
        </w:trPr>
        <w:tc>
          <w:tcPr>
            <w:tcW w:w="7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highlight w:val="none"/>
              </w:rPr>
            </w:r>
            <w:r/>
          </w:p>
        </w:tc>
        <w:tc>
          <w:tcPr>
            <w:tcW w:w="1106"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64"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8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40"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25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合同签订后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highlight w:val="none"/>
              </w:rPr>
            </w:r>
            <w:r/>
          </w:p>
        </w:tc>
        <w:tc>
          <w:tcPr>
            <w:tcW w:w="8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86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cantSplit/>
          <w:trHeight w:val="724"/>
        </w:trPr>
        <w:tc>
          <w:tcPr>
            <w:tcW w:w="7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highlight w:val="none"/>
              </w:rPr>
            </w:r>
            <w:r/>
          </w:p>
        </w:tc>
        <w:tc>
          <w:tcPr>
            <w:tcW w:w="1106"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64"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8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40"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25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8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86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cantSplit/>
          <w:trHeight w:val="640"/>
        </w:trPr>
        <w:tc>
          <w:tcPr>
            <w:tcW w:w="7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highlight w:val="none"/>
              </w:rPr>
            </w:r>
            <w:r/>
          </w:p>
        </w:tc>
        <w:tc>
          <w:tcPr>
            <w:tcW w:w="1106"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64"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8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40"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25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8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86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cantSplit/>
          <w:trHeight w:val="580"/>
        </w:trPr>
        <w:tc>
          <w:tcPr>
            <w:tcW w:w="7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tc>
        <w:tc>
          <w:tcPr>
            <w:tcW w:w="1106"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tc>
        <w:tc>
          <w:tcPr>
            <w:tcW w:w="1064"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8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040"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25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86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920"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86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cantSplit/>
          <w:trHeight w:val="434"/>
        </w:trPr>
        <w:tc>
          <w:tcPr>
            <w:gridSpan w:val="10"/>
            <w:tcW w:w="9861" w:type="dxa"/>
            <w:vAlign w:val="top"/>
            <w:textDirection w:val="lrTb"/>
            <w:noWrap w:val="false"/>
          </w:tcPr>
          <w:p>
            <w:pPr>
              <w:pStyle w:val="961"/>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投标总报价（人民币：元）</w:t>
            </w:r>
            <w:r>
              <w:rPr>
                <w:rFonts w:hint="eastAsia" w:ascii="方正仿宋_GBK" w:hAnsi="方正仿宋_GBK" w:eastAsia="方正仿宋_GBK" w:cs="方正仿宋_GBK"/>
                <w:sz w:val="28"/>
                <w:szCs w:val="28"/>
                <w:highlight w:val="none"/>
                <w:u w:val="single"/>
              </w:rPr>
              <w:t xml:space="preserve">                             </w:t>
            </w:r>
            <w:r>
              <w:rPr>
                <w:highlight w:val="none"/>
              </w:rPr>
            </w:r>
            <w:r/>
          </w:p>
        </w:tc>
      </w:tr>
      <w:tr>
        <w:trPr>
          <w:cantSplit/>
          <w:trHeight w:val="757"/>
        </w:trPr>
        <w:tc>
          <w:tcPr>
            <w:gridSpan w:val="10"/>
            <w:tcW w:w="9861" w:type="dxa"/>
            <w:vAlign w:val="top"/>
            <w:textDirection w:val="lrTb"/>
            <w:noWrap w:val="false"/>
          </w:tcPr>
          <w:p>
            <w:pPr>
              <w:pStyle w:val="1023"/>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rPr>
                <w:highlight w:val="none"/>
              </w:rPr>
            </w:r>
            <w:r/>
          </w:p>
        </w:tc>
      </w:tr>
    </w:tbl>
    <w:p>
      <w:pPr>
        <w:pStyle w:val="96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highlight w:val="none"/>
        </w:rPr>
      </w:r>
      <w:r/>
    </w:p>
    <w:p>
      <w:pPr>
        <w:pStyle w:val="96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highlight w:val="none"/>
        </w:rPr>
      </w:r>
      <w:r/>
    </w:p>
    <w:p>
      <w:pPr>
        <w:pStyle w:val="96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rPr>
          <w:highlight w:val="none"/>
        </w:rPr>
      </w:r>
      <w:r/>
    </w:p>
    <w:p>
      <w:pPr>
        <w:pStyle w:val="96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3.分项服务不需填写品牌、规格型号、制造商、产地。</w:t>
      </w:r>
      <w:r>
        <w:rPr>
          <w:highlight w:val="none"/>
        </w:rPr>
      </w:r>
      <w:r/>
    </w:p>
    <w:p>
      <w:pPr>
        <w:pStyle w:val="96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rPr>
          <w:highlight w:val="none"/>
        </w:rPr>
      </w:r>
      <w:r/>
    </w:p>
    <w:p>
      <w:pPr>
        <w:pStyle w:val="961"/>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5.项目经办人可以根据项目实际需要对表格结构进行调整。</w:t>
      </w:r>
      <w:r>
        <w:rPr>
          <w:highlight w:val="none"/>
        </w:rPr>
      </w:r>
      <w:r/>
    </w:p>
    <w:p>
      <w:pPr>
        <w:pStyle w:val="96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附件3 技术要求响应及偏离表（采购包号：XX）</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highlight w:val="none"/>
              </w:rPr>
            </w:r>
            <w:r/>
          </w:p>
        </w:tc>
        <w:tc>
          <w:tcPr>
            <w:tcW w:w="3063"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rPr>
                <w:highlight w:val="none"/>
              </w:rPr>
            </w:r>
            <w:r/>
          </w:p>
        </w:tc>
        <w:tc>
          <w:tcPr>
            <w:tcW w:w="319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highlight w:val="none"/>
              </w:rPr>
            </w:r>
            <w:r/>
          </w:p>
        </w:tc>
        <w:tc>
          <w:tcPr>
            <w:tcW w:w="2128"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highlight w:val="none"/>
              </w:rPr>
            </w:r>
            <w:r/>
          </w:p>
        </w:tc>
      </w:tr>
      <w:tr>
        <w:trPr>
          <w:cantSplit/>
          <w:trHeight w:val="640"/>
        </w:trPr>
        <w:tc>
          <w:tcPr>
            <w:tcW w:w="545"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3063"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3191"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212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cantSplit/>
          <w:trHeight w:val="640"/>
        </w:trPr>
        <w:tc>
          <w:tcPr>
            <w:tcW w:w="545"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3063"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tc>
        <w:tc>
          <w:tcPr>
            <w:tcW w:w="3191"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2128"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bl>
    <w:p>
      <w:pPr>
        <w:pStyle w:val="961"/>
        <w:jc w:val="left"/>
        <w:spacing w:line="400" w:lineRule="exact"/>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附件3-1  证明材料1，证明材料2，……</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1.投标人需对招标文件技术要求中非实质性要求（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highlight w:val="none"/>
        </w:rPr>
      </w:r>
      <w:r/>
    </w:p>
    <w:p>
      <w:pPr>
        <w:pStyle w:val="96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rPr>
          <w:highlight w:val="none"/>
        </w:rPr>
      </w:r>
      <w:r/>
    </w:p>
    <w:p>
      <w:pPr>
        <w:pStyle w:val="96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附件4 商务要求响应及偏离表（采购包号：XX）</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highlight w:val="none"/>
              </w:rPr>
            </w:r>
            <w:r/>
          </w:p>
        </w:tc>
        <w:tc>
          <w:tcPr>
            <w:tcW w:w="3063"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 </w:t>
            </w:r>
            <w:r>
              <w:rPr>
                <w:highlight w:val="none"/>
              </w:rPr>
            </w:r>
            <w:r/>
          </w:p>
        </w:tc>
        <w:tc>
          <w:tcPr>
            <w:tcW w:w="3191"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highlight w:val="none"/>
              </w:rPr>
            </w:r>
            <w:r/>
          </w:p>
        </w:tc>
        <w:tc>
          <w:tcPr>
            <w:tcW w:w="2296"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highlight w:val="none"/>
              </w:rPr>
            </w:r>
            <w:r/>
          </w:p>
        </w:tc>
      </w:tr>
      <w:tr>
        <w:trPr>
          <w:cantSplit/>
          <w:trHeight w:val="640"/>
        </w:trPr>
        <w:tc>
          <w:tcPr>
            <w:tcW w:w="545"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3063"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3191"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2296"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cantSplit/>
          <w:trHeight w:val="640"/>
        </w:trPr>
        <w:tc>
          <w:tcPr>
            <w:tcW w:w="545"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3063"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tc>
        <w:tc>
          <w:tcPr>
            <w:tcW w:w="3191"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2296"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bl>
    <w:p>
      <w:pPr>
        <w:pStyle w:val="961"/>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附件4-1  证明材料1，证明材料2，……</w:t>
      </w:r>
      <w:r>
        <w:rPr>
          <w:highlight w:val="none"/>
        </w:rPr>
      </w:r>
      <w:r/>
    </w:p>
    <w:p>
      <w:pPr>
        <w:pStyle w:val="961"/>
        <w:spacing w:line="400" w:lineRule="exact"/>
        <w:rPr>
          <w:rFonts w:ascii="宋体" w:hAnsi="宋体"/>
          <w:sz w:val="28"/>
          <w:szCs w:val="28"/>
          <w:highlight w:val="none"/>
        </w:rPr>
      </w:pPr>
      <w:r>
        <w:rPr>
          <w:rFonts w:ascii="宋体" w:hAnsi="宋体"/>
          <w:sz w:val="28"/>
          <w:szCs w:val="28"/>
          <w:highlight w:val="none"/>
        </w:rPr>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1.投标人需对招标文件商务要求中非实质性要求（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highlight w:val="none"/>
        </w:rPr>
      </w:r>
      <w:r/>
    </w:p>
    <w:p>
      <w:pPr>
        <w:pStyle w:val="961"/>
        <w:ind w:firstLine="560"/>
        <w:spacing w:line="400" w:lineRule="exact"/>
        <w:rPr>
          <w:rFonts w:hint="eastAsia" w:ascii="宋体" w:hAnsi="宋体"/>
          <w:b/>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highlight w:val="none"/>
        </w:rPr>
      </w:r>
      <w:r/>
    </w:p>
    <w:p>
      <w:pPr>
        <w:pStyle w:val="961"/>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附件5 具备履行合同所必需的设备和专业技术能力的书面声明</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highlight w:val="none"/>
        </w:rPr>
      </w:r>
      <w:r/>
    </w:p>
    <w:p>
      <w:pPr>
        <w:pStyle w:val="961"/>
        <w:spacing w:line="400" w:lineRule="exact"/>
        <w:rPr>
          <w:rFonts w:ascii="宋体" w:hAnsi="宋体"/>
          <w:b/>
          <w:color w:val="000000"/>
          <w:sz w:val="28"/>
          <w:szCs w:val="28"/>
          <w:highlight w:val="none"/>
        </w:rPr>
      </w:pPr>
      <w:r>
        <w:rPr>
          <w:rFonts w:hint="eastAsia" w:ascii="宋体" w:hAnsi="宋体"/>
          <w:bCs/>
          <w:color w:val="000000"/>
          <w:sz w:val="28"/>
          <w:szCs w:val="28"/>
          <w:highlight w:val="none"/>
        </w:rPr>
        <w:t xml:space="preserve">                                     </w:t>
      </w:r>
      <w:r>
        <w:rPr>
          <w:highlight w:val="none"/>
        </w:rPr>
      </w:r>
      <w:r/>
    </w:p>
    <w:p>
      <w:pPr>
        <w:pStyle w:val="96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rPr>
          <w:highlight w:val="none"/>
        </w:rPr>
      </w:r>
      <w:r/>
    </w:p>
    <w:p>
      <w:pPr>
        <w:pStyle w:val="96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rPr>
          <w:highlight w:val="none"/>
        </w:rPr>
      </w:r>
      <w:r/>
    </w:p>
    <w:p>
      <w:pPr>
        <w:pStyle w:val="961"/>
        <w:jc w:val="center"/>
        <w:spacing w:line="400" w:lineRule="exact"/>
        <w:rPr>
          <w:rFonts w:ascii="宋体" w:hAnsi="宋体"/>
          <w:bCs/>
          <w:color w:val="000000"/>
          <w:sz w:val="28"/>
          <w:szCs w:val="28"/>
          <w:highlight w:val="none"/>
        </w:rPr>
      </w:pPr>
      <w:r>
        <w:rPr>
          <w:rFonts w:hint="eastAsia" w:ascii="方正黑体_GBK" w:hAnsi="方正黑体_GBK" w:eastAsia="方正黑体_GBK" w:cs="方正黑体_GBK"/>
          <w:bCs/>
          <w:sz w:val="28"/>
          <w:szCs w:val="28"/>
          <w:highlight w:val="none"/>
        </w:rPr>
        <w:t xml:space="preserve">附件6 参加政府采购活动前 3 年内在经营活动中没有重大违法记录的书面声明</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pStyle w:val="96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rPr>
          <w:highlight w:val="none"/>
        </w:rPr>
      </w:r>
      <w:r/>
    </w:p>
    <w:p>
      <w:pPr>
        <w:pStyle w:val="96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rPr>
          <w:highlight w:val="none"/>
        </w:rPr>
      </w:r>
      <w:r/>
    </w:p>
    <w:p>
      <w:pPr>
        <w:pStyle w:val="961"/>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附件7         法人授权书</w:t>
      </w:r>
      <w:r>
        <w:rPr>
          <w:highlight w:val="none"/>
        </w:rPr>
      </w:r>
      <w:r/>
    </w:p>
    <w:p>
      <w:pPr>
        <w:pStyle w:val="961"/>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（投标人名称）授权</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highlight w:val="none"/>
        </w:rPr>
      </w:r>
      <w:r/>
    </w:p>
    <w:p>
      <w:pPr>
        <w:pStyle w:val="961"/>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highlight w:val="none"/>
        </w:rPr>
      </w:r>
      <w:r/>
    </w:p>
    <w:p>
      <w:pPr>
        <w:pStyle w:val="961"/>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highlight w:val="none"/>
        </w:rPr>
      </w:r>
      <w:r/>
    </w:p>
    <w:p>
      <w:pPr>
        <w:pStyle w:val="961"/>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被授权人联系电话：（手机）</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授权单位名称：</w:t>
      </w:r>
      <w:r>
        <w:rPr>
          <w:rFonts w:hint="eastAsia" w:ascii="方正仿宋_GBK" w:hAnsi="方正仿宋_GBK" w:eastAsia="方正仿宋_GBK" w:cs="方正仿宋_GBK"/>
          <w:sz w:val="28"/>
          <w:szCs w:val="28"/>
          <w:highlight w:val="none"/>
          <w:u w:val="single"/>
        </w:rPr>
        <w:t xml:space="preserve">（加盖CA电子公章）</w:t>
      </w:r>
      <w:r>
        <w:rPr>
          <w:highlight w:val="none"/>
        </w:rPr>
      </w:r>
      <w:r/>
    </w:p>
    <w:p>
      <w:pPr>
        <w:pStyle w:val="961"/>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单位地址：</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highlight w:val="none"/>
        </w:rPr>
      </w:r>
      <w:r/>
    </w:p>
    <w:p>
      <w:pPr>
        <w:pStyle w:val="961"/>
        <w:jc w:val="center"/>
        <w:spacing w:line="400" w:lineRule="exact"/>
        <w:rPr>
          <w:rFonts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Cs/>
          <w:sz w:val="28"/>
          <w:szCs w:val="28"/>
          <w:highlight w:val="none"/>
        </w:rPr>
        <w:t xml:space="preserve">附件8              投标函</w:t>
      </w:r>
      <w:r>
        <w:rPr>
          <w:highlight w:val="none"/>
        </w:rPr>
      </w:r>
      <w:r/>
    </w:p>
    <w:p>
      <w:pPr>
        <w:pStyle w:val="961"/>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highlight w:val="none"/>
        </w:rPr>
      </w:r>
      <w:r/>
    </w:p>
    <w:p>
      <w:pPr>
        <w:pStyle w:val="1049"/>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olor w:val="000000"/>
          <w:sz w:val="28"/>
          <w:szCs w:val="28"/>
          <w:highlight w:val="none"/>
        </w:rPr>
        <w:t xml:space="preserve">JSZC-320000-SCZX-G20XX-XXXX</w:t>
      </w:r>
      <w:r>
        <w:rPr>
          <w:rFonts w:ascii="Times New Roman" w:hAnsi="Times New Roman" w:eastAsia="方正仿宋_GBK"/>
          <w:sz w:val="28"/>
          <w:szCs w:val="28"/>
          <w:highlight w:val="none"/>
        </w:rPr>
        <w:t xml:space="preserve">，</w:t>
      </w:r>
      <w:r>
        <w:rPr>
          <w:rFonts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项目（项目名称）的</w:t>
      </w:r>
      <w:r>
        <w:rPr>
          <w:rFonts w:hint="eastAsia" w:ascii="方正仿宋_GBK" w:hAnsi="方正仿宋_GBK" w:eastAsia="方正仿宋_GBK" w:cs="方正仿宋_GBK"/>
          <w:color w:val="000000"/>
          <w:sz w:val="28"/>
          <w:szCs w:val="28"/>
          <w:highlight w:val="none"/>
        </w:rPr>
        <w:t xml:space="preserve">招标文件</w:t>
      </w:r>
      <w:r>
        <w:rPr>
          <w:rFonts w:hint="eastAsia" w:ascii="方正仿宋_GBK" w:hAnsi="方正仿宋_GBK" w:eastAsia="方正仿宋_GBK" w:cs="方正仿宋_GBK"/>
          <w:sz w:val="28"/>
          <w:szCs w:val="28"/>
          <w:highlight w:val="none"/>
        </w:rPr>
        <w:t xml:space="preserve">，正式授权下述签字人</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（投标人的名称），全权处理本次项目投标的有关事宜。</w:t>
      </w:r>
      <w:r>
        <w:rPr>
          <w:highlight w:val="none"/>
        </w:rPr>
      </w:r>
      <w:r/>
    </w:p>
    <w:p>
      <w:pPr>
        <w:pStyle w:val="1049"/>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签字人兹宣布同意如下：</w:t>
      </w:r>
      <w:r>
        <w:rPr>
          <w:highlight w:val="none"/>
        </w:rPr>
      </w:r>
      <w:r/>
    </w:p>
    <w:p>
      <w:pPr>
        <w:pStyle w:val="1049"/>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1.按招标文件规定的各项要求，向买方提供所需服务（包含与服务相关的货物）。</w:t>
      </w:r>
      <w:r>
        <w:rPr>
          <w:highlight w:val="none"/>
        </w:rPr>
      </w:r>
      <w:r/>
    </w:p>
    <w:p>
      <w:pPr>
        <w:pStyle w:val="1049"/>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2.我们完全理解贵方不一定将合同授予最低报价的投标人。</w:t>
      </w:r>
      <w:r>
        <w:rPr>
          <w:highlight w:val="none"/>
        </w:rPr>
      </w:r>
      <w:r/>
    </w:p>
    <w:p>
      <w:pPr>
        <w:pStyle w:val="1049"/>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3.我们已详细审核全部招标文件及其有效补充文件。</w:t>
      </w:r>
      <w:r>
        <w:rPr>
          <w:highlight w:val="none"/>
        </w:rPr>
      </w:r>
      <w:r/>
    </w:p>
    <w:p>
      <w:pPr>
        <w:pStyle w:val="1049"/>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4.我们同意从规定的开标日期起遵循本投标文件，并在规定的投标有效期期满之前均具有约束力。</w:t>
      </w:r>
      <w:r>
        <w:rPr>
          <w:highlight w:val="none"/>
        </w:rPr>
      </w:r>
      <w:r/>
    </w:p>
    <w:p>
      <w:pPr>
        <w:pStyle w:val="1049"/>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5.同意向贵方提供贵方可能另外要求的与投标有关的任何证据或资料，并保证我方已提供和将要提供的文件是真实的、准确的。</w:t>
      </w:r>
      <w:r>
        <w:rPr>
          <w:highlight w:val="none"/>
        </w:rPr>
      </w:r>
      <w:r/>
    </w:p>
    <w:p>
      <w:pPr>
        <w:pStyle w:val="1049"/>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6.一旦我方中标,我方将根据招标文件的规定，严格履行合同的责任和义务,并保证在招标文件规定的时间内完成项目，交付买方验收、使用。</w:t>
      </w:r>
      <w:r>
        <w:rPr>
          <w:highlight w:val="none"/>
        </w:rPr>
      </w:r>
      <w:r/>
    </w:p>
    <w:p>
      <w:pPr>
        <w:pStyle w:val="1049"/>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7.与本投标有关的正式通讯地址为：</w:t>
      </w:r>
      <w:r>
        <w:rPr>
          <w:highlight w:val="none"/>
        </w:rPr>
      </w:r>
      <w:r/>
    </w:p>
    <w:p>
      <w:pPr>
        <w:pStyle w:val="1049"/>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rPr>
          <w:highlight w:val="none"/>
        </w:rPr>
      </w:r>
      <w:r/>
    </w:p>
    <w:p>
      <w:pPr>
        <w:pStyle w:val="1049"/>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rPr>
          <w:highlight w:val="none"/>
        </w:rPr>
      </w:r>
      <w:r/>
    </w:p>
    <w:p>
      <w:pPr>
        <w:pStyle w:val="1049"/>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rPr>
          <w:highlight w:val="none"/>
        </w:rPr>
      </w:r>
      <w:r/>
    </w:p>
    <w:p>
      <w:pPr>
        <w:pStyle w:val="1049"/>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rPr>
          <w:highlight w:val="none"/>
        </w:rPr>
      </w:r>
      <w:r/>
    </w:p>
    <w:p>
      <w:pPr>
        <w:pStyle w:val="1049"/>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投标人开户行：</w:t>
      </w:r>
      <w:r>
        <w:rPr>
          <w:highlight w:val="none"/>
        </w:rPr>
      </w:r>
      <w:r/>
    </w:p>
    <w:p>
      <w:pPr>
        <w:pStyle w:val="1049"/>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rPr>
          <w:highlight w:val="none"/>
        </w:rPr>
      </w:r>
      <w:r/>
    </w:p>
    <w:p>
      <w:pPr>
        <w:pStyle w:val="1049"/>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rPr>
          <w:highlight w:val="none"/>
        </w:rPr>
      </w:r>
      <w:r/>
    </w:p>
    <w:p>
      <w:pPr>
        <w:pStyle w:val="1049"/>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rPr>
          <w:highlight w:val="none"/>
        </w:rPr>
      </w:r>
      <w:r/>
    </w:p>
    <w:p>
      <w:pPr>
        <w:pStyle w:val="1049"/>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rPr>
          <w:highlight w:val="none"/>
        </w:rPr>
      </w:r>
      <w:r/>
    </w:p>
    <w:p>
      <w:pPr>
        <w:pStyle w:val="1049"/>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rPr>
          <w:highlight w:val="none"/>
        </w:rPr>
      </w:r>
      <w:r/>
    </w:p>
    <w:p>
      <w:pPr>
        <w:pStyle w:val="961"/>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供应商全称（加盖CA电子公章）：</w:t>
      </w:r>
      <w:r>
        <w:rPr>
          <w:highlight w:val="none"/>
        </w:rPr>
      </w:r>
      <w:r/>
    </w:p>
    <w:p>
      <w:pPr>
        <w:pStyle w:val="1049"/>
        <w:jc w:val="center"/>
        <w:spacing w:before="0" w:after="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sz w:val="28"/>
          <w:szCs w:val="28"/>
          <w:highlight w:val="none"/>
        </w:rPr>
        <w:t xml:space="preserve">                            日      期：___年____月____日</w:t>
      </w:r>
      <w:r>
        <w:rPr>
          <w:highlight w:val="none"/>
        </w:rPr>
      </w:r>
      <w:r/>
    </w:p>
    <w:p>
      <w:pPr>
        <w:pStyle w:val="961"/>
        <w:ind w:firstLine="560"/>
        <w:spacing w:line="400" w:lineRule="exact"/>
        <w:rPr>
          <w:rFonts w:ascii="宋体" w:hAnsi="宋体"/>
          <w:sz w:val="28"/>
          <w:szCs w:val="28"/>
          <w:highlight w:val="none"/>
        </w:rPr>
      </w:pPr>
      <w:r>
        <w:rPr>
          <w:rFonts w:ascii="宋体" w:hAnsi="宋体"/>
          <w:sz w:val="28"/>
          <w:szCs w:val="28"/>
          <w:highlight w:val="none"/>
        </w:rPr>
      </w:r>
      <w:r>
        <w:rPr>
          <w:highlight w:val="none"/>
        </w:rPr>
      </w:r>
      <w:r/>
    </w:p>
    <w:p>
      <w:pPr>
        <w:pStyle w:val="961"/>
        <w:ind w:firstLine="560"/>
        <w:spacing w:line="400" w:lineRule="exact"/>
        <w:rPr>
          <w:rFonts w:ascii="宋体" w:hAnsi="宋体"/>
          <w:sz w:val="28"/>
          <w:szCs w:val="28"/>
          <w:highlight w:val="none"/>
        </w:rPr>
      </w:pPr>
      <w:r>
        <w:rPr>
          <w:rFonts w:ascii="宋体" w:hAnsi="宋体"/>
          <w:sz w:val="28"/>
          <w:szCs w:val="28"/>
          <w:highlight w:val="none"/>
        </w:rPr>
      </w:r>
      <w:r>
        <w:rPr>
          <w:highlight w:val="none"/>
        </w:rPr>
      </w:r>
      <w:r/>
    </w:p>
    <w:p>
      <w:pPr>
        <w:pStyle w:val="961"/>
        <w:ind w:firstLine="560"/>
        <w:spacing w:line="400" w:lineRule="exact"/>
        <w:rPr>
          <w:rFonts w:ascii="宋体" w:hAnsi="宋体"/>
          <w:sz w:val="28"/>
          <w:szCs w:val="28"/>
          <w:highlight w:val="none"/>
        </w:rPr>
      </w:pPr>
      <w:r>
        <w:rPr>
          <w:rFonts w:ascii="宋体" w:hAnsi="宋体"/>
          <w:sz w:val="28"/>
          <w:szCs w:val="28"/>
          <w:highlight w:val="none"/>
        </w:rPr>
      </w:r>
      <w:r>
        <w:rPr>
          <w:highlight w:val="none"/>
        </w:rPr>
      </w:r>
      <w:r/>
    </w:p>
    <w:p>
      <w:pPr>
        <w:pStyle w:val="961"/>
        <w:ind w:firstLine="560"/>
        <w:spacing w:line="400" w:lineRule="exact"/>
        <w:rPr>
          <w:rFonts w:ascii="宋体" w:hAnsi="宋体"/>
          <w:sz w:val="28"/>
          <w:szCs w:val="28"/>
          <w:highlight w:val="none"/>
        </w:rPr>
      </w:pPr>
      <w:r>
        <w:rPr>
          <w:rFonts w:ascii="宋体" w:hAnsi="宋体"/>
          <w:sz w:val="28"/>
          <w:szCs w:val="28"/>
          <w:highlight w:val="none"/>
        </w:rPr>
      </w:r>
      <w:r>
        <w:rPr>
          <w:highlight w:val="none"/>
        </w:rPr>
      </w:r>
      <w:r/>
    </w:p>
    <w:p>
      <w:pPr>
        <w:pStyle w:val="961"/>
        <w:ind w:firstLine="560"/>
        <w:spacing w:line="400" w:lineRule="exact"/>
        <w:rPr>
          <w:rFonts w:ascii="宋体" w:hAnsi="宋体"/>
          <w:sz w:val="28"/>
          <w:szCs w:val="28"/>
          <w:highlight w:val="none"/>
        </w:rPr>
      </w:pPr>
      <w:r>
        <w:rPr>
          <w:rFonts w:ascii="宋体" w:hAnsi="宋体"/>
          <w:sz w:val="28"/>
          <w:szCs w:val="28"/>
          <w:highlight w:val="none"/>
        </w:rPr>
      </w:r>
      <w:r>
        <w:rPr>
          <w:highlight w:val="none"/>
        </w:rPr>
      </w:r>
      <w:r/>
    </w:p>
    <w:p>
      <w:pPr>
        <w:pStyle w:val="961"/>
        <w:jc w:val="center"/>
        <w:spacing w:line="400" w:lineRule="exact"/>
        <w:rPr>
          <w:rFonts w:hint="eastAsia" w:ascii="方正黑体_GBK" w:hAnsi="方正黑体_GBK" w:eastAsia="方正黑体_GBK" w:cs="方正黑体_GBK"/>
          <w:bCs/>
          <w:sz w:val="28"/>
          <w:szCs w:val="28"/>
          <w:highlight w:val="none"/>
        </w:rPr>
      </w:pPr>
      <w:r>
        <w:rPr>
          <w:highlight w:val="none"/>
        </w:rPr>
      </w:r>
      <w:bookmarkEnd w:id="70"/>
      <w:r>
        <w:rPr>
          <w:highlight w:val="none"/>
        </w:rPr>
      </w:r>
      <w:bookmarkEnd w:id="71"/>
      <w:r>
        <w:rPr>
          <w:highlight w:val="none"/>
        </w:rPr>
      </w:r>
      <w:bookmarkEnd w:id="72"/>
      <w:r>
        <w:rPr>
          <w:highlight w:val="none"/>
        </w:rPr>
      </w:r>
      <w:bookmarkStart w:id="73" w:name="_Toc120614284"/>
      <w:r>
        <w:rPr>
          <w:rFonts w:hint="eastAsia"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附件9 中小微企业声明函（服务类项目）（采购包号：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（单位名称）采购编号为</w:t>
      </w:r>
      <w:r>
        <w:rPr>
          <w:rFonts w:hint="eastAsia" w:eastAsia="方正黑体_GBK"/>
          <w:bCs/>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项目（项目名称）（采购包号：XX）的采购活动，服务全部由符合政策的中小微企业承接。相关企业（含联合体中的中小微企业、签订采购包意向协议的中小微企业）的具体情况如下：</w:t>
      </w:r>
      <w:r>
        <w:rPr>
          <w:highlight w:val="none"/>
        </w:rPr>
      </w:r>
      <w:r/>
    </w:p>
    <w:p>
      <w:pPr>
        <w:pStyle w:val="961"/>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eastAsia="方正仿宋_GBK"/>
          <w:color w:val="000000"/>
          <w:sz w:val="28"/>
          <w:szCs w:val="28"/>
          <w:highlight w:val="none"/>
          <w:u w:val="single"/>
        </w:rPr>
        <w:t xml:space="preserve">XX</w:t>
      </w:r>
      <w:r>
        <w:rPr>
          <w:rFonts w:hint="eastAsia" w:eastAsia="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highlight w:val="none"/>
        </w:rPr>
      </w:r>
      <w:r/>
    </w:p>
    <w:p>
      <w:pPr>
        <w:pStyle w:val="961"/>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rPr>
          <w:highlight w:val="none"/>
        </w:rPr>
      </w:r>
      <w:r/>
    </w:p>
    <w:p>
      <w:pPr>
        <w:pStyle w:val="961"/>
        <w:ind w:right="720"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p>
      <w:pPr>
        <w:pStyle w:val="961"/>
        <w:ind w:right="180" w:firstLine="56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企业名称（加盖CA电子公章）：</w:t>
      </w:r>
      <w:r>
        <w:rPr>
          <w:highlight w:val="none"/>
        </w:rPr>
      </w:r>
      <w:r/>
    </w:p>
    <w:p>
      <w:pPr>
        <w:pStyle w:val="961"/>
        <w:ind w:right="180" w:firstLine="56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日     期：___年___月___日 </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r/>
    </w:p>
    <w:p>
      <w:pPr>
        <w:pStyle w:val="961"/>
        <w:ind w:firstLine="560"/>
        <w:spacing w:line="400" w:lineRule="exact"/>
        <w:rPr>
          <w:rFonts w:hint="eastAsia" w:ascii="宋体" w:hAnsi="宋体"/>
          <w:color w:val="ff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highlight w:val="none"/>
        </w:rPr>
        <w:br w:type="page" w:clear="all"/>
      </w:r>
      <w:r>
        <w:rPr>
          <w:rFonts w:hint="eastAsia" w:ascii="方正黑体_GBK" w:hAnsi="方正黑体_GBK" w:eastAsia="方正黑体_GBK" w:cs="方正黑体_GBK"/>
          <w:bCs/>
          <w:sz w:val="28"/>
          <w:szCs w:val="28"/>
          <w:highlight w:val="none"/>
        </w:rPr>
        <w:t xml:space="preserve">附件10 残疾人福利性单位声明函（服务类项目）（采购包号：</w:t>
      </w:r>
      <w:r>
        <w:rPr>
          <w:rFonts w:hint="eastAsia"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单位采购编号为</w:t>
      </w:r>
      <w:r>
        <w:rPr>
          <w:rFonts w:hint="eastAsia" w:eastAsia="方正黑体_GBK"/>
          <w:bCs/>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u w:val="single"/>
        </w:rPr>
        <w:t xml:space="preserve">    </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黑体_GBK"/>
          <w:bCs/>
          <w:sz w:val="28"/>
          <w:szCs w:val="28"/>
          <w:highlight w:val="none"/>
        </w:rPr>
        <w:t xml:space="preserve">XX</w:t>
      </w:r>
      <w:r>
        <w:rPr>
          <w:rFonts w:hint="eastAsia" w:ascii="方正仿宋_GBK" w:hAnsi="方正仿宋_GBK" w:eastAsia="方正仿宋_GBK" w:cs="方正仿宋_GBK"/>
          <w:sz w:val="28"/>
          <w:szCs w:val="28"/>
          <w:highlight w:val="none"/>
        </w:rPr>
        <w:t xml:space="preserve">）采购活动由本单位提供服务。</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2.非专门面向中小微型企业采购的项目，供应商如不提供此声明函，价格将不做相应扣除。</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rPr>
          <w:highlight w:val="none"/>
        </w:rPr>
      </w:r>
      <w:r/>
    </w:p>
    <w:p>
      <w:pPr>
        <w:pStyle w:val="961"/>
        <w:ind w:firstLine="584"/>
        <w:spacing w:line="400" w:lineRule="exact"/>
        <w:rPr>
          <w:rFonts w:hint="eastAsia" w:ascii="方正仿宋_GBK" w:hAnsi="方正仿宋_GBK" w:eastAsia="方正仿宋_GBK" w:cs="方正仿宋_GBK"/>
          <w:spacing w:val="6"/>
          <w:sz w:val="28"/>
          <w:szCs w:val="28"/>
          <w:highlight w:val="none"/>
        </w:rPr>
      </w:pPr>
      <w:r>
        <w:rPr>
          <w:rFonts w:hint="eastAsia" w:ascii="方正仿宋_GBK" w:hAnsi="方正仿宋_GBK" w:eastAsia="方正仿宋_GBK" w:cs="方正仿宋_GBK"/>
          <w:spacing w:val="6"/>
          <w:sz w:val="28"/>
          <w:szCs w:val="28"/>
          <w:highlight w:val="none"/>
        </w:rPr>
      </w:r>
      <w:r>
        <w:rPr>
          <w:highlight w:val="none"/>
        </w:rPr>
      </w:r>
      <w:r/>
    </w:p>
    <w:p>
      <w:pPr>
        <w:pStyle w:val="961"/>
        <w:ind w:right="1559" w:firstLine="584"/>
        <w:jc w:val="center"/>
        <w:spacing w:line="400" w:lineRule="exact"/>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z w:val="28"/>
          <w:szCs w:val="28"/>
          <w:highlight w:val="none"/>
        </w:rPr>
        <w:t xml:space="preserve">供应商全称（加盖CA电子公章）：</w:t>
      </w:r>
      <w:r>
        <w:rPr>
          <w:highlight w:val="none"/>
        </w:rPr>
      </w:r>
      <w:r/>
    </w:p>
    <w:p>
      <w:pPr>
        <w:pStyle w:val="961"/>
        <w:ind w:right="1559" w:firstLine="560"/>
        <w:jc w:val="center"/>
        <w:spacing w:line="400" w:lineRule="exact"/>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shd w:val="clear" w:color="auto" w:fill="ffffff"/>
        </w:rPr>
        <w:t xml:space="preserve">日     期：___年____月____日   </w:t>
      </w:r>
      <w:r>
        <w:rPr>
          <w:highlight w:val="none"/>
        </w:rPr>
      </w:r>
      <w:r/>
    </w:p>
    <w:p>
      <w:pPr>
        <w:pStyle w:val="961"/>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rPr>
          <w:highlight w:val="none"/>
        </w:rPr>
      </w:r>
      <w:r/>
    </w:p>
    <w:p>
      <w:pPr>
        <w:pStyle w:val="961"/>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rPr>
          <w:highlight w:val="none"/>
        </w:rPr>
      </w:r>
      <w:r/>
    </w:p>
    <w:p>
      <w:pPr>
        <w:pStyle w:val="961"/>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rPr>
          <w:highlight w:val="none"/>
        </w:rPr>
      </w:r>
      <w:r/>
    </w:p>
    <w:p>
      <w:pPr>
        <w:pStyle w:val="961"/>
        <w:spacing w:line="400" w:lineRule="exact"/>
        <w:rPr>
          <w:rFonts w:hint="eastAsia" w:ascii="宋体" w:hAnsi="宋体"/>
          <w:sz w:val="28"/>
          <w:szCs w:val="28"/>
          <w:highlight w:val="none"/>
        </w:rPr>
      </w:pPr>
      <w:r>
        <w:rPr>
          <w:rFonts w:hint="eastAsia" w:ascii="宋体" w:hAnsi="宋体"/>
          <w:sz w:val="28"/>
          <w:szCs w:val="28"/>
          <w:highlight w:val="none"/>
        </w:rPr>
      </w:r>
      <w:r>
        <w:rPr>
          <w:highlight w:val="none"/>
        </w:rPr>
      </w:r>
      <w:r/>
    </w:p>
    <w:p>
      <w:pPr>
        <w:pStyle w:val="961"/>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附件11实质性要求响应及偏离表（采购包号：XX）</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highlight w:val="none"/>
              </w:rPr>
            </w:r>
            <w:r/>
          </w:p>
        </w:tc>
        <w:tc>
          <w:tcPr>
            <w:tcW w:w="3609"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highlight w:val="none"/>
              </w:rPr>
            </w:r>
            <w:r/>
          </w:p>
        </w:tc>
        <w:tc>
          <w:tcPr>
            <w:tcW w:w="3317"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highlight w:val="none"/>
              </w:rPr>
            </w:r>
            <w:r/>
          </w:p>
        </w:tc>
        <w:tc>
          <w:tcPr>
            <w:tcW w:w="1526" w:type="dxa"/>
            <w:vAlign w:val="center"/>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highlight w:val="none"/>
              </w:rPr>
            </w:r>
            <w:r/>
          </w:p>
        </w:tc>
      </w:tr>
      <w:tr>
        <w:trPr>
          <w:cantSplit/>
          <w:trHeight w:val="640"/>
        </w:trPr>
        <w:tc>
          <w:tcPr>
            <w:tcW w:w="545"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highlight w:val="none"/>
              </w:rPr>
            </w:r>
            <w:r/>
          </w:p>
        </w:tc>
        <w:tc>
          <w:tcPr>
            <w:tcW w:w="3609"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3317"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526"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cantSplit/>
          <w:trHeight w:val="640"/>
        </w:trPr>
        <w:tc>
          <w:tcPr>
            <w:tcW w:w="545"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highlight w:val="none"/>
              </w:rPr>
            </w:r>
            <w:r/>
          </w:p>
        </w:tc>
        <w:tc>
          <w:tcPr>
            <w:tcW w:w="3609"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3317"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526"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r>
        <w:trPr>
          <w:cantSplit/>
          <w:trHeight w:val="640"/>
        </w:trPr>
        <w:tc>
          <w:tcPr>
            <w:tcW w:w="545"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3609"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tc>
        <w:tc>
          <w:tcPr>
            <w:tcW w:w="3317"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c>
          <w:tcPr>
            <w:tcW w:w="1526" w:type="dxa"/>
            <w:vAlign w:val="top"/>
            <w:textDirection w:val="lrTb"/>
            <w:noWrap w:val="false"/>
          </w:tcPr>
          <w:p>
            <w:pPr>
              <w:pStyle w:val="961"/>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tc>
      </w:tr>
    </w:tbl>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rPr>
          <w:highlight w:val="none"/>
        </w:rPr>
      </w:r>
      <w:r/>
    </w:p>
    <w:p>
      <w:pPr>
        <w:pStyle w:val="961"/>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sz w:val="28"/>
          <w:szCs w:val="28"/>
          <w:highlight w:val="none"/>
        </w:rPr>
        <w:t xml:space="preserve">逐条做出明确响应，否则作无效投标处理。</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2.如果招标文件要求提供证明材料，投标人必须将证明材料列于该表之下。</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3.投标人未对实质性要求逐条作出明确响应的，或未按招标文件要求提供证明材料的，该采购包作无效投标处理。</w:t>
      </w:r>
      <w:r>
        <w:rPr>
          <w:highlight w:val="none"/>
        </w:rPr>
      </w:r>
      <w:r/>
    </w:p>
    <w:p>
      <w:pPr>
        <w:pStyle w:val="961"/>
        <w:spacing w:line="400" w:lineRule="exact"/>
        <w:rPr>
          <w:rFonts w:hint="eastAsia" w:ascii="宋体" w:hAnsi="宋体"/>
          <w:color w:val="ff0000"/>
          <w:sz w:val="28"/>
          <w:szCs w:val="28"/>
          <w:highlight w:val="none"/>
        </w:rPr>
      </w:pPr>
      <w:r>
        <w:rPr>
          <w:rFonts w:hint="eastAsia" w:ascii="宋体" w:hAnsi="宋体"/>
          <w:color w:val="ff0000"/>
          <w:sz w:val="28"/>
          <w:szCs w:val="28"/>
          <w:highlight w:val="none"/>
        </w:rPr>
      </w:r>
      <w:r>
        <w:rPr>
          <w:highlight w:val="none"/>
        </w:rPr>
      </w:r>
      <w:r/>
    </w:p>
    <w:p>
      <w:pPr>
        <w:pStyle w:val="961"/>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rPr>
          <w:highlight w:val="none"/>
        </w:rPr>
      </w:r>
      <w:r/>
    </w:p>
    <w:p>
      <w:pPr>
        <w:pStyle w:val="961"/>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rPr>
          <w:highlight w:val="none"/>
        </w:rPr>
      </w:r>
      <w:r/>
    </w:p>
    <w:p>
      <w:pPr>
        <w:pStyle w:val="961"/>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rPr>
          <w:highlight w:val="none"/>
        </w:rPr>
      </w:r>
      <w:r/>
    </w:p>
    <w:p>
      <w:pPr>
        <w:pStyle w:val="961"/>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rPr>
          <w:highlight w:val="none"/>
        </w:rPr>
      </w:r>
      <w:r/>
    </w:p>
    <w:p>
      <w:pPr>
        <w:pStyle w:val="961"/>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rPr>
          <w:highlight w:val="none"/>
        </w:rPr>
      </w:r>
      <w:r/>
    </w:p>
    <w:p>
      <w:pPr>
        <w:pStyle w:val="961"/>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rPr>
          <w:highlight w:val="none"/>
        </w:rPr>
      </w:r>
      <w:r/>
    </w:p>
    <w:p>
      <w:pPr>
        <w:pStyle w:val="961"/>
        <w:jc w:val="center"/>
        <w:spacing w:line="400" w:lineRule="exact"/>
        <w:rPr>
          <w:rFonts w:hint="eastAsia" w:ascii="宋体" w:hAnsi="宋体" w:cs="宋体"/>
          <w:b/>
          <w:sz w:val="28"/>
          <w:szCs w:val="28"/>
          <w:highlight w:val="none"/>
        </w:rPr>
      </w:pPr>
      <w:r>
        <w:rPr>
          <w:rFonts w:hint="eastAsia" w:ascii="宋体" w:hAnsi="宋体" w:cs="宋体"/>
          <w:b/>
          <w:sz w:val="28"/>
          <w:szCs w:val="28"/>
          <w:highlight w:val="none"/>
        </w:rPr>
      </w:r>
      <w:r>
        <w:rPr>
          <w:highlight w:val="none"/>
        </w:rPr>
      </w:r>
      <w:r/>
    </w:p>
    <w:p>
      <w:pPr>
        <w:pStyle w:val="961"/>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附件12  关于符合本国产品标准的声明函（采购包号：XX）</w:t>
      </w:r>
      <w:r>
        <w:rPr>
          <w:highlight w:val="none"/>
        </w:rPr>
      </w:r>
      <w:r/>
    </w:p>
    <w:p>
      <w:pPr>
        <w:pStyle w:val="1023"/>
        <w:ind w:firstLine="560"/>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w:t>
      </w:r>
      <w:r>
        <w:rPr>
          <w:rStyle w:val="1035"/>
          <w:rFonts w:hint="eastAsia" w:ascii="方正仿宋_GBK" w:hAnsi="方正仿宋_GBK" w:eastAsia="方正仿宋_GBK" w:cs="方正仿宋_GBK"/>
          <w:i w:val="0"/>
          <w:sz w:val="28"/>
          <w:szCs w:val="28"/>
          <w:highlight w:val="none"/>
          <w:u w:val="single"/>
          <w:shd w:val="clear" w:color="auto" w:fill="ffffff"/>
        </w:rPr>
        <w:t xml:space="preserve">（产品名称1）</w:t>
      </w:r>
      <w:r>
        <w:rPr>
          <w:rStyle w:val="1035"/>
          <w:rFonts w:hint="eastAsia" w:ascii="方正仿宋_GBK" w:hAnsi="方正仿宋_GBK" w:eastAsia="方正仿宋_GBK" w:cs="方正仿宋_GBK"/>
          <w:i w:val="0"/>
          <w:sz w:val="28"/>
          <w:szCs w:val="28"/>
          <w:highlight w:val="none"/>
          <w:shd w:val="clear" w:color="auto" w:fill="ffffff"/>
          <w:vertAlign w:val="superscript"/>
        </w:rPr>
        <w:t xml:space="preserve">1</w:t>
      </w:r>
      <w:r>
        <w:rPr>
          <w:rFonts w:hint="eastAsia" w:ascii="方正仿宋_GBK" w:hAnsi="方正仿宋_GBK" w:eastAsia="方正仿宋_GBK" w:cs="方正仿宋_GBK"/>
          <w:sz w:val="28"/>
          <w:szCs w:val="28"/>
          <w:highlight w:val="none"/>
          <w:shd w:val="clear" w:color="auto" w:fill="ffffff"/>
        </w:rPr>
        <w:t xml:space="preserve">，生产厂为</w:t>
      </w:r>
      <w:r>
        <w:rPr>
          <w:rStyle w:val="1035"/>
          <w:rFonts w:hint="eastAsia" w:ascii="方正仿宋_GBK" w:hAnsi="方正仿宋_GBK" w:eastAsia="方正仿宋_GBK" w:cs="方正仿宋_GBK"/>
          <w:i w:val="0"/>
          <w:sz w:val="28"/>
          <w:szCs w:val="28"/>
          <w:highlight w:val="none"/>
          <w:u w:val="single"/>
          <w:shd w:val="clear" w:color="auto" w:fill="ffffff"/>
        </w:rPr>
        <w:t xml:space="preserve">（厂名）</w:t>
      </w:r>
      <w:r>
        <w:rPr>
          <w:rStyle w:val="1035"/>
          <w:rFonts w:hint="eastAsia" w:ascii="方正仿宋_GBK" w:hAnsi="方正仿宋_GBK" w:eastAsia="方正仿宋_GBK" w:cs="方正仿宋_GBK"/>
          <w:i w:val="0"/>
          <w:sz w:val="28"/>
          <w:szCs w:val="28"/>
          <w:highlight w:val="none"/>
          <w:shd w:val="clear" w:color="auto" w:fill="ffffff"/>
          <w:vertAlign w:val="superscript"/>
        </w:rPr>
        <w:t xml:space="preserve">2</w:t>
      </w:r>
      <w:r>
        <w:rPr>
          <w:rFonts w:hint="eastAsia" w:ascii="方正仿宋_GBK" w:hAnsi="方正仿宋_GBK" w:eastAsia="方正仿宋_GBK" w:cs="方正仿宋_GBK"/>
          <w:sz w:val="28"/>
          <w:szCs w:val="28"/>
          <w:highlight w:val="none"/>
          <w:shd w:val="clear" w:color="auto" w:fill="ffffff"/>
        </w:rPr>
        <w:t xml:space="preserve">，厂址为</w:t>
      </w:r>
      <w:r>
        <w:rPr>
          <w:rStyle w:val="1035"/>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shd w:val="clear" w:color="auto" w:fill="ffffff"/>
          <w:vertAlign w:val="superscript"/>
        </w:rPr>
        <w:t xml:space="preserve">3</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shd w:val="clear" w:color="auto" w:fill="ffffff"/>
          <w:vertAlign w:val="superscript"/>
        </w:rPr>
        <w:t xml:space="preserve">4</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shd w:val="clear" w:color="auto" w:fill="ffffff"/>
          <w:vertAlign w:val="superscript"/>
        </w:rPr>
        <w:t xml:space="preserve">5</w:t>
      </w:r>
      <w:r>
        <w:rPr>
          <w:rFonts w:hint="eastAsia" w:ascii="方正仿宋_GBK" w:hAnsi="方正仿宋_GBK" w:eastAsia="方正仿宋_GBK" w:cs="方正仿宋_GBK"/>
          <w:sz w:val="28"/>
          <w:szCs w:val="28"/>
          <w:highlight w:val="none"/>
          <w:shd w:val="clear" w:color="auto" w:fill="ffffff"/>
        </w:rPr>
        <w:t xml:space="preserve">在中国境内完成。</w:t>
      </w:r>
      <w:r>
        <w:rPr>
          <w:highlight w:val="none"/>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w:t>
      </w:r>
      <w:r>
        <w:rPr>
          <w:rStyle w:val="1035"/>
          <w:rFonts w:hint="eastAsia" w:ascii="方正仿宋_GBK" w:hAnsi="方正仿宋_GBK" w:eastAsia="方正仿宋_GBK" w:cs="方正仿宋_GBK"/>
          <w:i w:val="0"/>
          <w:sz w:val="28"/>
          <w:szCs w:val="28"/>
          <w:highlight w:val="none"/>
          <w:u w:val="single"/>
          <w:shd w:val="clear" w:color="auto" w:fill="ffffff"/>
        </w:rPr>
        <w:t xml:space="preserve">（产品名称2）</w:t>
      </w:r>
      <w:r>
        <w:rPr>
          <w:rFonts w:hint="eastAsia" w:ascii="方正仿宋_GBK" w:hAnsi="方正仿宋_GBK" w:eastAsia="方正仿宋_GBK" w:cs="方正仿宋_GBK"/>
          <w:sz w:val="28"/>
          <w:szCs w:val="28"/>
          <w:highlight w:val="none"/>
          <w:shd w:val="clear" w:color="auto" w:fill="ffffff"/>
        </w:rPr>
        <w:t xml:space="preserve">，生产厂为</w:t>
      </w:r>
      <w:r>
        <w:rPr>
          <w:rStyle w:val="1035"/>
          <w:rFonts w:hint="eastAsia" w:ascii="方正仿宋_GBK" w:hAnsi="方正仿宋_GBK" w:eastAsia="方正仿宋_GBK" w:cs="方正仿宋_GBK"/>
          <w:i w:val="0"/>
          <w:sz w:val="28"/>
          <w:szCs w:val="28"/>
          <w:highlight w:val="none"/>
          <w:u w:val="single"/>
          <w:shd w:val="clear" w:color="auto" w:fill="ffffff"/>
        </w:rPr>
        <w:t xml:space="preserve">（厂名）</w:t>
      </w:r>
      <w:r>
        <w:rPr>
          <w:rFonts w:hint="eastAsia" w:ascii="方正仿宋_GBK" w:hAnsi="方正仿宋_GBK" w:eastAsia="方正仿宋_GBK" w:cs="方正仿宋_GBK"/>
          <w:sz w:val="28"/>
          <w:szCs w:val="28"/>
          <w:highlight w:val="none"/>
          <w:shd w:val="clear" w:color="auto" w:fill="ffffff"/>
        </w:rPr>
        <w:t xml:space="preserve">，厂址为</w:t>
      </w:r>
      <w:r>
        <w:rPr>
          <w:rStyle w:val="1035"/>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在中国境内完成。</w:t>
      </w:r>
      <w:r>
        <w:rPr>
          <w:highlight w:val="none"/>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w:t>
      </w:r>
      <w:r>
        <w:rPr>
          <w:highlight w:val="none"/>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本公司（单位）对上述声明内容的真实性负责。如有虚假，愿承担相应法律责任。</w:t>
      </w:r>
      <w:r>
        <w:rPr>
          <w:highlight w:val="none"/>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rPr>
          <w:highlight w:val="none"/>
        </w:rPr>
      </w:r>
      <w:r/>
    </w:p>
    <w:p>
      <w:pPr>
        <w:pStyle w:val="1023"/>
        <w:ind w:firstLine="560"/>
        <w:jc w:val="right"/>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公司（单位）名称（加盖CA电子公章）：　        </w:t>
      </w:r>
      <w:r>
        <w:rPr>
          <w:highlight w:val="none"/>
        </w:rPr>
      </w:r>
      <w:r/>
    </w:p>
    <w:p>
      <w:pPr>
        <w:pStyle w:val="1023"/>
        <w:ind w:firstLine="560"/>
        <w:jc w:val="center"/>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日期：</w:t>
      </w:r>
      <w:r>
        <w:rPr>
          <w:rFonts w:hint="eastAsia" w:ascii="方正仿宋_GBK" w:hAnsi="方正仿宋_GBK" w:eastAsia="方正仿宋_GBK" w:cs="方正仿宋_GBK"/>
          <w:sz w:val="28"/>
          <w:szCs w:val="28"/>
          <w:highlight w:val="none"/>
        </w:rPr>
        <w:t xml:space="preserve">___年____月____日</w:t>
      </w:r>
      <w:r>
        <w:rPr>
          <w:rFonts w:hint="eastAsia" w:ascii="方正仿宋_GBK" w:hAnsi="方正仿宋_GBK" w:eastAsia="方正仿宋_GBK" w:cs="方正仿宋_GBK"/>
          <w:sz w:val="28"/>
          <w:szCs w:val="28"/>
          <w:highlight w:val="none"/>
          <w:shd w:val="clear" w:color="auto" w:fill="ffffff"/>
        </w:rPr>
        <w:t xml:space="preserve">        </w:t>
      </w:r>
      <w:r>
        <w:rPr>
          <w:highlight w:val="none"/>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__________________</w:t>
      </w:r>
      <w:r>
        <w:rPr>
          <w:highlight w:val="none"/>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1.产品如有型号，请在“产品名称”栏一并填写。</w:t>
      </w:r>
      <w:r>
        <w:rPr>
          <w:highlight w:val="none"/>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2.生产厂名与厂址应与生产厂营业执照载明的相关信息保持一致。</w:t>
      </w:r>
      <w:r>
        <w:rPr>
          <w:highlight w:val="none"/>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3.该产品的中国境内生产的组件成本占比相关要求实施前，“规定比例”栏可不填，下同。</w:t>
      </w:r>
      <w:r>
        <w:rPr>
          <w:highlight w:val="none"/>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4.该产品的关键组件要求实施前，“关键组件”栏可不填，下同。</w:t>
      </w:r>
      <w:r>
        <w:rPr>
          <w:highlight w:val="none"/>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5.该产品的关键工序要求实施前，“关键工序”栏可不填，下同。</w:t>
      </w:r>
      <w:r>
        <w:rPr>
          <w:highlight w:val="none"/>
        </w:rPr>
      </w:r>
      <w:r/>
    </w:p>
    <w:p>
      <w:pPr>
        <w:pStyle w:val="1023"/>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6.《声明函》中标注“</w:t>
      </w:r>
      <w:r>
        <w:rPr>
          <w:rFonts w:hint="eastAsia" w:ascii="方正仿宋_GBK" w:hAnsi="方正仿宋_GBK" w:eastAsia="方正仿宋_GBK" w:cs="方正仿宋_GBK"/>
          <w:sz w:val="28"/>
          <w:szCs w:val="28"/>
          <w:highlight w:val="none"/>
          <w:u w:val="single"/>
          <w:shd w:val="clear" w:color="auto" w:fill="ffffff"/>
        </w:rPr>
        <w:t xml:space="preserve">  </w:t>
      </w:r>
      <w:r>
        <w:rPr>
          <w:rStyle w:val="103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”的地方无需填写。</w:t>
      </w:r>
      <w:r>
        <w:rPr>
          <w:highlight w:val="none"/>
        </w:rPr>
      </w:r>
      <w:r/>
    </w:p>
    <w:p>
      <w:pPr>
        <w:pStyle w:val="961"/>
        <w:spacing w:line="400" w:lineRule="exact"/>
        <w:rPr>
          <w:rFonts w:hint="eastAsia" w:ascii="方正魏碑_GBK" w:hAnsi="方正魏碑_GBK" w:eastAsia="方正魏碑_GBK" w:cs="方正魏碑_GBK"/>
          <w:bCs/>
          <w:color w:val="ff0000"/>
          <w:sz w:val="28"/>
          <w:szCs w:val="28"/>
          <w:highlight w:val="none"/>
        </w:rPr>
      </w:pPr>
      <w:r>
        <w:rPr>
          <w:rFonts w:hint="eastAsia" w:ascii="方正魏碑_GBK" w:hAnsi="方正魏碑_GBK" w:eastAsia="方正魏碑_GBK" w:cs="方正魏碑_GBK"/>
          <w:bCs/>
          <w:color w:val="ff0000"/>
          <w:sz w:val="28"/>
          <w:szCs w:val="28"/>
          <w:highlight w:val="none"/>
        </w:rPr>
      </w:r>
      <w:r>
        <w:rPr>
          <w:highlight w:val="none"/>
        </w:rPr>
      </w:r>
      <w:r/>
    </w:p>
    <w:p>
      <w:pPr>
        <w:pStyle w:val="961"/>
        <w:spacing w:line="400" w:lineRule="exact"/>
        <w:rPr>
          <w:rFonts w:hint="eastAsia" w:ascii="宋体" w:hAnsi="宋体"/>
          <w:bCs/>
          <w:sz w:val="28"/>
          <w:szCs w:val="28"/>
          <w:highlight w:val="none"/>
        </w:rPr>
      </w:pPr>
      <w:r>
        <w:rPr>
          <w:rFonts w:hint="eastAsia" w:ascii="宋体" w:hAnsi="宋体"/>
          <w:bCs/>
          <w:sz w:val="28"/>
          <w:szCs w:val="28"/>
          <w:highlight w:val="none"/>
        </w:rPr>
      </w:r>
      <w:r>
        <w:rPr>
          <w:highlight w:val="none"/>
        </w:rPr>
      </w:r>
      <w:r/>
    </w:p>
    <w:p>
      <w:pPr>
        <w:pStyle w:val="961"/>
        <w:spacing w:line="400" w:lineRule="exact"/>
        <w:rPr>
          <w:rFonts w:hint="eastAsia" w:ascii="宋体" w:hAnsi="宋体"/>
          <w:bCs/>
          <w:sz w:val="28"/>
          <w:szCs w:val="28"/>
          <w:highlight w:val="none"/>
        </w:rPr>
      </w:pPr>
      <w:r>
        <w:rPr>
          <w:rFonts w:hint="eastAsia" w:ascii="宋体" w:hAnsi="宋体"/>
          <w:bCs/>
          <w:sz w:val="28"/>
          <w:szCs w:val="28"/>
          <w:highlight w:val="none"/>
        </w:rPr>
      </w:r>
      <w:r>
        <w:rPr>
          <w:highlight w:val="none"/>
        </w:rPr>
      </w:r>
      <w:r/>
    </w:p>
    <w:p>
      <w:pPr>
        <w:pStyle w:val="961"/>
        <w:spacing w:line="400" w:lineRule="exact"/>
        <w:rPr>
          <w:rFonts w:hint="eastAsia" w:ascii="宋体" w:hAnsi="宋体"/>
          <w:bCs/>
          <w:sz w:val="28"/>
          <w:szCs w:val="28"/>
          <w:highlight w:val="none"/>
        </w:rPr>
      </w:pPr>
      <w:r>
        <w:rPr>
          <w:rFonts w:hint="eastAsia" w:ascii="宋体" w:hAnsi="宋体"/>
          <w:bCs/>
          <w:sz w:val="28"/>
          <w:szCs w:val="28"/>
          <w:highlight w:val="none"/>
        </w:rPr>
      </w:r>
      <w:r>
        <w:rPr>
          <w:highlight w:val="none"/>
        </w:rPr>
      </w:r>
      <w:r/>
    </w:p>
    <w:p>
      <w:pPr>
        <w:pStyle w:val="961"/>
        <w:spacing w:line="400" w:lineRule="exact"/>
        <w:rPr>
          <w:rFonts w:hint="eastAsia" w:ascii="宋体" w:hAnsi="宋体"/>
          <w:bCs/>
          <w:sz w:val="28"/>
          <w:szCs w:val="28"/>
          <w:highlight w:val="none"/>
        </w:rPr>
      </w:pPr>
      <w:r>
        <w:rPr>
          <w:rFonts w:hint="eastAsia" w:ascii="宋体" w:hAnsi="宋体"/>
          <w:bCs/>
          <w:sz w:val="28"/>
          <w:szCs w:val="28"/>
          <w:highlight w:val="none"/>
        </w:rPr>
      </w:r>
      <w:r>
        <w:rPr>
          <w:highlight w:val="none"/>
        </w:rPr>
      </w:r>
      <w:r/>
    </w:p>
    <w:p>
      <w:pPr>
        <w:pStyle w:val="961"/>
        <w:spacing w:line="400" w:lineRule="exact"/>
        <w:rPr>
          <w:rFonts w:hint="eastAsia"/>
          <w:sz w:val="28"/>
          <w:szCs w:val="28"/>
          <w:highlight w:val="none"/>
        </w:rPr>
      </w:pPr>
      <w:r>
        <w:rPr>
          <w:rFonts w:hint="eastAsia"/>
          <w:sz w:val="28"/>
          <w:szCs w:val="28"/>
          <w:highlight w:val="none"/>
        </w:rPr>
      </w:r>
      <w:r>
        <w:rPr>
          <w:highlight w:val="none"/>
        </w:rPr>
      </w:r>
      <w:r/>
    </w:p>
    <w:p>
      <w:pPr>
        <w:pStyle w:val="961"/>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rPr>
          <w:highlight w:val="none"/>
        </w:rPr>
      </w:r>
      <w:r/>
    </w:p>
    <w:p>
      <w:pPr>
        <w:pStyle w:val="961"/>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rPr>
          <w:highlight w:val="none"/>
        </w:rPr>
      </w:r>
      <w:r/>
    </w:p>
    <w:p>
      <w:pPr>
        <w:pStyle w:val="961"/>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rPr>
          <w:highlight w:val="none"/>
        </w:rPr>
      </w:r>
      <w:r/>
    </w:p>
    <w:p>
      <w:pPr>
        <w:pStyle w:val="961"/>
        <w:ind w:firstLine="560"/>
        <w:jc w:val="center"/>
        <w:spacing w:line="400" w:lineRule="exact"/>
        <w:rPr>
          <w:rFonts w:hint="eastAsia" w:ascii="方正黑体_GBK" w:hAnsi="方正黑体_GBK" w:eastAsia="方正黑体_GBK" w:cs="方正黑体_GBK"/>
          <w:bCs/>
          <w:sz w:val="28"/>
          <w:szCs w:val="28"/>
          <w:highlight w:val="none"/>
        </w:rPr>
      </w:pPr>
      <w:r>
        <w:rPr>
          <w:highlight w:val="none"/>
        </w:rPr>
      </w:r>
      <w:bookmarkEnd w:id="58"/>
      <w:r>
        <w:rPr>
          <w:highlight w:val="none"/>
        </w:rPr>
      </w:r>
      <w:bookmarkEnd w:id="59"/>
      <w:r>
        <w:rPr>
          <w:highlight w:val="none"/>
        </w:rPr>
      </w:r>
      <w:bookmarkEnd w:id="73"/>
      <w:r>
        <w:rPr>
          <w:rFonts w:hint="eastAsia" w:ascii="方正黑体_GBK" w:hAnsi="方正黑体_GBK" w:eastAsia="方正黑体_GBK" w:cs="方正黑体_GBK"/>
          <w:bCs/>
          <w:sz w:val="28"/>
          <w:szCs w:val="28"/>
          <w:highlight w:val="none"/>
        </w:rPr>
        <w:t xml:space="preserve">质疑函范本</w:t>
      </w:r>
      <w:r>
        <w:rPr>
          <w:highlight w:val="none"/>
        </w:rPr>
      </w:r>
      <w:r/>
    </w:p>
    <w:p>
      <w:pPr>
        <w:pStyle w:val="961"/>
        <w:ind w:firstLine="560"/>
        <w:spacing w:before="290"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highlight w:val="none"/>
        </w:rPr>
      </w:r>
      <w:r/>
    </w:p>
    <w:p>
      <w:pPr>
        <w:pStyle w:val="961"/>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rPr>
          <w:highlight w:val="none"/>
        </w:rPr>
      </w:r>
      <w:r/>
    </w:p>
    <w:p>
      <w:pPr>
        <w:pStyle w:val="961"/>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rPr>
          <w:highlight w:val="none"/>
        </w:rPr>
      </w:r>
      <w:r/>
    </w:p>
    <w:p>
      <w:pPr>
        <w:pStyle w:val="961"/>
        <w:ind w:firstLine="562"/>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rPr>
          <w:highlight w:val="none"/>
        </w:rPr>
      </w:r>
      <w:r/>
    </w:p>
    <w:p>
      <w:pPr>
        <w:pStyle w:val="961"/>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rPr>
          <w:highlight w:val="none"/>
        </w:rPr>
      </w:r>
      <w:r/>
    </w:p>
    <w:p>
      <w:pPr>
        <w:pStyle w:val="961"/>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highlight w:val="none"/>
        </w:rPr>
        <w:t xml:space="preserve">供应商签署的授权委托书。授权委托书应载明代理人的姓名或者名称、代理事项、具体权限、期限和相关事项。</w:t>
      </w:r>
      <w:r>
        <w:rPr>
          <w:highlight w:val="none"/>
        </w:rPr>
      </w:r>
      <w:r/>
    </w:p>
    <w:p>
      <w:pPr>
        <w:pStyle w:val="961"/>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rPr>
          <w:highlight w:val="none"/>
        </w:rPr>
      </w:r>
      <w:r/>
    </w:p>
    <w:p>
      <w:pPr>
        <w:pStyle w:val="961"/>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rPr>
          <w:highlight w:val="none"/>
        </w:rPr>
      </w:r>
      <w:r/>
    </w:p>
    <w:p>
      <w:pPr>
        <w:pStyle w:val="961"/>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rPr>
          <w:highlight w:val="none"/>
        </w:rPr>
      </w:r>
      <w:r/>
    </w:p>
    <w:p>
      <w:pPr>
        <w:pStyle w:val="961"/>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pStyle w:val="975"/>
        <w:spacing w:line="400" w:lineRule="exact"/>
        <w:rPr>
          <w:rFonts w:hint="eastAsia"/>
          <w:sz w:val="28"/>
          <w:szCs w:val="28"/>
          <w:highlight w:val="none"/>
        </w:rPr>
      </w:pPr>
      <w:r>
        <w:rPr>
          <w:rFonts w:hint="eastAsia"/>
          <w:sz w:val="28"/>
          <w:szCs w:val="28"/>
          <w:highlight w:val="none"/>
        </w:rPr>
      </w:r>
      <w:r>
        <w:rPr>
          <w:highlight w:val="none"/>
        </w:rPr>
      </w:r>
      <w:r/>
    </w:p>
    <w:p>
      <w:pPr>
        <w:pStyle w:val="975"/>
        <w:rPr>
          <w:sz w:val="24"/>
          <w:szCs w:val="24"/>
          <w:highlight w:val="none"/>
        </w:rPr>
      </w:pPr>
      <w:r>
        <w:rPr>
          <w:sz w:val="24"/>
          <w:szCs w:val="24"/>
          <w:highlight w:val="none"/>
        </w:rPr>
      </w:r>
      <w:r>
        <w:rPr>
          <w:highlight w:val="none"/>
        </w:rPr>
      </w:r>
      <w:r/>
    </w:p>
    <w:sectPr>
      <w:footerReference w:type="defaul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方正楷体_GBK">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rPr>
        <w:rStyle w:val="1033"/>
      </w:rPr>
      <w:framePr w:wrap="around" w:vAnchor="text" w:hAnchor="margin" w:xAlign="center" w:y="1"/>
    </w:pPr>
    <w:r>
      <w:fldChar w:fldCharType="begin"/>
    </w:r>
    <w:r>
      <w:rPr>
        <w:rStyle w:val="1033"/>
      </w:rPr>
      <w:instrText xml:space="preserve">PAGE  </w:instrText>
    </w:r>
    <w:r>
      <w:fldChar w:fldCharType="separate"/>
    </w:r>
    <w:r>
      <w:rPr>
        <w:rStyle w:val="1033"/>
      </w:rPr>
      <w:t xml:space="preserve">1</w:t>
    </w:r>
    <w:r>
      <w:fldChar w:fldCharType="end"/>
    </w:r>
    <w:r>
      <w:rPr>
        <w:rStyle w:val="1033"/>
      </w:rPr>
    </w:r>
    <w:r/>
  </w:p>
  <w:p>
    <w:pPr>
      <w:pStyle w:val="100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61"/>
                    </w:pPr>
                    <w:r/>
                    <w:r/>
                  </w:p>
                </w:txbxContent>
              </v:textbox>
            </v:shape>
          </w:pict>
        </mc:Fallback>
      </mc:AlternateContent>
    </w:r>
    <w:r/>
  </w:p>
  <w:p>
    <w:pPr>
      <w:pStyle w:val="100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1"/>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1"/>
      <w:isLgl w:val="false"/>
      <w:suff w:val="tab"/>
      <w:lvlText w:val="附录%1."/>
      <w:lvlJc w:val="left"/>
      <w:pPr>
        <w:pStyle w:val="96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8"/>
      <w:isLgl w:val="false"/>
      <w:suff w:val="tab"/>
      <w:lvlText w:val="%1."/>
      <w:lvlJc w:val="left"/>
      <w:pPr>
        <w:pStyle w:val="961"/>
        <w:ind w:left="709" w:hanging="709"/>
        <w:tabs>
          <w:tab w:val="num" w:pos="709" w:leader="none"/>
        </w:tabs>
      </w:pPr>
      <w:rPr>
        <w:rFonts w:hint="eastAsia"/>
      </w:rPr>
    </w:lvl>
    <w:lvl w:ilvl="1">
      <w:start w:val="1"/>
      <w:numFmt w:val="decimal"/>
      <w:isLgl w:val="false"/>
      <w:suff w:val="tab"/>
      <w:lvlText w:val="%1.%2"/>
      <w:lvlJc w:val="left"/>
      <w:pPr>
        <w:pStyle w:val="961"/>
        <w:ind w:left="709" w:hanging="709"/>
        <w:tabs>
          <w:tab w:val="num" w:pos="709" w:leader="none"/>
        </w:tabs>
      </w:pPr>
      <w:rPr>
        <w:rFonts w:hint="eastAsia"/>
      </w:rPr>
    </w:lvl>
    <w:lvl w:ilvl="2">
      <w:start w:val="1"/>
      <w:numFmt w:val="decimal"/>
      <w:isLgl w:val="false"/>
      <w:suff w:val="tab"/>
      <w:lvlText w:val="%1.%2.%3."/>
      <w:lvlJc w:val="left"/>
      <w:pPr>
        <w:pStyle w:val="961"/>
        <w:ind w:left="425" w:hanging="425"/>
        <w:tabs>
          <w:tab w:val="num" w:pos="425" w:leader="none"/>
        </w:tabs>
      </w:pPr>
      <w:rPr>
        <w:rFonts w:hint="eastAsia"/>
      </w:rPr>
    </w:lvl>
    <w:lvl w:ilvl="3">
      <w:start w:val="1"/>
      <w:numFmt w:val="decimal"/>
      <w:isLgl w:val="false"/>
      <w:suff w:val="tab"/>
      <w:lvlText w:val="%1.%2.%3.%4."/>
      <w:lvlJc w:val="left"/>
      <w:pPr>
        <w:pStyle w:val="961"/>
        <w:ind w:left="851" w:hanging="851"/>
        <w:tabs>
          <w:tab w:val="num" w:pos="851" w:leader="none"/>
        </w:tabs>
      </w:pPr>
      <w:rPr>
        <w:rFonts w:hint="eastAsia"/>
      </w:rPr>
    </w:lvl>
    <w:lvl w:ilvl="4">
      <w:start w:val="1"/>
      <w:numFmt w:val="decimal"/>
      <w:isLgl w:val="false"/>
      <w:suff w:val="tab"/>
      <w:lvlText w:val="%1.%2.%3.%4.%5."/>
      <w:lvlJc w:val="left"/>
      <w:pPr>
        <w:pStyle w:val="961"/>
        <w:ind w:left="992" w:hanging="992"/>
        <w:tabs>
          <w:tab w:val="num" w:pos="992" w:leader="none"/>
        </w:tabs>
      </w:pPr>
      <w:rPr>
        <w:rFonts w:hint="eastAsia"/>
      </w:rPr>
    </w:lvl>
    <w:lvl w:ilvl="5">
      <w:start w:val="1"/>
      <w:numFmt w:val="decimal"/>
      <w:isLgl w:val="false"/>
      <w:suff w:val="tab"/>
      <w:lvlText w:val="%1.%2.%3.%4.%5.%6."/>
      <w:lvlJc w:val="left"/>
      <w:pPr>
        <w:pStyle w:val="961"/>
        <w:ind w:left="1134" w:hanging="1134"/>
        <w:tabs>
          <w:tab w:val="num" w:pos="1134" w:leader="none"/>
        </w:tabs>
      </w:pPr>
      <w:rPr>
        <w:rFonts w:hint="eastAsia"/>
      </w:rPr>
    </w:lvl>
    <w:lvl w:ilvl="6">
      <w:start w:val="1"/>
      <w:numFmt w:val="decimal"/>
      <w:isLgl w:val="false"/>
      <w:suff w:val="tab"/>
      <w:lvlText w:val="%1.%2.%3.%4.%5.%6.%7."/>
      <w:lvlJc w:val="left"/>
      <w:pPr>
        <w:pStyle w:val="961"/>
        <w:ind w:left="1276" w:hanging="1276"/>
        <w:tabs>
          <w:tab w:val="num" w:pos="1276" w:leader="none"/>
        </w:tabs>
      </w:pPr>
      <w:rPr>
        <w:rFonts w:hint="eastAsia"/>
      </w:rPr>
    </w:lvl>
    <w:lvl w:ilvl="7">
      <w:start w:val="1"/>
      <w:numFmt w:val="decimal"/>
      <w:isLgl w:val="false"/>
      <w:suff w:val="tab"/>
      <w:lvlText w:val="%1.%2.%3.%4.%5.%6.%7.%8."/>
      <w:lvlJc w:val="left"/>
      <w:pPr>
        <w:pStyle w:val="961"/>
        <w:ind w:left="1418" w:hanging="1418"/>
        <w:tabs>
          <w:tab w:val="num" w:pos="1418" w:leader="none"/>
        </w:tabs>
      </w:pPr>
      <w:rPr>
        <w:rFonts w:hint="eastAsia"/>
      </w:rPr>
    </w:lvl>
    <w:lvl w:ilvl="8">
      <w:start w:val="1"/>
      <w:numFmt w:val="decimal"/>
      <w:isLgl w:val="false"/>
      <w:suff w:val="tab"/>
      <w:lvlText w:val="%1.%2.%3.%4.%5.%6.%7.%8.%9."/>
      <w:lvlJc w:val="left"/>
      <w:pPr>
        <w:pStyle w:val="961"/>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61"/>
        <w:ind w:left="0" w:firstLine="0"/>
      </w:pPr>
      <w:rPr>
        <w:rFonts w:hint="eastAsia"/>
      </w:rPr>
    </w:lvl>
    <w:lvl w:ilvl="1">
      <w:start w:val="1"/>
      <w:numFmt w:val="decimal"/>
      <w:isLgl w:val="false"/>
      <w:suff w:val="nothing"/>
      <w:lvlText w:val="%2、"/>
      <w:lvlJc w:val="left"/>
      <w:pPr>
        <w:pStyle w:val="961"/>
        <w:ind w:left="0" w:firstLine="0"/>
      </w:pPr>
      <w:rPr>
        <w:rFonts w:hint="eastAsia"/>
      </w:rPr>
    </w:lvl>
    <w:lvl w:ilvl="2">
      <w:start w:val="1"/>
      <w:numFmt w:val="decimal"/>
      <w:isLgl w:val="false"/>
      <w:suff w:val="nothing"/>
      <w:lvlText w:val="%2.%3 "/>
      <w:lvlJc w:val="left"/>
      <w:pPr>
        <w:pStyle w:val="961"/>
        <w:ind w:left="0" w:firstLine="0"/>
      </w:pPr>
      <w:rPr>
        <w:rFonts w:hint="eastAsia"/>
      </w:rPr>
    </w:lvl>
    <w:lvl w:ilvl="3">
      <w:start w:val="1"/>
      <w:numFmt w:val="decimal"/>
      <w:isLgl w:val="false"/>
      <w:suff w:val="nothing"/>
      <w:lvlText w:val="%2.%3.%4 "/>
      <w:lvlJc w:val="left"/>
      <w:pPr>
        <w:pStyle w:val="961"/>
        <w:ind w:left="0" w:firstLine="0"/>
      </w:pPr>
      <w:rPr>
        <w:rFonts w:hint="eastAsia"/>
      </w:rPr>
    </w:lvl>
    <w:lvl w:ilvl="4">
      <w:start w:val="1"/>
      <w:numFmt w:val="decimal"/>
      <w:isLgl w:val="false"/>
      <w:suff w:val="nothing"/>
      <w:lvlText w:val="%2.%3.%4.%5 "/>
      <w:lvlJc w:val="left"/>
      <w:pPr>
        <w:pStyle w:val="961"/>
        <w:ind w:left="0" w:firstLine="0"/>
      </w:pPr>
      <w:rPr>
        <w:rFonts w:hint="eastAsia"/>
      </w:rPr>
    </w:lvl>
    <w:lvl w:ilvl="5">
      <w:start w:val="1"/>
      <w:numFmt w:val="decimal"/>
      <w:pStyle w:val="967"/>
      <w:isLgl w:val="false"/>
      <w:suff w:val="nothing"/>
      <w:lvlText w:val=""/>
      <w:lvlJc w:val="left"/>
      <w:pPr>
        <w:pStyle w:val="961"/>
        <w:ind w:left="0" w:firstLine="0"/>
      </w:pPr>
      <w:rPr>
        <w:rFonts w:hint="eastAsia"/>
      </w:rPr>
    </w:lvl>
    <w:lvl w:ilvl="6">
      <w:start w:val="1"/>
      <w:numFmt w:val="decimal"/>
      <w:pStyle w:val="968"/>
      <w:isLgl w:val="false"/>
      <w:suff w:val="nothing"/>
      <w:lvlText w:val=""/>
      <w:lvlJc w:val="left"/>
      <w:pPr>
        <w:pStyle w:val="961"/>
        <w:ind w:left="0" w:firstLine="0"/>
      </w:pPr>
      <w:rPr>
        <w:rFonts w:hint="eastAsia"/>
      </w:rPr>
    </w:lvl>
    <w:lvl w:ilvl="7">
      <w:start w:val="1"/>
      <w:numFmt w:val="decimal"/>
      <w:pStyle w:val="969"/>
      <w:isLgl w:val="false"/>
      <w:suff w:val="nothing"/>
      <w:lvlText w:val=""/>
      <w:lvlJc w:val="left"/>
      <w:pPr>
        <w:pStyle w:val="961"/>
        <w:ind w:left="0" w:firstLine="0"/>
      </w:pPr>
      <w:rPr>
        <w:rFonts w:hint="eastAsia"/>
      </w:rPr>
    </w:lvl>
    <w:lvl w:ilvl="8">
      <w:start w:val="1"/>
      <w:numFmt w:val="decimal"/>
      <w:pStyle w:val="970"/>
      <w:isLgl w:val="false"/>
      <w:suff w:val="nothing"/>
      <w:lvlText w:val=""/>
      <w:lvlJc w:val="left"/>
      <w:pPr>
        <w:pStyle w:val="961"/>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1"/>
    <w:next w:val="961"/>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1"/>
    <w:next w:val="961"/>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1"/>
    <w:next w:val="961"/>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1"/>
    <w:next w:val="961"/>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1"/>
    <w:next w:val="961"/>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1"/>
    <w:next w:val="961"/>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1"/>
    <w:next w:val="961"/>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1"/>
    <w:next w:val="961"/>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1"/>
    <w:next w:val="961"/>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List Paragraph"/>
    <w:basedOn w:val="961"/>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961"/>
    <w:next w:val="961"/>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961"/>
    <w:next w:val="961"/>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961"/>
    <w:next w:val="961"/>
    <w:link w:val="808"/>
    <w:uiPriority w:val="29"/>
    <w:qFormat/>
    <w:pPr>
      <w:ind w:left="720" w:right="720"/>
    </w:pPr>
    <w:rPr>
      <w:i/>
    </w:rPr>
  </w:style>
  <w:style w:type="character" w:styleId="808">
    <w:name w:val="Quote Char"/>
    <w:link w:val="807"/>
    <w:uiPriority w:val="29"/>
    <w:rPr>
      <w:i/>
    </w:rPr>
  </w:style>
  <w:style w:type="paragraph" w:styleId="809">
    <w:name w:val="Intense Quote"/>
    <w:basedOn w:val="961"/>
    <w:next w:val="9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61"/>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961"/>
    <w:link w:val="816"/>
    <w:uiPriority w:val="99"/>
    <w:unhideWhenUsed/>
    <w:pPr>
      <w:spacing w:after="0" w:line="240" w:lineRule="auto"/>
      <w:tabs>
        <w:tab w:val="center" w:pos="7143" w:leader="none"/>
        <w:tab w:val="right" w:pos="14287" w:leader="none"/>
      </w:tabs>
    </w:pPr>
  </w:style>
  <w:style w:type="character" w:styleId="814">
    <w:name w:val="Footer Char"/>
    <w:link w:val="813"/>
    <w:uiPriority w:val="99"/>
  </w:style>
  <w:style w:type="paragraph" w:styleId="815">
    <w:name w:val="Caption"/>
    <w:basedOn w:val="961"/>
    <w:next w:val="961"/>
    <w:uiPriority w:val="35"/>
    <w:semiHidden/>
    <w:unhideWhenUsed/>
    <w:qFormat/>
    <w:pPr>
      <w:spacing w:line="276" w:lineRule="auto"/>
    </w:pPr>
    <w:rPr>
      <w:b/>
      <w:bCs/>
      <w:color w:val="4f81bd" w:themeColor="accent1"/>
      <w:sz w:val="18"/>
      <w:szCs w:val="18"/>
    </w:rPr>
  </w:style>
  <w:style w:type="character" w:styleId="816">
    <w:name w:val="Caption Char"/>
    <w:basedOn w:val="815"/>
    <w:link w:val="813"/>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1"/>
    <w:next w:val="961"/>
    <w:uiPriority w:val="39"/>
    <w:unhideWhenUsed/>
    <w:pPr>
      <w:ind w:left="0" w:right="0" w:firstLine="0"/>
      <w:spacing w:after="57"/>
    </w:p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961"/>
    <w:link w:val="961"/>
    <w:qFormat/>
    <w:pPr>
      <w:jc w:val="both"/>
      <w:widowControl w:val="off"/>
    </w:pPr>
    <w:rPr>
      <w:rFonts w:ascii="Times New Roman" w:hAnsi="Times New Roman"/>
      <w:sz w:val="21"/>
      <w:szCs w:val="21"/>
      <w:lang w:val="en-US" w:eastAsia="zh-CN" w:bidi="ar-SA"/>
    </w:rPr>
  </w:style>
  <w:style w:type="paragraph" w:styleId="962">
    <w:name w:val="标题 1"/>
    <w:basedOn w:val="961"/>
    <w:next w:val="961"/>
    <w:link w:val="973"/>
    <w:qFormat/>
    <w:pPr>
      <w:jc w:val="center"/>
      <w:keepNext/>
      <w:outlineLvl w:val="0"/>
    </w:pPr>
    <w:rPr>
      <w:rFonts w:ascii="楷体_GB2312" w:eastAsia="楷体_GB2312"/>
      <w:sz w:val="28"/>
      <w:szCs w:val="28"/>
    </w:rPr>
  </w:style>
  <w:style w:type="paragraph" w:styleId="963">
    <w:name w:val="标题 2"/>
    <w:basedOn w:val="961"/>
    <w:next w:val="975"/>
    <w:link w:val="974"/>
    <w:qFormat/>
    <w:pPr>
      <w:jc w:val="center"/>
      <w:keepLines/>
      <w:keepNext/>
      <w:spacing w:before="260" w:after="260" w:line="416" w:lineRule="auto"/>
      <w:outlineLvl w:val="1"/>
    </w:pPr>
    <w:rPr>
      <w:rFonts w:ascii="Arial" w:hAnsi="Arial" w:eastAsia="幼圆"/>
      <w:b/>
      <w:bCs/>
      <w:sz w:val="44"/>
      <w:szCs w:val="44"/>
    </w:rPr>
  </w:style>
  <w:style w:type="paragraph" w:styleId="964">
    <w:name w:val="标题 3"/>
    <w:basedOn w:val="961"/>
    <w:next w:val="975"/>
    <w:link w:val="977"/>
    <w:qFormat/>
    <w:pPr>
      <w:keepLines/>
      <w:keepNext/>
      <w:spacing w:before="260" w:after="260" w:line="416" w:lineRule="auto"/>
      <w:outlineLvl w:val="2"/>
    </w:pPr>
    <w:rPr>
      <w:b/>
      <w:bCs/>
      <w:sz w:val="32"/>
      <w:szCs w:val="32"/>
    </w:rPr>
  </w:style>
  <w:style w:type="paragraph" w:styleId="965">
    <w:name w:val="标题 4"/>
    <w:basedOn w:val="961"/>
    <w:next w:val="975"/>
    <w:link w:val="978"/>
    <w:qFormat/>
    <w:pPr>
      <w:keepLines/>
      <w:keepNext/>
      <w:spacing w:before="280" w:after="290" w:line="376" w:lineRule="auto"/>
      <w:outlineLvl w:val="3"/>
    </w:pPr>
    <w:rPr>
      <w:rFonts w:ascii="Arial" w:hAnsi="Arial" w:eastAsia="黑体"/>
      <w:b/>
      <w:bCs/>
      <w:sz w:val="28"/>
      <w:szCs w:val="28"/>
    </w:rPr>
  </w:style>
  <w:style w:type="paragraph" w:styleId="966">
    <w:name w:val="标题 5"/>
    <w:basedOn w:val="961"/>
    <w:next w:val="975"/>
    <w:link w:val="979"/>
    <w:qFormat/>
    <w:pPr>
      <w:keepNext/>
      <w:outlineLvl w:val="4"/>
    </w:pPr>
    <w:rPr>
      <w:rFonts w:ascii="宋体"/>
      <w:color w:val="000000"/>
      <w:sz w:val="28"/>
      <w:szCs w:val="28"/>
    </w:rPr>
  </w:style>
  <w:style w:type="paragraph" w:styleId="967">
    <w:name w:val="标题 6"/>
    <w:basedOn w:val="961"/>
    <w:next w:val="961"/>
    <w:link w:val="98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8">
    <w:name w:val="标题 7"/>
    <w:basedOn w:val="961"/>
    <w:next w:val="961"/>
    <w:link w:val="981"/>
    <w:qFormat/>
    <w:pPr>
      <w:numPr>
        <w:ilvl w:val="6"/>
        <w:numId w:val="1"/>
      </w:numPr>
      <w:keepLines/>
      <w:keepNext/>
      <w:spacing w:before="240" w:after="64" w:line="320" w:lineRule="auto"/>
      <w:outlineLvl w:val="6"/>
    </w:pPr>
    <w:rPr>
      <w:b/>
      <w:bCs/>
      <w:sz w:val="24"/>
      <w:szCs w:val="24"/>
    </w:rPr>
  </w:style>
  <w:style w:type="paragraph" w:styleId="969">
    <w:name w:val="标题 8"/>
    <w:basedOn w:val="961"/>
    <w:next w:val="961"/>
    <w:link w:val="982"/>
    <w:qFormat/>
    <w:pPr>
      <w:numPr>
        <w:ilvl w:val="7"/>
        <w:numId w:val="1"/>
      </w:numPr>
      <w:keepLines/>
      <w:keepNext/>
      <w:spacing w:before="240" w:after="64" w:line="320" w:lineRule="auto"/>
      <w:outlineLvl w:val="7"/>
    </w:pPr>
    <w:rPr>
      <w:rFonts w:ascii="Arial" w:hAnsi="Arial" w:eastAsia="黑体"/>
      <w:sz w:val="24"/>
      <w:szCs w:val="24"/>
    </w:rPr>
  </w:style>
  <w:style w:type="paragraph" w:styleId="970">
    <w:name w:val="标题 9"/>
    <w:basedOn w:val="961"/>
    <w:next w:val="961"/>
    <w:link w:val="983"/>
    <w:qFormat/>
    <w:pPr>
      <w:numPr>
        <w:ilvl w:val="8"/>
        <w:numId w:val="1"/>
      </w:numPr>
      <w:keepLines/>
      <w:keepNext/>
      <w:spacing w:before="240" w:after="64" w:line="320" w:lineRule="auto"/>
      <w:outlineLvl w:val="8"/>
    </w:pPr>
    <w:rPr>
      <w:rFonts w:ascii="Arial" w:hAnsi="Arial" w:eastAsia="黑体"/>
      <w:sz w:val="20"/>
    </w:rPr>
  </w:style>
  <w:style w:type="character" w:styleId="971">
    <w:name w:val="默认段落字体"/>
    <w:next w:val="971"/>
    <w:link w:val="961"/>
    <w:uiPriority w:val="1"/>
    <w:unhideWhenUsed/>
  </w:style>
  <w:style w:type="table" w:styleId="972">
    <w:name w:val="普通表格"/>
    <w:next w:val="972"/>
    <w:link w:val="961"/>
    <w:uiPriority w:val="99"/>
    <w:unhideWhenUsed/>
    <w:tblPr/>
  </w:style>
  <w:style w:type="character" w:styleId="973">
    <w:name w:val="标题 1 Char"/>
    <w:next w:val="973"/>
    <w:link w:val="962"/>
    <w:rPr>
      <w:rFonts w:ascii="楷体_GB2312" w:hAnsi="Times New Roman" w:eastAsia="楷体_GB2312" w:cs="Times New Roman"/>
      <w:sz w:val="28"/>
      <w:szCs w:val="28"/>
    </w:rPr>
  </w:style>
  <w:style w:type="character" w:styleId="974">
    <w:name w:val="标题 2 Char"/>
    <w:next w:val="974"/>
    <w:link w:val="963"/>
    <w:rPr>
      <w:rFonts w:ascii="Arial" w:hAnsi="Arial" w:eastAsia="幼圆" w:cs="Arial"/>
      <w:b/>
      <w:bCs/>
      <w:sz w:val="44"/>
      <w:szCs w:val="44"/>
    </w:rPr>
  </w:style>
  <w:style w:type="paragraph" w:styleId="975">
    <w:name w:val="正文缩进"/>
    <w:basedOn w:val="961"/>
    <w:next w:val="975"/>
    <w:link w:val="976"/>
    <w:pPr>
      <w:ind w:firstLine="420"/>
    </w:pPr>
    <w:rPr>
      <w:sz w:val="20"/>
    </w:rPr>
  </w:style>
  <w:style w:type="character" w:styleId="976">
    <w:name w:val="正文缩进 Char"/>
    <w:next w:val="976"/>
    <w:link w:val="975"/>
    <w:rPr>
      <w:rFonts w:ascii="Times New Roman" w:hAnsi="Times New Roman" w:eastAsia="宋体" w:cs="Times New Roman"/>
      <w:szCs w:val="21"/>
    </w:rPr>
  </w:style>
  <w:style w:type="character" w:styleId="977">
    <w:name w:val="标题 3 Char"/>
    <w:next w:val="977"/>
    <w:link w:val="964"/>
    <w:rPr>
      <w:rFonts w:ascii="Times New Roman" w:hAnsi="Times New Roman" w:eastAsia="宋体" w:cs="Times New Roman"/>
      <w:b/>
      <w:bCs/>
      <w:sz w:val="32"/>
      <w:szCs w:val="32"/>
    </w:rPr>
  </w:style>
  <w:style w:type="character" w:styleId="978">
    <w:name w:val="标题 4 Char"/>
    <w:next w:val="978"/>
    <w:link w:val="965"/>
    <w:rPr>
      <w:rFonts w:ascii="Arial" w:hAnsi="Arial" w:eastAsia="黑体" w:cs="Arial"/>
      <w:b/>
      <w:bCs/>
      <w:sz w:val="28"/>
      <w:szCs w:val="28"/>
    </w:rPr>
  </w:style>
  <w:style w:type="character" w:styleId="979">
    <w:name w:val="标题 5 Char"/>
    <w:next w:val="979"/>
    <w:link w:val="966"/>
    <w:rPr>
      <w:rFonts w:ascii="宋体" w:hAnsi="Times New Roman" w:eastAsia="宋体" w:cs="Times New Roman"/>
      <w:color w:val="000000"/>
      <w:sz w:val="28"/>
      <w:szCs w:val="28"/>
    </w:rPr>
  </w:style>
  <w:style w:type="character" w:styleId="980">
    <w:name w:val="标题 6 Char"/>
    <w:next w:val="980"/>
    <w:link w:val="967"/>
    <w:rPr>
      <w:rFonts w:ascii="Arial" w:hAnsi="Arial" w:eastAsia="黑体" w:cs="Times New Roman"/>
      <w:b/>
      <w:bCs/>
      <w:sz w:val="24"/>
      <w:szCs w:val="24"/>
    </w:rPr>
  </w:style>
  <w:style w:type="character" w:styleId="981">
    <w:name w:val="标题 7 Char"/>
    <w:next w:val="981"/>
    <w:link w:val="968"/>
    <w:rPr>
      <w:rFonts w:ascii="Times New Roman" w:hAnsi="Times New Roman" w:eastAsia="宋体" w:cs="Times New Roman"/>
      <w:b/>
      <w:bCs/>
      <w:sz w:val="24"/>
      <w:szCs w:val="24"/>
    </w:rPr>
  </w:style>
  <w:style w:type="character" w:styleId="982">
    <w:name w:val="标题 8 Char"/>
    <w:next w:val="982"/>
    <w:link w:val="969"/>
    <w:rPr>
      <w:rFonts w:ascii="Arial" w:hAnsi="Arial" w:eastAsia="黑体" w:cs="Times New Roman"/>
      <w:sz w:val="24"/>
      <w:szCs w:val="24"/>
    </w:rPr>
  </w:style>
  <w:style w:type="character" w:styleId="983">
    <w:name w:val="标题 9 Char"/>
    <w:next w:val="983"/>
    <w:link w:val="970"/>
    <w:rPr>
      <w:rFonts w:ascii="Arial" w:hAnsi="Arial" w:eastAsia="黑体" w:cs="Times New Roman"/>
      <w:szCs w:val="21"/>
    </w:rPr>
  </w:style>
  <w:style w:type="paragraph" w:styleId="984">
    <w:name w:val="列表 3"/>
    <w:basedOn w:val="961"/>
    <w:next w:val="984"/>
    <w:link w:val="961"/>
    <w:pPr>
      <w:ind w:left="100" w:hanging="200"/>
    </w:pPr>
  </w:style>
  <w:style w:type="paragraph" w:styleId="985">
    <w:name w:val="目录 7"/>
    <w:basedOn w:val="961"/>
    <w:next w:val="961"/>
    <w:link w:val="961"/>
    <w:semiHidden/>
    <w:pPr>
      <w:ind w:left="1260"/>
      <w:jc w:val="left"/>
    </w:pPr>
  </w:style>
  <w:style w:type="paragraph" w:styleId="986">
    <w:name w:val="文档结构图"/>
    <w:basedOn w:val="961"/>
    <w:next w:val="986"/>
    <w:link w:val="987"/>
    <w:semiHidden/>
    <w:pPr>
      <w:shd w:val="clear" w:color="auto" w:fill="000080"/>
    </w:pPr>
    <w:rPr>
      <w:sz w:val="20"/>
    </w:rPr>
  </w:style>
  <w:style w:type="character" w:styleId="987">
    <w:name w:val="文档结构图 Char"/>
    <w:next w:val="987"/>
    <w:link w:val="986"/>
    <w:semiHidden/>
    <w:rPr>
      <w:rFonts w:ascii="Times New Roman" w:hAnsi="Times New Roman" w:eastAsia="宋体" w:cs="Times New Roman"/>
      <w:szCs w:val="21"/>
      <w:shd w:val="clear" w:color="auto" w:fill="000080"/>
    </w:rPr>
  </w:style>
  <w:style w:type="paragraph" w:styleId="988">
    <w:name w:val="批注文字"/>
    <w:basedOn w:val="961"/>
    <w:next w:val="988"/>
    <w:link w:val="989"/>
    <w:semiHidden/>
    <w:pPr>
      <w:jc w:val="left"/>
    </w:pPr>
    <w:rPr>
      <w:sz w:val="20"/>
    </w:rPr>
  </w:style>
  <w:style w:type="character" w:styleId="989">
    <w:name w:val="批注文字 Char"/>
    <w:next w:val="989"/>
    <w:link w:val="988"/>
    <w:semiHidden/>
    <w:rPr>
      <w:rFonts w:ascii="Times New Roman" w:hAnsi="Times New Roman" w:eastAsia="宋体" w:cs="Times New Roman"/>
      <w:szCs w:val="21"/>
    </w:rPr>
  </w:style>
  <w:style w:type="paragraph" w:styleId="990">
    <w:name w:val="正文文本 3"/>
    <w:basedOn w:val="961"/>
    <w:next w:val="990"/>
    <w:link w:val="991"/>
    <w:rPr>
      <w:rFonts w:ascii="仿宋_GB2312" w:hAnsi="Arial" w:eastAsia="仿宋_GB2312"/>
      <w:sz w:val="32"/>
      <w:szCs w:val="32"/>
    </w:rPr>
  </w:style>
  <w:style w:type="character" w:styleId="991">
    <w:name w:val="正文文本 3 Char"/>
    <w:next w:val="991"/>
    <w:link w:val="990"/>
    <w:rPr>
      <w:rFonts w:ascii="仿宋_GB2312" w:hAnsi="Arial" w:eastAsia="仿宋_GB2312" w:cs="Times New Roman"/>
      <w:sz w:val="32"/>
      <w:szCs w:val="32"/>
    </w:rPr>
  </w:style>
  <w:style w:type="paragraph" w:styleId="992">
    <w:name w:val="正文文本"/>
    <w:basedOn w:val="961"/>
    <w:next w:val="992"/>
    <w:link w:val="993"/>
    <w:rPr>
      <w:rFonts w:ascii="楷体_GB2312" w:hAnsi="Arial" w:eastAsia="楷体_GB2312"/>
      <w:sz w:val="28"/>
      <w:szCs w:val="28"/>
    </w:rPr>
  </w:style>
  <w:style w:type="character" w:styleId="993">
    <w:name w:val="正文文本 Char"/>
    <w:next w:val="993"/>
    <w:link w:val="992"/>
    <w:rPr>
      <w:rFonts w:ascii="楷体_GB2312" w:hAnsi="Arial" w:eastAsia="楷体_GB2312" w:cs="Times New Roman"/>
      <w:sz w:val="28"/>
      <w:szCs w:val="28"/>
    </w:rPr>
  </w:style>
  <w:style w:type="paragraph" w:styleId="994">
    <w:name w:val="正文文本缩进"/>
    <w:basedOn w:val="961"/>
    <w:next w:val="994"/>
    <w:link w:val="995"/>
    <w:pPr>
      <w:ind w:firstLine="645"/>
    </w:pPr>
    <w:rPr>
      <w:rFonts w:ascii="楷体_GB2312" w:eastAsia="楷体_GB2312"/>
      <w:sz w:val="32"/>
      <w:szCs w:val="32"/>
    </w:rPr>
  </w:style>
  <w:style w:type="character" w:styleId="995">
    <w:name w:val="正文文本缩进 Char"/>
    <w:next w:val="995"/>
    <w:link w:val="994"/>
    <w:rPr>
      <w:rFonts w:ascii="楷体_GB2312" w:hAnsi="Times New Roman" w:eastAsia="楷体_GB2312" w:cs="Times New Roman"/>
      <w:sz w:val="32"/>
      <w:szCs w:val="32"/>
    </w:rPr>
  </w:style>
  <w:style w:type="paragraph" w:styleId="996">
    <w:name w:val="列表 2"/>
    <w:basedOn w:val="961"/>
    <w:next w:val="996"/>
    <w:link w:val="961"/>
    <w:pPr>
      <w:ind w:left="100" w:hanging="200"/>
    </w:pPr>
  </w:style>
  <w:style w:type="paragraph" w:styleId="997">
    <w:name w:val="目录 5"/>
    <w:basedOn w:val="961"/>
    <w:next w:val="961"/>
    <w:link w:val="961"/>
    <w:semiHidden/>
    <w:pPr>
      <w:ind w:left="840"/>
      <w:jc w:val="left"/>
    </w:pPr>
  </w:style>
  <w:style w:type="paragraph" w:styleId="998">
    <w:name w:val="目录 3"/>
    <w:basedOn w:val="961"/>
    <w:next w:val="961"/>
    <w:link w:val="961"/>
    <w:semiHidden/>
    <w:pPr>
      <w:ind w:left="420"/>
      <w:jc w:val="left"/>
    </w:pPr>
    <w:rPr>
      <w:i/>
      <w:iCs/>
      <w:szCs w:val="24"/>
    </w:rPr>
  </w:style>
  <w:style w:type="paragraph" w:styleId="999">
    <w:name w:val="纯文本"/>
    <w:basedOn w:val="961"/>
    <w:next w:val="999"/>
    <w:link w:val="1000"/>
    <w:rPr>
      <w:rFonts w:ascii="宋体" w:hAnsi="Courier New"/>
      <w:sz w:val="20"/>
    </w:rPr>
  </w:style>
  <w:style w:type="character" w:styleId="1000">
    <w:name w:val="纯文本 Char1"/>
    <w:next w:val="1000"/>
    <w:link w:val="999"/>
    <w:rPr>
      <w:rFonts w:ascii="宋体" w:hAnsi="Courier New" w:eastAsia="宋体" w:cs="Courier New"/>
      <w:szCs w:val="21"/>
    </w:rPr>
  </w:style>
  <w:style w:type="paragraph" w:styleId="1001">
    <w:name w:val="目录 8"/>
    <w:basedOn w:val="961"/>
    <w:next w:val="961"/>
    <w:link w:val="961"/>
    <w:semiHidden/>
    <w:pPr>
      <w:ind w:left="1470"/>
      <w:jc w:val="left"/>
    </w:pPr>
  </w:style>
  <w:style w:type="paragraph" w:styleId="1002">
    <w:name w:val="日期"/>
    <w:basedOn w:val="961"/>
    <w:next w:val="961"/>
    <w:link w:val="1003"/>
    <w:rPr>
      <w:sz w:val="24"/>
      <w:szCs w:val="24"/>
    </w:rPr>
  </w:style>
  <w:style w:type="character" w:styleId="1003">
    <w:name w:val="日期 Char"/>
    <w:next w:val="1003"/>
    <w:link w:val="1002"/>
    <w:rPr>
      <w:rFonts w:ascii="Times New Roman" w:hAnsi="Times New Roman" w:eastAsia="宋体" w:cs="Times New Roman"/>
      <w:sz w:val="24"/>
      <w:szCs w:val="24"/>
    </w:rPr>
  </w:style>
  <w:style w:type="paragraph" w:styleId="1004">
    <w:name w:val="正文文本缩进 2"/>
    <w:basedOn w:val="961"/>
    <w:next w:val="1004"/>
    <w:link w:val="1005"/>
    <w:pPr>
      <w:ind w:left="630" w:firstLine="645"/>
    </w:pPr>
    <w:rPr>
      <w:rFonts w:ascii="Arial" w:hAnsi="Arial" w:eastAsia="仿宋_GB2312"/>
      <w:sz w:val="32"/>
      <w:szCs w:val="32"/>
    </w:rPr>
  </w:style>
  <w:style w:type="character" w:styleId="1005">
    <w:name w:val="正文文本缩进 2 Char"/>
    <w:next w:val="1005"/>
    <w:link w:val="1004"/>
    <w:rPr>
      <w:rFonts w:ascii="Arial" w:hAnsi="Arial" w:eastAsia="仿宋_GB2312" w:cs="Arial"/>
      <w:sz w:val="32"/>
      <w:szCs w:val="32"/>
    </w:rPr>
  </w:style>
  <w:style w:type="paragraph" w:styleId="1006">
    <w:name w:val="批注框文本"/>
    <w:basedOn w:val="961"/>
    <w:next w:val="1006"/>
    <w:link w:val="1007"/>
    <w:semiHidden/>
    <w:rPr>
      <w:sz w:val="18"/>
      <w:szCs w:val="18"/>
    </w:rPr>
  </w:style>
  <w:style w:type="character" w:styleId="1007">
    <w:name w:val="批注框文本 Char"/>
    <w:next w:val="1007"/>
    <w:link w:val="1006"/>
    <w:semiHidden/>
    <w:rPr>
      <w:rFonts w:ascii="Times New Roman" w:hAnsi="Times New Roman" w:eastAsia="宋体" w:cs="Times New Roman"/>
      <w:sz w:val="18"/>
      <w:szCs w:val="18"/>
    </w:rPr>
  </w:style>
  <w:style w:type="paragraph" w:styleId="1008">
    <w:name w:val="页脚"/>
    <w:basedOn w:val="961"/>
    <w:next w:val="1008"/>
    <w:link w:val="1009"/>
    <w:uiPriority w:val="99"/>
    <w:pPr>
      <w:jc w:val="left"/>
      <w:tabs>
        <w:tab w:val="center" w:pos="4153" w:leader="none"/>
        <w:tab w:val="right" w:pos="8306" w:leader="none"/>
      </w:tabs>
    </w:pPr>
    <w:rPr>
      <w:sz w:val="18"/>
      <w:szCs w:val="18"/>
    </w:rPr>
  </w:style>
  <w:style w:type="character" w:styleId="1009">
    <w:name w:val="页脚 Char"/>
    <w:next w:val="1009"/>
    <w:link w:val="1008"/>
    <w:uiPriority w:val="99"/>
    <w:rPr>
      <w:rFonts w:ascii="Times New Roman" w:hAnsi="Times New Roman" w:eastAsia="宋体" w:cs="Times New Roman"/>
      <w:sz w:val="18"/>
      <w:szCs w:val="18"/>
    </w:rPr>
  </w:style>
  <w:style w:type="paragraph" w:styleId="1010">
    <w:name w:val="页眉"/>
    <w:basedOn w:val="961"/>
    <w:next w:val="1010"/>
    <w:link w:val="1011"/>
    <w:pPr>
      <w:jc w:val="center"/>
      <w:tabs>
        <w:tab w:val="center" w:pos="4153" w:leader="none"/>
        <w:tab w:val="right" w:pos="8306" w:leader="none"/>
      </w:tabs>
      <w:pBdr>
        <w:bottom w:val="single" w:color="000000" w:sz="6" w:space="1"/>
      </w:pBdr>
    </w:pPr>
    <w:rPr>
      <w:sz w:val="18"/>
      <w:szCs w:val="18"/>
    </w:rPr>
  </w:style>
  <w:style w:type="character" w:styleId="1011">
    <w:name w:val="页眉 Char"/>
    <w:next w:val="1011"/>
    <w:link w:val="1010"/>
    <w:rPr>
      <w:rFonts w:ascii="Times New Roman" w:hAnsi="Times New Roman" w:eastAsia="宋体" w:cs="Times New Roman"/>
      <w:sz w:val="18"/>
      <w:szCs w:val="18"/>
    </w:rPr>
  </w:style>
  <w:style w:type="paragraph" w:styleId="1012">
    <w:name w:val="目录 1"/>
    <w:basedOn w:val="961"/>
    <w:next w:val="961"/>
    <w:link w:val="961"/>
    <w:semiHidden/>
    <w:pPr>
      <w:jc w:val="left"/>
      <w:spacing w:before="120" w:after="120" w:line="400" w:lineRule="exact"/>
      <w:tabs>
        <w:tab w:val="right" w:pos="8720" w:leader="dot"/>
      </w:tabs>
    </w:pPr>
    <w:rPr>
      <w:rFonts w:ascii="宋体" w:hAnsi="宋体"/>
      <w:caps/>
      <w:sz w:val="24"/>
      <w:szCs w:val="24"/>
    </w:rPr>
  </w:style>
  <w:style w:type="paragraph" w:styleId="1013">
    <w:name w:val="目录 4"/>
    <w:basedOn w:val="961"/>
    <w:next w:val="961"/>
    <w:link w:val="961"/>
    <w:semiHidden/>
    <w:pPr>
      <w:ind w:left="630"/>
      <w:jc w:val="left"/>
    </w:pPr>
  </w:style>
  <w:style w:type="paragraph" w:styleId="1014">
    <w:name w:val="列表"/>
    <w:basedOn w:val="961"/>
    <w:next w:val="1014"/>
    <w:link w:val="961"/>
    <w:pPr>
      <w:ind w:left="200" w:hanging="200"/>
    </w:pPr>
  </w:style>
  <w:style w:type="paragraph" w:styleId="1015">
    <w:name w:val="目录 6"/>
    <w:basedOn w:val="961"/>
    <w:next w:val="961"/>
    <w:link w:val="961"/>
    <w:semiHidden/>
    <w:pPr>
      <w:ind w:left="1050"/>
      <w:jc w:val="left"/>
    </w:pPr>
  </w:style>
  <w:style w:type="paragraph" w:styleId="1016">
    <w:name w:val="正文文本缩进 3"/>
    <w:basedOn w:val="961"/>
    <w:next w:val="1016"/>
    <w:link w:val="1017"/>
    <w:pPr>
      <w:ind w:left="645" w:firstLine="645"/>
    </w:pPr>
    <w:rPr>
      <w:rFonts w:ascii="Arial" w:hAnsi="Arial" w:eastAsia="仿宋_GB2312"/>
      <w:color w:val="ffff00"/>
      <w:sz w:val="32"/>
      <w:szCs w:val="32"/>
    </w:rPr>
  </w:style>
  <w:style w:type="character" w:styleId="1017">
    <w:name w:val="正文文本缩进 3 Char"/>
    <w:next w:val="1017"/>
    <w:link w:val="1016"/>
    <w:rPr>
      <w:rFonts w:ascii="Arial" w:hAnsi="Arial" w:eastAsia="仿宋_GB2312" w:cs="Arial"/>
      <w:color w:val="ffff00"/>
      <w:sz w:val="32"/>
      <w:szCs w:val="32"/>
    </w:rPr>
  </w:style>
  <w:style w:type="paragraph" w:styleId="1018">
    <w:name w:val="图表目录"/>
    <w:basedOn w:val="961"/>
    <w:next w:val="961"/>
    <w:link w:val="961"/>
    <w:semiHidden/>
    <w:pPr>
      <w:ind w:left="840" w:hanging="420"/>
    </w:pPr>
  </w:style>
  <w:style w:type="paragraph" w:styleId="1019">
    <w:name w:val="目录 2"/>
    <w:basedOn w:val="961"/>
    <w:next w:val="961"/>
    <w:link w:val="961"/>
    <w:semiHidden/>
    <w:pPr>
      <w:ind w:left="210"/>
      <w:jc w:val="left"/>
    </w:pPr>
    <w:rPr>
      <w:smallCaps/>
      <w:szCs w:val="24"/>
    </w:rPr>
  </w:style>
  <w:style w:type="paragraph" w:styleId="1020">
    <w:name w:val="目录 9"/>
    <w:basedOn w:val="961"/>
    <w:next w:val="961"/>
    <w:link w:val="961"/>
    <w:semiHidden/>
    <w:pPr>
      <w:ind w:left="1680"/>
      <w:jc w:val="left"/>
    </w:pPr>
  </w:style>
  <w:style w:type="paragraph" w:styleId="1021">
    <w:name w:val="正文文本 2"/>
    <w:basedOn w:val="961"/>
    <w:next w:val="1021"/>
    <w:link w:val="1022"/>
    <w:pPr>
      <w:jc w:val="center"/>
      <w:widowControl/>
    </w:pPr>
    <w:rPr>
      <w:rFonts w:ascii="楷体_GB2312" w:eastAsia="楷体_GB2312"/>
      <w:sz w:val="28"/>
      <w:szCs w:val="28"/>
    </w:rPr>
  </w:style>
  <w:style w:type="character" w:styleId="1022">
    <w:name w:val="正文文本 2 Char"/>
    <w:next w:val="1022"/>
    <w:link w:val="1021"/>
    <w:rPr>
      <w:rFonts w:ascii="楷体_GB2312" w:hAnsi="Times New Roman" w:eastAsia="楷体_GB2312" w:cs="Times New Roman"/>
      <w:sz w:val="28"/>
      <w:szCs w:val="28"/>
    </w:rPr>
  </w:style>
  <w:style w:type="paragraph" w:styleId="1023">
    <w:name w:val="普通(网站)"/>
    <w:basedOn w:val="961"/>
    <w:next w:val="1023"/>
    <w:link w:val="961"/>
    <w:uiPriority w:val="99"/>
    <w:pPr>
      <w:jc w:val="left"/>
      <w:spacing w:before="100" w:beforeAutospacing="1" w:after="100" w:afterAutospacing="1"/>
      <w:widowControl/>
    </w:pPr>
    <w:rPr>
      <w:rFonts w:ascii="宋体" w:hAnsi="宋体" w:cs="宋体"/>
      <w:sz w:val="24"/>
      <w:szCs w:val="24"/>
    </w:rPr>
  </w:style>
  <w:style w:type="paragraph" w:styleId="1024">
    <w:name w:val="索引 1"/>
    <w:basedOn w:val="961"/>
    <w:next w:val="961"/>
    <w:link w:val="961"/>
    <w:semiHidden/>
    <w:pPr>
      <w:spacing w:line="240" w:lineRule="atLeast"/>
    </w:pPr>
    <w:rPr>
      <w:b/>
      <w:bCs/>
    </w:rPr>
  </w:style>
  <w:style w:type="paragraph" w:styleId="1025">
    <w:name w:val="批注主题"/>
    <w:basedOn w:val="988"/>
    <w:next w:val="988"/>
    <w:link w:val="1026"/>
    <w:semiHidden/>
    <w:rPr>
      <w:b/>
      <w:bCs/>
    </w:rPr>
  </w:style>
  <w:style w:type="character" w:styleId="1026">
    <w:name w:val="批注主题 Char"/>
    <w:next w:val="1026"/>
    <w:link w:val="1025"/>
    <w:semiHidden/>
    <w:rPr>
      <w:rFonts w:ascii="Times New Roman" w:hAnsi="Times New Roman" w:eastAsia="宋体" w:cs="Times New Roman"/>
      <w:b/>
      <w:bCs/>
      <w:szCs w:val="21"/>
    </w:rPr>
  </w:style>
  <w:style w:type="paragraph" w:styleId="1027">
    <w:name w:val="正文首行缩进"/>
    <w:basedOn w:val="961"/>
    <w:next w:val="1027"/>
    <w:link w:val="1028"/>
    <w:pPr>
      <w:ind w:firstLine="200"/>
      <w:spacing w:line="360" w:lineRule="auto"/>
    </w:pPr>
    <w:rPr>
      <w:rFonts w:ascii="仿宋_GB2312" w:eastAsia="仿宋_GB2312"/>
      <w:sz w:val="30"/>
      <w:szCs w:val="30"/>
    </w:rPr>
  </w:style>
  <w:style w:type="character" w:styleId="1028">
    <w:name w:val="正文首行缩进 Char"/>
    <w:next w:val="1028"/>
    <w:link w:val="1027"/>
    <w:rPr>
      <w:rFonts w:ascii="仿宋_GB2312" w:hAnsi="Times New Roman" w:eastAsia="仿宋_GB2312" w:cs="Times New Roman"/>
      <w:sz w:val="30"/>
      <w:szCs w:val="30"/>
    </w:rPr>
  </w:style>
  <w:style w:type="paragraph" w:styleId="1029">
    <w:name w:val="正文首行缩进 2"/>
    <w:basedOn w:val="994"/>
    <w:next w:val="1029"/>
    <w:link w:val="1030"/>
    <w:pPr>
      <w:ind w:firstLine="420"/>
      <w:spacing w:line="360" w:lineRule="auto"/>
    </w:pPr>
    <w:rPr>
      <w:rFonts w:ascii="宋体" w:hAnsi="宋体" w:eastAsia="宋体"/>
      <w:szCs w:val="20"/>
    </w:rPr>
  </w:style>
  <w:style w:type="character" w:styleId="1030">
    <w:name w:val="正文首行缩进 2 Char"/>
    <w:next w:val="1030"/>
    <w:link w:val="1029"/>
    <w:rPr>
      <w:rFonts w:ascii="宋体" w:hAnsi="宋体" w:eastAsia="宋体" w:cs="Times New Roman"/>
      <w:sz w:val="32"/>
      <w:szCs w:val="20"/>
    </w:rPr>
  </w:style>
  <w:style w:type="table" w:styleId="1031">
    <w:name w:val="网格型"/>
    <w:basedOn w:val="972"/>
    <w:next w:val="1031"/>
    <w:link w:val="961"/>
    <w:pPr>
      <w:jc w:val="both"/>
      <w:widowControl w:val="off"/>
    </w:pPr>
    <w:rPr>
      <w:rFonts w:ascii="Times New Roman" w:hAnsi="Times New Roman" w:eastAsia="宋体" w:cs="Times New Roman"/>
      <w:sz w:val="20"/>
      <w:szCs w:val="20"/>
    </w:rPr>
    <w:tblPr/>
  </w:style>
  <w:style w:type="character" w:styleId="1032">
    <w:name w:val="要点"/>
    <w:next w:val="1032"/>
    <w:link w:val="961"/>
    <w:qFormat/>
    <w:rPr>
      <w:b/>
      <w:bCs/>
    </w:rPr>
  </w:style>
  <w:style w:type="character" w:styleId="1033">
    <w:name w:val="页码"/>
    <w:next w:val="1033"/>
    <w:link w:val="961"/>
  </w:style>
  <w:style w:type="character" w:styleId="1034">
    <w:name w:val="已访问的超链接"/>
    <w:next w:val="1034"/>
    <w:link w:val="961"/>
    <w:rPr>
      <w:color w:val="800080"/>
      <w:u w:val="single"/>
    </w:rPr>
  </w:style>
  <w:style w:type="character" w:styleId="1035">
    <w:name w:val="强调"/>
    <w:next w:val="1035"/>
    <w:link w:val="961"/>
    <w:qFormat/>
    <w:rPr>
      <w:i/>
    </w:rPr>
  </w:style>
  <w:style w:type="character" w:styleId="1036">
    <w:name w:val="超链接"/>
    <w:next w:val="1036"/>
    <w:link w:val="961"/>
    <w:rPr>
      <w:color w:val="0000ff"/>
      <w:u w:val="single"/>
    </w:rPr>
  </w:style>
  <w:style w:type="character" w:styleId="1037">
    <w:name w:val="批注引用"/>
    <w:next w:val="1037"/>
    <w:link w:val="961"/>
    <w:semiHidden/>
    <w:rPr>
      <w:sz w:val="21"/>
      <w:szCs w:val="21"/>
    </w:rPr>
  </w:style>
  <w:style w:type="paragraph" w:styleId="1038">
    <w:name w:val="目录 11"/>
    <w:basedOn w:val="961"/>
    <w:next w:val="961"/>
    <w:link w:val="961"/>
    <w:semiHidden/>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1039">
    <w:name w:val="font5 Char"/>
    <w:next w:val="1039"/>
    <w:link w:val="961"/>
    <w:rPr>
      <w:rFonts w:ascii="宋体" w:hAnsi="宋体" w:eastAsia="宋体"/>
      <w:sz w:val="28"/>
      <w:szCs w:val="28"/>
      <w:lang w:val="en-US" w:eastAsia="zh-CN" w:bidi="ar-SA"/>
    </w:rPr>
  </w:style>
  <w:style w:type="character" w:styleId="1040">
    <w:name w:val="二级目录 Char"/>
    <w:next w:val="1040"/>
    <w:link w:val="1041"/>
    <w:rPr>
      <w:b/>
      <w:sz w:val="30"/>
      <w:szCs w:val="28"/>
      <w:lang w:val="en-US" w:eastAsia="zh-CN" w:bidi="ar-SA"/>
    </w:rPr>
  </w:style>
  <w:style w:type="paragraph" w:styleId="1041">
    <w:name w:val="二级目录"/>
    <w:next w:val="961"/>
    <w:link w:val="1040"/>
    <w:pPr>
      <w:numPr>
        <w:ilvl w:val="0"/>
        <w:numId w:val="2"/>
      </w:numPr>
      <w:tabs>
        <w:tab w:val="left" w:pos="907" w:leader="none"/>
        <w:tab w:val="left" w:pos="1145" w:leader="none"/>
      </w:tabs>
      <w:outlineLvl w:val="1"/>
    </w:pPr>
    <w:rPr>
      <w:b/>
      <w:sz w:val="30"/>
      <w:szCs w:val="28"/>
      <w:lang w:val="en-US" w:eastAsia="zh-CN" w:bidi="ar-SA"/>
    </w:rPr>
  </w:style>
  <w:style w:type="character" w:styleId="1042">
    <w:name w:val="列出段落 Char,Bullet List Char,numbered Char,FooterText Char,List Paragraph1 Char,Paragraphe de liste1 Char"/>
    <w:next w:val="1042"/>
    <w:link w:val="1043"/>
    <w:rPr>
      <w:rFonts w:ascii="Calibri" w:hAnsi="Calibri"/>
      <w:sz w:val="24"/>
      <w:szCs w:val="24"/>
      <w:lang w:eastAsia="en-US" w:bidi="en-US"/>
    </w:rPr>
  </w:style>
  <w:style w:type="paragraph" w:styleId="1043">
    <w:name w:val="列出段落1"/>
    <w:basedOn w:val="961"/>
    <w:next w:val="1043"/>
    <w:link w:val="1042"/>
    <w:qFormat/>
    <w:pPr>
      <w:contextualSpacing/>
      <w:ind w:left="720"/>
      <w:jc w:val="left"/>
      <w:widowControl/>
    </w:pPr>
    <w:rPr>
      <w:rFonts w:ascii="Calibri" w:hAnsi="Calibri"/>
      <w:sz w:val="24"/>
      <w:szCs w:val="24"/>
      <w:lang w:eastAsia="en-US" w:bidi="en-US"/>
    </w:rPr>
  </w:style>
  <w:style w:type="paragraph" w:styleId="1044">
    <w:name w:val="Body Text(ch)"/>
    <w:basedOn w:val="961"/>
    <w:next w:val="992"/>
    <w:link w:val="961"/>
    <w:pPr>
      <w:spacing w:after="120"/>
    </w:pPr>
    <w:rPr>
      <w:rFonts w:ascii="宋体" w:hAnsi="Arial"/>
      <w:bCs/>
      <w:iCs/>
      <w:szCs w:val="24"/>
    </w:rPr>
  </w:style>
  <w:style w:type="paragraph" w:styleId="1045">
    <w:name w:val="xl27"/>
    <w:basedOn w:val="961"/>
    <w:next w:val="1045"/>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name w:val="xl26"/>
    <w:basedOn w:val="961"/>
    <w:next w:val="1046"/>
    <w:link w:val="9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7">
    <w:name w:val="Char"/>
    <w:basedOn w:val="961"/>
    <w:next w:val="1047"/>
    <w:link w:val="961"/>
    <w:pPr>
      <w:ind w:firstLine="200"/>
      <w:tabs>
        <w:tab w:val="left" w:pos="360" w:leader="none"/>
      </w:tabs>
    </w:pPr>
    <w:rPr>
      <w:sz w:val="28"/>
      <w:szCs w:val="30"/>
    </w:rPr>
  </w:style>
  <w:style w:type="paragraph" w:styleId="1048">
    <w:name w:val=" Char"/>
    <w:basedOn w:val="986"/>
    <w:next w:val="1048"/>
    <w:link w:val="961"/>
    <w:rPr>
      <w:rFonts w:ascii="Tahoma" w:hAnsi="Tahoma"/>
      <w:sz w:val="24"/>
      <w:szCs w:val="24"/>
    </w:rPr>
  </w:style>
  <w:style w:type="paragraph" w:styleId="1049">
    <w:name w:val="普通正文"/>
    <w:basedOn w:val="961"/>
    <w:next w:val="1049"/>
    <w:link w:val="961"/>
    <w:pPr>
      <w:ind w:firstLine="480"/>
      <w:jc w:val="left"/>
      <w:spacing w:before="120" w:after="120" w:line="360" w:lineRule="auto"/>
    </w:pPr>
    <w:rPr>
      <w:rFonts w:ascii="Arial" w:hAnsi="Arial"/>
      <w:sz w:val="24"/>
      <w:szCs w:val="24"/>
    </w:rPr>
  </w:style>
  <w:style w:type="paragraph" w:styleId="1050">
    <w:name w:val="table_lines"/>
    <w:basedOn w:val="961"/>
    <w:next w:val="1050"/>
    <w:link w:val="961"/>
    <w:pPr>
      <w:jc w:val="left"/>
      <w:widowControl/>
    </w:pPr>
    <w:rPr>
      <w:sz w:val="20"/>
      <w:szCs w:val="20"/>
      <w:lang w:val="de-DE" w:eastAsia="de-DE"/>
    </w:rPr>
  </w:style>
  <w:style w:type="paragraph" w:styleId="1051">
    <w:name w:val="附录1"/>
    <w:next w:val="1051"/>
    <w:link w:val="96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2">
    <w:name w:val="font7"/>
    <w:basedOn w:val="961"/>
    <w:next w:val="1052"/>
    <w:link w:val="961"/>
    <w:pPr>
      <w:jc w:val="left"/>
      <w:spacing w:before="100" w:beforeAutospacing="1" w:after="100" w:afterAutospacing="1"/>
      <w:widowControl/>
    </w:pPr>
    <w:rPr>
      <w:rFonts w:hint="eastAsia" w:ascii="宋体" w:hAnsi="宋体"/>
      <w:sz w:val="18"/>
      <w:szCs w:val="18"/>
    </w:rPr>
  </w:style>
  <w:style w:type="paragraph" w:styleId="1053">
    <w:name w:val=" Char Char Char Char"/>
    <w:basedOn w:val="986"/>
    <w:next w:val="1053"/>
    <w:link w:val="961"/>
    <w:pPr>
      <w:spacing w:line="360" w:lineRule="auto"/>
    </w:pPr>
    <w:rPr>
      <w:rFonts w:ascii="Tahoma" w:hAnsi="Tahoma"/>
      <w:sz w:val="24"/>
      <w:szCs w:val="24"/>
    </w:rPr>
  </w:style>
  <w:style w:type="paragraph" w:styleId="1054">
    <w:name w:val="列出段落"/>
    <w:basedOn w:val="961"/>
    <w:next w:val="1054"/>
    <w:link w:val="961"/>
    <w:qFormat/>
    <w:pPr>
      <w:contextualSpacing/>
      <w:ind w:left="720"/>
      <w:jc w:val="left"/>
      <w:widowControl/>
    </w:pPr>
    <w:rPr>
      <w:rFonts w:ascii="Calibri" w:hAnsi="Calibri"/>
      <w:sz w:val="24"/>
      <w:szCs w:val="24"/>
      <w:lang w:eastAsia="en-US" w:bidi="en-US"/>
    </w:rPr>
  </w:style>
  <w:style w:type="paragraph" w:styleId="1055">
    <w:name w:val="4"/>
    <w:basedOn w:val="961"/>
    <w:next w:val="1016"/>
    <w:link w:val="961"/>
    <w:pPr>
      <w:ind w:firstLine="420"/>
      <w:spacing w:line="360" w:lineRule="auto"/>
    </w:pPr>
    <w:rPr>
      <w:color w:val="ff0000"/>
      <w:sz w:val="24"/>
      <w:szCs w:val="24"/>
    </w:rPr>
  </w:style>
  <w:style w:type="paragraph" w:styleId="1056">
    <w:name w:val="普通 (Web)"/>
    <w:basedOn w:val="961"/>
    <w:next w:val="1056"/>
    <w:link w:val="961"/>
    <w:pPr>
      <w:jc w:val="left"/>
      <w:spacing w:before="100" w:beforeAutospacing="1" w:after="100" w:afterAutospacing="1"/>
      <w:widowControl/>
    </w:pPr>
    <w:rPr>
      <w:rFonts w:ascii="宋体" w:hAnsi="宋体"/>
      <w:sz w:val="24"/>
      <w:szCs w:val="24"/>
    </w:rPr>
  </w:style>
  <w:style w:type="paragraph" w:styleId="1057">
    <w:name w:val=" Char Char Char Char Char Char Char Char Char Char"/>
    <w:basedOn w:val="961"/>
    <w:next w:val="1057"/>
    <w:link w:val="961"/>
    <w:pPr>
      <w:spacing w:line="360" w:lineRule="auto"/>
    </w:pPr>
    <w:rPr>
      <w:sz w:val="24"/>
      <w:szCs w:val="20"/>
    </w:rPr>
  </w:style>
  <w:style w:type="paragraph" w:styleId="1058">
    <w:name w:val="样式1"/>
    <w:basedOn w:val="961"/>
    <w:next w:val="1058"/>
    <w:link w:val="961"/>
    <w:pPr>
      <w:numPr>
        <w:ilvl w:val="0"/>
        <w:numId w:val="3"/>
      </w:numPr>
      <w:tabs>
        <w:tab w:val="left" w:pos="709" w:leader="none"/>
      </w:tabs>
    </w:pPr>
    <w:rPr>
      <w:rFonts w:ascii="宋体" w:hAnsi="宋体"/>
    </w:rPr>
  </w:style>
  <w:style w:type="paragraph" w:styleId="1059">
    <w:name w:val="font6"/>
    <w:basedOn w:val="961"/>
    <w:next w:val="1059"/>
    <w:link w:val="961"/>
    <w:pPr>
      <w:jc w:val="left"/>
      <w:spacing w:before="100" w:beforeAutospacing="1" w:after="100" w:afterAutospacing="1"/>
      <w:widowControl/>
    </w:pPr>
    <w:rPr>
      <w:rFonts w:hint="eastAsia" w:ascii="宋体" w:hAnsi="宋体"/>
      <w:sz w:val="28"/>
      <w:szCs w:val="28"/>
      <w:u w:val="single"/>
    </w:rPr>
  </w:style>
  <w:style w:type="paragraph" w:styleId="1060">
    <w:name w:val="xl25"/>
    <w:basedOn w:val="961"/>
    <w:next w:val="1060"/>
    <w:link w:val="96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1">
    <w:name w:val="图标"/>
    <w:basedOn w:val="961"/>
    <w:next w:val="961"/>
    <w:link w:val="96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2">
    <w:name w:val="标题3"/>
    <w:basedOn w:val="961"/>
    <w:next w:val="961"/>
    <w:link w:val="961"/>
    <w:pPr>
      <w:ind w:firstLine="624"/>
      <w:spacing w:line="590" w:lineRule="atLeast"/>
    </w:pPr>
    <w:rPr>
      <w:rFonts w:ascii="方正黑体_GBK" w:eastAsia="方正黑体_GBK"/>
      <w:sz w:val="32"/>
      <w:szCs w:val="32"/>
    </w:rPr>
  </w:style>
  <w:style w:type="paragraph" w:styleId="1063">
    <w:name w:val="xl24"/>
    <w:basedOn w:val="961"/>
    <w:next w:val="1063"/>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name w:val="xl29"/>
    <w:basedOn w:val="961"/>
    <w:next w:val="1064"/>
    <w:link w:val="96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5">
    <w:name w:val="Char Char Char Char Char Char Char Char"/>
    <w:basedOn w:val="961"/>
    <w:next w:val="1065"/>
    <w:link w:val="961"/>
    <w:pPr>
      <w:jc w:val="left"/>
      <w:spacing w:after="160" w:line="240" w:lineRule="exact"/>
      <w:widowControl/>
    </w:pPr>
    <w:rPr>
      <w:rFonts w:ascii="Verdana" w:hAnsi="Verdana"/>
      <w:sz w:val="20"/>
      <w:szCs w:val="20"/>
      <w:lang w:eastAsia="en-US"/>
    </w:rPr>
  </w:style>
  <w:style w:type="paragraph" w:styleId="1066">
    <w:name w:val="xl28"/>
    <w:basedOn w:val="961"/>
    <w:next w:val="1066"/>
    <w:link w:val="9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7">
    <w:name w:val=" Char Char Char Char Char Char Char Char"/>
    <w:basedOn w:val="961"/>
    <w:next w:val="1067"/>
    <w:link w:val="961"/>
    <w:pPr>
      <w:jc w:val="left"/>
      <w:spacing w:after="160" w:line="240" w:lineRule="exact"/>
      <w:widowControl/>
    </w:pPr>
    <w:rPr>
      <w:rFonts w:ascii="Verdana" w:hAnsi="Verdana"/>
      <w:sz w:val="20"/>
      <w:szCs w:val="20"/>
      <w:lang w:eastAsia="en-US"/>
    </w:rPr>
  </w:style>
  <w:style w:type="paragraph" w:styleId="1068">
    <w:name w:val="xl30"/>
    <w:basedOn w:val="961"/>
    <w:next w:val="1068"/>
    <w:link w:val="961"/>
    <w:pPr>
      <w:jc w:val="center"/>
      <w:spacing w:before="100" w:beforeAutospacing="1" w:after="100" w:afterAutospacing="1"/>
      <w:widowControl/>
    </w:pPr>
    <w:rPr>
      <w:rFonts w:ascii="宋体" w:hAnsi="宋体"/>
      <w:b/>
      <w:bCs/>
      <w:sz w:val="36"/>
      <w:szCs w:val="36"/>
    </w:rPr>
  </w:style>
  <w:style w:type="paragraph" w:styleId="1069">
    <w:name w:val="Char Char Char Char"/>
    <w:basedOn w:val="986"/>
    <w:next w:val="1069"/>
    <w:link w:val="961"/>
    <w:pPr>
      <w:spacing w:line="360" w:lineRule="auto"/>
    </w:pPr>
    <w:rPr>
      <w:rFonts w:ascii="Tahoma" w:hAnsi="Tahoma"/>
      <w:sz w:val="24"/>
      <w:szCs w:val="24"/>
    </w:rPr>
  </w:style>
  <w:style w:type="paragraph" w:styleId="1070">
    <w:name w:val="table_1stline"/>
    <w:basedOn w:val="961"/>
    <w:next w:val="1070"/>
    <w:link w:val="961"/>
    <w:pPr>
      <w:jc w:val="left"/>
      <w:spacing w:before="120"/>
      <w:widowControl/>
    </w:pPr>
    <w:rPr>
      <w:bCs/>
      <w:sz w:val="20"/>
      <w:szCs w:val="20"/>
      <w:lang w:val="de-DE" w:eastAsia="de-DE"/>
    </w:rPr>
  </w:style>
  <w:style w:type="paragraph" w:styleId="1071">
    <w:name w:val="font5"/>
    <w:basedOn w:val="961"/>
    <w:next w:val="1071"/>
    <w:link w:val="961"/>
    <w:pPr>
      <w:jc w:val="left"/>
      <w:spacing w:before="100" w:beforeAutospacing="1" w:after="100" w:afterAutospacing="1"/>
      <w:widowControl/>
    </w:pPr>
    <w:rPr>
      <w:rFonts w:hint="eastAsia" w:ascii="宋体" w:hAnsi="宋体"/>
      <w:sz w:val="28"/>
      <w:szCs w:val="28"/>
    </w:rPr>
  </w:style>
  <w:style w:type="paragraph" w:styleId="1072">
    <w:name w:val="标题1"/>
    <w:basedOn w:val="961"/>
    <w:next w:val="961"/>
    <w:link w:val="96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3">
    <w:name w:val="修订"/>
    <w:next w:val="1073"/>
    <w:link w:val="961"/>
    <w:uiPriority w:val="99"/>
    <w:semiHidden/>
    <w:rPr>
      <w:rFonts w:ascii="Times New Roman" w:hAnsi="Times New Roman"/>
      <w:sz w:val="21"/>
      <w:szCs w:val="21"/>
      <w:lang w:val="en-US" w:eastAsia="zh-CN" w:bidi="ar-SA"/>
    </w:rPr>
  </w:style>
  <w:style w:type="paragraph" w:styleId="1074">
    <w:name w:val="无间隔"/>
    <w:next w:val="1074"/>
    <w:link w:val="961"/>
    <w:uiPriority w:val="99"/>
    <w:qFormat/>
    <w:pPr>
      <w:jc w:val="both"/>
      <w:widowControl w:val="off"/>
    </w:pPr>
    <w:rPr>
      <w:rFonts w:ascii="Times New Roman" w:hAnsi="Times New Roman"/>
      <w:sz w:val="21"/>
      <w:szCs w:val="21"/>
      <w:lang w:val="en-US" w:eastAsia="zh-CN" w:bidi="ar-SA"/>
    </w:rPr>
  </w:style>
  <w:style w:type="paragraph" w:styleId="1075">
    <w:name w:val="纯文本1"/>
    <w:basedOn w:val="961"/>
    <w:next w:val="1075"/>
    <w:link w:val="1076"/>
    <w:qFormat/>
    <w:rPr>
      <w:rFonts w:ascii="宋体" w:hAnsi="Courier New"/>
    </w:rPr>
  </w:style>
  <w:style w:type="character" w:styleId="1076">
    <w:name w:val="纯文本 Char"/>
    <w:next w:val="1076"/>
    <w:link w:val="1075"/>
    <w:qFormat/>
    <w:rPr>
      <w:rFonts w:ascii="宋体" w:hAnsi="Courier New" w:cs="Courier New"/>
      <w:sz w:val="21"/>
      <w:szCs w:val="21"/>
    </w:rPr>
  </w:style>
  <w:style w:type="paragraph" w:styleId="1077">
    <w:name w:val="标题11"/>
    <w:basedOn w:val="961"/>
    <w:next w:val="961"/>
    <w:link w:val="961"/>
    <w:qFormat/>
    <w:pPr>
      <w:jc w:val="left"/>
      <w:spacing w:line="360" w:lineRule="auto"/>
      <w:outlineLvl w:val="2"/>
    </w:pPr>
    <w:rPr>
      <w:rFonts w:ascii="宋体" w:hAnsi="宋体"/>
      <w:b/>
      <w:bCs/>
      <w:sz w:val="28"/>
      <w:szCs w:val="32"/>
    </w:rPr>
  </w:style>
  <w:style w:type="character" w:styleId="1078" w:default="1">
    <w:name w:val="Default Paragraph Font"/>
    <w:uiPriority w:val="1"/>
    <w:semiHidden/>
    <w:unhideWhenUsed/>
  </w:style>
  <w:style w:type="numbering" w:styleId="1079" w:default="1">
    <w:name w:val="No List"/>
    <w:uiPriority w:val="99"/>
    <w:semiHidden/>
    <w:unhideWhenUsed/>
  </w:style>
  <w:style w:type="table" w:styleId="10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10</cp:revision>
  <dcterms:created xsi:type="dcterms:W3CDTF">2026-07-27T03:17:00Z</dcterms:created>
  <dcterms:modified xsi:type="dcterms:W3CDTF">2026-07-30T01:56:57Z</dcterms:modified>
</cp:coreProperties>
</file>