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73D53A">
      <w:pPr>
        <w:pStyle w:val="3"/>
        <w:ind w:left="0" w:leftChars="0" w:firstLine="0" w:firstLineChars="0"/>
        <w:rPr>
          <w:rFonts w:hint="eastAsia" w:ascii="仿宋_GB2312" w:hAnsi="仿宋_GB2312" w:eastAsia="仿宋_GB2312" w:cs="仿宋_GB2312"/>
          <w:color w:val="auto"/>
          <w:sz w:val="36"/>
          <w:highlight w:val="none"/>
        </w:rPr>
      </w:pPr>
      <w:bookmarkStart w:id="0" w:name="_Toc120614210"/>
      <w:bookmarkStart w:id="1" w:name="_Toc523127445"/>
      <w:bookmarkStart w:id="2" w:name="_Toc16938516"/>
      <w:bookmarkStart w:id="3" w:name="_Toc479757206"/>
      <w:bookmarkStart w:id="4" w:name="_Toc20823272"/>
      <w:bookmarkStart w:id="5" w:name="_Toc513029200"/>
    </w:p>
    <w:p w14:paraId="563BFA20">
      <w:pPr>
        <w:pStyle w:val="3"/>
        <w:ind w:left="1260"/>
        <w:rPr>
          <w:rFonts w:hint="eastAsia" w:ascii="仿宋_GB2312" w:hAnsi="仿宋_GB2312" w:eastAsia="仿宋_GB2312" w:cs="仿宋_GB2312"/>
          <w:color w:val="auto"/>
          <w:highlight w:val="none"/>
        </w:rPr>
      </w:pPr>
    </w:p>
    <w:p w14:paraId="035F7928">
      <w:pPr>
        <w:jc w:val="center"/>
        <w:rPr>
          <w:rFonts w:hint="eastAsia" w:ascii="Times New Roman" w:hAnsi="Times New Roman" w:eastAsia="宋体" w:cs="Times New Roman"/>
          <w:b/>
          <w:kern w:val="2"/>
          <w:sz w:val="84"/>
          <w:highlight w:val="none"/>
          <w:lang w:val="en-US" w:bidi="ar-SA"/>
        </w:rPr>
      </w:pPr>
      <w:r>
        <w:rPr>
          <w:rFonts w:hint="eastAsia" w:ascii="Times New Roman" w:hAnsi="Times New Roman" w:eastAsia="宋体" w:cs="Times New Roman"/>
          <w:b/>
          <w:kern w:val="2"/>
          <w:sz w:val="84"/>
          <w:highlight w:val="none"/>
          <w:lang w:val="en-US" w:bidi="ar-SA"/>
        </w:rPr>
        <w:t>招 标 文 件</w:t>
      </w:r>
    </w:p>
    <w:p w14:paraId="19D6EA97">
      <w:pPr>
        <w:rPr>
          <w:rFonts w:hint="default" w:ascii="Times New Roman" w:hAnsi="Times New Roman" w:eastAsia="黑体" w:cs="Times New Roman"/>
          <w:b/>
          <w:kern w:val="2"/>
          <w:sz w:val="32"/>
          <w:highlight w:val="none"/>
          <w:lang w:val="en-US" w:bidi="ar-SA"/>
        </w:rPr>
      </w:pPr>
      <w:r>
        <w:rPr>
          <w:rFonts w:hint="eastAsia" w:ascii="Times New Roman" w:hAnsi="Times New Roman" w:eastAsia="黑体" w:cs="Times New Roman"/>
          <w:b/>
          <w:kern w:val="2"/>
          <w:sz w:val="32"/>
          <w:highlight w:val="none"/>
          <w:lang w:val="en-US" w:bidi="ar-SA"/>
        </w:rPr>
        <w:t xml:space="preserve">  </w:t>
      </w:r>
    </w:p>
    <w:p w14:paraId="0F02A335">
      <w:pPr>
        <w:jc w:val="center"/>
        <w:rPr>
          <w:rFonts w:hint="eastAsia" w:ascii="Times New Roman" w:hAnsi="Times New Roman" w:eastAsia="黑体" w:cs="Times New Roman"/>
          <w:b/>
          <w:kern w:val="2"/>
          <w:sz w:val="32"/>
          <w:highlight w:val="none"/>
          <w:lang w:val="en-US" w:bidi="ar-SA"/>
        </w:rPr>
      </w:pPr>
    </w:p>
    <w:p w14:paraId="403A9A2B">
      <w:pPr>
        <w:jc w:val="center"/>
        <w:rPr>
          <w:rFonts w:hint="eastAsia" w:ascii="Times New Roman" w:hAnsi="Times New Roman" w:eastAsia="黑体" w:cs="Times New Roman"/>
          <w:b/>
          <w:kern w:val="2"/>
          <w:sz w:val="32"/>
          <w:highlight w:val="none"/>
          <w:lang w:val="en-US" w:bidi="ar-SA"/>
        </w:rPr>
      </w:pPr>
    </w:p>
    <w:p w14:paraId="124E8AF9">
      <w:pPr>
        <w:widowControl w:val="0"/>
        <w:spacing w:line="360" w:lineRule="auto"/>
        <w:ind w:firstLine="0" w:firstLineChars="0"/>
        <w:jc w:val="both"/>
        <w:rPr>
          <w:rFonts w:hint="eastAsia" w:ascii="仿宋_GB2312" w:hAnsi="Times New Roman" w:eastAsia="仿宋_GB2312" w:cs="Times New Roman"/>
          <w:kern w:val="2"/>
          <w:sz w:val="30"/>
          <w:szCs w:val="30"/>
          <w:highlight w:val="none"/>
          <w:lang w:val="en-US" w:eastAsia="zh-CN" w:bidi="ar-SA"/>
        </w:rPr>
      </w:pPr>
    </w:p>
    <w:p w14:paraId="3964B9E3">
      <w:pPr>
        <w:widowControl w:val="0"/>
        <w:spacing w:line="360" w:lineRule="auto"/>
        <w:ind w:firstLine="0" w:firstLineChars="0"/>
        <w:jc w:val="both"/>
        <w:rPr>
          <w:rFonts w:hint="eastAsia" w:ascii="仿宋_GB2312" w:hAnsi="Times New Roman" w:eastAsia="仿宋_GB2312" w:cs="Times New Roman"/>
          <w:kern w:val="2"/>
          <w:sz w:val="30"/>
          <w:szCs w:val="30"/>
          <w:highlight w:val="none"/>
          <w:lang w:val="en-US" w:eastAsia="zh-CN" w:bidi="ar-SA"/>
        </w:rPr>
      </w:pPr>
    </w:p>
    <w:p w14:paraId="1AE25399">
      <w:pPr>
        <w:widowControl w:val="0"/>
        <w:spacing w:line="360" w:lineRule="auto"/>
        <w:ind w:firstLine="0" w:firstLineChars="0"/>
        <w:jc w:val="both"/>
        <w:rPr>
          <w:rFonts w:hint="eastAsia" w:ascii="仿宋_GB2312" w:hAnsi="Times New Roman" w:eastAsia="仿宋_GB2312" w:cs="Times New Roman"/>
          <w:kern w:val="2"/>
          <w:sz w:val="30"/>
          <w:szCs w:val="30"/>
          <w:highlight w:val="none"/>
          <w:lang w:val="en-US" w:eastAsia="zh-CN" w:bidi="ar-SA"/>
        </w:rPr>
      </w:pPr>
    </w:p>
    <w:p w14:paraId="0B6FBD80">
      <w:pPr>
        <w:jc w:val="center"/>
        <w:rPr>
          <w:rFonts w:hint="eastAsia" w:ascii="宋体" w:hAnsi="Times New Roman" w:eastAsia="宋体" w:cs="Times New Roman"/>
          <w:b/>
          <w:kern w:val="2"/>
          <w:sz w:val="36"/>
          <w:szCs w:val="36"/>
          <w:highlight w:val="none"/>
          <w:lang w:val="en-US" w:eastAsia="zh-CN" w:bidi="ar-SA"/>
        </w:rPr>
      </w:pPr>
      <w:r>
        <w:rPr>
          <w:rFonts w:hint="eastAsia" w:ascii="宋体" w:hAnsi="Times New Roman" w:eastAsia="宋体" w:cs="Times New Roman"/>
          <w:b/>
          <w:kern w:val="2"/>
          <w:sz w:val="36"/>
          <w:szCs w:val="36"/>
          <w:highlight w:val="none"/>
          <w:lang w:val="en-US" w:bidi="ar-SA"/>
        </w:rPr>
        <w:t>项目编</w:t>
      </w:r>
      <w:r>
        <w:rPr>
          <w:rFonts w:hint="eastAsia" w:ascii="宋体" w:hAnsi="宋体" w:eastAsia="宋体" w:cs="宋体"/>
          <w:b/>
          <w:kern w:val="2"/>
          <w:sz w:val="36"/>
          <w:szCs w:val="36"/>
          <w:highlight w:val="none"/>
          <w:lang w:val="en-US" w:eastAsia="zh-CN" w:bidi="ar-SA"/>
        </w:rPr>
        <w:t>号：</w:t>
      </w:r>
      <w:r>
        <w:rPr>
          <w:rFonts w:hint="eastAsia" w:ascii="宋体" w:hAnsi="Times New Roman" w:eastAsia="宋体" w:cs="Times New Roman"/>
          <w:b/>
          <w:kern w:val="2"/>
          <w:sz w:val="36"/>
          <w:szCs w:val="36"/>
          <w:highlight w:val="none"/>
          <w:lang w:val="en-US" w:bidi="ar-SA"/>
        </w:rPr>
        <w:t>JSZC-320904-RHHH-G2026-0041</w:t>
      </w:r>
    </w:p>
    <w:p w14:paraId="4AEDACA8">
      <w:pPr>
        <w:ind w:firstLine="2692" w:firstLineChars="745"/>
        <w:rPr>
          <w:rFonts w:hint="eastAsia" w:ascii="宋体" w:hAnsi="Times New Roman" w:eastAsia="宋体" w:cs="Times New Roman"/>
          <w:b/>
          <w:kern w:val="2"/>
          <w:sz w:val="36"/>
          <w:szCs w:val="36"/>
          <w:highlight w:val="none"/>
          <w:lang w:val="en-US" w:bidi="ar-SA"/>
        </w:rPr>
      </w:pPr>
    </w:p>
    <w:p w14:paraId="35AB61D4">
      <w:pPr>
        <w:jc w:val="center"/>
        <w:rPr>
          <w:rFonts w:hint="eastAsia" w:ascii="宋体" w:hAnsi="Times New Roman" w:eastAsia="宋体" w:cs="Times New Roman"/>
          <w:b/>
          <w:kern w:val="2"/>
          <w:sz w:val="36"/>
          <w:szCs w:val="36"/>
          <w:highlight w:val="none"/>
          <w:lang w:val="en-US" w:bidi="ar-SA"/>
        </w:rPr>
      </w:pPr>
    </w:p>
    <w:p w14:paraId="774A3606">
      <w:pPr>
        <w:jc w:val="center"/>
        <w:rPr>
          <w:rFonts w:hint="eastAsia" w:ascii="宋体" w:hAnsi="Times New Roman" w:eastAsia="宋体" w:cs="Times New Roman"/>
          <w:b/>
          <w:kern w:val="2"/>
          <w:sz w:val="36"/>
          <w:szCs w:val="36"/>
          <w:highlight w:val="none"/>
          <w:lang w:val="en-US" w:bidi="ar-SA"/>
        </w:rPr>
      </w:pPr>
      <w:r>
        <w:rPr>
          <w:rFonts w:hint="eastAsia" w:ascii="宋体" w:hAnsi="Times New Roman" w:eastAsia="宋体" w:cs="Times New Roman"/>
          <w:b/>
          <w:kern w:val="2"/>
          <w:sz w:val="36"/>
          <w:szCs w:val="36"/>
          <w:highlight w:val="none"/>
          <w:lang w:val="en-US" w:bidi="ar-SA"/>
        </w:rPr>
        <w:t>项</w:t>
      </w:r>
      <w:r>
        <w:rPr>
          <w:rFonts w:hint="eastAsia" w:ascii="宋体" w:hAnsi="宋体" w:eastAsia="宋体" w:cs="宋体"/>
          <w:b/>
          <w:kern w:val="2"/>
          <w:sz w:val="36"/>
          <w:szCs w:val="36"/>
          <w:highlight w:val="none"/>
          <w:lang w:val="en-US" w:bidi="ar-SA"/>
        </w:rPr>
        <w:t>目名称：</w:t>
      </w:r>
      <w:r>
        <w:rPr>
          <w:rFonts w:hint="eastAsia" w:ascii="宋体" w:hAnsi="宋体" w:eastAsia="宋体" w:cs="宋体"/>
          <w:b/>
          <w:kern w:val="2"/>
          <w:sz w:val="36"/>
          <w:szCs w:val="36"/>
          <w:highlight w:val="none"/>
          <w:lang w:val="en-US" w:eastAsia="zh-CN" w:bidi="ar-SA"/>
        </w:rPr>
        <w:t>大丰港化工园区安全监管第三方技术服务项目（2026-2027）</w:t>
      </w:r>
    </w:p>
    <w:p w14:paraId="7AE9D148">
      <w:pPr>
        <w:rPr>
          <w:rFonts w:hint="eastAsia" w:ascii="宋体" w:hAnsi="Times New Roman" w:eastAsia="宋体" w:cs="Times New Roman"/>
          <w:b/>
          <w:kern w:val="2"/>
          <w:sz w:val="32"/>
          <w:highlight w:val="none"/>
          <w:lang w:val="en-US" w:bidi="ar-SA"/>
        </w:rPr>
      </w:pPr>
    </w:p>
    <w:p w14:paraId="6AE3C2AC">
      <w:pPr>
        <w:rPr>
          <w:rFonts w:hint="eastAsia" w:ascii="宋体" w:hAnsi="Times New Roman" w:eastAsia="宋体" w:cs="Times New Roman"/>
          <w:b/>
          <w:kern w:val="2"/>
          <w:sz w:val="32"/>
          <w:highlight w:val="none"/>
          <w:lang w:val="en-US" w:bidi="ar-SA"/>
        </w:rPr>
      </w:pPr>
    </w:p>
    <w:p w14:paraId="06B7CE93">
      <w:pPr>
        <w:rPr>
          <w:rFonts w:hint="eastAsia" w:ascii="宋体" w:hAnsi="Times New Roman" w:eastAsia="宋体" w:cs="Times New Roman"/>
          <w:b/>
          <w:kern w:val="2"/>
          <w:sz w:val="32"/>
          <w:highlight w:val="none"/>
          <w:lang w:val="en-US" w:bidi="ar-SA"/>
        </w:rPr>
      </w:pPr>
    </w:p>
    <w:p w14:paraId="3E79C6FC">
      <w:pPr>
        <w:rPr>
          <w:rFonts w:hint="eastAsia" w:ascii="Times New Roman" w:hAnsi="Times New Roman" w:eastAsia="宋体" w:cs="Times New Roman"/>
          <w:kern w:val="2"/>
          <w:highlight w:val="none"/>
          <w:lang w:val="en-US" w:bidi="ar-SA"/>
        </w:rPr>
      </w:pPr>
    </w:p>
    <w:p w14:paraId="7D9F7659">
      <w:pPr>
        <w:widowControl w:val="0"/>
        <w:spacing w:line="360" w:lineRule="auto"/>
        <w:ind w:firstLine="600" w:firstLineChars="200"/>
        <w:jc w:val="both"/>
        <w:rPr>
          <w:rFonts w:hint="eastAsia" w:ascii="仿宋_GB2312" w:hAnsi="Times New Roman" w:eastAsia="仿宋_GB2312" w:cs="Times New Roman"/>
          <w:kern w:val="2"/>
          <w:sz w:val="30"/>
          <w:szCs w:val="30"/>
          <w:highlight w:val="none"/>
          <w:lang w:val="en-US" w:eastAsia="zh-CN" w:bidi="ar-SA"/>
        </w:rPr>
      </w:pPr>
    </w:p>
    <w:p w14:paraId="3D403578">
      <w:pPr>
        <w:rPr>
          <w:rFonts w:hint="eastAsia" w:ascii="Times New Roman" w:hAnsi="Times New Roman" w:eastAsia="宋体" w:cs="Times New Roman"/>
          <w:kern w:val="2"/>
          <w:highlight w:val="none"/>
          <w:lang w:val="en-US" w:bidi="ar-SA"/>
        </w:rPr>
      </w:pPr>
    </w:p>
    <w:p w14:paraId="28DA012A">
      <w:pPr>
        <w:rPr>
          <w:rFonts w:hint="eastAsia" w:ascii="Times New Roman" w:hAnsi="Times New Roman" w:eastAsia="宋体" w:cs="Times New Roman"/>
          <w:kern w:val="2"/>
          <w:highlight w:val="none"/>
          <w:lang w:val="en-US" w:bidi="ar-SA"/>
        </w:rPr>
      </w:pPr>
    </w:p>
    <w:p w14:paraId="4FE4356E">
      <w:pPr>
        <w:rPr>
          <w:rFonts w:hint="eastAsia" w:ascii="Times New Roman" w:hAnsi="Times New Roman" w:eastAsia="宋体" w:cs="Times New Roman"/>
          <w:kern w:val="2"/>
          <w:highlight w:val="none"/>
          <w:lang w:val="en-US" w:bidi="ar-SA"/>
        </w:rPr>
      </w:pPr>
    </w:p>
    <w:p w14:paraId="211B08A9">
      <w:pPr>
        <w:rPr>
          <w:rFonts w:hint="eastAsia" w:ascii="Times New Roman" w:hAnsi="Times New Roman" w:eastAsia="宋体" w:cs="Times New Roman"/>
          <w:kern w:val="2"/>
          <w:highlight w:val="none"/>
          <w:lang w:val="en-US" w:bidi="ar-SA"/>
        </w:rPr>
      </w:pPr>
    </w:p>
    <w:p w14:paraId="1518778B">
      <w:pPr>
        <w:rPr>
          <w:rFonts w:hint="eastAsia" w:ascii="Times New Roman" w:hAnsi="Times New Roman" w:eastAsia="宋体" w:cs="Times New Roman"/>
          <w:kern w:val="2"/>
          <w:highlight w:val="none"/>
          <w:lang w:val="en-US" w:bidi="ar-SA"/>
        </w:rPr>
      </w:pPr>
    </w:p>
    <w:p w14:paraId="3FF540DD">
      <w:pPr>
        <w:rPr>
          <w:rFonts w:hint="eastAsia" w:ascii="Times New Roman" w:hAnsi="Times New Roman" w:eastAsia="宋体" w:cs="Times New Roman"/>
          <w:kern w:val="2"/>
          <w:highlight w:val="none"/>
          <w:lang w:val="en-US" w:bidi="ar-SA"/>
        </w:rPr>
      </w:pPr>
    </w:p>
    <w:p w14:paraId="73C13200">
      <w:pPr>
        <w:autoSpaceDE w:val="0"/>
        <w:autoSpaceDN/>
        <w:spacing w:line="360" w:lineRule="auto"/>
        <w:ind w:firstLine="1446" w:firstLineChars="400"/>
        <w:jc w:val="both"/>
        <w:rPr>
          <w:rFonts w:hint="eastAsia" w:ascii="宋体" w:hAnsi="宋体" w:eastAsia="宋体" w:cs="宋体"/>
          <w:snapToGrid w:val="0"/>
          <w:kern w:val="2"/>
          <w:sz w:val="24"/>
          <w:szCs w:val="24"/>
          <w:highlight w:val="none"/>
          <w:lang w:val="en-US" w:eastAsia="zh-CN" w:bidi="ar-SA"/>
        </w:rPr>
      </w:pPr>
      <w:r>
        <w:rPr>
          <w:rFonts w:hint="eastAsia" w:ascii="宋体" w:hAnsi="宋体" w:eastAsia="宋体" w:cs="宋体"/>
          <w:b/>
          <w:bCs/>
          <w:kern w:val="2"/>
          <w:sz w:val="36"/>
          <w:szCs w:val="36"/>
          <w:highlight w:val="none"/>
          <w:lang w:val="en-US" w:eastAsia="zh-CN" w:bidi="ar-SA"/>
        </w:rPr>
        <w:t>江苏大丰港经济开发区管理委员会</w:t>
      </w:r>
    </w:p>
    <w:p w14:paraId="349FF873">
      <w:pPr>
        <w:spacing w:before="120" w:after="120" w:line="700" w:lineRule="exact"/>
        <w:jc w:val="center"/>
        <w:rPr>
          <w:rFonts w:hint="eastAsia" w:ascii="宋体" w:hAnsi="宋体" w:eastAsia="宋体" w:cs="宋体"/>
          <w:b/>
          <w:bCs/>
          <w:kern w:val="2"/>
          <w:sz w:val="36"/>
          <w:szCs w:val="36"/>
          <w:highlight w:val="none"/>
          <w:lang w:val="en-US" w:bidi="ar-SA"/>
        </w:rPr>
      </w:pPr>
      <w:r>
        <w:rPr>
          <w:rFonts w:hint="eastAsia" w:ascii="宋体" w:hAnsi="宋体" w:eastAsia="宋体" w:cs="宋体"/>
          <w:b/>
          <w:bCs/>
          <w:kern w:val="2"/>
          <w:sz w:val="36"/>
          <w:szCs w:val="36"/>
          <w:highlight w:val="none"/>
          <w:lang w:val="en-US" w:bidi="ar-SA"/>
        </w:rPr>
        <w:t>江苏仁禾中衡工程咨询房地产估价有限公司</w:t>
      </w:r>
    </w:p>
    <w:p w14:paraId="060E2972">
      <w:pPr>
        <w:spacing w:before="120" w:after="120" w:line="700" w:lineRule="exact"/>
        <w:jc w:val="center"/>
        <w:rPr>
          <w:rFonts w:hint="default" w:ascii="宋体" w:hAnsi="宋体" w:eastAsia="宋体" w:cs="宋体"/>
          <w:b/>
          <w:bCs/>
          <w:kern w:val="2"/>
          <w:sz w:val="36"/>
          <w:szCs w:val="36"/>
          <w:highlight w:val="none"/>
          <w:lang w:val="en-US" w:bidi="ar-SA"/>
        </w:rPr>
      </w:pPr>
      <w:r>
        <w:rPr>
          <w:rFonts w:hint="eastAsia" w:ascii="宋体" w:hAnsi="宋体" w:eastAsia="宋体" w:cs="宋体"/>
          <w:b/>
          <w:bCs/>
          <w:kern w:val="2"/>
          <w:sz w:val="36"/>
          <w:szCs w:val="36"/>
          <w:highlight w:val="none"/>
          <w:lang w:val="en-US" w:eastAsia="zh-CN" w:bidi="ar-SA"/>
        </w:rPr>
        <w:t>2026</w:t>
      </w:r>
      <w:r>
        <w:rPr>
          <w:rFonts w:hint="eastAsia" w:ascii="宋体" w:hAnsi="宋体" w:eastAsia="宋体" w:cs="宋体"/>
          <w:b/>
          <w:bCs/>
          <w:kern w:val="2"/>
          <w:sz w:val="36"/>
          <w:szCs w:val="36"/>
          <w:highlight w:val="none"/>
          <w:lang w:val="en-US" w:bidi="ar-SA"/>
        </w:rPr>
        <w:t>年</w:t>
      </w:r>
      <w:r>
        <w:rPr>
          <w:rFonts w:hint="eastAsia" w:ascii="宋体" w:hAnsi="宋体" w:eastAsia="宋体" w:cs="宋体"/>
          <w:b/>
          <w:bCs/>
          <w:kern w:val="2"/>
          <w:sz w:val="36"/>
          <w:szCs w:val="36"/>
          <w:highlight w:val="none"/>
          <w:lang w:val="en-US" w:eastAsia="zh-CN" w:bidi="ar-SA"/>
        </w:rPr>
        <w:t>7</w:t>
      </w:r>
      <w:r>
        <w:rPr>
          <w:rFonts w:hint="eastAsia" w:ascii="宋体" w:hAnsi="宋体" w:eastAsia="宋体" w:cs="宋体"/>
          <w:b/>
          <w:bCs/>
          <w:kern w:val="2"/>
          <w:sz w:val="36"/>
          <w:szCs w:val="36"/>
          <w:highlight w:val="none"/>
          <w:lang w:val="en-US" w:bidi="ar-SA"/>
        </w:rPr>
        <w:t>月</w:t>
      </w:r>
    </w:p>
    <w:p w14:paraId="0BEA3CD2">
      <w:pPr>
        <w:spacing w:line="480" w:lineRule="auto"/>
        <w:jc w:val="center"/>
        <w:outlineLvl w:val="0"/>
        <w:rPr>
          <w:rFonts w:hint="eastAsia" w:ascii="宋体" w:hAnsi="宋体" w:cs="宋体"/>
          <w:b/>
          <w:bCs/>
          <w:color w:val="auto"/>
          <w:sz w:val="36"/>
          <w:szCs w:val="36"/>
          <w:highlight w:val="none"/>
        </w:rPr>
      </w:pPr>
      <w:r>
        <w:rPr>
          <w:rFonts w:hint="eastAsia" w:ascii="宋体" w:hAnsi="宋体" w:cs="宋体"/>
          <w:b/>
          <w:color w:val="auto"/>
          <w:sz w:val="36"/>
          <w:szCs w:val="36"/>
          <w:highlight w:val="none"/>
        </w:rPr>
        <w:t>总  目  录</w:t>
      </w:r>
    </w:p>
    <w:p w14:paraId="577DC4DB">
      <w:pPr>
        <w:pStyle w:val="8"/>
        <w:ind w:firstLine="0"/>
        <w:rPr>
          <w:rFonts w:hAnsi="Times New Roman" w:cs="Times New Roman"/>
          <w:color w:val="auto"/>
          <w:highlight w:val="none"/>
        </w:rPr>
      </w:pPr>
    </w:p>
    <w:p w14:paraId="41D95798">
      <w:pPr>
        <w:pStyle w:val="6"/>
        <w:tabs>
          <w:tab w:val="right" w:leader="dot" w:pos="9746"/>
          <w:tab w:val="clear" w:pos="8720"/>
        </w:tabs>
        <w:spacing w:line="360" w:lineRule="auto"/>
        <w:rPr>
          <w:rFonts w:hint="eastAsia" w:cs="Times New Roman"/>
          <w:color w:val="auto"/>
          <w:highlight w:val="none"/>
        </w:rPr>
      </w:pPr>
      <w:r>
        <w:rPr>
          <w:rFonts w:eastAsia="宋体" w:cs="Times New Roman"/>
          <w:color w:val="auto"/>
          <w:highlight w:val="none"/>
        </w:rPr>
        <w:fldChar w:fldCharType="begin"/>
      </w:r>
      <w:r>
        <w:rPr>
          <w:rFonts w:cs="Times New Roman"/>
          <w:color w:val="auto"/>
          <w:highlight w:val="none"/>
        </w:rPr>
        <w:instrText xml:space="preserve">TOC \o "1-2" \h \u </w:instrText>
      </w:r>
      <w:r>
        <w:rPr>
          <w:rFonts w:eastAsia="宋体" w:cs="Times New Roman"/>
          <w:color w:val="auto"/>
          <w:highlight w:val="none"/>
        </w:rPr>
        <w:fldChar w:fldCharType="separate"/>
      </w:r>
      <w:r>
        <w:rPr>
          <w:rFonts w:cs="Times New Roman"/>
          <w:color w:val="auto"/>
          <w:highlight w:val="none"/>
        </w:rPr>
        <w:fldChar w:fldCharType="begin"/>
      </w:r>
      <w:r>
        <w:rPr>
          <w:rFonts w:cs="Times New Roman"/>
          <w:color w:val="auto"/>
          <w:highlight w:val="none"/>
        </w:rPr>
        <w:instrText xml:space="preserve"> HYPERLINK \l "_Toc18509" \o "#_Toc18509" </w:instrText>
      </w:r>
      <w:r>
        <w:rPr>
          <w:rFonts w:cs="Times New Roman"/>
          <w:color w:val="auto"/>
          <w:highlight w:val="none"/>
        </w:rPr>
        <w:fldChar w:fldCharType="separate"/>
      </w:r>
      <w:r>
        <w:rPr>
          <w:rFonts w:hint="eastAsia" w:cs="Times New Roman"/>
          <w:color w:val="auto"/>
          <w:highlight w:val="none"/>
        </w:rPr>
        <w:t>第一章 招标公告</w:t>
      </w:r>
      <w:r>
        <w:rPr>
          <w:rFonts w:cs="Times New Roman"/>
          <w:color w:val="auto"/>
          <w:highlight w:val="none"/>
        </w:rPr>
        <w:tab/>
      </w:r>
      <w:r>
        <w:rPr>
          <w:rFonts w:cs="Times New Roman"/>
          <w:color w:val="auto"/>
          <w:highlight w:val="none"/>
        </w:rPr>
        <w:fldChar w:fldCharType="end"/>
      </w:r>
      <w:r>
        <w:rPr>
          <w:rFonts w:hint="eastAsia" w:cs="Times New Roman"/>
          <w:color w:val="auto"/>
          <w:highlight w:val="none"/>
        </w:rPr>
        <w:t>2</w:t>
      </w:r>
    </w:p>
    <w:p w14:paraId="27425B8E">
      <w:pPr>
        <w:pStyle w:val="6"/>
        <w:tabs>
          <w:tab w:val="right" w:leader="dot" w:pos="9746"/>
          <w:tab w:val="clear" w:pos="8720"/>
        </w:tabs>
        <w:spacing w:line="360" w:lineRule="auto"/>
        <w:rPr>
          <w:rFonts w:hint="eastAsia" w:eastAsia="宋体" w:cs="Times New Roman"/>
          <w:color w:val="auto"/>
          <w:highlight w:val="none"/>
          <w:lang w:eastAsia="zh-CN"/>
        </w:rPr>
      </w:pPr>
      <w:r>
        <w:rPr>
          <w:rFonts w:cs="Times New Roman"/>
          <w:color w:val="auto"/>
          <w:highlight w:val="none"/>
        </w:rPr>
        <w:fldChar w:fldCharType="begin"/>
      </w:r>
      <w:r>
        <w:rPr>
          <w:rFonts w:cs="Times New Roman"/>
          <w:color w:val="auto"/>
          <w:highlight w:val="none"/>
        </w:rPr>
        <w:instrText xml:space="preserve"> HYPERLINK \l "_Toc10015" \o "#_Toc10015" </w:instrText>
      </w:r>
      <w:r>
        <w:rPr>
          <w:rFonts w:cs="Times New Roman"/>
          <w:color w:val="auto"/>
          <w:highlight w:val="none"/>
        </w:rPr>
        <w:fldChar w:fldCharType="separate"/>
      </w:r>
      <w:r>
        <w:rPr>
          <w:rFonts w:hint="eastAsia" w:cs="宋体"/>
          <w:color w:val="auto"/>
          <w:highlight w:val="none"/>
        </w:rPr>
        <w:t>第二章 投标须知</w:t>
      </w:r>
      <w:r>
        <w:rPr>
          <w:rFonts w:cs="Times New Roman"/>
          <w:color w:val="auto"/>
          <w:highlight w:val="none"/>
        </w:rPr>
        <w:tab/>
      </w:r>
      <w:r>
        <w:rPr>
          <w:rFonts w:cs="Times New Roman"/>
          <w:color w:val="auto"/>
          <w:highlight w:val="none"/>
        </w:rPr>
        <w:fldChar w:fldCharType="end"/>
      </w:r>
      <w:r>
        <w:rPr>
          <w:rFonts w:hint="eastAsia" w:eastAsia="宋体" w:cs="Times New Roman"/>
          <w:color w:val="auto"/>
          <w:highlight w:val="none"/>
          <w:lang w:val="en-US" w:eastAsia="zh-CN"/>
        </w:rPr>
        <w:t>6</w:t>
      </w:r>
    </w:p>
    <w:p w14:paraId="484A14CA">
      <w:pPr>
        <w:pStyle w:val="6"/>
        <w:tabs>
          <w:tab w:val="right" w:leader="dot" w:pos="9746"/>
          <w:tab w:val="clear" w:pos="8720"/>
        </w:tabs>
        <w:spacing w:line="360" w:lineRule="auto"/>
        <w:rPr>
          <w:rFonts w:hint="eastAsia" w:eastAsia="宋体" w:cs="Times New Roman"/>
          <w:color w:val="auto"/>
          <w:highlight w:val="none"/>
          <w:lang w:val="en-US" w:eastAsia="zh-CN"/>
        </w:rPr>
      </w:pPr>
      <w:r>
        <w:rPr>
          <w:rFonts w:cs="Times New Roman"/>
          <w:color w:val="auto"/>
          <w:highlight w:val="none"/>
        </w:rPr>
        <w:fldChar w:fldCharType="begin"/>
      </w:r>
      <w:r>
        <w:rPr>
          <w:rFonts w:cs="Times New Roman"/>
          <w:color w:val="auto"/>
          <w:highlight w:val="none"/>
        </w:rPr>
        <w:instrText xml:space="preserve"> HYPERLINK \l "_Toc2866" \o "#_Toc2866" </w:instrText>
      </w:r>
      <w:r>
        <w:rPr>
          <w:rFonts w:cs="Times New Roman"/>
          <w:color w:val="auto"/>
          <w:highlight w:val="none"/>
        </w:rPr>
        <w:fldChar w:fldCharType="separate"/>
      </w:r>
      <w:r>
        <w:rPr>
          <w:rFonts w:hint="eastAsia" w:cs="宋体"/>
          <w:color w:val="auto"/>
          <w:highlight w:val="none"/>
        </w:rPr>
        <w:t>第三章 项目需求</w:t>
      </w:r>
      <w:r>
        <w:rPr>
          <w:rFonts w:cs="Times New Roman"/>
          <w:color w:val="auto"/>
          <w:highlight w:val="none"/>
        </w:rPr>
        <w:tab/>
      </w:r>
      <w:r>
        <w:rPr>
          <w:rFonts w:hint="eastAsia" w:eastAsia="宋体" w:cs="Times New Roman"/>
          <w:color w:val="auto"/>
          <w:highlight w:val="none"/>
          <w:lang w:val="en-US" w:eastAsia="zh-CN"/>
        </w:rPr>
        <w:t>2</w:t>
      </w:r>
      <w:r>
        <w:rPr>
          <w:rFonts w:hint="eastAsia" w:cs="Times New Roman"/>
          <w:color w:val="auto"/>
          <w:highlight w:val="none"/>
        </w:rPr>
        <w:fldChar w:fldCharType="end"/>
      </w:r>
      <w:r>
        <w:rPr>
          <w:rFonts w:hint="eastAsia" w:eastAsia="宋体" w:cs="Times New Roman"/>
          <w:color w:val="auto"/>
          <w:highlight w:val="none"/>
          <w:lang w:val="en-US" w:eastAsia="zh-CN"/>
        </w:rPr>
        <w:t>4</w:t>
      </w:r>
    </w:p>
    <w:p w14:paraId="5F43D175">
      <w:pPr>
        <w:pStyle w:val="6"/>
        <w:tabs>
          <w:tab w:val="right" w:leader="dot" w:pos="9746"/>
          <w:tab w:val="clear" w:pos="8720"/>
        </w:tabs>
        <w:spacing w:line="360" w:lineRule="auto"/>
        <w:rPr>
          <w:rFonts w:hint="eastAsia" w:cs="Times New Roman"/>
          <w:color w:val="auto"/>
          <w:highlight w:val="none"/>
        </w:rPr>
      </w:pPr>
      <w:r>
        <w:rPr>
          <w:rFonts w:cs="Times New Roman"/>
          <w:color w:val="auto"/>
          <w:highlight w:val="none"/>
        </w:rPr>
        <w:fldChar w:fldCharType="begin"/>
      </w:r>
      <w:r>
        <w:rPr>
          <w:rFonts w:cs="Times New Roman"/>
          <w:color w:val="auto"/>
          <w:highlight w:val="none"/>
        </w:rPr>
        <w:instrText xml:space="preserve"> HYPERLINK \l "_Toc25848" \o "#_Toc25848" </w:instrText>
      </w:r>
      <w:r>
        <w:rPr>
          <w:rFonts w:cs="Times New Roman"/>
          <w:color w:val="auto"/>
          <w:highlight w:val="none"/>
        </w:rPr>
        <w:fldChar w:fldCharType="separate"/>
      </w:r>
      <w:r>
        <w:rPr>
          <w:rFonts w:hint="eastAsia" w:cs="宋体"/>
          <w:color w:val="auto"/>
          <w:highlight w:val="none"/>
        </w:rPr>
        <w:t>第四章 评标办法及评分标准</w:t>
      </w:r>
      <w:r>
        <w:rPr>
          <w:rFonts w:cs="Times New Roman"/>
          <w:color w:val="auto"/>
          <w:highlight w:val="none"/>
        </w:rPr>
        <w:tab/>
      </w:r>
      <w:r>
        <w:rPr>
          <w:rFonts w:hint="eastAsia" w:eastAsia="宋体" w:cs="Times New Roman"/>
          <w:color w:val="auto"/>
          <w:highlight w:val="none"/>
          <w:lang w:val="en-US" w:eastAsia="zh-CN"/>
        </w:rPr>
        <w:t>2</w:t>
      </w:r>
      <w:r>
        <w:rPr>
          <w:rFonts w:hint="eastAsia" w:cs="Times New Roman"/>
          <w:color w:val="auto"/>
          <w:highlight w:val="none"/>
        </w:rPr>
        <w:fldChar w:fldCharType="end"/>
      </w:r>
      <w:r>
        <w:rPr>
          <w:rFonts w:hint="eastAsia" w:cs="Times New Roman"/>
          <w:color w:val="auto"/>
          <w:highlight w:val="none"/>
        </w:rPr>
        <w:t>9</w:t>
      </w:r>
    </w:p>
    <w:p w14:paraId="53E9EC2A">
      <w:pPr>
        <w:pStyle w:val="6"/>
        <w:tabs>
          <w:tab w:val="right" w:leader="dot" w:pos="9746"/>
          <w:tab w:val="clear" w:pos="8720"/>
        </w:tabs>
        <w:spacing w:line="360" w:lineRule="auto"/>
        <w:rPr>
          <w:rFonts w:hint="default" w:eastAsia="宋体" w:cs="Times New Roman"/>
          <w:color w:val="auto"/>
          <w:highlight w:val="none"/>
          <w:lang w:val="en-US" w:eastAsia="zh-CN"/>
        </w:rPr>
      </w:pPr>
      <w:r>
        <w:rPr>
          <w:rFonts w:cs="Times New Roman"/>
          <w:color w:val="auto"/>
          <w:highlight w:val="none"/>
        </w:rPr>
        <w:fldChar w:fldCharType="begin"/>
      </w:r>
      <w:r>
        <w:rPr>
          <w:rFonts w:cs="Times New Roman"/>
          <w:color w:val="auto"/>
          <w:highlight w:val="none"/>
        </w:rPr>
        <w:instrText xml:space="preserve"> HYPERLINK \l "_Toc15858" \o "#_Toc15858" </w:instrText>
      </w:r>
      <w:r>
        <w:rPr>
          <w:rFonts w:cs="Times New Roman"/>
          <w:color w:val="auto"/>
          <w:highlight w:val="none"/>
        </w:rPr>
        <w:fldChar w:fldCharType="separate"/>
      </w:r>
      <w:r>
        <w:rPr>
          <w:rFonts w:hint="eastAsia" w:cs="Times New Roman"/>
          <w:color w:val="auto"/>
          <w:highlight w:val="none"/>
        </w:rPr>
        <w:t>第五章 合同主要条款</w:t>
      </w:r>
      <w:r>
        <w:rPr>
          <w:rFonts w:cs="Times New Roman"/>
          <w:color w:val="auto"/>
          <w:highlight w:val="none"/>
        </w:rPr>
        <w:tab/>
      </w:r>
      <w:r>
        <w:rPr>
          <w:rFonts w:cs="Times New Roman"/>
          <w:color w:val="auto"/>
          <w:highlight w:val="none"/>
        </w:rPr>
        <w:fldChar w:fldCharType="end"/>
      </w:r>
      <w:r>
        <w:rPr>
          <w:rFonts w:hint="eastAsia" w:eastAsia="宋体" w:cs="Times New Roman"/>
          <w:color w:val="auto"/>
          <w:highlight w:val="none"/>
          <w:lang w:val="en-US" w:eastAsia="zh-CN"/>
        </w:rPr>
        <w:t>37</w:t>
      </w:r>
    </w:p>
    <w:p w14:paraId="3BAD3A76">
      <w:pPr>
        <w:pStyle w:val="6"/>
        <w:tabs>
          <w:tab w:val="right" w:leader="dot" w:pos="9746"/>
          <w:tab w:val="clear" w:pos="8720"/>
        </w:tabs>
        <w:spacing w:line="360" w:lineRule="auto"/>
        <w:rPr>
          <w:rFonts w:hint="eastAsia" w:eastAsia="宋体" w:cs="Times New Roman"/>
          <w:color w:val="auto"/>
          <w:highlight w:val="none"/>
          <w:lang w:val="en-US" w:eastAsia="zh-CN"/>
        </w:rPr>
      </w:pPr>
      <w:r>
        <w:rPr>
          <w:rFonts w:cs="Times New Roman"/>
          <w:color w:val="auto"/>
          <w:highlight w:val="none"/>
        </w:rPr>
        <w:fldChar w:fldCharType="begin"/>
      </w:r>
      <w:r>
        <w:rPr>
          <w:rFonts w:cs="Times New Roman"/>
          <w:color w:val="auto"/>
          <w:highlight w:val="none"/>
        </w:rPr>
        <w:instrText xml:space="preserve"> HYPERLINK \l "_Toc25681" \o "#_Toc25681" </w:instrText>
      </w:r>
      <w:r>
        <w:rPr>
          <w:rFonts w:cs="Times New Roman"/>
          <w:color w:val="auto"/>
          <w:highlight w:val="none"/>
        </w:rPr>
        <w:fldChar w:fldCharType="separate"/>
      </w:r>
      <w:r>
        <w:rPr>
          <w:rFonts w:hint="eastAsia" w:cs="Times New Roman"/>
          <w:color w:val="auto"/>
          <w:highlight w:val="none"/>
        </w:rPr>
        <w:t>第六章 投标文件及格式</w:t>
      </w:r>
      <w:r>
        <w:rPr>
          <w:rFonts w:cs="Times New Roman"/>
          <w:color w:val="auto"/>
          <w:highlight w:val="none"/>
        </w:rPr>
        <w:tab/>
      </w:r>
      <w:r>
        <w:rPr>
          <w:rFonts w:hint="eastAsia" w:eastAsia="宋体" w:cs="Times New Roman"/>
          <w:color w:val="auto"/>
          <w:highlight w:val="none"/>
          <w:lang w:val="en-US" w:eastAsia="zh-CN"/>
        </w:rPr>
        <w:t>4</w:t>
      </w:r>
      <w:r>
        <w:rPr>
          <w:rFonts w:hint="eastAsia" w:cs="Times New Roman"/>
          <w:color w:val="auto"/>
          <w:highlight w:val="none"/>
        </w:rPr>
        <w:fldChar w:fldCharType="end"/>
      </w:r>
      <w:r>
        <w:rPr>
          <w:rFonts w:hint="eastAsia" w:eastAsia="宋体" w:cs="Times New Roman"/>
          <w:color w:val="auto"/>
          <w:highlight w:val="none"/>
          <w:lang w:val="en-US" w:eastAsia="zh-CN"/>
        </w:rPr>
        <w:t>7</w:t>
      </w:r>
    </w:p>
    <w:p w14:paraId="7A220E4C">
      <w:pPr>
        <w:pStyle w:val="14"/>
        <w:jc w:val="both"/>
        <w:rPr>
          <w:rFonts w:ascii="黑体" w:eastAsia="黑体"/>
          <w:color w:val="auto"/>
          <w:sz w:val="44"/>
          <w:szCs w:val="44"/>
          <w:highlight w:val="none"/>
        </w:rPr>
        <w:sectPr>
          <w:headerReference r:id="rId3" w:type="default"/>
          <w:footerReference r:id="rId4" w:type="default"/>
          <w:footerReference r:id="rId5" w:type="even"/>
          <w:pgSz w:w="11906" w:h="16838"/>
          <w:pgMar w:top="1440" w:right="1587" w:bottom="1440" w:left="1587" w:header="851" w:footer="907" w:gutter="0"/>
          <w:pgNumType w:start="0"/>
          <w:cols w:space="720" w:num="1"/>
          <w:titlePg/>
          <w:docGrid w:linePitch="360" w:charSpace="0"/>
        </w:sectPr>
      </w:pPr>
      <w:r>
        <w:rPr>
          <w:rFonts w:hAnsi="Times New Roman" w:cs="Times New Roman"/>
          <w:color w:val="auto"/>
          <w:sz w:val="24"/>
          <w:szCs w:val="24"/>
          <w:highlight w:val="none"/>
        </w:rPr>
        <w:fldChar w:fldCharType="end"/>
      </w:r>
    </w:p>
    <w:p w14:paraId="5E91A42F">
      <w:pPr>
        <w:pageBreakBefore/>
        <w:spacing w:line="520" w:lineRule="exact"/>
        <w:jc w:val="center"/>
        <w:outlineLvl w:val="0"/>
        <w:rPr>
          <w:rFonts w:ascii="Times New Roman" w:hAnsi="Times New Roman" w:cs="Times New Roman"/>
          <w:b/>
          <w:color w:val="auto"/>
          <w:sz w:val="44"/>
          <w:szCs w:val="44"/>
          <w:highlight w:val="none"/>
        </w:rPr>
      </w:pPr>
      <w:r>
        <w:rPr>
          <w:rFonts w:hint="eastAsia" w:ascii="Times New Roman" w:hAnsi="Times New Roman" w:cs="Times New Roman"/>
          <w:b/>
          <w:color w:val="auto"/>
          <w:sz w:val="44"/>
          <w:szCs w:val="44"/>
          <w:highlight w:val="none"/>
        </w:rPr>
        <w:t xml:space="preserve">第一章  </w:t>
      </w:r>
      <w:bookmarkEnd w:id="0"/>
      <w:r>
        <w:rPr>
          <w:rFonts w:hint="eastAsia" w:ascii="Times New Roman" w:hAnsi="Times New Roman" w:cs="Times New Roman"/>
          <w:b/>
          <w:color w:val="auto"/>
          <w:sz w:val="44"/>
          <w:szCs w:val="44"/>
          <w:highlight w:val="none"/>
        </w:rPr>
        <w:t>招标公告</w:t>
      </w:r>
    </w:p>
    <w:p w14:paraId="4F131CFF">
      <w:pPr>
        <w:spacing w:line="500" w:lineRule="exact"/>
        <w:ind w:firstLine="482"/>
        <w:rPr>
          <w:rFonts w:hint="eastAsia" w:ascii="宋体" w:hAnsi="宋体" w:cs="宋体"/>
          <w:b/>
          <w:bCs/>
          <w:color w:val="auto"/>
          <w:sz w:val="24"/>
          <w:szCs w:val="24"/>
          <w:highlight w:val="none"/>
        </w:rPr>
      </w:pPr>
      <w:bookmarkStart w:id="6" w:name="_Toc28359002"/>
      <w:bookmarkStart w:id="7" w:name="_Toc35393621"/>
      <w:bookmarkStart w:id="8" w:name="_Toc28359079"/>
      <w:bookmarkStart w:id="9" w:name="_Toc35393790"/>
      <w:bookmarkStart w:id="10" w:name="_Hlk24379207"/>
      <w:r>
        <w:rPr>
          <w:rFonts w:hint="eastAsia" w:ascii="宋体" w:hAnsi="宋体" w:cs="宋体"/>
          <w:b/>
          <w:bCs/>
          <w:color w:val="auto"/>
          <w:sz w:val="24"/>
          <w:szCs w:val="24"/>
          <w:highlight w:val="none"/>
        </w:rPr>
        <w:t>项目概况：</w:t>
      </w:r>
      <w:r>
        <w:rPr>
          <w:rFonts w:hint="eastAsia" w:ascii="宋体" w:hAnsi="宋体" w:eastAsia="宋体" w:cs="宋体"/>
          <w:color w:val="auto"/>
          <w:sz w:val="24"/>
          <w:szCs w:val="24"/>
          <w:highlight w:val="none"/>
          <w:lang w:eastAsia="zh-CN"/>
        </w:rPr>
        <w:t>大丰港化工园区安全监管第三方技术服务项目（2026-2027）</w:t>
      </w:r>
      <w:r>
        <w:rPr>
          <w:rFonts w:hint="eastAsia" w:ascii="宋体" w:hAnsi="宋体" w:cs="宋体"/>
          <w:color w:val="auto"/>
          <w:sz w:val="24"/>
          <w:szCs w:val="24"/>
          <w:highlight w:val="none"/>
        </w:rPr>
        <w:t>的潜在投标人应在“苏采云”系统内免费下载（投标人必须在苏采云系统中获取招标文件，方能参与政府采购项目） 获取招标文件，并于</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7</w:t>
      </w:r>
      <w:r>
        <w:rPr>
          <w:rFonts w:hint="eastAsia" w:ascii="宋体" w:hAnsi="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31 </w:t>
      </w:r>
      <w:r>
        <w:rPr>
          <w:rFonts w:hint="eastAsia" w:ascii="宋体" w:hAnsi="宋体" w:cs="宋体"/>
          <w:color w:val="auto"/>
          <w:sz w:val="24"/>
          <w:szCs w:val="24"/>
          <w:highlight w:val="none"/>
        </w:rPr>
        <w:t>日</w:t>
      </w:r>
      <w:r>
        <w:rPr>
          <w:rFonts w:hint="eastAsia" w:ascii="宋体" w:hAnsi="宋体" w:eastAsia="宋体" w:cs="宋体"/>
          <w:color w:val="auto"/>
          <w:sz w:val="24"/>
          <w:szCs w:val="24"/>
          <w:highlight w:val="none"/>
          <w:u w:val="single"/>
          <w:lang w:val="en-US" w:eastAsia="zh-CN"/>
        </w:rPr>
        <w:t xml:space="preserve"> 9</w:t>
      </w:r>
      <w:r>
        <w:rPr>
          <w:rFonts w:hint="eastAsia" w:ascii="宋体" w:hAnsi="宋体" w:cs="宋体"/>
          <w:color w:val="auto"/>
          <w:sz w:val="24"/>
          <w:szCs w:val="24"/>
          <w:highlight w:val="none"/>
        </w:rPr>
        <w:t>时</w:t>
      </w:r>
      <w:r>
        <w:rPr>
          <w:rFonts w:hint="eastAsia" w:ascii="宋体" w:hAnsi="宋体" w:cs="宋体"/>
          <w:color w:val="auto"/>
          <w:sz w:val="24"/>
          <w:szCs w:val="24"/>
          <w:highlight w:val="none"/>
          <w:u w:val="single"/>
        </w:rPr>
        <w:t>00</w:t>
      </w:r>
      <w:r>
        <w:rPr>
          <w:rFonts w:hint="eastAsia" w:ascii="宋体" w:hAnsi="宋体" w:cs="宋体"/>
          <w:color w:val="auto"/>
          <w:sz w:val="24"/>
          <w:szCs w:val="24"/>
          <w:highlight w:val="none"/>
        </w:rPr>
        <w:t>分（北京时间）前递交投标文件。</w:t>
      </w:r>
    </w:p>
    <w:p w14:paraId="2E0C11F9">
      <w:pPr>
        <w:spacing w:line="500" w:lineRule="exact"/>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一、项目基本情况</w:t>
      </w:r>
      <w:bookmarkEnd w:id="6"/>
      <w:bookmarkEnd w:id="7"/>
      <w:bookmarkEnd w:id="8"/>
      <w:bookmarkEnd w:id="9"/>
    </w:p>
    <w:p w14:paraId="55312C02">
      <w:pPr>
        <w:spacing w:line="500" w:lineRule="exact"/>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JSZC-320904-RHHH-G2026-0041</w:t>
      </w:r>
    </w:p>
    <w:p w14:paraId="4551210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项目名称：</w:t>
      </w:r>
      <w:r>
        <w:rPr>
          <w:rFonts w:hint="eastAsia" w:ascii="宋体" w:hAnsi="宋体" w:eastAsia="宋体" w:cs="宋体"/>
          <w:color w:val="auto"/>
          <w:sz w:val="24"/>
          <w:szCs w:val="24"/>
          <w:highlight w:val="none"/>
          <w:lang w:eastAsia="zh-CN"/>
        </w:rPr>
        <w:t>大丰港化工园区安全监管第三方技术服务项目（2026-2027）</w:t>
      </w:r>
      <w:r>
        <w:rPr>
          <w:rFonts w:hint="eastAsia" w:ascii="宋体" w:hAnsi="宋体" w:cs="宋体"/>
          <w:color w:val="auto"/>
          <w:sz w:val="24"/>
          <w:szCs w:val="24"/>
          <w:highlight w:val="none"/>
        </w:rPr>
        <w:t>；</w:t>
      </w:r>
      <w:bookmarkEnd w:id="10"/>
    </w:p>
    <w:p w14:paraId="4EFB70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464万</w:t>
      </w:r>
      <w:r>
        <w:rPr>
          <w:rFonts w:hint="eastAsia" w:ascii="宋体" w:hAnsi="宋体" w:cs="宋体"/>
          <w:color w:val="auto"/>
          <w:sz w:val="24"/>
          <w:szCs w:val="24"/>
          <w:highlight w:val="none"/>
        </w:rPr>
        <w:t>元；</w:t>
      </w:r>
    </w:p>
    <w:p w14:paraId="65B677A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464</w:t>
      </w:r>
      <w:r>
        <w:rPr>
          <w:rFonts w:hint="eastAsia" w:ascii="宋体" w:hAnsi="宋体" w:cs="宋体"/>
          <w:color w:val="auto"/>
          <w:sz w:val="24"/>
          <w:szCs w:val="24"/>
          <w:highlight w:val="none"/>
        </w:rPr>
        <w:t>万元，投标报价高于最高限价的作无效标处理；</w:t>
      </w:r>
    </w:p>
    <w:p w14:paraId="607D3206">
      <w:pPr>
        <w:spacing w:line="500" w:lineRule="exact"/>
        <w:ind w:firstLine="480"/>
        <w:rPr>
          <w:rFonts w:hint="default" w:ascii="宋体" w:hAnsi="宋体" w:eastAsia="宋体" w:cs="宋体"/>
          <w:bCs/>
          <w:kern w:val="2"/>
          <w:sz w:val="24"/>
          <w:szCs w:val="24"/>
          <w:highlight w:val="none"/>
          <w:lang w:val="en-US" w:eastAsia="zh-CN"/>
        </w:rPr>
      </w:pPr>
      <w:bookmarkStart w:id="11" w:name="_Toc35393793"/>
      <w:bookmarkStart w:id="12" w:name="_Toc28359082"/>
      <w:bookmarkStart w:id="13" w:name="_Toc35393624"/>
      <w:bookmarkStart w:id="14" w:name="_Toc28359005"/>
      <w:r>
        <w:rPr>
          <w:rFonts w:hint="eastAsia" w:ascii="宋体" w:hAnsi="宋体" w:cs="宋体"/>
          <w:color w:val="auto"/>
          <w:sz w:val="24"/>
          <w:szCs w:val="24"/>
          <w:highlight w:val="none"/>
        </w:rPr>
        <w:t>项目需求：</w:t>
      </w:r>
      <w:r>
        <w:rPr>
          <w:rFonts w:hint="eastAsia" w:ascii="宋体" w:hAnsi="宋体" w:eastAsia="宋体" w:cs="宋体"/>
          <w:bCs/>
          <w:kern w:val="2"/>
          <w:sz w:val="24"/>
          <w:szCs w:val="24"/>
          <w:highlight w:val="none"/>
        </w:rPr>
        <w:t>根据园区安全专项检查年度计划，调集机构高水平专家力量，安排园区所有企业“家家到”形式的安全专项检查每年不少于4次</w:t>
      </w:r>
      <w:r>
        <w:rPr>
          <w:rFonts w:hint="eastAsia" w:ascii="宋体" w:hAnsi="宋体" w:eastAsia="宋体" w:cs="宋体"/>
          <w:bCs/>
          <w:kern w:val="2"/>
          <w:sz w:val="24"/>
          <w:szCs w:val="24"/>
          <w:highlight w:val="none"/>
          <w:lang w:eastAsia="zh-CN"/>
        </w:rPr>
        <w:t>，</w:t>
      </w:r>
      <w:r>
        <w:rPr>
          <w:rFonts w:hint="eastAsia" w:ascii="宋体" w:hAnsi="宋体" w:eastAsia="宋体" w:cs="宋体"/>
          <w:bCs/>
          <w:kern w:val="2"/>
          <w:sz w:val="24"/>
          <w:szCs w:val="24"/>
          <w:highlight w:val="none"/>
        </w:rPr>
        <w:t>具体详见招标文件第三章项目需求</w:t>
      </w:r>
      <w:r>
        <w:rPr>
          <w:rFonts w:hint="eastAsia" w:ascii="宋体" w:hAnsi="宋体" w:eastAsia="宋体" w:cs="宋体"/>
          <w:bCs/>
          <w:kern w:val="2"/>
          <w:sz w:val="24"/>
          <w:szCs w:val="24"/>
          <w:highlight w:val="none"/>
          <w:lang w:val="en-US" w:eastAsia="zh-CN"/>
        </w:rPr>
        <w:t>。</w:t>
      </w:r>
    </w:p>
    <w:p w14:paraId="03AD0778">
      <w:pPr>
        <w:spacing w:line="500" w:lineRule="exact"/>
        <w:ind w:firstLine="480"/>
        <w:rPr>
          <w:rFonts w:hint="eastAsia" w:ascii="宋体" w:hAnsi="宋体" w:eastAsia="宋体" w:cs="宋体"/>
          <w:color w:val="FF0000"/>
          <w:sz w:val="24"/>
          <w:szCs w:val="24"/>
          <w:highlight w:val="none"/>
          <w:lang w:val="en-US" w:eastAsia="zh-CN"/>
        </w:rPr>
      </w:pPr>
      <w:bookmarkStart w:id="15" w:name="_Toc28359080"/>
      <w:bookmarkStart w:id="16" w:name="_Toc28359003"/>
      <w:bookmarkStart w:id="17" w:name="_Toc35393622"/>
      <w:bookmarkStart w:id="18" w:name="_Toc35393791"/>
      <w:r>
        <w:rPr>
          <w:rFonts w:hint="eastAsia" w:ascii="宋体" w:hAnsi="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自合同签订之日起2年</w:t>
      </w:r>
      <w:r>
        <w:rPr>
          <w:rFonts w:hint="eastAsia" w:ascii="宋体" w:hAnsi="宋体" w:eastAsia="宋体" w:cs="宋体"/>
          <w:b w:val="0"/>
          <w:bCs w:val="0"/>
          <w:color w:val="auto"/>
          <w:sz w:val="24"/>
          <w:szCs w:val="24"/>
          <w:highlight w:val="none"/>
          <w:lang w:val="en-US" w:eastAsia="zh-CN"/>
        </w:rPr>
        <w:t>。</w:t>
      </w:r>
    </w:p>
    <w:p w14:paraId="1A1514A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p w14:paraId="62818566">
      <w:pPr>
        <w:pStyle w:val="14"/>
        <w:tabs>
          <w:tab w:val="left" w:pos="0"/>
          <w:tab w:val="left" w:pos="3165"/>
          <w:tab w:val="center" w:pos="4153"/>
        </w:tabs>
        <w:spacing w:line="5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二、投标申请人的资格要求：</w:t>
      </w:r>
      <w:bookmarkEnd w:id="15"/>
      <w:bookmarkEnd w:id="16"/>
      <w:bookmarkEnd w:id="17"/>
      <w:bookmarkEnd w:id="18"/>
    </w:p>
    <w:p w14:paraId="771C870C">
      <w:pPr>
        <w:spacing w:line="520" w:lineRule="exact"/>
        <w:ind w:firstLine="480"/>
        <w:rPr>
          <w:rFonts w:ascii="宋体" w:hAnsi="宋体" w:eastAsia="宋体" w:cs="宋体"/>
          <w:sz w:val="24"/>
          <w:szCs w:val="24"/>
          <w:highlight w:val="none"/>
        </w:rPr>
      </w:pPr>
      <w:bookmarkStart w:id="19" w:name="_Toc35393792"/>
      <w:bookmarkStart w:id="20" w:name="_Toc35393623"/>
      <w:r>
        <w:rPr>
          <w:rFonts w:hint="eastAsia" w:ascii="宋体" w:hAnsi="宋体" w:eastAsia="宋体" w:cs="宋体"/>
          <w:sz w:val="24"/>
          <w:szCs w:val="24"/>
          <w:highlight w:val="none"/>
        </w:rPr>
        <w:t>1.满足《中华人民共和国政府采购法》第二十二条规定，并提供下列材料：</w:t>
      </w:r>
    </w:p>
    <w:p w14:paraId="4194456E">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1.1 法人或者其他组织的营业执照等证明文件；</w:t>
      </w:r>
    </w:p>
    <w:p w14:paraId="1FB8146C">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1.2</w:t>
      </w:r>
      <w:r>
        <w:rPr>
          <w:rFonts w:hint="eastAsia" w:ascii="宋体" w:hAnsi="宋体" w:eastAsia="宋体" w:cs="宋体"/>
          <w:color w:val="auto"/>
          <w:sz w:val="24"/>
          <w:szCs w:val="24"/>
          <w:highlight w:val="none"/>
        </w:rPr>
        <w:t>上一年度的财务状况</w:t>
      </w:r>
      <w:r>
        <w:rPr>
          <w:rFonts w:hint="eastAsia" w:ascii="宋体" w:hAnsi="宋体" w:eastAsia="宋体" w:cs="宋体"/>
          <w:color w:val="auto"/>
          <w:sz w:val="24"/>
          <w:szCs w:val="24"/>
          <w:highlight w:val="none"/>
          <w:lang w:val="en-US" w:eastAsia="zh-CN"/>
        </w:rPr>
        <w:t>报告</w:t>
      </w:r>
      <w:r>
        <w:rPr>
          <w:rFonts w:hint="eastAsia" w:ascii="宋体" w:hAnsi="宋体" w:eastAsia="宋体" w:cs="宋体"/>
          <w:sz w:val="24"/>
          <w:szCs w:val="24"/>
          <w:highlight w:val="none"/>
        </w:rPr>
        <w:t>（至少提供资产负债表、利润表、现金流量表，投标人成立不满一年无需提供）；</w:t>
      </w:r>
    </w:p>
    <w:p w14:paraId="4C71572D">
      <w:pPr>
        <w:spacing w:line="52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1.3具备履行合同所必需的设备和专业技术能力的书面声明</w:t>
      </w:r>
      <w:r>
        <w:rPr>
          <w:rFonts w:hint="eastAsia" w:ascii="宋体" w:hAnsi="宋体" w:eastAsia="宋体" w:cs="宋体"/>
          <w:sz w:val="24"/>
          <w:szCs w:val="24"/>
          <w:highlight w:val="none"/>
          <w:lang w:eastAsia="zh-CN"/>
        </w:rPr>
        <w:t>；</w:t>
      </w:r>
    </w:p>
    <w:p w14:paraId="0E0F1225">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65BB8460">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1.5参加政府采购活动前3年内在经营活动中没有重大违法记录的书面声明。</w:t>
      </w:r>
    </w:p>
    <w:p w14:paraId="3714F61C">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1.6法律、行政法规规定的其他条件。</w:t>
      </w:r>
    </w:p>
    <w:p w14:paraId="419749AE">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5CA82EC">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1.8单位负责人为同一人或者存在直接控股、管理关系的不同供应商，不得参加同一合同项下的政府采购活动。</w:t>
      </w:r>
    </w:p>
    <w:p w14:paraId="52E659CE">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2.落实政府采购政策需满足的资格要求：无</w:t>
      </w:r>
    </w:p>
    <w:p w14:paraId="61C81C8B">
      <w:pPr>
        <w:pStyle w:val="14"/>
        <w:tabs>
          <w:tab w:val="left" w:pos="0"/>
          <w:tab w:val="left" w:pos="3165"/>
          <w:tab w:val="center" w:pos="4153"/>
        </w:tabs>
        <w:spacing w:line="5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三、获取招标文件</w:t>
      </w:r>
      <w:bookmarkEnd w:id="19"/>
      <w:bookmarkEnd w:id="20"/>
    </w:p>
    <w:p w14:paraId="4B4F5A30">
      <w:pPr>
        <w:pStyle w:val="7"/>
        <w:shd w:val="clear" w:color="auto" w:fill="FFFFFF"/>
        <w:spacing w:before="0" w:beforeAutospacing="0" w:after="0" w:afterAutospacing="0" w:line="440" w:lineRule="exact"/>
        <w:ind w:firstLine="480"/>
        <w:rPr>
          <w:rFonts w:hint="eastAsia"/>
          <w:color w:val="auto"/>
          <w:highlight w:val="none"/>
        </w:rPr>
      </w:pPr>
      <w:r>
        <w:rPr>
          <w:rFonts w:hint="eastAsia"/>
          <w:color w:val="auto"/>
          <w:highlight w:val="none"/>
          <w:shd w:val="clear" w:color="auto" w:fill="FFFFFF"/>
        </w:rPr>
        <w:t>时间：自招标文件公告发布之日起5个工作日。 </w:t>
      </w:r>
    </w:p>
    <w:p w14:paraId="3546674B">
      <w:pPr>
        <w:pStyle w:val="7"/>
        <w:shd w:val="clear" w:color="auto" w:fill="FFFFFF"/>
        <w:spacing w:before="0" w:beforeAutospacing="0" w:after="0" w:afterAutospacing="0" w:line="440" w:lineRule="exact"/>
        <w:ind w:firstLine="480"/>
        <w:rPr>
          <w:rFonts w:hint="eastAsia"/>
          <w:color w:val="auto"/>
          <w:highlight w:val="none"/>
        </w:rPr>
      </w:pPr>
      <w:r>
        <w:rPr>
          <w:rFonts w:hint="eastAsia"/>
          <w:color w:val="auto"/>
          <w:highlight w:val="none"/>
          <w:shd w:val="clear" w:color="auto" w:fill="FFFFFF"/>
        </w:rPr>
        <w:t>地点：“苏采云”系统内免费下载（投标人必须在苏采云系统中获取招标文件，方能参与政府采购项目）；  </w:t>
      </w:r>
    </w:p>
    <w:p w14:paraId="0BBC3459">
      <w:pPr>
        <w:pStyle w:val="7"/>
        <w:shd w:val="clear" w:color="auto" w:fill="FFFFFF"/>
        <w:spacing w:before="0" w:beforeAutospacing="0" w:after="0" w:afterAutospacing="0" w:line="440" w:lineRule="exact"/>
        <w:ind w:firstLine="480"/>
        <w:rPr>
          <w:rFonts w:hint="eastAsia"/>
          <w:color w:val="auto"/>
          <w:highlight w:val="none"/>
        </w:rPr>
      </w:pPr>
      <w:r>
        <w:rPr>
          <w:rFonts w:hint="eastAsia"/>
          <w:color w:val="auto"/>
          <w:highlight w:val="none"/>
          <w:shd w:val="clear" w:color="auto" w:fill="FFFFFF"/>
        </w:rPr>
        <w:t>方式：</w:t>
      </w:r>
      <w:r>
        <w:rPr>
          <w:rFonts w:hint="eastAsia" w:ascii="宋体" w:hAnsi="宋体" w:eastAsia="宋体" w:cs="宋体"/>
          <w:sz w:val="24"/>
          <w:highlight w:val="none"/>
        </w:rPr>
        <w:t>本项目采用网上注册登记方式（网址：</w:t>
      </w:r>
      <w:r>
        <w:rPr>
          <w:rFonts w:ascii="宋体" w:hAnsi="宋体" w:eastAsia="宋体" w:cs="宋体"/>
          <w:sz w:val="24"/>
          <w:highlight w:val="none"/>
        </w:rPr>
        <w:t>http://jszfcg.jsczt.cn/</w:t>
      </w:r>
      <w:r>
        <w:rPr>
          <w:rFonts w:hint="eastAsia" w:ascii="宋体" w:hAnsi="宋体" w:eastAsia="宋体" w:cs="宋体"/>
          <w:sz w:val="24"/>
          <w:highlight w:val="none"/>
        </w:rPr>
        <w:t>）</w:t>
      </w:r>
    </w:p>
    <w:p w14:paraId="1AB77BFF">
      <w:pPr>
        <w:pBdr>
          <w:top w:val="none" w:color="auto" w:sz="0" w:space="0"/>
          <w:left w:val="none" w:color="auto" w:sz="0" w:space="0"/>
          <w:bottom w:val="none" w:color="auto" w:sz="0" w:space="0"/>
          <w:right w:val="none" w:color="auto" w:sz="0" w:space="0"/>
        </w:pBdr>
        <w:rPr>
          <w:rFonts w:ascii="Times New Roman" w:hAnsi="Times New Roman" w:cs="Times New Roman"/>
          <w:color w:val="auto"/>
          <w:highlight w:val="none"/>
        </w:rPr>
      </w:pPr>
      <w:r>
        <w:rPr>
          <w:rFonts w:ascii="宋体" w:hAnsi="宋体" w:cs="宋体"/>
          <w:color w:val="auto"/>
          <w:sz w:val="24"/>
          <w:highlight w:val="none"/>
        </w:rPr>
        <w:t xml:space="preserve">    售价：</w:t>
      </w:r>
      <w:r>
        <w:rPr>
          <w:rFonts w:ascii="Times New Roman" w:hAnsi="Times New Roman" w:eastAsia="Times New Roman" w:cs="Times New Roman"/>
          <w:color w:val="auto"/>
          <w:sz w:val="24"/>
          <w:highlight w:val="none"/>
        </w:rPr>
        <w:t>0</w:t>
      </w:r>
      <w:r>
        <w:rPr>
          <w:rFonts w:ascii="宋体" w:hAnsi="宋体" w:cs="宋体"/>
          <w:color w:val="auto"/>
          <w:sz w:val="24"/>
          <w:highlight w:val="none"/>
        </w:rPr>
        <w:t>元</w:t>
      </w:r>
    </w:p>
    <w:p w14:paraId="6612F2A8">
      <w:pPr>
        <w:pStyle w:val="14"/>
        <w:tabs>
          <w:tab w:val="left" w:pos="0"/>
          <w:tab w:val="left" w:pos="3165"/>
          <w:tab w:val="center" w:pos="4153"/>
        </w:tabs>
        <w:spacing w:line="5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四、提交投标文件截止时间、开标时间和地点</w:t>
      </w:r>
    </w:p>
    <w:p w14:paraId="1C714A04">
      <w:pPr>
        <w:pStyle w:val="7"/>
        <w:spacing w:before="0" w:beforeAutospacing="0" w:after="0" w:afterAutospacing="0" w:line="440" w:lineRule="exact"/>
        <w:ind w:firstLine="480"/>
        <w:rPr>
          <w:rFonts w:hint="eastAsia"/>
          <w:color w:val="auto"/>
          <w:highlight w:val="none"/>
        </w:rPr>
      </w:pPr>
      <w:r>
        <w:rPr>
          <w:rFonts w:hint="eastAsia"/>
          <w:color w:val="auto"/>
          <w:highlight w:val="none"/>
        </w:rPr>
        <w:t>时间：</w:t>
      </w:r>
      <w:r>
        <w:rPr>
          <w:rFonts w:hint="eastAsia"/>
          <w:b/>
          <w:bCs/>
          <w:color w:val="auto"/>
          <w:highlight w:val="none"/>
          <w:u w:val="single"/>
          <w:shd w:val="clear" w:color="auto" w:fill="FFFFFF"/>
        </w:rPr>
        <w:t>202</w:t>
      </w:r>
      <w:r>
        <w:rPr>
          <w:rFonts w:hint="eastAsia"/>
          <w:b/>
          <w:bCs/>
          <w:color w:val="auto"/>
          <w:highlight w:val="none"/>
          <w:u w:val="single"/>
          <w:shd w:val="clear" w:color="auto" w:fill="FFFFFF"/>
          <w:lang w:val="en-US" w:eastAsia="zh-CN"/>
        </w:rPr>
        <w:t>6</w:t>
      </w:r>
      <w:r>
        <w:rPr>
          <w:rFonts w:hint="eastAsia"/>
          <w:b/>
          <w:bCs/>
          <w:color w:val="auto"/>
          <w:highlight w:val="none"/>
          <w:shd w:val="clear" w:color="auto" w:fill="FFFFFF"/>
        </w:rPr>
        <w:t>年</w:t>
      </w:r>
      <w:r>
        <w:rPr>
          <w:rFonts w:hint="eastAsia" w:eastAsia="宋体"/>
          <w:b/>
          <w:bCs/>
          <w:color w:val="auto"/>
          <w:highlight w:val="none"/>
          <w:u w:val="single"/>
          <w:shd w:val="clear" w:color="auto" w:fill="FFFFFF"/>
          <w:lang w:val="en-US" w:eastAsia="zh-CN"/>
        </w:rPr>
        <w:t xml:space="preserve"> 7 </w:t>
      </w:r>
      <w:r>
        <w:rPr>
          <w:rFonts w:hint="eastAsia"/>
          <w:b/>
          <w:bCs/>
          <w:color w:val="auto"/>
          <w:highlight w:val="none"/>
          <w:shd w:val="clear" w:color="auto" w:fill="FFFFFF"/>
        </w:rPr>
        <w:t>月</w:t>
      </w:r>
      <w:r>
        <w:rPr>
          <w:rFonts w:hint="eastAsia" w:eastAsia="宋体"/>
          <w:b/>
          <w:bCs/>
          <w:color w:val="auto"/>
          <w:highlight w:val="none"/>
          <w:u w:val="single"/>
          <w:shd w:val="clear" w:color="auto" w:fill="FFFFFF"/>
          <w:lang w:val="en-US" w:eastAsia="zh-CN"/>
        </w:rPr>
        <w:t xml:space="preserve">31 </w:t>
      </w:r>
      <w:r>
        <w:rPr>
          <w:rFonts w:hint="eastAsia"/>
          <w:b/>
          <w:bCs/>
          <w:color w:val="auto"/>
          <w:highlight w:val="none"/>
          <w:shd w:val="clear" w:color="auto" w:fill="FFFFFF"/>
        </w:rPr>
        <w:t>日</w:t>
      </w:r>
      <w:r>
        <w:rPr>
          <w:rFonts w:hint="eastAsia"/>
          <w:b/>
          <w:bCs/>
          <w:color w:val="auto"/>
          <w:highlight w:val="none"/>
          <w:u w:val="single"/>
          <w:shd w:val="clear" w:color="auto" w:fill="FFFFFF"/>
        </w:rPr>
        <w:t xml:space="preserve"> </w:t>
      </w:r>
      <w:r>
        <w:rPr>
          <w:rFonts w:hint="eastAsia"/>
          <w:b/>
          <w:bCs/>
          <w:color w:val="auto"/>
          <w:highlight w:val="none"/>
          <w:u w:val="single"/>
          <w:shd w:val="clear" w:color="auto" w:fill="FFFFFF"/>
          <w:lang w:val="en-US" w:eastAsia="zh-CN"/>
        </w:rPr>
        <w:t>9</w:t>
      </w:r>
      <w:r>
        <w:rPr>
          <w:rFonts w:hint="eastAsia"/>
          <w:b/>
          <w:bCs/>
          <w:color w:val="auto"/>
          <w:highlight w:val="none"/>
          <w:shd w:val="clear" w:color="auto" w:fill="FFFFFF"/>
        </w:rPr>
        <w:t>时</w:t>
      </w:r>
      <w:r>
        <w:rPr>
          <w:rFonts w:hint="eastAsia"/>
          <w:b/>
          <w:bCs/>
          <w:color w:val="auto"/>
          <w:highlight w:val="none"/>
          <w:u w:val="single"/>
          <w:shd w:val="clear" w:color="auto" w:fill="FFFFFF"/>
        </w:rPr>
        <w:t xml:space="preserve"> 00 </w:t>
      </w:r>
      <w:r>
        <w:rPr>
          <w:rFonts w:hint="eastAsia"/>
          <w:b/>
          <w:bCs/>
          <w:color w:val="auto"/>
          <w:highlight w:val="none"/>
          <w:shd w:val="clear" w:color="auto" w:fill="FFFFFF"/>
        </w:rPr>
        <w:t>分</w:t>
      </w:r>
      <w:r>
        <w:rPr>
          <w:rFonts w:hint="eastAsia"/>
          <w:color w:val="auto"/>
          <w:highlight w:val="none"/>
          <w:shd w:val="clear" w:color="auto" w:fill="FFFFFF"/>
        </w:rPr>
        <w:t>（北京时间）</w:t>
      </w:r>
    </w:p>
    <w:p w14:paraId="3DCA6403">
      <w:pPr>
        <w:pStyle w:val="7"/>
        <w:spacing w:before="0" w:beforeAutospacing="0" w:after="0" w:afterAutospacing="0" w:line="440" w:lineRule="exact"/>
        <w:ind w:firstLine="480"/>
        <w:rPr>
          <w:rFonts w:hint="eastAsia"/>
          <w:color w:val="auto"/>
          <w:highlight w:val="none"/>
        </w:rPr>
      </w:pPr>
      <w:r>
        <w:rPr>
          <w:rFonts w:hint="eastAsia"/>
          <w:color w:val="auto"/>
          <w:highlight w:val="none"/>
          <w:shd w:val="clear" w:color="auto" w:fill="FFFFFF"/>
        </w:rPr>
        <w:t>地点：</w:t>
      </w:r>
      <w:r>
        <w:rPr>
          <w:rFonts w:hint="eastAsia"/>
          <w:bCs/>
          <w:color w:val="auto"/>
          <w:highlight w:val="none"/>
        </w:rPr>
        <w:t>“苏采云”系统（网址：http://jszfcg.jsczt.cn/）“开标大厅”。</w:t>
      </w:r>
      <w:r>
        <w:rPr>
          <w:rFonts w:hint="eastAsia"/>
          <w:color w:val="auto"/>
          <w:highlight w:val="none"/>
          <w:shd w:val="clear" w:color="auto" w:fill="FFFFFF"/>
        </w:rPr>
        <w:t> </w:t>
      </w:r>
    </w:p>
    <w:p w14:paraId="65592F5B">
      <w:pPr>
        <w:pStyle w:val="14"/>
        <w:tabs>
          <w:tab w:val="left" w:pos="0"/>
          <w:tab w:val="left" w:pos="3165"/>
          <w:tab w:val="center" w:pos="4153"/>
        </w:tabs>
        <w:spacing w:line="5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五、公告期限</w:t>
      </w:r>
    </w:p>
    <w:p w14:paraId="0937BD26">
      <w:pPr>
        <w:pStyle w:val="7"/>
        <w:shd w:val="clear" w:color="auto" w:fill="FFFFFF"/>
        <w:spacing w:before="0" w:beforeAutospacing="0" w:after="0" w:afterAutospacing="0" w:line="440" w:lineRule="exact"/>
        <w:ind w:firstLine="480"/>
        <w:rPr>
          <w:rFonts w:hint="eastAsia"/>
          <w:color w:val="auto"/>
          <w:highlight w:val="none"/>
          <w:shd w:val="clear" w:color="auto" w:fill="FFFFFF"/>
        </w:rPr>
      </w:pPr>
      <w:r>
        <w:rPr>
          <w:rFonts w:hint="eastAsia"/>
          <w:color w:val="auto"/>
          <w:highlight w:val="none"/>
          <w:shd w:val="clear" w:color="auto" w:fill="FFFFFF"/>
        </w:rPr>
        <w:t>自本公告发布之日起5个工作日。</w:t>
      </w:r>
    </w:p>
    <w:p w14:paraId="6EBA073C">
      <w:pPr>
        <w:pStyle w:val="2"/>
        <w:spacing w:line="400" w:lineRule="exact"/>
        <w:ind w:firstLine="482"/>
        <w:rPr>
          <w:rFonts w:hint="eastAsia" w:ascii="Arial" w:hAnsi="Arial" w:eastAsia="Arial" w:cs="Arial"/>
          <w:b/>
          <w:bCs/>
          <w:color w:val="auto"/>
          <w:sz w:val="24"/>
          <w:szCs w:val="24"/>
          <w:highlight w:val="none"/>
        </w:rPr>
      </w:pPr>
      <w:r>
        <w:rPr>
          <w:rFonts w:hint="eastAsia" w:ascii="Arial" w:hAnsi="Arial" w:eastAsia="Arial" w:cs="Arial"/>
          <w:b/>
          <w:bCs/>
          <w:color w:val="auto"/>
          <w:sz w:val="24"/>
          <w:szCs w:val="24"/>
          <w:highlight w:val="none"/>
        </w:rPr>
        <w:t>六、评标办法</w:t>
      </w:r>
    </w:p>
    <w:p w14:paraId="3F89C0AE">
      <w:pPr>
        <w:pStyle w:val="2"/>
        <w:tabs>
          <w:tab w:val="left" w:pos="5458"/>
          <w:tab w:val="left" w:pos="8800"/>
        </w:tabs>
        <w:spacing w:line="400" w:lineRule="exact"/>
        <w:ind w:firstLine="592"/>
        <w:rPr>
          <w:rFonts w:hint="eastAsia" w:ascii="宋体" w:hAnsi="宋体" w:eastAsia="宋体" w:cs="宋体"/>
          <w:color w:val="auto"/>
          <w:sz w:val="24"/>
          <w:szCs w:val="24"/>
          <w:highlight w:val="none"/>
          <w:shd w:val="clear" w:color="auto" w:fill="FFFFFF"/>
        </w:rPr>
      </w:pPr>
      <w:r>
        <w:rPr>
          <w:rFonts w:ascii="Arial" w:hAnsi="Arial" w:eastAsia="Arial" w:cs="Arial"/>
          <w:color w:val="auto"/>
          <w:sz w:val="24"/>
          <w:szCs w:val="24"/>
          <w:highlight w:val="none"/>
        </w:rPr>
        <w:t>本项目评标办法为</w:t>
      </w:r>
      <w:r>
        <w:rPr>
          <w:rFonts w:hint="eastAsia" w:ascii="Arial" w:hAnsi="Arial" w:eastAsia="Arial" w:cs="Arial"/>
          <w:color w:val="auto"/>
          <w:sz w:val="24"/>
          <w:szCs w:val="24"/>
          <w:highlight w:val="none"/>
        </w:rPr>
        <w:t>综合评分法</w:t>
      </w:r>
      <w:r>
        <w:rPr>
          <w:rFonts w:ascii="Arial" w:hAnsi="Arial" w:eastAsia="Arial" w:cs="Arial"/>
          <w:color w:val="auto"/>
          <w:sz w:val="24"/>
          <w:szCs w:val="24"/>
          <w:highlight w:val="none"/>
        </w:rPr>
        <w:t>。</w:t>
      </w:r>
    </w:p>
    <w:p w14:paraId="2C13D267">
      <w:pPr>
        <w:pStyle w:val="15"/>
        <w:keepNext w:val="0"/>
        <w:keepLines w:val="0"/>
        <w:widowControl/>
        <w:spacing w:before="0" w:after="0" w:line="440" w:lineRule="exact"/>
        <w:ind w:firstLine="482"/>
        <w:jc w:val="left"/>
        <w:rPr>
          <w:rFonts w:hint="eastAsia" w:ascii="宋体" w:hAnsi="宋体" w:eastAsia="宋体" w:cs="宋体"/>
          <w:b/>
          <w:bCs/>
          <w:color w:val="auto"/>
          <w:sz w:val="24"/>
          <w:szCs w:val="24"/>
          <w:highlight w:val="none"/>
        </w:rPr>
      </w:pPr>
      <w:r>
        <w:rPr>
          <w:rStyle w:val="12"/>
          <w:rFonts w:hint="eastAsia" w:ascii="宋体" w:hAnsi="宋体" w:eastAsia="宋体" w:cs="宋体"/>
          <w:b/>
          <w:bCs/>
          <w:color w:val="auto"/>
          <w:sz w:val="24"/>
          <w:szCs w:val="24"/>
          <w:highlight w:val="none"/>
          <w:shd w:val="clear" w:color="auto" w:fill="FFFFFF"/>
        </w:rPr>
        <w:t>七、其他补充事宜</w:t>
      </w:r>
    </w:p>
    <w:p w14:paraId="4342D809">
      <w:pPr>
        <w:widowControl/>
        <w:shd w:val="clear" w:color="auto" w:fill="FFFFFF"/>
        <w:spacing w:line="520" w:lineRule="exact"/>
        <w:ind w:firstLine="480"/>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0293575">
      <w:pPr>
        <w:widowControl/>
        <w:shd w:val="clear" w:color="auto" w:fill="FFFFFF"/>
        <w:spacing w:line="520" w:lineRule="exact"/>
        <w:ind w:firstLine="48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领取</w:t>
      </w:r>
      <w:r>
        <w:rPr>
          <w:rFonts w:ascii="宋体" w:hAnsi="宋体" w:eastAsia="宋体" w:cs="宋体"/>
          <w:sz w:val="24"/>
          <w:szCs w:val="24"/>
          <w:highlight w:val="none"/>
          <w:shd w:val="clear" w:color="auto" w:fill="FFFFFF"/>
        </w:rPr>
        <w:t>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5734D44">
      <w:pPr>
        <w:widowControl/>
        <w:shd w:val="clear" w:color="auto" w:fill="FFFFFF"/>
        <w:spacing w:line="520" w:lineRule="exact"/>
        <w:ind w:firstLine="480"/>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 xml:space="preserve">2.潜在供应商访问电子招标响应交易平台的网络地址和方法： </w:t>
      </w:r>
    </w:p>
    <w:p w14:paraId="7CE80372">
      <w:pPr>
        <w:widowControl/>
        <w:shd w:val="clear" w:color="auto" w:fill="FFFFFF"/>
        <w:spacing w:line="520" w:lineRule="exact"/>
        <w:ind w:firstLine="480"/>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781E2D5">
      <w:pPr>
        <w:widowControl/>
        <w:shd w:val="clear" w:color="auto" w:fill="FFFFFF"/>
        <w:spacing w:line="520" w:lineRule="exact"/>
        <w:ind w:firstLine="480"/>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 xml:space="preserve">2.2 潜在投标人访问“苏采云”系统方法：江苏省政府采购网首页-“苏采云”链接。 </w:t>
      </w:r>
    </w:p>
    <w:p w14:paraId="1EAFB75A">
      <w:pPr>
        <w:widowControl/>
        <w:shd w:val="clear" w:color="auto" w:fill="FFFFFF"/>
        <w:spacing w:line="520" w:lineRule="exact"/>
        <w:ind w:firstLine="480"/>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 xml:space="preserve">2.3 采购文件（后缀名为“.kedt”）、供应商操作手册及政府采购客户端 工具可通过“苏采云”系统相应链接进行下载。 </w:t>
      </w:r>
    </w:p>
    <w:p w14:paraId="005ACF06">
      <w:pPr>
        <w:widowControl/>
        <w:shd w:val="clear" w:color="auto" w:fill="FFFFFF"/>
        <w:spacing w:line="520" w:lineRule="exact"/>
        <w:ind w:firstLine="480"/>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 xml:space="preserve">2.4 采购代理机构将数据电文形式的采购文件加载至“苏采云”系统，供潜在供应商下载或者查阅。 </w:t>
      </w:r>
    </w:p>
    <w:p w14:paraId="5F7FCD40">
      <w:pPr>
        <w:widowControl/>
        <w:shd w:val="clear" w:color="auto" w:fill="FFFFFF"/>
        <w:spacing w:line="520" w:lineRule="exact"/>
        <w:ind w:firstLine="480"/>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 xml:space="preserve">2.5 请潜在投标单位提前安装相应的控件（详见《“苏采云”系统供应商操作手册》）并使用谷歌浏览器登录“苏采云”系统参与不见面开评标。 </w:t>
      </w:r>
    </w:p>
    <w:p w14:paraId="4E7C74EE">
      <w:pPr>
        <w:widowControl/>
        <w:shd w:val="clear" w:color="auto" w:fill="FFFFFF"/>
        <w:spacing w:line="520" w:lineRule="exact"/>
        <w:ind w:firstLine="48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如潜在投标人未按上述要求操作，将自行承担所产生的风险。</w:t>
      </w:r>
    </w:p>
    <w:p w14:paraId="79764A4E">
      <w:pPr>
        <w:widowControl/>
        <w:shd w:val="clear" w:color="auto" w:fill="FFFFFF"/>
        <w:spacing w:line="520" w:lineRule="exact"/>
        <w:ind w:firstLine="480"/>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3.有关本次招标的事项若存在变动或修改，敬请及时关注盐城市大丰区公共资源交易中心在“中国政府采购网”、“江苏政府采购网”“盐城市政府采购网”发布的更正公告。</w:t>
      </w:r>
    </w:p>
    <w:p w14:paraId="2615C6C3">
      <w:pPr>
        <w:widowControl/>
        <w:shd w:val="clear" w:color="auto" w:fill="FFFFFF"/>
        <w:spacing w:line="520" w:lineRule="exact"/>
        <w:ind w:firstLine="480"/>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4.本次招标不收取投标保证金，不收取质量保证金。</w:t>
      </w:r>
    </w:p>
    <w:p w14:paraId="77B2779A">
      <w:pPr>
        <w:spacing w:line="500" w:lineRule="exact"/>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八、对本次招标提出询问，请按以下方式联系。</w:t>
      </w:r>
    </w:p>
    <w:p w14:paraId="37906261">
      <w:pPr>
        <w:widowControl/>
        <w:spacing w:line="500" w:lineRule="exact"/>
        <w:ind w:firstLine="480"/>
        <w:jc w:val="left"/>
        <w:rPr>
          <w:rFonts w:hint="eastAsia" w:ascii="宋体" w:hAnsi="宋体" w:cs="Times New Roman"/>
          <w:bCs/>
          <w:color w:val="auto"/>
          <w:sz w:val="24"/>
          <w:highlight w:val="none"/>
        </w:rPr>
      </w:pPr>
      <w:r>
        <w:rPr>
          <w:rFonts w:hint="eastAsia" w:ascii="宋体" w:hAnsi="宋体" w:cs="Times New Roman"/>
          <w:bCs/>
          <w:color w:val="auto"/>
          <w:sz w:val="24"/>
          <w:highlight w:val="none"/>
        </w:rPr>
        <w:t>1.</w:t>
      </w:r>
      <w:r>
        <w:rPr>
          <w:rFonts w:hint="eastAsia" w:ascii="Times New Roman" w:hAnsi="Times New Roman" w:cs="Times New Roman"/>
          <w:color w:val="auto"/>
          <w:highlight w:val="none"/>
          <w:shd w:val="clear" w:color="auto" w:fill="FFFFFF"/>
        </w:rPr>
        <w:t xml:space="preserve"> </w:t>
      </w:r>
      <w:r>
        <w:rPr>
          <w:rFonts w:hint="eastAsia" w:ascii="Times New Roman" w:hAnsi="Times New Roman" w:cs="Times New Roman"/>
          <w:color w:val="auto"/>
          <w:sz w:val="24"/>
          <w:szCs w:val="24"/>
          <w:highlight w:val="none"/>
          <w:shd w:val="clear" w:color="auto" w:fill="FFFFFF"/>
        </w:rPr>
        <w:t>招标</w:t>
      </w:r>
      <w:r>
        <w:rPr>
          <w:rFonts w:hint="eastAsia" w:ascii="宋体" w:hAnsi="宋体" w:cs="Times New Roman"/>
          <w:bCs/>
          <w:color w:val="auto"/>
          <w:sz w:val="24"/>
          <w:highlight w:val="none"/>
        </w:rPr>
        <w:t>人信息</w:t>
      </w:r>
    </w:p>
    <w:p w14:paraId="43E22F49">
      <w:pPr>
        <w:widowControl/>
        <w:spacing w:line="500" w:lineRule="exact"/>
        <w:ind w:firstLine="480"/>
        <w:jc w:val="left"/>
        <w:rPr>
          <w:rFonts w:hint="eastAsia" w:ascii="宋体" w:hAnsi="宋体" w:cs="Times New Roman"/>
          <w:bCs/>
          <w:color w:val="auto"/>
          <w:sz w:val="24"/>
          <w:highlight w:val="none"/>
        </w:rPr>
      </w:pPr>
      <w:r>
        <w:rPr>
          <w:rFonts w:hint="eastAsia" w:ascii="宋体" w:hAnsi="宋体" w:cs="Times New Roman"/>
          <w:bCs/>
          <w:color w:val="auto"/>
          <w:sz w:val="24"/>
          <w:highlight w:val="none"/>
        </w:rPr>
        <w:t>名    称：江苏大丰港经济开发区管理委员会</w:t>
      </w:r>
    </w:p>
    <w:p w14:paraId="2D3B9202">
      <w:pPr>
        <w:widowControl/>
        <w:spacing w:line="500" w:lineRule="exact"/>
        <w:ind w:firstLine="480"/>
        <w:jc w:val="left"/>
        <w:rPr>
          <w:rFonts w:hint="eastAsia" w:ascii="宋体" w:hAnsi="宋体" w:cs="Times New Roman"/>
          <w:bCs/>
          <w:color w:val="auto"/>
          <w:sz w:val="24"/>
          <w:highlight w:val="none"/>
        </w:rPr>
      </w:pPr>
      <w:r>
        <w:rPr>
          <w:rFonts w:hint="eastAsia" w:ascii="宋体" w:hAnsi="宋体" w:cs="Times New Roman"/>
          <w:bCs/>
          <w:color w:val="auto"/>
          <w:sz w:val="24"/>
          <w:highlight w:val="none"/>
        </w:rPr>
        <w:t>地    址：江苏省盐城市大丰区大丰港经济开发区中港大道1号</w:t>
      </w:r>
    </w:p>
    <w:p w14:paraId="77133DCE">
      <w:pPr>
        <w:widowControl/>
        <w:spacing w:line="500" w:lineRule="exact"/>
        <w:ind w:firstLine="480"/>
        <w:jc w:val="left"/>
        <w:rPr>
          <w:rFonts w:hint="default" w:ascii="宋体" w:hAnsi="宋体" w:eastAsia="宋体" w:cs="Times New Roman"/>
          <w:bCs/>
          <w:color w:val="auto"/>
          <w:sz w:val="24"/>
          <w:highlight w:val="none"/>
          <w:lang w:val="en-US" w:eastAsia="zh-CN"/>
        </w:rPr>
      </w:pPr>
      <w:r>
        <w:rPr>
          <w:rFonts w:hint="eastAsia" w:ascii="宋体" w:hAnsi="宋体" w:cs="Times New Roman"/>
          <w:bCs/>
          <w:color w:val="auto"/>
          <w:sz w:val="24"/>
          <w:highlight w:val="none"/>
        </w:rPr>
        <w:t>联 系 人：</w:t>
      </w:r>
      <w:r>
        <w:rPr>
          <w:rFonts w:hint="eastAsia" w:ascii="宋体" w:hAnsi="宋体" w:eastAsia="宋体" w:cs="Times New Roman"/>
          <w:bCs/>
          <w:color w:val="auto"/>
          <w:sz w:val="24"/>
          <w:highlight w:val="none"/>
          <w:lang w:val="en-US" w:eastAsia="zh-CN"/>
        </w:rPr>
        <w:t>房女士</w:t>
      </w:r>
    </w:p>
    <w:p w14:paraId="13B98AF5">
      <w:pPr>
        <w:widowControl/>
        <w:spacing w:line="500" w:lineRule="exact"/>
        <w:ind w:firstLine="480"/>
        <w:jc w:val="left"/>
        <w:rPr>
          <w:rFonts w:hint="eastAsia" w:ascii="宋体" w:hAnsi="宋体" w:cs="Times New Roman"/>
          <w:bCs/>
          <w:color w:val="auto"/>
          <w:sz w:val="24"/>
          <w:highlight w:val="none"/>
        </w:rPr>
      </w:pPr>
      <w:r>
        <w:rPr>
          <w:rFonts w:hint="eastAsia" w:ascii="宋体" w:hAnsi="宋体" w:cs="Times New Roman"/>
          <w:bCs/>
          <w:color w:val="auto"/>
          <w:sz w:val="24"/>
          <w:highlight w:val="none"/>
        </w:rPr>
        <w:t>联系电话：13851315199</w:t>
      </w:r>
    </w:p>
    <w:bookmarkEnd w:id="1"/>
    <w:bookmarkEnd w:id="2"/>
    <w:bookmarkEnd w:id="3"/>
    <w:bookmarkEnd w:id="4"/>
    <w:bookmarkEnd w:id="5"/>
    <w:bookmarkEnd w:id="11"/>
    <w:bookmarkEnd w:id="12"/>
    <w:bookmarkEnd w:id="13"/>
    <w:bookmarkEnd w:id="14"/>
    <w:p w14:paraId="7FA9862E">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eastAsia="宋体" w:cs="Times New Roman"/>
          <w:bCs/>
          <w:kern w:val="2"/>
          <w:sz w:val="24"/>
          <w:highlight w:val="none"/>
          <w:lang w:val="en-US" w:bidi="ar-SA"/>
        </w:rPr>
      </w:pPr>
      <w:bookmarkStart w:id="21" w:name="_Toc513029242"/>
      <w:bookmarkStart w:id="22" w:name="_Toc20823314"/>
      <w:bookmarkStart w:id="23" w:name="_Toc120614221"/>
      <w:bookmarkStart w:id="24" w:name="_Toc479757207"/>
      <w:bookmarkStart w:id="25" w:name="_Toc16938558"/>
      <w:r>
        <w:rPr>
          <w:rFonts w:hint="eastAsia" w:ascii="宋体" w:hAnsi="宋体" w:eastAsia="宋体" w:cs="Times New Roman"/>
          <w:bCs/>
          <w:kern w:val="2"/>
          <w:sz w:val="24"/>
          <w:highlight w:val="none"/>
          <w:lang w:val="en-US" w:bidi="ar-SA"/>
        </w:rPr>
        <w:t>2.采购代理机构信息</w:t>
      </w:r>
    </w:p>
    <w:p w14:paraId="030AFAF5">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eastAsia="宋体" w:cs="Times New Roman"/>
          <w:bCs/>
          <w:kern w:val="2"/>
          <w:sz w:val="24"/>
          <w:highlight w:val="none"/>
          <w:lang w:val="en-US" w:bidi="ar-SA"/>
        </w:rPr>
      </w:pPr>
      <w:r>
        <w:rPr>
          <w:rFonts w:hint="eastAsia" w:ascii="宋体" w:hAnsi="宋体" w:eastAsia="宋体" w:cs="Times New Roman"/>
          <w:bCs/>
          <w:kern w:val="2"/>
          <w:sz w:val="24"/>
          <w:highlight w:val="none"/>
          <w:lang w:val="en-US" w:bidi="ar-SA"/>
        </w:rPr>
        <w:t>名    称：江苏仁禾中衡工程咨询房地产估价有限公司</w:t>
      </w:r>
    </w:p>
    <w:p w14:paraId="796E142C">
      <w:pPr>
        <w:keepLines w:val="0"/>
        <w:pageBreakBefore w:val="0"/>
        <w:widowControl/>
        <w:kinsoku/>
        <w:wordWrap/>
        <w:overflowPunct/>
        <w:topLinePunct w:val="0"/>
        <w:bidi w:val="0"/>
        <w:snapToGrid/>
        <w:spacing w:line="500" w:lineRule="exact"/>
        <w:ind w:firstLine="480"/>
        <w:jc w:val="left"/>
        <w:textAlignment w:val="auto"/>
        <w:rPr>
          <w:rFonts w:hint="default" w:ascii="宋体" w:hAnsi="宋体" w:eastAsia="宋体" w:cs="Times New Roman"/>
          <w:bCs/>
          <w:kern w:val="2"/>
          <w:sz w:val="24"/>
          <w:highlight w:val="none"/>
          <w:lang w:val="en-US" w:bidi="ar-SA"/>
        </w:rPr>
      </w:pPr>
      <w:r>
        <w:rPr>
          <w:rFonts w:hint="eastAsia" w:ascii="宋体" w:hAnsi="宋体" w:eastAsia="宋体" w:cs="Times New Roman"/>
          <w:bCs/>
          <w:kern w:val="2"/>
          <w:sz w:val="24"/>
          <w:highlight w:val="none"/>
          <w:lang w:val="en-US" w:bidi="ar-SA"/>
        </w:rPr>
        <w:t>地　　址：</w:t>
      </w:r>
      <w:r>
        <w:rPr>
          <w:rFonts w:hint="eastAsia" w:ascii="宋体" w:hAnsi="宋体" w:eastAsia="宋体" w:cs="Times New Roman"/>
          <w:bCs/>
          <w:kern w:val="2"/>
          <w:sz w:val="24"/>
          <w:highlight w:val="none"/>
          <w:lang w:val="zh-CN" w:bidi="ar-SA"/>
        </w:rPr>
        <w:t>大丰区</w:t>
      </w:r>
      <w:r>
        <w:rPr>
          <w:rFonts w:hint="eastAsia" w:ascii="宋体" w:hAnsi="宋体" w:eastAsia="宋体" w:cs="Times New Roman"/>
          <w:bCs/>
          <w:kern w:val="2"/>
          <w:sz w:val="24"/>
          <w:highlight w:val="none"/>
          <w:lang w:val="en-US" w:bidi="ar-SA"/>
        </w:rPr>
        <w:t>丰尚国际1号楼9楼</w:t>
      </w:r>
    </w:p>
    <w:p w14:paraId="5F389A7E">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eastAsia="宋体" w:cs="Times New Roman"/>
          <w:bCs/>
          <w:kern w:val="2"/>
          <w:sz w:val="24"/>
          <w:highlight w:val="none"/>
          <w:lang w:val="en-US" w:bidi="ar-SA"/>
        </w:rPr>
      </w:pPr>
      <w:r>
        <w:rPr>
          <w:rFonts w:hint="eastAsia" w:ascii="宋体" w:hAnsi="宋体" w:eastAsia="宋体" w:cs="Times New Roman"/>
          <w:bCs/>
          <w:kern w:val="2"/>
          <w:sz w:val="24"/>
          <w:highlight w:val="none"/>
          <w:lang w:val="en-US" w:bidi="ar-SA"/>
        </w:rPr>
        <w:t xml:space="preserve">联系人：金燕                       </w:t>
      </w:r>
    </w:p>
    <w:p w14:paraId="6F1B9926">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eastAsia="宋体" w:cs="Times New Roman"/>
          <w:bCs/>
          <w:kern w:val="2"/>
          <w:sz w:val="24"/>
          <w:highlight w:val="none"/>
          <w:lang w:val="en-US" w:bidi="ar-SA"/>
        </w:rPr>
      </w:pPr>
      <w:r>
        <w:rPr>
          <w:rFonts w:hint="eastAsia" w:ascii="宋体" w:hAnsi="宋体" w:eastAsia="宋体" w:cs="Times New Roman"/>
          <w:bCs/>
          <w:kern w:val="2"/>
          <w:sz w:val="24"/>
          <w:highlight w:val="none"/>
          <w:lang w:val="en-US" w:bidi="ar-SA"/>
        </w:rPr>
        <w:t xml:space="preserve">联系电话：15161955460 　 </w:t>
      </w:r>
    </w:p>
    <w:p w14:paraId="48092BFD">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eastAsia="宋体" w:cs="Times New Roman"/>
          <w:bCs/>
          <w:kern w:val="2"/>
          <w:sz w:val="24"/>
          <w:highlight w:val="none"/>
          <w:lang w:val="en-US" w:bidi="ar-SA"/>
        </w:rPr>
      </w:pPr>
      <w:r>
        <w:rPr>
          <w:rFonts w:hint="eastAsia" w:ascii="宋体" w:hAnsi="宋体" w:eastAsia="宋体" w:cs="Times New Roman"/>
          <w:bCs/>
          <w:kern w:val="2"/>
          <w:sz w:val="24"/>
          <w:highlight w:val="none"/>
          <w:lang w:val="en-US" w:bidi="ar-SA"/>
        </w:rPr>
        <w:t>3.项目联系方式</w:t>
      </w:r>
    </w:p>
    <w:p w14:paraId="2B4221DB">
      <w:pPr>
        <w:keepLines w:val="0"/>
        <w:pageBreakBefore w:val="0"/>
        <w:widowControl/>
        <w:kinsoku/>
        <w:wordWrap/>
        <w:overflowPunct/>
        <w:topLinePunct w:val="0"/>
        <w:bidi w:val="0"/>
        <w:snapToGrid/>
        <w:spacing w:line="500" w:lineRule="exact"/>
        <w:ind w:firstLine="480"/>
        <w:jc w:val="left"/>
        <w:textAlignment w:val="auto"/>
        <w:rPr>
          <w:rFonts w:hint="default" w:ascii="宋体" w:hAnsi="宋体" w:eastAsia="宋体" w:cs="Times New Roman"/>
          <w:bCs/>
          <w:kern w:val="2"/>
          <w:sz w:val="24"/>
          <w:highlight w:val="none"/>
          <w:lang w:val="en-US" w:bidi="ar-SA"/>
        </w:rPr>
      </w:pPr>
      <w:r>
        <w:rPr>
          <w:rFonts w:hint="eastAsia" w:ascii="宋体" w:hAnsi="宋体" w:eastAsia="宋体" w:cs="Times New Roman"/>
          <w:bCs/>
          <w:kern w:val="2"/>
          <w:sz w:val="24"/>
          <w:highlight w:val="none"/>
          <w:lang w:val="en-US" w:bidi="ar-SA"/>
        </w:rPr>
        <w:t>项目联系人：</w:t>
      </w:r>
      <w:r>
        <w:rPr>
          <w:rFonts w:hint="eastAsia" w:ascii="宋体" w:hAnsi="宋体" w:eastAsia="宋体" w:cs="Times New Roman"/>
          <w:bCs/>
          <w:kern w:val="2"/>
          <w:sz w:val="24"/>
          <w:highlight w:val="none"/>
          <w:lang w:val="en-US" w:eastAsia="zh-CN" w:bidi="ar-SA"/>
        </w:rPr>
        <w:t>金燕</w:t>
      </w:r>
      <w:r>
        <w:rPr>
          <w:rFonts w:hint="eastAsia" w:ascii="宋体" w:hAnsi="宋体" w:eastAsia="宋体" w:cs="Times New Roman"/>
          <w:bCs/>
          <w:kern w:val="2"/>
          <w:sz w:val="24"/>
          <w:highlight w:val="none"/>
          <w:lang w:val="en-US" w:bidi="ar-SA"/>
        </w:rPr>
        <w:t xml:space="preserve"> </w:t>
      </w:r>
    </w:p>
    <w:p w14:paraId="01D253AB">
      <w:pPr>
        <w:keepLines w:val="0"/>
        <w:pageBreakBefore w:val="0"/>
        <w:widowControl/>
        <w:kinsoku/>
        <w:wordWrap/>
        <w:overflowPunct/>
        <w:topLinePunct w:val="0"/>
        <w:bidi w:val="0"/>
        <w:snapToGrid/>
        <w:spacing w:line="500" w:lineRule="exact"/>
        <w:ind w:firstLine="480"/>
        <w:jc w:val="left"/>
        <w:textAlignment w:val="auto"/>
        <w:rPr>
          <w:rFonts w:hint="default" w:ascii="宋体" w:hAnsi="宋体" w:eastAsia="宋体" w:cs="Times New Roman"/>
          <w:bCs/>
          <w:kern w:val="2"/>
          <w:sz w:val="24"/>
          <w:highlight w:val="none"/>
          <w:lang w:val="en-US" w:bidi="ar-SA"/>
        </w:rPr>
      </w:pPr>
      <w:r>
        <w:rPr>
          <w:rFonts w:hint="eastAsia" w:ascii="宋体" w:hAnsi="宋体" w:eastAsia="宋体" w:cs="Times New Roman"/>
          <w:bCs/>
          <w:kern w:val="2"/>
          <w:sz w:val="24"/>
          <w:highlight w:val="none"/>
          <w:lang w:val="en-US" w:bidi="ar-SA"/>
        </w:rPr>
        <w:t>电话：</w:t>
      </w:r>
      <w:r>
        <w:rPr>
          <w:rFonts w:hint="eastAsia" w:ascii="宋体" w:hAnsi="宋体" w:eastAsia="宋体" w:cs="Times New Roman"/>
          <w:bCs/>
          <w:kern w:val="2"/>
          <w:sz w:val="24"/>
          <w:highlight w:val="none"/>
          <w:lang w:val="en-US" w:eastAsia="zh-CN" w:bidi="ar-SA"/>
        </w:rPr>
        <w:t>15161955460</w:t>
      </w:r>
    </w:p>
    <w:p w14:paraId="0D9AD07B">
      <w:pPr>
        <w:keepLines w:val="0"/>
        <w:pageBreakBefore w:val="0"/>
        <w:widowControl/>
        <w:kinsoku/>
        <w:wordWrap/>
        <w:overflowPunct/>
        <w:topLinePunct w:val="0"/>
        <w:bidi w:val="0"/>
        <w:snapToGrid/>
        <w:spacing w:line="500" w:lineRule="exact"/>
        <w:ind w:firstLine="480"/>
        <w:jc w:val="left"/>
        <w:textAlignment w:val="auto"/>
        <w:rPr>
          <w:rFonts w:hint="default" w:ascii="宋体" w:hAnsi="宋体" w:eastAsia="宋体" w:cs="Times New Roman"/>
          <w:bCs/>
          <w:kern w:val="2"/>
          <w:sz w:val="24"/>
          <w:highlight w:val="none"/>
          <w:lang w:val="en-US" w:bidi="ar-SA"/>
        </w:rPr>
      </w:pPr>
      <w:r>
        <w:rPr>
          <w:rFonts w:hint="eastAsia" w:ascii="宋体" w:hAnsi="宋体" w:eastAsia="宋体" w:cs="Times New Roman"/>
          <w:bCs/>
          <w:kern w:val="2"/>
          <w:sz w:val="24"/>
          <w:highlight w:val="none"/>
          <w:lang w:val="en-US" w:bidi="ar-SA"/>
        </w:rPr>
        <w:t>4</w:t>
      </w:r>
      <w:r>
        <w:rPr>
          <w:rFonts w:hint="default" w:ascii="宋体" w:hAnsi="宋体" w:eastAsia="宋体" w:cs="Times New Roman"/>
          <w:bCs/>
          <w:kern w:val="2"/>
          <w:sz w:val="24"/>
          <w:highlight w:val="none"/>
          <w:lang w:val="en-US" w:bidi="ar-SA"/>
        </w:rPr>
        <w:t>.</w:t>
      </w:r>
      <w:r>
        <w:rPr>
          <w:rFonts w:hint="eastAsia" w:ascii="宋体" w:hAnsi="宋体" w:eastAsia="宋体" w:cs="Times New Roman"/>
          <w:bCs/>
          <w:kern w:val="2"/>
          <w:sz w:val="24"/>
          <w:highlight w:val="none"/>
          <w:lang w:val="en-US" w:bidi="ar-SA"/>
        </w:rPr>
        <w:t>软件技术支持：</w:t>
      </w:r>
      <w:r>
        <w:rPr>
          <w:rFonts w:hint="default" w:ascii="宋体" w:hAnsi="宋体" w:eastAsia="宋体" w:cs="Times New Roman"/>
          <w:bCs/>
          <w:kern w:val="2"/>
          <w:sz w:val="24"/>
          <w:highlight w:val="none"/>
          <w:lang w:val="en-US" w:bidi="ar-SA"/>
        </w:rPr>
        <w:t>0519-86722805</w:t>
      </w:r>
    </w:p>
    <w:p w14:paraId="3831ECF5">
      <w:pPr>
        <w:pageBreakBefore/>
        <w:spacing w:line="520" w:lineRule="exact"/>
        <w:jc w:val="center"/>
        <w:outlineLvl w:val="0"/>
        <w:rPr>
          <w:rFonts w:ascii="Times New Roman" w:hAnsi="Times New Roman" w:cs="Times New Roman"/>
          <w:b/>
          <w:color w:val="auto"/>
          <w:sz w:val="44"/>
          <w:szCs w:val="44"/>
          <w:highlight w:val="none"/>
        </w:rPr>
      </w:pPr>
      <w:r>
        <w:rPr>
          <w:rFonts w:hint="eastAsia" w:ascii="Times New Roman" w:hAnsi="Times New Roman" w:cs="Times New Roman"/>
          <w:b/>
          <w:color w:val="auto"/>
          <w:sz w:val="44"/>
          <w:szCs w:val="44"/>
          <w:highlight w:val="none"/>
        </w:rPr>
        <w:t xml:space="preserve">第二章  </w:t>
      </w:r>
      <w:bookmarkStart w:id="26" w:name="_Toc20823274"/>
      <w:bookmarkStart w:id="27" w:name="_Toc513029202"/>
      <w:bookmarkStart w:id="28" w:name="_Toc16938518"/>
      <w:bookmarkStart w:id="29" w:name="_Toc120614213"/>
      <w:r>
        <w:rPr>
          <w:rFonts w:hint="eastAsia" w:ascii="Times New Roman" w:hAnsi="Times New Roman" w:cs="Times New Roman"/>
          <w:b/>
          <w:color w:val="auto"/>
          <w:sz w:val="44"/>
          <w:szCs w:val="44"/>
          <w:highlight w:val="none"/>
        </w:rPr>
        <w:t>投标人须知</w:t>
      </w:r>
      <w:bookmarkEnd w:id="26"/>
      <w:bookmarkEnd w:id="27"/>
      <w:bookmarkEnd w:id="28"/>
      <w:bookmarkEnd w:id="29"/>
    </w:p>
    <w:p w14:paraId="35EDA89A">
      <w:pPr>
        <w:pStyle w:val="16"/>
        <w:spacing w:before="145" w:after="145" w:line="360" w:lineRule="auto"/>
        <w:ind w:firstLine="498"/>
        <w:rPr>
          <w:rFonts w:ascii="Times New Roman" w:hAnsi="Times New Roman" w:cs="Times New Roman"/>
          <w:color w:val="auto"/>
          <w:sz w:val="24"/>
          <w:szCs w:val="24"/>
          <w:highlight w:val="none"/>
        </w:rPr>
      </w:pPr>
      <w:bookmarkStart w:id="30" w:name="_Toc20823275"/>
      <w:bookmarkStart w:id="31" w:name="_Toc513029203"/>
      <w:bookmarkStart w:id="32" w:name="_Toc120614214"/>
      <w:bookmarkStart w:id="33" w:name="_Toc16938519"/>
      <w:r>
        <w:rPr>
          <w:rFonts w:hint="eastAsia" w:ascii="Times New Roman" w:hAnsi="Times New Roman" w:cs="Times New Roman"/>
          <w:color w:val="auto"/>
          <w:sz w:val="24"/>
          <w:szCs w:val="24"/>
          <w:highlight w:val="none"/>
        </w:rPr>
        <w:t>一、总则</w:t>
      </w:r>
      <w:bookmarkEnd w:id="30"/>
      <w:bookmarkEnd w:id="31"/>
      <w:bookmarkEnd w:id="32"/>
      <w:bookmarkEnd w:id="33"/>
    </w:p>
    <w:p w14:paraId="4820341F">
      <w:pPr>
        <w:pStyle w:val="18"/>
        <w:spacing w:before="0" w:after="0" w:line="360" w:lineRule="auto"/>
        <w:ind w:firstLine="420"/>
        <w:rPr>
          <w:b w:val="0"/>
          <w:bCs w:val="0"/>
          <w:color w:val="auto"/>
          <w:sz w:val="24"/>
          <w:szCs w:val="24"/>
          <w:highlight w:val="none"/>
        </w:rPr>
      </w:pPr>
      <w:bookmarkStart w:id="34" w:name="_Hlt16619475"/>
      <w:bookmarkEnd w:id="34"/>
      <w:bookmarkStart w:id="35" w:name="_Toc458694821"/>
      <w:bookmarkStart w:id="36" w:name="_Toc20823276"/>
      <w:bookmarkStart w:id="37" w:name="_Toc16938520"/>
      <w:bookmarkStart w:id="38" w:name="_Toc513029204"/>
      <w:r>
        <w:rPr>
          <w:rFonts w:hint="eastAsia"/>
          <w:b w:val="0"/>
          <w:bCs w:val="0"/>
          <w:color w:val="auto"/>
          <w:sz w:val="24"/>
          <w:szCs w:val="24"/>
          <w:highlight w:val="none"/>
        </w:rPr>
        <w:t>1</w:t>
      </w:r>
      <w:bookmarkEnd w:id="35"/>
      <w:r>
        <w:rPr>
          <w:rFonts w:hint="eastAsia"/>
          <w:b w:val="0"/>
          <w:bCs w:val="0"/>
          <w:color w:val="auto"/>
          <w:sz w:val="24"/>
          <w:szCs w:val="24"/>
          <w:highlight w:val="none"/>
        </w:rPr>
        <w:t>、招标方式</w:t>
      </w:r>
      <w:bookmarkEnd w:id="36"/>
      <w:bookmarkEnd w:id="37"/>
      <w:bookmarkEnd w:id="38"/>
    </w:p>
    <w:p w14:paraId="698E55FF">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1.1 本次招标采取公开招标方式，本招标文件仅适用于招标公告中所述项目。</w:t>
      </w:r>
    </w:p>
    <w:p w14:paraId="4000F80D">
      <w:pPr>
        <w:pStyle w:val="18"/>
        <w:spacing w:before="0" w:after="0" w:line="360" w:lineRule="auto"/>
        <w:ind w:firstLine="420"/>
        <w:rPr>
          <w:b w:val="0"/>
          <w:bCs w:val="0"/>
          <w:color w:val="auto"/>
          <w:sz w:val="24"/>
          <w:szCs w:val="24"/>
          <w:highlight w:val="none"/>
        </w:rPr>
      </w:pPr>
      <w:bookmarkStart w:id="39" w:name="_Toc16938521"/>
      <w:bookmarkStart w:id="40" w:name="_Toc513029205"/>
      <w:bookmarkStart w:id="41" w:name="_Toc20823277"/>
      <w:r>
        <w:rPr>
          <w:rFonts w:hint="eastAsia"/>
          <w:b w:val="0"/>
          <w:bCs w:val="0"/>
          <w:color w:val="auto"/>
          <w:sz w:val="24"/>
          <w:szCs w:val="24"/>
          <w:highlight w:val="none"/>
        </w:rPr>
        <w:t>2、合格的投标人</w:t>
      </w:r>
      <w:bookmarkEnd w:id="39"/>
      <w:bookmarkEnd w:id="40"/>
      <w:bookmarkEnd w:id="41"/>
    </w:p>
    <w:p w14:paraId="13D80C58">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2.1满足招标公告中供应商的资格要求的规定。</w:t>
      </w:r>
    </w:p>
    <w:p w14:paraId="291137A4">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2.2 满足本文件实质性要求和条件的规定。</w:t>
      </w:r>
    </w:p>
    <w:p w14:paraId="6120C316">
      <w:pPr>
        <w:pStyle w:val="18"/>
        <w:spacing w:before="0" w:after="0" w:line="360" w:lineRule="auto"/>
        <w:ind w:firstLine="420"/>
        <w:rPr>
          <w:b w:val="0"/>
          <w:bCs w:val="0"/>
          <w:color w:val="auto"/>
          <w:sz w:val="24"/>
          <w:szCs w:val="24"/>
          <w:highlight w:val="none"/>
        </w:rPr>
      </w:pPr>
      <w:bookmarkStart w:id="42" w:name="_Toc513029206"/>
      <w:bookmarkStart w:id="43" w:name="_Toc20823278"/>
      <w:bookmarkStart w:id="44" w:name="_Toc16938522"/>
      <w:r>
        <w:rPr>
          <w:rFonts w:hint="eastAsia"/>
          <w:b w:val="0"/>
          <w:bCs w:val="0"/>
          <w:color w:val="auto"/>
          <w:sz w:val="24"/>
          <w:szCs w:val="24"/>
          <w:highlight w:val="none"/>
        </w:rPr>
        <w:t>3、适用法律</w:t>
      </w:r>
      <w:bookmarkEnd w:id="42"/>
      <w:bookmarkEnd w:id="43"/>
      <w:bookmarkEnd w:id="44"/>
    </w:p>
    <w:p w14:paraId="405C5ED3">
      <w:pPr>
        <w:spacing w:line="360" w:lineRule="auto"/>
        <w:ind w:firstLine="42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3.1 本次招标及由此产生的合同受中华人民共和国有关的法律法规制约和保护</w:t>
      </w:r>
      <w:r>
        <w:rPr>
          <w:rFonts w:ascii="宋体" w:hAnsi="宋体" w:cs="Times New Roman"/>
          <w:color w:val="auto"/>
          <w:sz w:val="24"/>
          <w:szCs w:val="24"/>
          <w:highlight w:val="none"/>
        </w:rPr>
        <w:t>。</w:t>
      </w:r>
    </w:p>
    <w:p w14:paraId="77CD6BCD">
      <w:pPr>
        <w:pStyle w:val="18"/>
        <w:spacing w:before="0" w:after="0" w:line="360" w:lineRule="auto"/>
        <w:ind w:firstLine="420"/>
        <w:rPr>
          <w:b w:val="0"/>
          <w:bCs w:val="0"/>
          <w:color w:val="auto"/>
          <w:sz w:val="24"/>
          <w:szCs w:val="24"/>
          <w:highlight w:val="none"/>
        </w:rPr>
      </w:pPr>
      <w:bookmarkStart w:id="45" w:name="_Toc513029207"/>
      <w:bookmarkStart w:id="46" w:name="_Toc20823279"/>
      <w:bookmarkStart w:id="47" w:name="_Toc462564067"/>
      <w:bookmarkStart w:id="48" w:name="_Toc16938523"/>
      <w:r>
        <w:rPr>
          <w:rFonts w:hint="eastAsia"/>
          <w:b w:val="0"/>
          <w:bCs w:val="0"/>
          <w:color w:val="auto"/>
          <w:sz w:val="24"/>
          <w:szCs w:val="24"/>
          <w:highlight w:val="none"/>
        </w:rPr>
        <w:t>4、投标费用</w:t>
      </w:r>
      <w:bookmarkEnd w:id="45"/>
      <w:bookmarkEnd w:id="46"/>
      <w:bookmarkEnd w:id="47"/>
      <w:bookmarkEnd w:id="48"/>
    </w:p>
    <w:p w14:paraId="67CC1662">
      <w:pPr>
        <w:spacing w:line="460" w:lineRule="atLeast"/>
        <w:ind w:firstLine="480"/>
        <w:jc w:val="left"/>
        <w:rPr>
          <w:rFonts w:hint="eastAsia" w:ascii="宋体" w:hAnsi="宋体" w:cs="宋体"/>
          <w:color w:val="auto"/>
          <w:sz w:val="24"/>
          <w:highlight w:val="none"/>
        </w:rPr>
      </w:pPr>
      <w:r>
        <w:rPr>
          <w:rFonts w:hint="eastAsia" w:ascii="宋体" w:hAnsi="宋体" w:cs="宋体"/>
          <w:color w:val="auto"/>
          <w:sz w:val="24"/>
          <w:highlight w:val="none"/>
        </w:rPr>
        <w:t>4.1 投标人应自行承担所有与参加投标有关的费用，无论投标过程中的做法和结果如何，采购人在任何情况下均无义务和责任承担这些费用。</w:t>
      </w:r>
    </w:p>
    <w:p w14:paraId="1577C026">
      <w:pPr>
        <w:spacing w:line="460" w:lineRule="atLeast"/>
        <w:ind w:firstLine="480"/>
        <w:jc w:val="left"/>
        <w:rPr>
          <w:rFonts w:hint="eastAsia" w:ascii="宋体" w:hAnsi="宋体" w:cs="宋体"/>
          <w:color w:val="auto"/>
          <w:sz w:val="24"/>
          <w:highlight w:val="none"/>
        </w:rPr>
      </w:pPr>
      <w:r>
        <w:rPr>
          <w:rFonts w:hint="eastAsia" w:ascii="宋体" w:hAnsi="宋体" w:cs="宋体"/>
          <w:color w:val="auto"/>
          <w:sz w:val="24"/>
          <w:highlight w:val="none"/>
        </w:rPr>
        <w:t>4.2本次招标采购，采购人不收取标书工本费。</w:t>
      </w:r>
    </w:p>
    <w:p w14:paraId="48EDA2BF">
      <w:pPr>
        <w:pStyle w:val="18"/>
        <w:spacing w:before="0" w:after="0" w:line="360" w:lineRule="auto"/>
        <w:ind w:firstLine="602"/>
        <w:rPr>
          <w:rFonts w:hint="eastAsia" w:ascii="宋体" w:hAnsi="宋体"/>
          <w:color w:val="auto"/>
          <w:sz w:val="24"/>
          <w:szCs w:val="24"/>
          <w:highlight w:val="none"/>
        </w:rPr>
      </w:pPr>
    </w:p>
    <w:p w14:paraId="03F8A9C4">
      <w:pPr>
        <w:pStyle w:val="18"/>
        <w:spacing w:before="0" w:after="0" w:line="360" w:lineRule="auto"/>
        <w:ind w:firstLine="241"/>
        <w:rPr>
          <w:rFonts w:hint="eastAsia" w:ascii="黑体" w:hAnsi="宋体"/>
          <w:b w:val="0"/>
          <w:bCs w:val="0"/>
          <w:color w:val="auto"/>
          <w:sz w:val="24"/>
          <w:szCs w:val="24"/>
          <w:highlight w:val="none"/>
        </w:rPr>
      </w:pPr>
      <w:r>
        <w:rPr>
          <w:rFonts w:hint="eastAsia" w:ascii="宋体" w:hAnsi="宋体"/>
          <w:color w:val="auto"/>
          <w:sz w:val="24"/>
          <w:szCs w:val="24"/>
          <w:highlight w:val="none"/>
        </w:rPr>
        <w:t>5、</w:t>
      </w:r>
      <w:r>
        <w:rPr>
          <w:rFonts w:hint="eastAsia" w:ascii="黑体" w:hAnsi="宋体"/>
          <w:b w:val="0"/>
          <w:bCs w:val="0"/>
          <w:color w:val="auto"/>
          <w:sz w:val="24"/>
          <w:szCs w:val="24"/>
          <w:highlight w:val="none"/>
        </w:rPr>
        <w:t>招标文件的约束力</w:t>
      </w:r>
    </w:p>
    <w:p w14:paraId="1E4EF346">
      <w:pPr>
        <w:spacing w:line="360" w:lineRule="auto"/>
        <w:ind w:firstLine="480"/>
        <w:rPr>
          <w:rFonts w:hint="eastAsia" w:ascii="宋体" w:hAnsi="宋体" w:cs="Times New Roman"/>
          <w:color w:val="auto"/>
          <w:sz w:val="24"/>
          <w:szCs w:val="24"/>
          <w:highlight w:val="none"/>
        </w:rPr>
      </w:pPr>
      <w:r>
        <w:rPr>
          <w:rFonts w:hint="eastAsia" w:ascii="宋体" w:hAnsi="宋体" w:cs="Times New Roman"/>
          <w:bCs/>
          <w:color w:val="auto"/>
          <w:sz w:val="24"/>
          <w:szCs w:val="24"/>
          <w:highlight w:val="none"/>
        </w:rPr>
        <w:t>5.1</w:t>
      </w:r>
      <w:r>
        <w:rPr>
          <w:rFonts w:hint="eastAsia" w:ascii="宋体" w:hAnsi="宋体" w:cs="Times New Roman"/>
          <w:color w:val="auto"/>
          <w:sz w:val="24"/>
          <w:szCs w:val="24"/>
          <w:highlight w:val="none"/>
        </w:rPr>
        <w:t xml:space="preserve"> 投标人一旦参加本项目采购活动，即被认为接受了本招标文件的规定和约束。</w:t>
      </w:r>
    </w:p>
    <w:p w14:paraId="67308C05">
      <w:pPr>
        <w:pStyle w:val="16"/>
        <w:spacing w:before="145" w:after="145" w:line="360" w:lineRule="auto"/>
        <w:ind w:firstLine="321"/>
        <w:rPr>
          <w:rFonts w:ascii="Times New Roman" w:hAnsi="Times New Roman" w:cs="Times New Roman"/>
          <w:color w:val="auto"/>
          <w:sz w:val="24"/>
          <w:szCs w:val="24"/>
          <w:highlight w:val="none"/>
        </w:rPr>
      </w:pPr>
      <w:bookmarkStart w:id="49" w:name="_Toc16938525"/>
      <w:bookmarkStart w:id="50" w:name="_Toc513029209"/>
      <w:bookmarkStart w:id="51" w:name="_Toc120614215"/>
      <w:bookmarkStart w:id="52" w:name="_Toc20823281"/>
      <w:r>
        <w:rPr>
          <w:rFonts w:hint="eastAsia" w:ascii="Times New Roman" w:hAnsi="Times New Roman" w:cs="Times New Roman"/>
          <w:color w:val="auto"/>
          <w:sz w:val="24"/>
          <w:szCs w:val="24"/>
          <w:highlight w:val="none"/>
        </w:rPr>
        <w:t>二、招标文件</w:t>
      </w:r>
      <w:bookmarkEnd w:id="49"/>
      <w:bookmarkEnd w:id="50"/>
      <w:bookmarkEnd w:id="51"/>
      <w:bookmarkEnd w:id="52"/>
    </w:p>
    <w:p w14:paraId="0809DB52">
      <w:pPr>
        <w:pStyle w:val="18"/>
        <w:spacing w:before="0" w:after="0" w:line="360" w:lineRule="auto"/>
        <w:ind w:firstLine="420"/>
        <w:rPr>
          <w:b w:val="0"/>
          <w:bCs w:val="0"/>
          <w:color w:val="auto"/>
          <w:sz w:val="24"/>
          <w:szCs w:val="24"/>
          <w:highlight w:val="none"/>
        </w:rPr>
      </w:pPr>
      <w:bookmarkStart w:id="53" w:name="_Toc20823282"/>
      <w:bookmarkStart w:id="54" w:name="_Toc16938526"/>
      <w:bookmarkStart w:id="55" w:name="_Toc513029210"/>
      <w:r>
        <w:rPr>
          <w:rFonts w:hint="eastAsia"/>
          <w:b w:val="0"/>
          <w:bCs w:val="0"/>
          <w:color w:val="auto"/>
          <w:sz w:val="24"/>
          <w:szCs w:val="24"/>
          <w:highlight w:val="none"/>
        </w:rPr>
        <w:t>6、招标文件构成</w:t>
      </w:r>
      <w:bookmarkEnd w:id="53"/>
      <w:bookmarkEnd w:id="54"/>
      <w:bookmarkEnd w:id="55"/>
    </w:p>
    <w:p w14:paraId="7FFAD945">
      <w:pPr>
        <w:spacing w:line="360" w:lineRule="auto"/>
        <w:ind w:firstLine="480"/>
        <w:rPr>
          <w:rFonts w:hint="eastAsia" w:ascii="宋体" w:hAnsi="宋体" w:cs="Times New Roman"/>
          <w:color w:val="auto"/>
          <w:sz w:val="24"/>
          <w:szCs w:val="24"/>
          <w:highlight w:val="none"/>
        </w:rPr>
      </w:pPr>
      <w:r>
        <w:rPr>
          <w:rFonts w:hint="eastAsia" w:ascii="宋体" w:hAnsi="宋体" w:cs="Times New Roman"/>
          <w:bCs/>
          <w:color w:val="auto"/>
          <w:sz w:val="24"/>
          <w:szCs w:val="24"/>
          <w:highlight w:val="none"/>
        </w:rPr>
        <w:t>6.1</w:t>
      </w:r>
      <w:r>
        <w:rPr>
          <w:rFonts w:hint="eastAsia" w:ascii="宋体" w:hAnsi="宋体" w:cs="Times New Roman"/>
          <w:color w:val="auto"/>
          <w:sz w:val="24"/>
          <w:szCs w:val="24"/>
          <w:highlight w:val="none"/>
        </w:rPr>
        <w:t xml:space="preserve"> 招标文件由以下部分组成：</w:t>
      </w:r>
    </w:p>
    <w:p w14:paraId="4752244D">
      <w:pPr>
        <w:spacing w:line="360" w:lineRule="auto"/>
        <w:ind w:firstLine="36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（1）招标公告</w:t>
      </w:r>
    </w:p>
    <w:p w14:paraId="0ABCF4FD">
      <w:pPr>
        <w:spacing w:line="360" w:lineRule="auto"/>
        <w:ind w:firstLine="36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（2）投标人须知</w:t>
      </w:r>
    </w:p>
    <w:p w14:paraId="5A19C150">
      <w:pPr>
        <w:spacing w:line="360" w:lineRule="auto"/>
        <w:ind w:firstLine="36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（3）合同文本</w:t>
      </w:r>
    </w:p>
    <w:p w14:paraId="7C6D0D95">
      <w:pPr>
        <w:spacing w:line="360" w:lineRule="auto"/>
        <w:ind w:firstLine="36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（4）项目需求</w:t>
      </w:r>
    </w:p>
    <w:p w14:paraId="3F15E47C">
      <w:pPr>
        <w:spacing w:line="360" w:lineRule="auto"/>
        <w:ind w:firstLine="360"/>
        <w:rPr>
          <w:rFonts w:ascii="Times New Roman" w:hAnsi="Times New Roman" w:cs="Times New Roman"/>
          <w:color w:val="auto"/>
          <w:sz w:val="24"/>
          <w:szCs w:val="24"/>
          <w:highlight w:val="none"/>
        </w:rPr>
      </w:pPr>
      <w:r>
        <w:rPr>
          <w:rFonts w:hint="eastAsia" w:ascii="宋体" w:hAnsi="宋体" w:cs="Times New Roman"/>
          <w:color w:val="auto"/>
          <w:sz w:val="24"/>
          <w:szCs w:val="24"/>
          <w:highlight w:val="none"/>
        </w:rPr>
        <w:t>（5）</w:t>
      </w:r>
      <w:r>
        <w:rPr>
          <w:rFonts w:hint="eastAsia" w:ascii="Times New Roman" w:hAnsi="宋体" w:cs="Times New Roman"/>
          <w:color w:val="auto"/>
          <w:sz w:val="24"/>
          <w:szCs w:val="24"/>
          <w:highlight w:val="none"/>
        </w:rPr>
        <w:t>评标方法与评标标准</w:t>
      </w:r>
    </w:p>
    <w:p w14:paraId="2B9B3120">
      <w:pPr>
        <w:spacing w:line="360" w:lineRule="auto"/>
        <w:ind w:firstLine="36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（6）投标文件格式</w:t>
      </w:r>
    </w:p>
    <w:p w14:paraId="377D1F64">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请仔细检查招标文件是否齐全，如有缺漏请立即与采购人联系解决。</w:t>
      </w:r>
    </w:p>
    <w:p w14:paraId="6960E218">
      <w:pPr>
        <w:spacing w:line="360" w:lineRule="auto"/>
        <w:ind w:firstLine="480"/>
        <w:rPr>
          <w:rFonts w:hint="eastAsia" w:ascii="宋体" w:hAnsi="宋体" w:cs="Times New Roman"/>
          <w:color w:val="auto"/>
          <w:sz w:val="24"/>
          <w:szCs w:val="24"/>
          <w:highlight w:val="none"/>
        </w:rPr>
      </w:pPr>
      <w:r>
        <w:rPr>
          <w:rFonts w:hint="eastAsia" w:ascii="宋体" w:hAnsi="宋体" w:cs="Times New Roman"/>
          <w:bCs/>
          <w:color w:val="auto"/>
          <w:sz w:val="24"/>
          <w:szCs w:val="24"/>
          <w:highlight w:val="none"/>
        </w:rPr>
        <w:t>6.2</w:t>
      </w:r>
      <w:r>
        <w:rPr>
          <w:rFonts w:hint="eastAsia" w:ascii="宋体" w:hAnsi="宋体" w:cs="Times New Roman"/>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CC3386D">
      <w:pPr>
        <w:pStyle w:val="18"/>
        <w:spacing w:before="0" w:after="0" w:line="360" w:lineRule="auto"/>
        <w:ind w:firstLine="560"/>
        <w:rPr>
          <w:b w:val="0"/>
          <w:bCs w:val="0"/>
          <w:color w:val="auto"/>
          <w:sz w:val="24"/>
          <w:szCs w:val="24"/>
          <w:highlight w:val="none"/>
        </w:rPr>
      </w:pPr>
      <w:bookmarkStart w:id="56" w:name="_Toc462564070"/>
      <w:bookmarkStart w:id="57" w:name="_Toc16938527"/>
      <w:bookmarkStart w:id="58" w:name="_Toc513029211"/>
      <w:bookmarkStart w:id="59" w:name="_Toc20823283"/>
      <w:r>
        <w:rPr>
          <w:rFonts w:hint="eastAsia"/>
          <w:b w:val="0"/>
          <w:bCs w:val="0"/>
          <w:color w:val="auto"/>
          <w:sz w:val="24"/>
          <w:szCs w:val="24"/>
          <w:highlight w:val="none"/>
        </w:rPr>
        <w:t>7、招标文件的澄清</w:t>
      </w:r>
      <w:bookmarkEnd w:id="56"/>
      <w:bookmarkEnd w:id="57"/>
      <w:bookmarkEnd w:id="58"/>
      <w:bookmarkEnd w:id="59"/>
    </w:p>
    <w:p w14:paraId="3DBC5AF8">
      <w:pPr>
        <w:spacing w:line="360" w:lineRule="auto"/>
        <w:ind w:firstLine="480"/>
        <w:rPr>
          <w:rFonts w:hint="eastAsia" w:ascii="宋体" w:hAnsi="宋体" w:cs="Times New Roman"/>
          <w:color w:val="auto"/>
          <w:sz w:val="24"/>
          <w:szCs w:val="24"/>
          <w:highlight w:val="none"/>
        </w:rPr>
      </w:pPr>
      <w:r>
        <w:rPr>
          <w:rFonts w:hint="eastAsia" w:ascii="宋体" w:hAnsi="宋体" w:cs="Times New Roman"/>
          <w:bCs/>
          <w:color w:val="auto"/>
          <w:sz w:val="24"/>
          <w:szCs w:val="24"/>
          <w:highlight w:val="none"/>
        </w:rPr>
        <w:t>7.1</w:t>
      </w:r>
      <w:r>
        <w:rPr>
          <w:rFonts w:hint="eastAsia" w:ascii="宋体" w:hAnsi="宋体" w:cs="Times New Roman"/>
          <w:color w:val="auto"/>
          <w:sz w:val="24"/>
          <w:szCs w:val="24"/>
          <w:highlight w:val="none"/>
        </w:rPr>
        <w:t xml:space="preserve"> 任何要求对招标文件进行澄清的投标人，应在投标截止期</w:t>
      </w:r>
      <w:r>
        <w:rPr>
          <w:rFonts w:hint="eastAsia" w:ascii="仿宋_GB2312" w:hAnsi="仿宋_GB2312" w:cs="Times New Roman"/>
          <w:b/>
          <w:color w:val="auto"/>
          <w:sz w:val="24"/>
          <w:szCs w:val="24"/>
          <w:highlight w:val="none"/>
        </w:rPr>
        <w:t>十日</w:t>
      </w:r>
      <w:r>
        <w:rPr>
          <w:rFonts w:hint="eastAsia" w:ascii="仿宋_GB2312" w:hAnsi="仿宋_GB2312" w:cs="Times New Roman"/>
          <w:color w:val="auto"/>
          <w:sz w:val="24"/>
          <w:szCs w:val="24"/>
          <w:highlight w:val="none"/>
        </w:rPr>
        <w:t>前</w:t>
      </w:r>
      <w:r>
        <w:rPr>
          <w:rFonts w:hint="eastAsia" w:ascii="宋体" w:hAnsi="宋体" w:cs="Times New Roman"/>
          <w:color w:val="auto"/>
          <w:sz w:val="24"/>
          <w:szCs w:val="24"/>
          <w:highlight w:val="none"/>
        </w:rPr>
        <w:t>按招标公告中的通讯地址，以书面形式通知采购人。</w:t>
      </w:r>
    </w:p>
    <w:p w14:paraId="7C7F22B0">
      <w:pPr>
        <w:pStyle w:val="18"/>
        <w:spacing w:before="0" w:after="0" w:line="360" w:lineRule="auto"/>
        <w:ind w:firstLine="560"/>
        <w:rPr>
          <w:b w:val="0"/>
          <w:bCs w:val="0"/>
          <w:color w:val="auto"/>
          <w:sz w:val="24"/>
          <w:szCs w:val="24"/>
          <w:highlight w:val="none"/>
        </w:rPr>
      </w:pPr>
      <w:bookmarkStart w:id="60" w:name="_Toc462564071"/>
      <w:bookmarkStart w:id="61" w:name="_Toc20823284"/>
      <w:bookmarkStart w:id="62" w:name="_Toc16938528"/>
      <w:bookmarkStart w:id="63" w:name="_Toc513029212"/>
      <w:r>
        <w:rPr>
          <w:rFonts w:hint="eastAsia"/>
          <w:b w:val="0"/>
          <w:bCs w:val="0"/>
          <w:color w:val="auto"/>
          <w:sz w:val="24"/>
          <w:szCs w:val="24"/>
          <w:highlight w:val="none"/>
        </w:rPr>
        <w:t>8、招标文件的修改</w:t>
      </w:r>
      <w:bookmarkEnd w:id="60"/>
      <w:bookmarkEnd w:id="61"/>
      <w:bookmarkEnd w:id="62"/>
      <w:bookmarkEnd w:id="63"/>
    </w:p>
    <w:p w14:paraId="6FFE2121">
      <w:pPr>
        <w:spacing w:line="360" w:lineRule="auto"/>
        <w:ind w:firstLine="480"/>
        <w:rPr>
          <w:rFonts w:hint="eastAsia" w:ascii="宋体" w:hAnsi="宋体" w:cs="Times New Roman"/>
          <w:color w:val="auto"/>
          <w:sz w:val="24"/>
          <w:szCs w:val="24"/>
          <w:highlight w:val="none"/>
        </w:rPr>
      </w:pPr>
      <w:r>
        <w:rPr>
          <w:rFonts w:hint="eastAsia" w:ascii="宋体" w:hAnsi="宋体" w:cs="Times New Roman"/>
          <w:bCs/>
          <w:color w:val="auto"/>
          <w:sz w:val="24"/>
          <w:szCs w:val="24"/>
          <w:highlight w:val="none"/>
        </w:rPr>
        <w:t>8.1</w:t>
      </w:r>
      <w:r>
        <w:rPr>
          <w:rFonts w:hint="eastAsia" w:ascii="宋体" w:hAnsi="宋体" w:cs="Times New Roman"/>
          <w:color w:val="auto"/>
          <w:sz w:val="24"/>
          <w:szCs w:val="24"/>
          <w:highlight w:val="none"/>
        </w:rPr>
        <w:t xml:space="preserve"> 在投标截止时间</w:t>
      </w:r>
      <w:r>
        <w:rPr>
          <w:rFonts w:hint="eastAsia" w:ascii="仿宋_GB2312" w:hAnsi="仿宋_GB2312" w:cs="Times New Roman"/>
          <w:color w:val="auto"/>
          <w:sz w:val="24"/>
          <w:szCs w:val="24"/>
          <w:highlight w:val="none"/>
        </w:rPr>
        <w:t>前</w:t>
      </w:r>
      <w:r>
        <w:rPr>
          <w:rFonts w:hint="eastAsia" w:ascii="宋体" w:hAnsi="宋体" w:cs="Times New Roman"/>
          <w:color w:val="auto"/>
          <w:sz w:val="24"/>
          <w:szCs w:val="24"/>
          <w:highlight w:val="none"/>
        </w:rPr>
        <w:t>，采购人可以对招标文件进行修改。</w:t>
      </w:r>
    </w:p>
    <w:p w14:paraId="63937003">
      <w:pPr>
        <w:spacing w:line="360" w:lineRule="auto"/>
        <w:ind w:firstLine="480"/>
        <w:rPr>
          <w:rFonts w:ascii="宋体" w:hAnsi="Arial" w:cs="Times New Roman"/>
          <w:color w:val="auto"/>
          <w:sz w:val="24"/>
          <w:szCs w:val="24"/>
          <w:highlight w:val="none"/>
        </w:rPr>
      </w:pPr>
      <w:r>
        <w:rPr>
          <w:rFonts w:hint="eastAsia" w:ascii="宋体" w:hAnsi="宋体" w:cs="Times New Roman"/>
          <w:bCs/>
          <w:color w:val="auto"/>
          <w:sz w:val="24"/>
          <w:szCs w:val="24"/>
          <w:highlight w:val="none"/>
        </w:rPr>
        <w:t xml:space="preserve">8.2 </w:t>
      </w:r>
      <w:r>
        <w:rPr>
          <w:rFonts w:hint="eastAsia" w:ascii="宋体" w:hAnsi="宋体" w:cs="Times New Roman"/>
          <w:color w:val="auto"/>
          <w:sz w:val="24"/>
          <w:szCs w:val="24"/>
          <w:highlight w:val="none"/>
        </w:rPr>
        <w:t>采购人有权按照法定的要求推迟投标截止日期和开标日期。</w:t>
      </w:r>
    </w:p>
    <w:p w14:paraId="5C87FA7B">
      <w:pPr>
        <w:spacing w:line="360" w:lineRule="auto"/>
        <w:ind w:firstLine="480"/>
        <w:rPr>
          <w:rFonts w:hint="eastAsia" w:ascii="宋体" w:hAnsi="宋体" w:cs="Times New Roman"/>
          <w:color w:val="auto"/>
          <w:sz w:val="24"/>
          <w:szCs w:val="24"/>
          <w:highlight w:val="none"/>
        </w:rPr>
      </w:pPr>
      <w:r>
        <w:rPr>
          <w:rFonts w:hint="eastAsia" w:ascii="宋体" w:hAnsi="宋体" w:cs="Times New Roman"/>
          <w:bCs/>
          <w:color w:val="auto"/>
          <w:sz w:val="24"/>
          <w:szCs w:val="24"/>
          <w:highlight w:val="none"/>
        </w:rPr>
        <w:t xml:space="preserve">8.3 </w:t>
      </w:r>
      <w:r>
        <w:rPr>
          <w:rFonts w:hint="eastAsia" w:ascii="宋体" w:hAnsi="宋体" w:cs="Times New Roman"/>
          <w:color w:val="auto"/>
          <w:sz w:val="24"/>
          <w:szCs w:val="24"/>
          <w:highlight w:val="none"/>
        </w:rPr>
        <w:t>招标文件的修改将在江苏政府采购网公布，补充文件将作为招标文件的组成部分，并对投标人具有约束力。</w:t>
      </w:r>
    </w:p>
    <w:p w14:paraId="7E8A80B0">
      <w:pPr>
        <w:pStyle w:val="16"/>
        <w:spacing w:before="145" w:after="145" w:line="360" w:lineRule="auto"/>
        <w:ind w:firstLine="482"/>
        <w:rPr>
          <w:rFonts w:ascii="Times New Roman" w:hAnsi="Times New Roman" w:cs="Times New Roman"/>
          <w:color w:val="auto"/>
          <w:sz w:val="24"/>
          <w:szCs w:val="24"/>
          <w:highlight w:val="none"/>
        </w:rPr>
      </w:pPr>
      <w:bookmarkStart w:id="64" w:name="_Toc120614216"/>
      <w:bookmarkStart w:id="65" w:name="_Toc20823285"/>
      <w:bookmarkStart w:id="66" w:name="_Toc513029213"/>
      <w:bookmarkStart w:id="67" w:name="_Toc462564072"/>
      <w:bookmarkStart w:id="68" w:name="_Toc16938529"/>
      <w:r>
        <w:rPr>
          <w:rFonts w:hint="eastAsia" w:ascii="Times New Roman" w:hAnsi="Times New Roman" w:cs="Times New Roman"/>
          <w:color w:val="auto"/>
          <w:sz w:val="24"/>
          <w:szCs w:val="24"/>
          <w:highlight w:val="none"/>
        </w:rPr>
        <w:t>三、投标文件的编制</w:t>
      </w:r>
      <w:bookmarkEnd w:id="64"/>
      <w:bookmarkEnd w:id="65"/>
      <w:bookmarkEnd w:id="66"/>
      <w:bookmarkEnd w:id="67"/>
      <w:bookmarkEnd w:id="68"/>
    </w:p>
    <w:p w14:paraId="57FB5981">
      <w:pPr>
        <w:pStyle w:val="18"/>
        <w:spacing w:before="0" w:after="0" w:line="360" w:lineRule="auto"/>
        <w:ind w:firstLine="560"/>
        <w:rPr>
          <w:bCs w:val="0"/>
          <w:color w:val="auto"/>
          <w:sz w:val="24"/>
          <w:szCs w:val="24"/>
          <w:highlight w:val="none"/>
        </w:rPr>
      </w:pPr>
      <w:bookmarkStart w:id="69" w:name="_Toc20823286"/>
      <w:bookmarkStart w:id="70" w:name="_Toc513029214"/>
      <w:bookmarkStart w:id="71" w:name="_Toc16938530"/>
      <w:bookmarkStart w:id="72" w:name="_Toc462564073"/>
      <w:r>
        <w:rPr>
          <w:rFonts w:hint="eastAsia"/>
          <w:b w:val="0"/>
          <w:bCs w:val="0"/>
          <w:color w:val="auto"/>
          <w:sz w:val="24"/>
          <w:szCs w:val="24"/>
          <w:highlight w:val="none"/>
        </w:rPr>
        <w:t>9、投标文件的语言及度量衡单位</w:t>
      </w:r>
      <w:bookmarkEnd w:id="69"/>
      <w:bookmarkEnd w:id="70"/>
      <w:bookmarkEnd w:id="71"/>
      <w:bookmarkEnd w:id="72"/>
    </w:p>
    <w:p w14:paraId="3909DFD3">
      <w:pPr>
        <w:spacing w:line="360" w:lineRule="auto"/>
        <w:ind w:firstLine="480"/>
        <w:rPr>
          <w:rFonts w:hint="eastAsia" w:ascii="宋体" w:hAnsi="宋体" w:cs="Times New Roman"/>
          <w:color w:val="auto"/>
          <w:sz w:val="24"/>
          <w:szCs w:val="24"/>
          <w:highlight w:val="none"/>
        </w:rPr>
      </w:pPr>
      <w:r>
        <w:rPr>
          <w:rFonts w:hint="eastAsia" w:ascii="宋体" w:hAnsi="宋体" w:cs="Times New Roman"/>
          <w:bCs/>
          <w:color w:val="auto"/>
          <w:sz w:val="24"/>
          <w:szCs w:val="24"/>
          <w:highlight w:val="none"/>
        </w:rPr>
        <w:t>9.1</w:t>
      </w:r>
      <w:r>
        <w:rPr>
          <w:rFonts w:hint="eastAsia" w:ascii="宋体" w:hAnsi="宋体" w:cs="Times New Roman"/>
          <w:color w:val="auto"/>
          <w:sz w:val="24"/>
          <w:szCs w:val="24"/>
          <w:highlight w:val="none"/>
        </w:rPr>
        <w:t xml:space="preserve"> 投标人提交的投标文件以及投标人与采购人就有关投标的所有来往通知、函件和文件均应使用</w:t>
      </w:r>
      <w:r>
        <w:rPr>
          <w:rFonts w:hint="eastAsia" w:ascii="宋体" w:hAnsi="宋体" w:cs="Times New Roman"/>
          <w:b/>
          <w:bCs/>
          <w:color w:val="auto"/>
          <w:sz w:val="24"/>
          <w:szCs w:val="24"/>
          <w:highlight w:val="none"/>
        </w:rPr>
        <w:t>简体中文</w:t>
      </w:r>
      <w:r>
        <w:rPr>
          <w:rFonts w:hint="eastAsia" w:ascii="宋体" w:hAnsi="宋体" w:cs="Times New Roman"/>
          <w:color w:val="auto"/>
          <w:sz w:val="24"/>
          <w:szCs w:val="24"/>
          <w:highlight w:val="none"/>
        </w:rPr>
        <w:t>。</w:t>
      </w:r>
    </w:p>
    <w:p w14:paraId="13151552">
      <w:pPr>
        <w:spacing w:line="360" w:lineRule="auto"/>
        <w:ind w:firstLine="480"/>
        <w:rPr>
          <w:rFonts w:hint="eastAsia" w:ascii="宋体" w:hAnsi="宋体" w:cs="Times New Roman"/>
          <w:color w:val="auto"/>
          <w:sz w:val="24"/>
          <w:szCs w:val="24"/>
          <w:highlight w:val="none"/>
        </w:rPr>
      </w:pPr>
      <w:r>
        <w:rPr>
          <w:rFonts w:hint="eastAsia" w:ascii="宋体" w:hAnsi="宋体" w:cs="Times New Roman"/>
          <w:bCs/>
          <w:color w:val="auto"/>
          <w:sz w:val="24"/>
          <w:szCs w:val="24"/>
          <w:highlight w:val="none"/>
        </w:rPr>
        <w:t>9.2</w:t>
      </w:r>
      <w:r>
        <w:rPr>
          <w:rFonts w:hint="eastAsia" w:ascii="宋体" w:hAnsi="宋体" w:cs="Times New Roman"/>
          <w:color w:val="auto"/>
          <w:sz w:val="24"/>
          <w:szCs w:val="24"/>
          <w:highlight w:val="none"/>
        </w:rPr>
        <w:t xml:space="preserve"> 除技术性能另有规定外，投标文件所使用的度量衡单位，均须采用国家法定计量单位。</w:t>
      </w:r>
    </w:p>
    <w:p w14:paraId="28D5674C">
      <w:pPr>
        <w:pStyle w:val="18"/>
        <w:spacing w:before="0" w:after="0" w:line="360" w:lineRule="auto"/>
        <w:ind w:firstLine="420"/>
        <w:rPr>
          <w:b w:val="0"/>
          <w:bCs w:val="0"/>
          <w:color w:val="auto"/>
          <w:sz w:val="24"/>
          <w:szCs w:val="24"/>
          <w:highlight w:val="none"/>
        </w:rPr>
      </w:pPr>
      <w:bookmarkStart w:id="73" w:name="_Toc462564074"/>
      <w:bookmarkStart w:id="74" w:name="_Toc513029215"/>
      <w:bookmarkStart w:id="75" w:name="_Toc16938531"/>
      <w:bookmarkStart w:id="76" w:name="_Toc20823287"/>
      <w:r>
        <w:rPr>
          <w:rFonts w:hint="eastAsia"/>
          <w:b w:val="0"/>
          <w:bCs w:val="0"/>
          <w:color w:val="auto"/>
          <w:sz w:val="24"/>
          <w:szCs w:val="24"/>
          <w:highlight w:val="none"/>
        </w:rPr>
        <w:t>10、投标文件构成</w:t>
      </w:r>
      <w:bookmarkEnd w:id="73"/>
      <w:bookmarkEnd w:id="74"/>
      <w:bookmarkEnd w:id="75"/>
      <w:bookmarkEnd w:id="76"/>
    </w:p>
    <w:p w14:paraId="03276CC1">
      <w:pPr>
        <w:spacing w:line="360" w:lineRule="auto"/>
        <w:ind w:firstLine="480"/>
        <w:rPr>
          <w:rFonts w:hint="eastAsia" w:ascii="宋体" w:hAnsi="宋体" w:cs="Times New Roman"/>
          <w:color w:val="auto"/>
          <w:sz w:val="24"/>
          <w:szCs w:val="24"/>
          <w:highlight w:val="none"/>
        </w:rPr>
      </w:pPr>
      <w:r>
        <w:rPr>
          <w:rFonts w:hint="eastAsia" w:ascii="宋体" w:hAnsi="宋体" w:cs="Times New Roman"/>
          <w:bCs/>
          <w:color w:val="auto"/>
          <w:sz w:val="24"/>
          <w:szCs w:val="24"/>
          <w:highlight w:val="none"/>
        </w:rPr>
        <w:t>10.1</w:t>
      </w:r>
      <w:r>
        <w:rPr>
          <w:rFonts w:hint="eastAsia" w:ascii="宋体" w:hAnsi="宋体" w:cs="Times New Roman"/>
          <w:color w:val="auto"/>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p>
    <w:p w14:paraId="7444EDEC">
      <w:pPr>
        <w:spacing w:line="360" w:lineRule="auto"/>
        <w:ind w:firstLine="480"/>
        <w:rPr>
          <w:rFonts w:hint="eastAsia" w:ascii="宋体" w:hAnsi="宋体" w:eastAsia="Arial" w:cs="Times New Roman"/>
          <w:color w:val="auto"/>
          <w:sz w:val="24"/>
          <w:szCs w:val="24"/>
          <w:highlight w:val="none"/>
        </w:rPr>
      </w:pPr>
      <w:r>
        <w:rPr>
          <w:rFonts w:hint="eastAsia" w:ascii="宋体" w:hAnsi="宋体" w:cs="Times New Roman"/>
          <w:color w:val="auto"/>
          <w:sz w:val="24"/>
          <w:szCs w:val="24"/>
          <w:highlight w:val="none"/>
        </w:rPr>
        <w:t xml:space="preserve">10.2 </w:t>
      </w:r>
      <w:r>
        <w:rPr>
          <w:rFonts w:hint="eastAsia" w:ascii="宋体" w:hAnsi="宋体" w:eastAsia="Arial" w:cs="Times New Roman"/>
          <w:color w:val="auto"/>
          <w:sz w:val="24"/>
          <w:szCs w:val="24"/>
          <w:highlight w:val="none"/>
        </w:rPr>
        <w:t>如标书制作工具中格式和内容与“中国政府采购网”、“江苏政府采购网”、“盐城市政府采购网”发布的招标文件不一致，请以中国政府采购网”、“江苏政府采购网”、“盐城市政府采购网”发布的招标文件为准。</w:t>
      </w:r>
    </w:p>
    <w:p w14:paraId="147C4291">
      <w:pPr>
        <w:pStyle w:val="18"/>
        <w:spacing w:before="0" w:after="0" w:line="360" w:lineRule="auto"/>
        <w:ind w:firstLine="420"/>
        <w:rPr>
          <w:b w:val="0"/>
          <w:bCs w:val="0"/>
          <w:color w:val="auto"/>
          <w:sz w:val="24"/>
          <w:szCs w:val="24"/>
          <w:highlight w:val="none"/>
        </w:rPr>
      </w:pPr>
      <w:bookmarkStart w:id="77" w:name="_Hlt26670360"/>
      <w:bookmarkEnd w:id="77"/>
      <w:bookmarkStart w:id="78" w:name="_Hlt26954838"/>
      <w:bookmarkEnd w:id="78"/>
      <w:bookmarkStart w:id="79" w:name="_Hlt26668975"/>
      <w:bookmarkEnd w:id="79"/>
      <w:bookmarkStart w:id="80" w:name="_Toc513029216"/>
      <w:bookmarkStart w:id="81" w:name="_Toc513029219"/>
      <w:bookmarkStart w:id="82" w:name="_Toc14577357"/>
      <w:bookmarkStart w:id="83" w:name="_Toc49090509"/>
      <w:bookmarkStart w:id="84" w:name="_Toc49090507"/>
      <w:bookmarkStart w:id="85" w:name="_Toc14577354"/>
      <w:r>
        <w:rPr>
          <w:rFonts w:hint="eastAsia"/>
          <w:b w:val="0"/>
          <w:bCs w:val="0"/>
          <w:color w:val="auto"/>
          <w:sz w:val="24"/>
          <w:szCs w:val="24"/>
          <w:highlight w:val="none"/>
        </w:rPr>
        <w:t>11、证明投标人及投标标的符合招标文件规定的文件</w:t>
      </w:r>
      <w:bookmarkEnd w:id="80"/>
      <w:bookmarkEnd w:id="81"/>
      <w:bookmarkEnd w:id="82"/>
      <w:bookmarkEnd w:id="83"/>
      <w:bookmarkEnd w:id="84"/>
      <w:bookmarkEnd w:id="85"/>
    </w:p>
    <w:p w14:paraId="75DA5A59">
      <w:pPr>
        <w:spacing w:line="360" w:lineRule="auto"/>
        <w:rPr>
          <w:rFonts w:hint="eastAsia" w:ascii="宋体" w:hAnsi="宋体" w:cs="Times New Roman"/>
          <w:color w:val="auto"/>
          <w:sz w:val="24"/>
          <w:szCs w:val="24"/>
          <w:highlight w:val="none"/>
        </w:rPr>
      </w:pPr>
      <w:bookmarkStart w:id="86" w:name="_Toc14577355"/>
      <w:bookmarkStart w:id="87" w:name="_Toc49090508"/>
      <w:r>
        <w:rPr>
          <w:rFonts w:hint="eastAsia" w:ascii="宋体" w:hAnsi="宋体" w:cs="Times New Roman"/>
          <w:color w:val="auto"/>
          <w:sz w:val="24"/>
          <w:szCs w:val="24"/>
          <w:highlight w:val="none"/>
        </w:rPr>
        <w:t xml:space="preserve">    11.1 投标人应按照法律、法规、规章和规范性文件以及招标文件要求提交证明文件，证明其及投标标的符合招标文件规定。</w:t>
      </w:r>
    </w:p>
    <w:p w14:paraId="3FE2FE1F">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11.2招标文件对证明文件无明确形式要求的，证明文件可以以文字资料、图纸和数据等形式提交。</w:t>
      </w:r>
    </w:p>
    <w:p w14:paraId="3A99233B">
      <w:pPr>
        <w:pStyle w:val="18"/>
        <w:spacing w:before="0" w:after="0" w:line="360" w:lineRule="auto"/>
        <w:ind w:firstLine="420"/>
        <w:rPr>
          <w:b w:val="0"/>
          <w:bCs w:val="0"/>
          <w:color w:val="auto"/>
          <w:sz w:val="24"/>
          <w:szCs w:val="24"/>
          <w:highlight w:val="none"/>
        </w:rPr>
      </w:pPr>
      <w:r>
        <w:rPr>
          <w:rFonts w:hint="eastAsia"/>
          <w:b w:val="0"/>
          <w:bCs w:val="0"/>
          <w:color w:val="auto"/>
          <w:sz w:val="24"/>
          <w:szCs w:val="24"/>
          <w:highlight w:val="none"/>
        </w:rPr>
        <w:t>12、投标分项报价</w:t>
      </w:r>
      <w:bookmarkEnd w:id="86"/>
      <w:bookmarkStart w:id="88" w:name="_Hlt26670373"/>
      <w:bookmarkEnd w:id="88"/>
      <w:r>
        <w:rPr>
          <w:rFonts w:hint="eastAsia"/>
          <w:b w:val="0"/>
          <w:bCs w:val="0"/>
          <w:color w:val="auto"/>
          <w:sz w:val="24"/>
          <w:szCs w:val="24"/>
          <w:highlight w:val="none"/>
        </w:rPr>
        <w:t>表</w:t>
      </w:r>
      <w:bookmarkEnd w:id="87"/>
    </w:p>
    <w:p w14:paraId="5B283CCF">
      <w:pPr>
        <w:spacing w:line="360" w:lineRule="auto"/>
        <w:ind w:firstLine="480"/>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12.1</w:t>
      </w:r>
      <w:r>
        <w:rPr>
          <w:rFonts w:hint="eastAsia" w:ascii="宋体" w:hAnsi="宋体" w:cs="Times New Roman"/>
          <w:color w:val="auto"/>
          <w:sz w:val="24"/>
          <w:szCs w:val="24"/>
          <w:highlight w:val="none"/>
        </w:rPr>
        <w:t xml:space="preserve"> 投</w:t>
      </w:r>
      <w:bookmarkStart w:id="89" w:name="_Hlt26954840"/>
      <w:bookmarkEnd w:id="89"/>
      <w:r>
        <w:rPr>
          <w:rFonts w:hint="eastAsia" w:ascii="宋体" w:hAnsi="宋体" w:cs="Times New Roman"/>
          <w:color w:val="auto"/>
          <w:sz w:val="24"/>
          <w:szCs w:val="24"/>
          <w:highlight w:val="none"/>
        </w:rPr>
        <w:t>标人应按照招标文件规定格式填报投标分项报价表</w:t>
      </w:r>
      <w:bookmarkStart w:id="90" w:name="_Hlt26670399"/>
      <w:bookmarkEnd w:id="90"/>
      <w:r>
        <w:rPr>
          <w:rFonts w:hint="eastAsia" w:ascii="宋体" w:hAnsi="宋体" w:cs="Times New Roman"/>
          <w:color w:val="auto"/>
          <w:sz w:val="24"/>
          <w:szCs w:val="24"/>
          <w:highlight w:val="none"/>
        </w:rPr>
        <w:t>。</w:t>
      </w:r>
    </w:p>
    <w:p w14:paraId="3E19F3F0">
      <w:pPr>
        <w:spacing w:line="360" w:lineRule="auto"/>
        <w:ind w:firstLine="480"/>
        <w:rPr>
          <w:rFonts w:hint="eastAsia" w:ascii="宋体" w:hAnsi="宋体" w:cs="Times New Roman"/>
          <w:bCs/>
          <w:color w:val="auto"/>
          <w:sz w:val="24"/>
          <w:szCs w:val="24"/>
          <w:highlight w:val="none"/>
        </w:rPr>
      </w:pPr>
      <w:r>
        <w:rPr>
          <w:rFonts w:hint="eastAsia" w:ascii="宋体" w:hAnsi="宋体" w:cs="Times New Roman"/>
          <w:color w:val="auto"/>
          <w:sz w:val="24"/>
          <w:szCs w:val="24"/>
          <w:highlight w:val="none"/>
        </w:rPr>
        <w:t>12.2</w:t>
      </w:r>
      <w:r>
        <w:rPr>
          <w:rFonts w:hint="eastAsia" w:ascii="宋体" w:hAnsi="宋体" w:cs="Times New Roman"/>
          <w:bCs/>
          <w:color w:val="auto"/>
          <w:sz w:val="24"/>
          <w:szCs w:val="24"/>
          <w:highlight w:val="none"/>
        </w:rPr>
        <w:t>投标货币。投标文件中的单价和总价无特殊规定的采用人民币报价，以元为单位标注。</w:t>
      </w:r>
      <w:r>
        <w:rPr>
          <w:rFonts w:hint="eastAsia" w:ascii="宋体" w:hAnsi="宋体" w:cs="Times New Roman"/>
          <w:color w:val="auto"/>
          <w:sz w:val="24"/>
          <w:szCs w:val="24"/>
          <w:highlight w:val="none"/>
        </w:rPr>
        <w:t>招标文件中另有规定的按规定执行。</w:t>
      </w:r>
    </w:p>
    <w:p w14:paraId="06A4DCFE">
      <w:pPr>
        <w:pStyle w:val="18"/>
        <w:spacing w:before="0" w:after="0" w:line="360" w:lineRule="auto"/>
        <w:ind w:firstLine="420"/>
        <w:rPr>
          <w:b w:val="0"/>
          <w:bCs w:val="0"/>
          <w:color w:val="auto"/>
          <w:sz w:val="24"/>
          <w:szCs w:val="24"/>
          <w:highlight w:val="none"/>
        </w:rPr>
      </w:pPr>
      <w:bookmarkStart w:id="91" w:name="_Hlt26954842"/>
      <w:bookmarkEnd w:id="91"/>
      <w:bookmarkStart w:id="92" w:name="_Hlt26670482"/>
      <w:bookmarkEnd w:id="92"/>
      <w:bookmarkStart w:id="93" w:name="_Hlt26954731"/>
      <w:bookmarkEnd w:id="93"/>
      <w:bookmarkStart w:id="94" w:name="_Hlt26954848"/>
      <w:bookmarkEnd w:id="94"/>
      <w:bookmarkStart w:id="95" w:name="_Hlt26954846"/>
      <w:bookmarkEnd w:id="95"/>
      <w:bookmarkStart w:id="96" w:name="_Hlt26670425"/>
      <w:bookmarkEnd w:id="96"/>
      <w:bookmarkStart w:id="97" w:name="_Hlt26670486"/>
      <w:bookmarkEnd w:id="97"/>
      <w:bookmarkStart w:id="98" w:name="_Hlt26668983"/>
      <w:bookmarkEnd w:id="98"/>
      <w:bookmarkStart w:id="99" w:name="_Hlt26670403"/>
      <w:bookmarkEnd w:id="99"/>
      <w:bookmarkStart w:id="100" w:name="_Hlt26954844"/>
      <w:bookmarkEnd w:id="100"/>
      <w:r>
        <w:rPr>
          <w:rFonts w:hint="eastAsia"/>
          <w:b w:val="0"/>
          <w:bCs w:val="0"/>
          <w:color w:val="auto"/>
          <w:sz w:val="24"/>
          <w:szCs w:val="24"/>
          <w:highlight w:val="none"/>
        </w:rPr>
        <w:t>13、技术要求响应及偏离表、商务要求响应及偏离表</w:t>
      </w:r>
    </w:p>
    <w:p w14:paraId="2267A556">
      <w:pPr>
        <w:spacing w:line="360" w:lineRule="auto"/>
        <w:ind w:firstLine="480"/>
        <w:rPr>
          <w:rFonts w:ascii="宋体" w:hAnsi="Arial" w:eastAsia="Arial" w:cs="宋体"/>
          <w:color w:val="auto"/>
          <w:sz w:val="24"/>
          <w:szCs w:val="24"/>
          <w:highlight w:val="none"/>
          <w:lang w:val="zh-CN"/>
        </w:rPr>
      </w:pPr>
      <w:r>
        <w:rPr>
          <w:rFonts w:ascii="宋体" w:hAnsi="Arial" w:cs="宋体"/>
          <w:bCs/>
          <w:color w:val="auto"/>
          <w:sz w:val="24"/>
          <w:szCs w:val="24"/>
          <w:highlight w:val="none"/>
          <w:lang w:val="zh-CN"/>
        </w:rPr>
        <w:t>1</w:t>
      </w:r>
      <w:r>
        <w:rPr>
          <w:rFonts w:hint="eastAsia" w:ascii="宋体" w:hAnsi="Arial" w:cs="宋体"/>
          <w:bCs/>
          <w:color w:val="auto"/>
          <w:sz w:val="24"/>
          <w:szCs w:val="24"/>
          <w:highlight w:val="none"/>
          <w:lang w:val="zh-CN"/>
        </w:rPr>
        <w:t>3</w:t>
      </w:r>
      <w:r>
        <w:rPr>
          <w:rFonts w:ascii="宋体" w:hAnsi="Arial" w:cs="宋体"/>
          <w:bCs/>
          <w:color w:val="auto"/>
          <w:sz w:val="24"/>
          <w:szCs w:val="24"/>
          <w:highlight w:val="none"/>
          <w:lang w:val="zh-CN"/>
        </w:rPr>
        <w:t>.1</w:t>
      </w:r>
      <w:r>
        <w:rPr>
          <w:rFonts w:ascii="宋体" w:hAnsi="Arial" w:cs="宋体"/>
          <w:color w:val="auto"/>
          <w:sz w:val="24"/>
          <w:szCs w:val="24"/>
          <w:highlight w:val="none"/>
          <w:lang w:val="zh-CN"/>
        </w:rPr>
        <w:t xml:space="preserve"> </w:t>
      </w:r>
      <w:r>
        <w:rPr>
          <w:rFonts w:hint="eastAsia" w:ascii="宋体" w:hAnsi="Arial" w:cs="宋体"/>
          <w:color w:val="auto"/>
          <w:sz w:val="24"/>
          <w:szCs w:val="24"/>
          <w:highlight w:val="none"/>
          <w:lang w:val="zh-CN"/>
        </w:rPr>
        <w:t>投标人需对招标文件中的技术要求与商务要求逐项作出响应或偏离，</w:t>
      </w:r>
      <w:r>
        <w:rPr>
          <w:rFonts w:hint="eastAsia" w:ascii="宋体" w:hAnsi="Arial" w:eastAsia="Arial" w:cs="宋体"/>
          <w:color w:val="auto"/>
          <w:sz w:val="24"/>
          <w:szCs w:val="24"/>
          <w:highlight w:val="none"/>
          <w:lang w:val="zh-CN"/>
        </w:rPr>
        <w:t>并说明原因。</w:t>
      </w:r>
    </w:p>
    <w:p w14:paraId="70EA6807">
      <w:pPr>
        <w:spacing w:line="360" w:lineRule="auto"/>
        <w:ind w:firstLine="480"/>
        <w:rPr>
          <w:rFonts w:ascii="宋体" w:hAnsi="Arial" w:eastAsia="Arial" w:cs="宋体"/>
          <w:color w:val="auto"/>
          <w:sz w:val="24"/>
          <w:szCs w:val="24"/>
          <w:highlight w:val="none"/>
          <w:lang w:val="zh-CN"/>
        </w:rPr>
      </w:pPr>
      <w:r>
        <w:rPr>
          <w:rFonts w:hint="eastAsia" w:ascii="宋体" w:hAnsi="Arial" w:eastAsia="Arial" w:cs="宋体"/>
          <w:color w:val="auto"/>
          <w:sz w:val="24"/>
          <w:szCs w:val="24"/>
          <w:highlight w:val="none"/>
          <w:lang w:val="zh-CN"/>
        </w:rPr>
        <w:t>13.2 投标人可在投标文件中提供认为需要的其他技术文件或说明。</w:t>
      </w:r>
    </w:p>
    <w:p w14:paraId="57A5DF6F">
      <w:pPr>
        <w:spacing w:line="360" w:lineRule="auto"/>
        <w:ind w:firstLine="480"/>
        <w:rPr>
          <w:rFonts w:hint="eastAsia" w:ascii="Times New Roman" w:hAnsi="Times New Roman" w:cs="Times New Roman"/>
          <w:b w:val="0"/>
          <w:bCs w:val="0"/>
          <w:color w:val="auto"/>
          <w:sz w:val="24"/>
          <w:szCs w:val="24"/>
          <w:highlight w:val="none"/>
        </w:rPr>
      </w:pPr>
      <w:bookmarkStart w:id="101" w:name="_Toc49090510"/>
      <w:bookmarkStart w:id="102" w:name="_Toc14577359"/>
      <w:r>
        <w:rPr>
          <w:rFonts w:hint="eastAsia" w:ascii="宋体" w:hAnsi="Arial" w:eastAsia="Arial" w:cs="宋体"/>
          <w:color w:val="auto"/>
          <w:sz w:val="24"/>
          <w:szCs w:val="24"/>
          <w:highlight w:val="none"/>
          <w:lang w:val="zh-CN"/>
        </w:rPr>
        <w:t>14、技术方案、服务承诺及其他</w:t>
      </w:r>
    </w:p>
    <w:p w14:paraId="4D076346">
      <w:pPr>
        <w:pStyle w:val="18"/>
        <w:spacing w:before="0" w:after="0" w:line="360" w:lineRule="auto"/>
        <w:ind w:firstLine="420"/>
        <w:rPr>
          <w:b w:val="0"/>
          <w:bCs w:val="0"/>
          <w:color w:val="auto"/>
          <w:sz w:val="24"/>
          <w:szCs w:val="24"/>
          <w:highlight w:val="none"/>
        </w:rPr>
      </w:pPr>
      <w:r>
        <w:rPr>
          <w:rFonts w:hint="eastAsia"/>
          <w:b w:val="0"/>
          <w:bCs w:val="0"/>
          <w:color w:val="auto"/>
          <w:sz w:val="24"/>
          <w:szCs w:val="24"/>
          <w:highlight w:val="none"/>
          <w:lang w:val="en-US" w:eastAsia="zh-CN"/>
        </w:rPr>
        <w:t>15、</w:t>
      </w:r>
      <w:r>
        <w:rPr>
          <w:rFonts w:hint="eastAsia"/>
          <w:b w:val="0"/>
          <w:bCs w:val="0"/>
          <w:color w:val="auto"/>
          <w:sz w:val="24"/>
          <w:szCs w:val="24"/>
          <w:highlight w:val="none"/>
        </w:rPr>
        <w:t>投标函和开标一览表</w:t>
      </w:r>
    </w:p>
    <w:p w14:paraId="0768F330">
      <w:pPr>
        <w:spacing w:line="360" w:lineRule="auto"/>
        <w:ind w:firstLine="480"/>
        <w:rPr>
          <w:rFonts w:hint="eastAsia" w:ascii="宋体" w:hAnsi="宋体" w:cs="Times New Roman"/>
          <w:color w:val="auto"/>
          <w:sz w:val="24"/>
          <w:szCs w:val="24"/>
          <w:highlight w:val="none"/>
        </w:rPr>
      </w:pPr>
      <w:r>
        <w:rPr>
          <w:rFonts w:hint="eastAsia" w:ascii="宋体" w:hAnsi="宋体" w:cs="Times New Roman"/>
          <w:bCs/>
          <w:color w:val="auto"/>
          <w:sz w:val="24"/>
          <w:szCs w:val="24"/>
          <w:highlight w:val="none"/>
        </w:rPr>
        <w:t>1</w:t>
      </w:r>
      <w:r>
        <w:rPr>
          <w:rFonts w:hint="eastAsia" w:ascii="宋体" w:hAnsi="宋体" w:eastAsia="宋体" w:cs="Times New Roman"/>
          <w:bCs/>
          <w:color w:val="auto"/>
          <w:sz w:val="24"/>
          <w:szCs w:val="24"/>
          <w:highlight w:val="none"/>
          <w:lang w:val="en-US" w:eastAsia="zh-CN"/>
        </w:rPr>
        <w:t>5</w:t>
      </w:r>
      <w:r>
        <w:rPr>
          <w:rFonts w:hint="eastAsia" w:ascii="宋体" w:hAnsi="宋体" w:cs="Times New Roman"/>
          <w:bCs/>
          <w:color w:val="auto"/>
          <w:sz w:val="24"/>
          <w:szCs w:val="24"/>
          <w:highlight w:val="none"/>
        </w:rPr>
        <w:t>.1</w:t>
      </w:r>
      <w:r>
        <w:rPr>
          <w:rFonts w:hint="eastAsia" w:ascii="宋体" w:hAnsi="宋体" w:cs="Times New Roman"/>
          <w:color w:val="auto"/>
          <w:sz w:val="24"/>
          <w:szCs w:val="24"/>
          <w:highlight w:val="none"/>
        </w:rPr>
        <w:t xml:space="preserve"> 投标人应按照招标文件中提供的格式完整、正确填写投标函、开标一览表。</w:t>
      </w:r>
    </w:p>
    <w:p w14:paraId="1668448F">
      <w:pPr>
        <w:spacing w:line="360" w:lineRule="auto"/>
        <w:ind w:firstLine="480"/>
        <w:rPr>
          <w:rFonts w:hint="eastAsia" w:ascii="宋体" w:hAnsi="宋体" w:cs="Times New Roman"/>
          <w:color w:val="auto"/>
          <w:sz w:val="24"/>
          <w:szCs w:val="24"/>
          <w:highlight w:val="none"/>
        </w:rPr>
      </w:pPr>
      <w:r>
        <w:rPr>
          <w:rFonts w:hint="eastAsia" w:ascii="宋体" w:hAnsi="宋体" w:cs="Times New Roman"/>
          <w:bCs/>
          <w:color w:val="auto"/>
          <w:sz w:val="24"/>
          <w:szCs w:val="24"/>
          <w:highlight w:val="none"/>
        </w:rPr>
        <w:t>1</w:t>
      </w:r>
      <w:r>
        <w:rPr>
          <w:rFonts w:hint="eastAsia" w:ascii="宋体" w:hAnsi="宋体" w:eastAsia="宋体" w:cs="Times New Roman"/>
          <w:bCs/>
          <w:color w:val="auto"/>
          <w:sz w:val="24"/>
          <w:szCs w:val="24"/>
          <w:highlight w:val="none"/>
          <w:lang w:val="en-US" w:eastAsia="zh-CN"/>
        </w:rPr>
        <w:t>5</w:t>
      </w:r>
      <w:r>
        <w:rPr>
          <w:rFonts w:hint="eastAsia" w:ascii="宋体" w:hAnsi="宋体" w:cs="Times New Roman"/>
          <w:bCs/>
          <w:color w:val="auto"/>
          <w:sz w:val="24"/>
          <w:szCs w:val="24"/>
          <w:highlight w:val="none"/>
        </w:rPr>
        <w:t>.2</w:t>
      </w:r>
      <w:r>
        <w:rPr>
          <w:rFonts w:hint="eastAsia" w:ascii="宋体" w:hAnsi="宋体" w:cs="Times New Roman"/>
          <w:color w:val="auto"/>
          <w:sz w:val="24"/>
          <w:szCs w:val="24"/>
          <w:highlight w:val="none"/>
        </w:rPr>
        <w:t xml:space="preserve"> 对于采用货币报价的项目，</w:t>
      </w:r>
      <w:r>
        <w:rPr>
          <w:rFonts w:hint="eastAsia" w:ascii="宋体" w:hAnsi="宋体" w:cs="Times New Roman"/>
          <w:bCs/>
          <w:color w:val="auto"/>
          <w:sz w:val="24"/>
          <w:szCs w:val="24"/>
          <w:highlight w:val="none"/>
        </w:rPr>
        <w:t>开标一览表中的投标总报价应与投标分项报价表中的投标总报价一致，如不一致，</w:t>
      </w:r>
      <w:r>
        <w:rPr>
          <w:rFonts w:hint="eastAsia" w:ascii="宋体" w:hAnsi="宋体" w:cs="Times New Roman"/>
          <w:color w:val="auto"/>
          <w:sz w:val="24"/>
          <w:szCs w:val="24"/>
          <w:highlight w:val="none"/>
        </w:rPr>
        <w:t>不作为无效投标处理</w:t>
      </w:r>
      <w:r>
        <w:rPr>
          <w:rFonts w:hint="eastAsia" w:ascii="宋体" w:hAnsi="宋体" w:cs="Times New Roman"/>
          <w:bCs/>
          <w:color w:val="auto"/>
          <w:sz w:val="24"/>
          <w:szCs w:val="24"/>
          <w:highlight w:val="none"/>
        </w:rPr>
        <w:t>，但评标时按开标一览表中价格为准</w:t>
      </w:r>
      <w:r>
        <w:rPr>
          <w:rFonts w:hint="eastAsia" w:ascii="宋体" w:hAnsi="宋体" w:cs="Times New Roman"/>
          <w:b/>
          <w:bCs/>
          <w:color w:val="auto"/>
          <w:sz w:val="24"/>
          <w:szCs w:val="24"/>
          <w:highlight w:val="none"/>
        </w:rPr>
        <w:t>。</w:t>
      </w:r>
      <w:bookmarkEnd w:id="101"/>
      <w:bookmarkEnd w:id="102"/>
    </w:p>
    <w:p w14:paraId="039289EA">
      <w:pPr>
        <w:pStyle w:val="18"/>
        <w:spacing w:before="0" w:after="0" w:line="360" w:lineRule="auto"/>
        <w:ind w:firstLine="420"/>
        <w:rPr>
          <w:b w:val="0"/>
          <w:bCs w:val="0"/>
          <w:color w:val="auto"/>
          <w:sz w:val="24"/>
          <w:szCs w:val="24"/>
          <w:highlight w:val="none"/>
        </w:rPr>
      </w:pPr>
      <w:bookmarkStart w:id="103" w:name="_Hlt26954734"/>
      <w:bookmarkEnd w:id="103"/>
      <w:bookmarkStart w:id="104" w:name="_Hlt26954850"/>
      <w:bookmarkEnd w:id="104"/>
      <w:bookmarkStart w:id="105" w:name="_Hlt26670489"/>
      <w:bookmarkEnd w:id="105"/>
      <w:bookmarkStart w:id="106" w:name="_Toc14577360"/>
      <w:bookmarkStart w:id="107" w:name="_Toc49090511"/>
      <w:r>
        <w:rPr>
          <w:rFonts w:hint="eastAsia"/>
          <w:b w:val="0"/>
          <w:bCs w:val="0"/>
          <w:color w:val="auto"/>
          <w:sz w:val="24"/>
          <w:szCs w:val="24"/>
          <w:highlight w:val="none"/>
        </w:rPr>
        <w:t>1</w:t>
      </w:r>
      <w:r>
        <w:rPr>
          <w:rFonts w:hint="eastAsia"/>
          <w:b w:val="0"/>
          <w:bCs w:val="0"/>
          <w:color w:val="auto"/>
          <w:sz w:val="24"/>
          <w:szCs w:val="24"/>
          <w:highlight w:val="none"/>
          <w:lang w:val="en-US" w:eastAsia="zh-CN"/>
        </w:rPr>
        <w:t>6</w:t>
      </w:r>
      <w:r>
        <w:rPr>
          <w:rFonts w:hint="eastAsia"/>
          <w:b w:val="0"/>
          <w:bCs w:val="0"/>
          <w:color w:val="auto"/>
          <w:sz w:val="24"/>
          <w:szCs w:val="24"/>
          <w:highlight w:val="none"/>
        </w:rPr>
        <w:t>、投标有效期</w:t>
      </w:r>
      <w:bookmarkEnd w:id="106"/>
      <w:bookmarkEnd w:id="107"/>
    </w:p>
    <w:p w14:paraId="6795BF86">
      <w:pPr>
        <w:spacing w:line="360" w:lineRule="auto"/>
        <w:ind w:firstLine="480"/>
        <w:rPr>
          <w:rFonts w:hint="eastAsia" w:ascii="宋体" w:hAnsi="宋体" w:cs="Times New Roman"/>
          <w:bCs/>
          <w:color w:val="auto"/>
          <w:sz w:val="24"/>
          <w:szCs w:val="24"/>
          <w:highlight w:val="none"/>
        </w:rPr>
      </w:pPr>
      <w:r>
        <w:rPr>
          <w:rFonts w:hint="eastAsia" w:ascii="宋体" w:hAnsi="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6</w:t>
      </w:r>
      <w:r>
        <w:rPr>
          <w:rFonts w:hint="eastAsia" w:ascii="宋体" w:hAnsi="宋体" w:cs="Times New Roman"/>
          <w:color w:val="auto"/>
          <w:sz w:val="24"/>
          <w:szCs w:val="24"/>
          <w:highlight w:val="none"/>
        </w:rPr>
        <w:t>.1</w:t>
      </w:r>
      <w:r>
        <w:rPr>
          <w:rFonts w:hint="eastAsia" w:ascii="宋体" w:hAnsi="宋体" w:cs="Times New Roman"/>
          <w:bCs/>
          <w:color w:val="auto"/>
          <w:sz w:val="24"/>
          <w:szCs w:val="24"/>
          <w:highlight w:val="none"/>
        </w:rPr>
        <w:t xml:space="preserve"> 投标有效期为采购人规定的开标之日后</w:t>
      </w:r>
      <w:r>
        <w:rPr>
          <w:rFonts w:hint="eastAsia" w:ascii="Arial" w:hAnsi="Arial" w:cs="仿宋_GB2312"/>
          <w:b/>
          <w:sz w:val="24"/>
          <w:szCs w:val="24"/>
          <w:highlight w:val="none"/>
          <w:u w:val="single"/>
        </w:rPr>
        <w:t>九</w:t>
      </w:r>
      <w:r>
        <w:rPr>
          <w:rFonts w:ascii="Arial" w:hAnsi="Arial" w:cs="仿宋_GB2312"/>
          <w:b/>
          <w:sz w:val="24"/>
          <w:szCs w:val="24"/>
          <w:highlight w:val="none"/>
          <w:u w:val="single"/>
        </w:rPr>
        <w:t>十（</w:t>
      </w:r>
      <w:r>
        <w:rPr>
          <w:rFonts w:hint="eastAsia" w:ascii="Arial" w:hAnsi="Arial" w:cs="仿宋_GB2312"/>
          <w:b/>
          <w:sz w:val="24"/>
          <w:szCs w:val="24"/>
          <w:highlight w:val="none"/>
          <w:u w:val="single"/>
        </w:rPr>
        <w:t>9</w:t>
      </w:r>
      <w:r>
        <w:rPr>
          <w:rFonts w:ascii="Arial" w:hAnsi="Arial" w:cs="仿宋_GB2312"/>
          <w:b/>
          <w:sz w:val="24"/>
          <w:szCs w:val="24"/>
          <w:highlight w:val="none"/>
          <w:u w:val="single"/>
        </w:rPr>
        <w:t>0）天</w:t>
      </w:r>
      <w:r>
        <w:rPr>
          <w:rFonts w:hint="eastAsia" w:ascii="宋体" w:hAnsi="宋体" w:cs="Times New Roman"/>
          <w:bCs/>
          <w:color w:val="auto"/>
          <w:sz w:val="24"/>
          <w:szCs w:val="24"/>
          <w:highlight w:val="none"/>
        </w:rPr>
        <w:t>。投标有效期比规定短的将被视为未实质性响应招标</w:t>
      </w:r>
      <w:r>
        <w:rPr>
          <w:rFonts w:ascii="宋体" w:hAnsi="宋体" w:cs="Times New Roman"/>
          <w:bCs/>
          <w:color w:val="auto"/>
          <w:sz w:val="24"/>
          <w:szCs w:val="24"/>
          <w:highlight w:val="none"/>
        </w:rPr>
        <w:t>文件</w:t>
      </w:r>
      <w:r>
        <w:rPr>
          <w:rFonts w:hint="eastAsia" w:ascii="宋体" w:hAnsi="宋体" w:cs="Times New Roman"/>
          <w:bCs/>
          <w:color w:val="auto"/>
          <w:sz w:val="24"/>
          <w:szCs w:val="24"/>
          <w:highlight w:val="none"/>
        </w:rPr>
        <w:t>而予以拒绝。</w:t>
      </w:r>
    </w:p>
    <w:p w14:paraId="70B22216">
      <w:pPr>
        <w:pStyle w:val="18"/>
        <w:spacing w:before="0" w:after="0" w:line="360" w:lineRule="auto"/>
        <w:ind w:firstLine="420"/>
        <w:rPr>
          <w:b w:val="0"/>
          <w:bCs w:val="0"/>
          <w:color w:val="auto"/>
          <w:sz w:val="24"/>
          <w:szCs w:val="24"/>
          <w:highlight w:val="none"/>
        </w:rPr>
      </w:pPr>
      <w:r>
        <w:rPr>
          <w:rFonts w:hint="eastAsia"/>
          <w:b w:val="0"/>
          <w:bCs w:val="0"/>
          <w:color w:val="auto"/>
          <w:sz w:val="24"/>
          <w:szCs w:val="24"/>
          <w:highlight w:val="none"/>
        </w:rPr>
        <w:t>1</w:t>
      </w:r>
      <w:r>
        <w:rPr>
          <w:rFonts w:hint="eastAsia"/>
          <w:b w:val="0"/>
          <w:bCs w:val="0"/>
          <w:color w:val="auto"/>
          <w:sz w:val="24"/>
          <w:szCs w:val="24"/>
          <w:highlight w:val="none"/>
          <w:lang w:val="en-US" w:eastAsia="zh-CN"/>
        </w:rPr>
        <w:t>7</w:t>
      </w:r>
      <w:r>
        <w:rPr>
          <w:rFonts w:hint="eastAsia"/>
          <w:b w:val="0"/>
          <w:bCs w:val="0"/>
          <w:color w:val="auto"/>
          <w:sz w:val="24"/>
          <w:szCs w:val="24"/>
          <w:highlight w:val="none"/>
        </w:rPr>
        <w:t>、投标有效期的延长</w:t>
      </w:r>
    </w:p>
    <w:p w14:paraId="0163F1AF">
      <w:pPr>
        <w:spacing w:line="360" w:lineRule="auto"/>
        <w:ind w:firstLine="480"/>
        <w:rPr>
          <w:rFonts w:hint="eastAsia" w:ascii="宋体" w:hAnsi="宋体" w:cs="Times New Roman"/>
          <w:bCs/>
          <w:color w:val="auto"/>
          <w:sz w:val="24"/>
          <w:szCs w:val="24"/>
          <w:highlight w:val="none"/>
        </w:rPr>
      </w:pPr>
      <w:r>
        <w:rPr>
          <w:rFonts w:hint="eastAsia" w:ascii="宋体" w:hAnsi="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7</w:t>
      </w:r>
      <w:r>
        <w:rPr>
          <w:rFonts w:hint="eastAsia" w:ascii="宋体" w:hAnsi="宋体" w:cs="Times New Roman"/>
          <w:color w:val="auto"/>
          <w:sz w:val="24"/>
          <w:szCs w:val="24"/>
          <w:highlight w:val="none"/>
        </w:rPr>
        <w:t>.1</w:t>
      </w:r>
      <w:r>
        <w:rPr>
          <w:rFonts w:hint="eastAsia" w:ascii="宋体" w:hAnsi="宋体" w:cs="Times New Roman"/>
          <w:bCs/>
          <w:color w:val="auto"/>
          <w:sz w:val="24"/>
          <w:szCs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s="Times New Roman"/>
          <w:color w:val="auto"/>
          <w:sz w:val="24"/>
          <w:szCs w:val="24"/>
          <w:highlight w:val="none"/>
        </w:rPr>
        <w:t>。</w:t>
      </w:r>
      <w:r>
        <w:rPr>
          <w:rFonts w:hint="eastAsia" w:ascii="宋体" w:hAnsi="宋体" w:cs="Times New Roman"/>
          <w:bCs/>
          <w:color w:val="auto"/>
          <w:sz w:val="24"/>
          <w:szCs w:val="24"/>
          <w:highlight w:val="none"/>
        </w:rPr>
        <w:t>同意延长投标有效期的投标人既不能要求也不允许修改其投标文件</w:t>
      </w:r>
      <w:r>
        <w:rPr>
          <w:rFonts w:hint="eastAsia" w:ascii="宋体" w:hAnsi="宋体" w:cs="Times New Roman"/>
          <w:color w:val="auto"/>
          <w:sz w:val="24"/>
          <w:szCs w:val="24"/>
          <w:highlight w:val="none"/>
        </w:rPr>
        <w:t>，同时受投标有效期约束的所有权利与义务均延长至新的有效期</w:t>
      </w:r>
      <w:r>
        <w:rPr>
          <w:rFonts w:hint="eastAsia" w:ascii="宋体" w:hAnsi="宋体" w:cs="Times New Roman"/>
          <w:bCs/>
          <w:color w:val="auto"/>
          <w:sz w:val="24"/>
          <w:szCs w:val="24"/>
          <w:highlight w:val="none"/>
        </w:rPr>
        <w:t>。</w:t>
      </w:r>
    </w:p>
    <w:p w14:paraId="6C258DAC">
      <w:pPr>
        <w:pStyle w:val="16"/>
        <w:spacing w:before="145" w:after="145" w:line="360" w:lineRule="auto"/>
        <w:ind w:firstLine="482"/>
        <w:rPr>
          <w:rFonts w:ascii="Times New Roman" w:hAnsi="Times New Roman" w:cs="Times New Roman"/>
          <w:color w:val="auto"/>
          <w:sz w:val="24"/>
          <w:szCs w:val="24"/>
          <w:highlight w:val="none"/>
        </w:rPr>
      </w:pPr>
      <w:bookmarkStart w:id="108" w:name="_Hlt26954739"/>
      <w:bookmarkEnd w:id="108"/>
      <w:bookmarkStart w:id="109" w:name="_Hlt26954852"/>
      <w:bookmarkEnd w:id="109"/>
      <w:bookmarkStart w:id="110" w:name="_Toc513029224"/>
      <w:bookmarkStart w:id="111" w:name="_Toc20823296"/>
      <w:bookmarkStart w:id="112" w:name="_Toc120614217"/>
      <w:bookmarkStart w:id="113" w:name="_Toc16938540"/>
      <w:r>
        <w:rPr>
          <w:rFonts w:hint="eastAsia" w:ascii="Times New Roman" w:hAnsi="Times New Roman" w:cs="Times New Roman"/>
          <w:color w:val="auto"/>
          <w:sz w:val="24"/>
          <w:szCs w:val="24"/>
          <w:highlight w:val="none"/>
        </w:rPr>
        <w:t>四、投标文件的递交</w:t>
      </w:r>
      <w:bookmarkEnd w:id="110"/>
      <w:bookmarkEnd w:id="111"/>
      <w:bookmarkEnd w:id="112"/>
      <w:bookmarkEnd w:id="113"/>
    </w:p>
    <w:p w14:paraId="7874FCFA">
      <w:pPr>
        <w:pStyle w:val="18"/>
        <w:spacing w:before="0" w:after="0" w:line="360" w:lineRule="auto"/>
        <w:ind w:firstLine="560"/>
        <w:rPr>
          <w:rFonts w:ascii="黑体"/>
          <w:b w:val="0"/>
          <w:bCs w:val="0"/>
          <w:color w:val="auto"/>
          <w:sz w:val="24"/>
          <w:szCs w:val="24"/>
          <w:highlight w:val="none"/>
        </w:rPr>
      </w:pPr>
      <w:bookmarkStart w:id="114" w:name="_Toc462564084"/>
      <w:bookmarkStart w:id="115" w:name="_Toc16938541"/>
      <w:bookmarkStart w:id="116" w:name="_Toc20823297"/>
      <w:bookmarkStart w:id="117" w:name="_Toc513029225"/>
      <w:r>
        <w:rPr>
          <w:rFonts w:hint="eastAsia"/>
          <w:b w:val="0"/>
          <w:bCs w:val="0"/>
          <w:color w:val="auto"/>
          <w:sz w:val="24"/>
          <w:szCs w:val="24"/>
          <w:highlight w:val="none"/>
        </w:rPr>
        <w:t>1</w:t>
      </w:r>
      <w:r>
        <w:rPr>
          <w:rFonts w:hint="eastAsia"/>
          <w:b w:val="0"/>
          <w:bCs w:val="0"/>
          <w:color w:val="auto"/>
          <w:sz w:val="24"/>
          <w:szCs w:val="24"/>
          <w:highlight w:val="none"/>
          <w:lang w:val="en-US" w:eastAsia="zh-CN"/>
        </w:rPr>
        <w:t>8</w:t>
      </w:r>
      <w:r>
        <w:rPr>
          <w:rFonts w:hint="eastAsia"/>
          <w:b w:val="0"/>
          <w:bCs w:val="0"/>
          <w:color w:val="auto"/>
          <w:sz w:val="24"/>
          <w:szCs w:val="24"/>
          <w:highlight w:val="none"/>
        </w:rPr>
        <w:t>、</w:t>
      </w:r>
      <w:r>
        <w:rPr>
          <w:rFonts w:hint="eastAsia" w:ascii="黑体"/>
          <w:b w:val="0"/>
          <w:bCs w:val="0"/>
          <w:color w:val="auto"/>
          <w:sz w:val="24"/>
          <w:szCs w:val="24"/>
          <w:highlight w:val="none"/>
        </w:rPr>
        <w:t>投标文件</w:t>
      </w:r>
      <w:bookmarkEnd w:id="114"/>
      <w:bookmarkEnd w:id="115"/>
      <w:bookmarkEnd w:id="116"/>
      <w:bookmarkEnd w:id="117"/>
      <w:r>
        <w:rPr>
          <w:rFonts w:hint="eastAsia" w:ascii="黑体"/>
          <w:b w:val="0"/>
          <w:bCs w:val="0"/>
          <w:color w:val="auto"/>
          <w:sz w:val="24"/>
          <w:szCs w:val="24"/>
          <w:highlight w:val="none"/>
        </w:rPr>
        <w:t>的递交</w:t>
      </w:r>
    </w:p>
    <w:p w14:paraId="1B7C318C">
      <w:pPr>
        <w:spacing w:line="360" w:lineRule="auto"/>
        <w:ind w:firstLine="480"/>
        <w:rPr>
          <w:rFonts w:hint="eastAsia" w:ascii="宋体" w:hAnsi="宋体" w:cs="Times New Roman"/>
          <w:bCs/>
          <w:color w:val="auto"/>
          <w:sz w:val="24"/>
          <w:szCs w:val="24"/>
          <w:highlight w:val="none"/>
        </w:rPr>
      </w:pPr>
      <w:r>
        <w:rPr>
          <w:rFonts w:hint="eastAsia" w:ascii="宋体" w:hAnsi="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8</w:t>
      </w:r>
      <w:r>
        <w:rPr>
          <w:rFonts w:hint="eastAsia" w:ascii="宋体" w:hAnsi="宋体" w:cs="Times New Roman"/>
          <w:color w:val="auto"/>
          <w:sz w:val="24"/>
          <w:szCs w:val="24"/>
          <w:highlight w:val="none"/>
        </w:rPr>
        <w:t>.1</w:t>
      </w:r>
      <w:r>
        <w:rPr>
          <w:rFonts w:hint="eastAsia" w:ascii="宋体" w:hAnsi="宋体" w:cs="Times New Roman"/>
          <w:bCs/>
          <w:color w:val="auto"/>
          <w:sz w:val="24"/>
          <w:szCs w:val="24"/>
          <w:highlight w:val="none"/>
        </w:rPr>
        <w:t xml:space="preserve"> 电子投标文件的递交</w:t>
      </w:r>
    </w:p>
    <w:p w14:paraId="70827976">
      <w:pPr>
        <w:pStyle w:val="19"/>
        <w:spacing w:line="360" w:lineRule="auto"/>
        <w:ind w:firstLine="480" w:firstLineChars="200"/>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投标人应当按照《操作手册》规定，在投标截止时间前</w:t>
      </w:r>
      <w:r>
        <w:rPr>
          <w:rFonts w:ascii="宋体" w:hAnsi="宋体" w:cs="Times New Roman"/>
          <w:bCs/>
          <w:color w:val="auto"/>
          <w:sz w:val="24"/>
          <w:szCs w:val="24"/>
          <w:highlight w:val="none"/>
        </w:rPr>
        <w:t>制作</w:t>
      </w:r>
      <w:r>
        <w:rPr>
          <w:rFonts w:hint="eastAsia" w:ascii="宋体" w:hAnsi="宋体" w:cs="Times New Roman"/>
          <w:bCs/>
          <w:color w:val="auto"/>
          <w:sz w:val="24"/>
          <w:szCs w:val="24"/>
          <w:highlight w:val="none"/>
        </w:rPr>
        <w:t>并上传电子投标文件。</w:t>
      </w:r>
      <w:bookmarkStart w:id="118" w:name="_Toc20823298"/>
      <w:bookmarkStart w:id="119" w:name="_Toc513029226"/>
      <w:bookmarkStart w:id="120" w:name="_Toc16938542"/>
    </w:p>
    <w:bookmarkEnd w:id="118"/>
    <w:bookmarkEnd w:id="119"/>
    <w:bookmarkEnd w:id="120"/>
    <w:p w14:paraId="551370DB">
      <w:pPr>
        <w:keepNext/>
        <w:keepLines/>
        <w:widowControl w:val="0"/>
        <w:spacing w:beforeAutospacing="0" w:afterAutospacing="0" w:line="520" w:lineRule="exact"/>
        <w:ind w:firstLine="480"/>
        <w:jc w:val="both"/>
        <w:rPr>
          <w:rFonts w:hint="default" w:ascii="宋体" w:hAnsi="宋体" w:eastAsia="宋体" w:cs="宋体"/>
          <w:sz w:val="24"/>
          <w:szCs w:val="24"/>
          <w:highlight w:val="none"/>
        </w:rPr>
      </w:pPr>
      <w:bookmarkStart w:id="121" w:name="_Toc513029227"/>
      <w:bookmarkStart w:id="122" w:name="_Toc16938543"/>
      <w:bookmarkStart w:id="123" w:name="_Toc20823299"/>
      <w:r>
        <w:rPr>
          <w:rFonts w:hint="eastAsia" w:ascii="宋体" w:hAnsi="宋体" w:eastAsia="宋体" w:cs="宋体"/>
          <w:sz w:val="24"/>
          <w:szCs w:val="24"/>
          <w:highlight w:val="none"/>
        </w:rPr>
        <w:t>19、投标截止日期</w:t>
      </w:r>
    </w:p>
    <w:p w14:paraId="5A1DFA66">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19.1 投标人上传电子投标文件的时间不得迟于招标公告中规定的投标截止时间。</w:t>
      </w:r>
    </w:p>
    <w:p w14:paraId="79514512">
      <w:pPr>
        <w:widowControl w:val="0"/>
        <w:spacing w:beforeAutospacing="0" w:afterAutospacing="0"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投标人应充分考虑到网络环境、网络带宽等风险因素，如因投标人自身原因造成的电子投标文件上传不成功的按照本招标文件第二章第27.1.2条规定做无效投标处理。</w:t>
      </w:r>
    </w:p>
    <w:p w14:paraId="4BD20889">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19.2 采购人可以按照规定，通过修改招标文件酌情延长投标截止日期，在此情况下，投标人的所有权利和义务以及投标人受制的截止日期均应以延长后新的截止日期为准。</w:t>
      </w:r>
    </w:p>
    <w:p w14:paraId="720DD88A">
      <w:pPr>
        <w:pStyle w:val="18"/>
        <w:spacing w:before="0" w:after="0" w:line="360" w:lineRule="auto"/>
        <w:ind w:firstLine="420"/>
        <w:rPr>
          <w:b w:val="0"/>
          <w:bCs w:val="0"/>
          <w:color w:val="auto"/>
          <w:sz w:val="24"/>
          <w:szCs w:val="24"/>
          <w:highlight w:val="none"/>
        </w:rPr>
      </w:pPr>
      <w:r>
        <w:rPr>
          <w:rFonts w:hint="eastAsia"/>
          <w:b w:val="0"/>
          <w:bCs w:val="0"/>
          <w:color w:val="auto"/>
          <w:sz w:val="24"/>
          <w:szCs w:val="24"/>
          <w:highlight w:val="none"/>
          <w:lang w:val="en-US" w:eastAsia="zh-CN"/>
        </w:rPr>
        <w:t>20</w:t>
      </w:r>
      <w:r>
        <w:rPr>
          <w:rFonts w:hint="eastAsia"/>
          <w:b w:val="0"/>
          <w:bCs w:val="0"/>
          <w:color w:val="auto"/>
          <w:sz w:val="24"/>
          <w:szCs w:val="24"/>
          <w:highlight w:val="none"/>
        </w:rPr>
        <w:t>、投标文件</w:t>
      </w:r>
      <w:bookmarkEnd w:id="121"/>
      <w:bookmarkEnd w:id="122"/>
      <w:bookmarkEnd w:id="123"/>
      <w:r>
        <w:rPr>
          <w:rFonts w:hint="eastAsia"/>
          <w:b w:val="0"/>
          <w:bCs w:val="0"/>
          <w:color w:val="auto"/>
          <w:sz w:val="24"/>
          <w:szCs w:val="24"/>
          <w:highlight w:val="none"/>
        </w:rPr>
        <w:t>的拒收</w:t>
      </w:r>
    </w:p>
    <w:p w14:paraId="37A18B8A">
      <w:pPr>
        <w:spacing w:line="360" w:lineRule="auto"/>
        <w:ind w:firstLine="480"/>
        <w:rPr>
          <w:rFonts w:hint="eastAsia" w:ascii="宋体" w:hAnsi="宋体" w:cs="Times New Roman"/>
          <w:bCs/>
          <w:color w:val="auto"/>
          <w:sz w:val="24"/>
          <w:szCs w:val="24"/>
          <w:highlight w:val="none"/>
        </w:rPr>
      </w:pPr>
      <w:r>
        <w:rPr>
          <w:rFonts w:hint="eastAsia" w:ascii="宋体" w:hAnsi="宋体" w:eastAsia="宋体" w:cs="Times New Roman"/>
          <w:color w:val="auto"/>
          <w:sz w:val="24"/>
          <w:szCs w:val="24"/>
          <w:highlight w:val="none"/>
          <w:lang w:val="en-US" w:eastAsia="zh-CN"/>
        </w:rPr>
        <w:t>20</w:t>
      </w:r>
      <w:r>
        <w:rPr>
          <w:rFonts w:hint="eastAsia" w:ascii="宋体" w:hAnsi="宋体" w:cs="Times New Roman"/>
          <w:color w:val="auto"/>
          <w:sz w:val="24"/>
          <w:szCs w:val="24"/>
          <w:highlight w:val="none"/>
        </w:rPr>
        <w:t>.1</w:t>
      </w:r>
      <w:r>
        <w:rPr>
          <w:rFonts w:hint="eastAsia" w:ascii="宋体" w:hAnsi="宋体" w:cs="Times New Roman"/>
          <w:bCs/>
          <w:color w:val="auto"/>
          <w:sz w:val="24"/>
          <w:szCs w:val="24"/>
          <w:highlight w:val="none"/>
        </w:rPr>
        <w:t>采购人拒绝接收在其规定的投标截止时间后上传的任何投标文件。</w:t>
      </w:r>
    </w:p>
    <w:p w14:paraId="72C68E39">
      <w:pPr>
        <w:pStyle w:val="18"/>
        <w:spacing w:before="0" w:after="0" w:line="360" w:lineRule="auto"/>
        <w:ind w:firstLine="420"/>
        <w:rPr>
          <w:b w:val="0"/>
          <w:bCs w:val="0"/>
          <w:color w:val="auto"/>
          <w:sz w:val="24"/>
          <w:szCs w:val="24"/>
          <w:highlight w:val="none"/>
        </w:rPr>
      </w:pPr>
      <w:bookmarkStart w:id="124" w:name="_Toc16938544"/>
      <w:bookmarkStart w:id="125" w:name="_Toc513029228"/>
      <w:bookmarkStart w:id="126" w:name="_Toc20823300"/>
      <w:r>
        <w:rPr>
          <w:rFonts w:hint="eastAsia"/>
          <w:b w:val="0"/>
          <w:bCs w:val="0"/>
          <w:color w:val="auto"/>
          <w:sz w:val="24"/>
          <w:szCs w:val="24"/>
          <w:highlight w:val="none"/>
        </w:rPr>
        <w:t>2</w:t>
      </w:r>
      <w:r>
        <w:rPr>
          <w:rFonts w:hint="eastAsia"/>
          <w:b w:val="0"/>
          <w:bCs w:val="0"/>
          <w:color w:val="auto"/>
          <w:sz w:val="24"/>
          <w:szCs w:val="24"/>
          <w:highlight w:val="none"/>
          <w:lang w:val="en-US" w:eastAsia="zh-CN"/>
        </w:rPr>
        <w:t>1</w:t>
      </w:r>
      <w:r>
        <w:rPr>
          <w:rFonts w:hint="eastAsia"/>
          <w:b w:val="0"/>
          <w:bCs w:val="0"/>
          <w:color w:val="auto"/>
          <w:sz w:val="24"/>
          <w:szCs w:val="24"/>
          <w:highlight w:val="none"/>
        </w:rPr>
        <w:t>、投标文件的撤回和修改</w:t>
      </w:r>
      <w:bookmarkEnd w:id="124"/>
      <w:bookmarkEnd w:id="125"/>
      <w:bookmarkEnd w:id="126"/>
    </w:p>
    <w:p w14:paraId="4238D1F9">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1</w:t>
      </w:r>
      <w:r>
        <w:rPr>
          <w:rFonts w:hint="eastAsia" w:ascii="宋体" w:hAnsi="宋体" w:cs="Times New Roman"/>
          <w:color w:val="auto"/>
          <w:sz w:val="24"/>
          <w:szCs w:val="24"/>
          <w:highlight w:val="none"/>
        </w:rPr>
        <w:t>.1 投标文件的撤回</w:t>
      </w:r>
    </w:p>
    <w:p w14:paraId="788C5449">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21.1.1 电子投标文件的撤回</w:t>
      </w:r>
    </w:p>
    <w:p w14:paraId="3CD35D64">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投标人可在投标截止时间前，撤回其电子投标文件，具体操作方法见《操作手册》。</w:t>
      </w:r>
    </w:p>
    <w:p w14:paraId="3DA37E34">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21.1.</w:t>
      </w:r>
      <w:r>
        <w:rPr>
          <w:rFonts w:ascii="宋体" w:hAnsi="宋体" w:cs="Times New Roman"/>
          <w:color w:val="auto"/>
          <w:sz w:val="24"/>
          <w:szCs w:val="24"/>
          <w:highlight w:val="none"/>
        </w:rPr>
        <w:t>2</w:t>
      </w:r>
      <w:r>
        <w:rPr>
          <w:rFonts w:hint="eastAsia" w:ascii="宋体" w:hAnsi="宋体" w:cs="Times New Roman"/>
          <w:color w:val="auto"/>
          <w:sz w:val="24"/>
          <w:szCs w:val="24"/>
          <w:highlight w:val="none"/>
        </w:rPr>
        <w:t xml:space="preserve"> 投标人撤回电子投标文件，则认为其不再参与本项目投标活动。</w:t>
      </w:r>
    </w:p>
    <w:p w14:paraId="07CCE9D3">
      <w:pPr>
        <w:widowControl w:val="0"/>
        <w:spacing w:beforeAutospacing="0" w:afterAutospacing="0" w:line="520" w:lineRule="exact"/>
        <w:ind w:firstLine="480"/>
        <w:jc w:val="both"/>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21.2 投标文件的修改</w:t>
      </w:r>
    </w:p>
    <w:p w14:paraId="40D6F36A">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21.2.1投标人可在投标截止时间前，对其电子投标文件进行修改，具体操作方法见《操作手册》。</w:t>
      </w:r>
    </w:p>
    <w:p w14:paraId="052D367E">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21.2.2 在投标截止时间之后，投标人不得对其电子投标文件作任何修改。</w:t>
      </w:r>
    </w:p>
    <w:p w14:paraId="77018473">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21.3 在投标截止时间至招标文件中规定的投标有效期满之间的这段时间内，投标人不得撤回其投标。</w:t>
      </w:r>
      <w:bookmarkStart w:id="127" w:name="_Toc513029229"/>
      <w:bookmarkStart w:id="128" w:name="_Toc16938545"/>
      <w:bookmarkStart w:id="129" w:name="_Toc20823301"/>
      <w:bookmarkStart w:id="130" w:name="_Toc120614218"/>
    </w:p>
    <w:p w14:paraId="603D602B">
      <w:pPr>
        <w:widowControl w:val="0"/>
        <w:spacing w:beforeAutospacing="0" w:afterAutospacing="0" w:line="520" w:lineRule="exact"/>
        <w:ind w:firstLine="482"/>
        <w:jc w:val="both"/>
        <w:rPr>
          <w:rFonts w:hint="default" w:ascii="宋体" w:hAnsi="宋体" w:eastAsia="宋体" w:cs="宋体"/>
          <w:b/>
          <w:sz w:val="24"/>
          <w:szCs w:val="24"/>
          <w:highlight w:val="none"/>
        </w:rPr>
      </w:pPr>
      <w:r>
        <w:rPr>
          <w:rFonts w:hint="eastAsia" w:ascii="宋体" w:hAnsi="宋体" w:eastAsia="宋体" w:cs="宋体"/>
          <w:b/>
          <w:sz w:val="24"/>
          <w:szCs w:val="24"/>
          <w:highlight w:val="none"/>
        </w:rPr>
        <w:t>五、开标与评标</w:t>
      </w:r>
      <w:bookmarkEnd w:id="127"/>
      <w:bookmarkEnd w:id="128"/>
      <w:bookmarkEnd w:id="129"/>
      <w:bookmarkEnd w:id="130"/>
      <w:bookmarkStart w:id="131" w:name="_Toc20823302"/>
      <w:bookmarkStart w:id="132" w:name="_Toc513029230"/>
      <w:bookmarkStart w:id="133" w:name="_Toc16938546"/>
    </w:p>
    <w:p w14:paraId="6E32F592">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22、开标</w:t>
      </w:r>
      <w:bookmarkEnd w:id="131"/>
      <w:bookmarkEnd w:id="132"/>
      <w:bookmarkEnd w:id="133"/>
    </w:p>
    <w:p w14:paraId="4E062727">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22.1 采购人将在招标公告中规定的时间和地点组织公开开标。投标人应当按照《操作手册》规定，参加开标活动和在苏采云系统规定的时间内对投标文件进行解密。</w:t>
      </w:r>
    </w:p>
    <w:p w14:paraId="204390E3">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22.2开标仪式由采购代理机构组织。苏采云系统将自动对项目进行开标，并宣布各投标人名称和投标价格。</w:t>
      </w:r>
    </w:p>
    <w:p w14:paraId="635B399D">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22.3投标人在开标过程中涉及到的投标文件解密、开标结果确认等工作，应按照《操作手册》规定执行。</w:t>
      </w:r>
    </w:p>
    <w:p w14:paraId="7CE06914">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22.4投标人如果对开标过程和开标记录有疑义，应当根据《操作手册》规定提出，如苏采云系统中《开标记录表》宣布后5分钟内未提出的，视同认可开标结果。</w:t>
      </w:r>
    </w:p>
    <w:p w14:paraId="11FEA5C6">
      <w:pPr>
        <w:keepNext/>
        <w:keepLines/>
        <w:widowControl w:val="0"/>
        <w:spacing w:beforeAutospacing="0" w:afterAutospacing="0" w:line="520" w:lineRule="exact"/>
        <w:ind w:firstLine="480"/>
        <w:jc w:val="both"/>
        <w:rPr>
          <w:rFonts w:hint="default" w:ascii="宋体" w:hAnsi="宋体" w:eastAsia="宋体" w:cs="宋体"/>
          <w:sz w:val="24"/>
          <w:szCs w:val="24"/>
          <w:highlight w:val="none"/>
        </w:rPr>
      </w:pPr>
      <w:bookmarkStart w:id="134" w:name="_Toc16938547"/>
      <w:bookmarkStart w:id="135" w:name="_Toc20823303"/>
      <w:bookmarkStart w:id="136" w:name="_Toc513029231"/>
      <w:r>
        <w:rPr>
          <w:rFonts w:hint="eastAsia" w:ascii="宋体" w:hAnsi="宋体" w:eastAsia="宋体" w:cs="宋体"/>
          <w:sz w:val="24"/>
          <w:szCs w:val="24"/>
          <w:highlight w:val="none"/>
        </w:rPr>
        <w:t>23、评标委员会</w:t>
      </w:r>
      <w:bookmarkEnd w:id="134"/>
      <w:bookmarkEnd w:id="135"/>
      <w:bookmarkEnd w:id="136"/>
    </w:p>
    <w:p w14:paraId="4C8ECD7D">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23.1开标后，采购人将立即组织评标委员会（以下简称评委会）进行评标。</w:t>
      </w:r>
    </w:p>
    <w:p w14:paraId="78B41677">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23.2 评委会由采购人代表和有关技术、经济等方面的专家组成，且人员构成符合政府采购有关规定。</w:t>
      </w:r>
    </w:p>
    <w:p w14:paraId="61168053">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23.3评委会独立工作，负责评审所有投标文件并确定中标候选人。</w:t>
      </w:r>
    </w:p>
    <w:p w14:paraId="49F3E9A8">
      <w:pPr>
        <w:keepNext/>
        <w:keepLines/>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24．评标过程的保密与公正</w:t>
      </w:r>
    </w:p>
    <w:p w14:paraId="5EA11B33">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24.1凡是与审查、澄清、评价和比较投标的有关资料以及授标建议等，采购人、评委、采购代理机构均不得向投标人或与评标无关的其他人员透露。</w:t>
      </w:r>
    </w:p>
    <w:p w14:paraId="537D697E">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24.2在评标过程中，投标人不得以任何行为影响评标过程，否则其投标文件将被作为无效投标文件。</w:t>
      </w:r>
    </w:p>
    <w:p w14:paraId="2AF54A43">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24.3 采购人和评标委员会不向未中标的投标人解释未中标原因，也不公布评标过程中的相关细节。</w:t>
      </w:r>
    </w:p>
    <w:p w14:paraId="383AA1A6">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24.4 采用综合评分法的项目，未中标的投标人可于中标结果公告期限届满之日起通过苏采云系统查看自己的评审得分及排序情况。</w:t>
      </w:r>
    </w:p>
    <w:p w14:paraId="00A3117C">
      <w:pPr>
        <w:keepNext/>
        <w:keepLines/>
        <w:widowControl w:val="0"/>
        <w:spacing w:beforeAutospacing="0" w:afterAutospacing="0" w:line="520" w:lineRule="exact"/>
        <w:ind w:firstLine="480"/>
        <w:jc w:val="both"/>
        <w:rPr>
          <w:rFonts w:hint="default" w:ascii="宋体" w:hAnsi="宋体" w:eastAsia="宋体" w:cs="宋体"/>
          <w:sz w:val="24"/>
          <w:szCs w:val="24"/>
          <w:highlight w:val="none"/>
        </w:rPr>
      </w:pPr>
      <w:bookmarkStart w:id="137" w:name="_Toc16938548"/>
      <w:bookmarkStart w:id="138" w:name="_Toc20823304"/>
      <w:bookmarkStart w:id="139" w:name="_Toc513029232"/>
      <w:r>
        <w:rPr>
          <w:rFonts w:hint="eastAsia" w:ascii="宋体" w:hAnsi="宋体" w:eastAsia="宋体" w:cs="宋体"/>
          <w:sz w:val="24"/>
          <w:szCs w:val="24"/>
          <w:highlight w:val="none"/>
        </w:rPr>
        <w:t>25．投标文件的澄清</w:t>
      </w:r>
      <w:bookmarkEnd w:id="137"/>
      <w:bookmarkEnd w:id="138"/>
      <w:bookmarkEnd w:id="139"/>
    </w:p>
    <w:p w14:paraId="57622F15">
      <w:pPr>
        <w:widowControl w:val="0"/>
        <w:spacing w:beforeAutospacing="0" w:afterAutospacing="0" w:line="520" w:lineRule="exact"/>
        <w:ind w:firstLine="480"/>
        <w:jc w:val="both"/>
        <w:rPr>
          <w:rFonts w:hint="default" w:ascii="宋体" w:hAnsi="宋体" w:eastAsia="宋体" w:cs="宋体"/>
          <w:sz w:val="24"/>
          <w:szCs w:val="24"/>
          <w:highlight w:val="none"/>
        </w:rPr>
      </w:pPr>
      <w:bookmarkStart w:id="140" w:name="_Toc20823305"/>
      <w:bookmarkStart w:id="141" w:name="_Toc16938549"/>
      <w:bookmarkStart w:id="142" w:name="_Toc513029233"/>
      <w:r>
        <w:rPr>
          <w:rFonts w:hint="eastAsia" w:ascii="宋体" w:hAnsi="宋体" w:eastAsia="宋体" w:cs="宋体"/>
          <w:sz w:val="24"/>
          <w:szCs w:val="24"/>
          <w:highlight w:val="none"/>
        </w:rPr>
        <w:t>25.1评标期间，评委会对投标文件中含义不明确、同类问题表述不一致或者有明显文字和计算错误的内容，有权要求投标人作出必要的澄清、说明或者补正。</w:t>
      </w:r>
      <w:bookmarkEnd w:id="140"/>
      <w:bookmarkEnd w:id="141"/>
      <w:bookmarkEnd w:id="142"/>
    </w:p>
    <w:p w14:paraId="66F2704D">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投标人的澄清、说明或者补正不得超出投标文件的范围或者改变投标文件的实质性内容。评标委员会并非对每个投标人都做澄清要求。</w:t>
      </w:r>
    </w:p>
    <w:p w14:paraId="3FBE034B">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5C8F2FC">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25.3 接到评委会澄清、说明和补正要求的投标人如未按规定作出澄清、说明和补正，其风险由投标人自行承担。</w:t>
      </w:r>
    </w:p>
    <w:p w14:paraId="23C0C40E">
      <w:pPr>
        <w:keepNext/>
        <w:keepLines/>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26、对投标文件的初审</w:t>
      </w:r>
    </w:p>
    <w:p w14:paraId="638799FB">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26.1投标文件初审分为资格审查和符合性审查。</w:t>
      </w:r>
    </w:p>
    <w:p w14:paraId="70EF0C5C">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26.1.1 资格审查：依据法律法规和招标文件的规定，由采购人对投标文件中的资格证明文件进行审查。资格审查的结论，采购人以书面形式向评委会进行反馈。</w:t>
      </w:r>
    </w:p>
    <w:p w14:paraId="74285180">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采购人在进行资格性审查的同时，将在“信用中国”网站（www.creditchina.gov.cn）查询投标人的信用记录，以确定投标人是否具备投标资格,查询结果留存并归档。</w:t>
      </w:r>
    </w:p>
    <w:p w14:paraId="17FA5F5F">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接受联合体的项目，两个以上的法人或者其他组织组成一个联合体，以一个供应商的身份共同参加政府采购活动的,联合体成员中任何一方存在不良信用记录的，视同联合体存在不良应用记录。</w:t>
      </w:r>
    </w:p>
    <w:p w14:paraId="22DA4A72">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26.1.2 符合性审查：依据招标文件的规定，由评委会从投标文件的有效性、完整性和对招标文件的响应程度进行审查，以确定是否对招标文件的实质性要求作出响应。</w:t>
      </w:r>
    </w:p>
    <w:p w14:paraId="2ADFE729">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26.1.3 未通过资格审查或符合性审查的投标人，采购代理机构将在苏采云系统中告知未通过资格审查或符合性审查的原因，评审结束后，采购代理机构将不再告知未通过资格审查或符合性审查的原因。</w:t>
      </w:r>
    </w:p>
    <w:p w14:paraId="0E1BC6B3">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26.2在详细评标之前，评委会将首先审查每份投标文件是否实质性响应了招标文件的要求。实质性响应的投标应该是与招标文件要求的条款，没有重大偏离或保留的投标。</w:t>
      </w:r>
    </w:p>
    <w:p w14:paraId="57D01BB4">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17F1B08">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26.3如果投标文件实质上没有响应招标文件的要求，评委会将予以拒绝，投标人不得通过修改或撤销不符合要求的偏离或保留而使其投标成为实质性响应的投标。</w:t>
      </w:r>
    </w:p>
    <w:p w14:paraId="2031FBC7">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26.4评委会将对确定为实质性响应的投标进行进一步审核，看其是否有计算上或累加上的算术错误，修正错误的原则如下：</w:t>
      </w:r>
    </w:p>
    <w:p w14:paraId="57F2DEB8">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（1）投标文件中开标一览表内容与投标文件中相应内容不一致的，以开标一览表为准。</w:t>
      </w:r>
    </w:p>
    <w:p w14:paraId="01723E1A">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（2）大写金额和小写金额不一致的，以大写金额为准。</w:t>
      </w:r>
    </w:p>
    <w:p w14:paraId="52DC7A67">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（3）单价金额小数点或者百分比有明显错位的，以开标一览表的总价为准，并修改单价。</w:t>
      </w:r>
    </w:p>
    <w:p w14:paraId="1D36FD35">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（4）总价金额与按单价汇总金额不一致的，以单价金额计算结果为准。</w:t>
      </w:r>
    </w:p>
    <w:p w14:paraId="125F822C">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同时出现两种以上错误的，按照前款规定的顺序修正。</w:t>
      </w:r>
    </w:p>
    <w:p w14:paraId="648F9F0E">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364E0622">
      <w:pPr>
        <w:widowControl w:val="0"/>
        <w:spacing w:beforeAutospacing="0" w:afterAutospacing="0" w:line="520" w:lineRule="exact"/>
        <w:ind w:firstLine="480"/>
        <w:jc w:val="both"/>
        <w:rPr>
          <w:rFonts w:hint="default" w:ascii="宋体" w:hAnsi="宋体" w:eastAsia="宋体" w:cs="宋体"/>
          <w:sz w:val="24"/>
          <w:szCs w:val="24"/>
          <w:highlight w:val="none"/>
        </w:rPr>
      </w:pPr>
      <w:bookmarkStart w:id="143" w:name="_Toc513029234"/>
      <w:bookmarkStart w:id="144" w:name="_Toc16938550"/>
      <w:bookmarkStart w:id="145" w:name="_Toc20823306"/>
      <w:r>
        <w:rPr>
          <w:rFonts w:hint="eastAsia" w:ascii="宋体" w:hAnsi="宋体" w:eastAsia="宋体" w:cs="宋体"/>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bookmarkEnd w:id="144"/>
      <w:bookmarkEnd w:id="145"/>
    </w:p>
    <w:p w14:paraId="54BDC9E1">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812C3DC">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非单一产品采购项目，招标文件中将载明其中的核心产品。多家投标人提供的核心产品品牌相同的，按前两款规定处理。</w:t>
      </w:r>
    </w:p>
    <w:p w14:paraId="418FDD8A">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26.7投标人在开、评标全过程中应保持通信畅通，及时登录苏采云系统查阅、答复相关信息，并安排专人与采购代理机构及评标委员会联系。</w:t>
      </w:r>
    </w:p>
    <w:p w14:paraId="506D4872">
      <w:pPr>
        <w:keepNext/>
        <w:keepLines/>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27、无效投标条款和废标条款</w:t>
      </w:r>
    </w:p>
    <w:p w14:paraId="5B7C2E5A">
      <w:pPr>
        <w:widowControl w:val="0"/>
        <w:spacing w:beforeAutospacing="0" w:afterAutospacing="0" w:line="520" w:lineRule="exact"/>
        <w:ind w:firstLine="480"/>
        <w:jc w:val="both"/>
        <w:rPr>
          <w:rFonts w:hint="default" w:ascii="宋体" w:hAnsi="宋体" w:eastAsia="宋体" w:cs="宋体"/>
          <w:sz w:val="24"/>
          <w:szCs w:val="24"/>
          <w:highlight w:val="none"/>
        </w:rPr>
      </w:pPr>
      <w:bookmarkStart w:id="146" w:name="_Toc513029235"/>
      <w:bookmarkStart w:id="147" w:name="_Toc16938551"/>
      <w:bookmarkStart w:id="148" w:name="_Toc20823307"/>
      <w:r>
        <w:rPr>
          <w:rFonts w:hint="eastAsia" w:ascii="宋体" w:hAnsi="宋体" w:eastAsia="宋体" w:cs="宋体"/>
          <w:sz w:val="24"/>
          <w:szCs w:val="24"/>
          <w:highlight w:val="none"/>
        </w:rPr>
        <w:t>27.1无效投标条款</w:t>
      </w:r>
      <w:bookmarkEnd w:id="146"/>
      <w:bookmarkEnd w:id="147"/>
      <w:bookmarkEnd w:id="148"/>
    </w:p>
    <w:p w14:paraId="00058FF3">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27.1.1 投标人在苏采云系统规定的时间内未成功解密电子投标文件的。</w:t>
      </w:r>
    </w:p>
    <w:p w14:paraId="118F3CDE">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27.1.2 投标人未按照招标文件要求上传电子投标文件的。</w:t>
      </w:r>
    </w:p>
    <w:p w14:paraId="13D76D9E">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27.1.3同一投标人提交两个（含两个）以上不同的投标报价的。</w:t>
      </w:r>
    </w:p>
    <w:p w14:paraId="658D6B9E">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27.1.4投标人不具备招标文件中规定资格要求的。</w:t>
      </w:r>
    </w:p>
    <w:p w14:paraId="31B286D7">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27.1.5投标人的报价超过了采购预算或最高限价的。</w:t>
      </w:r>
    </w:p>
    <w:p w14:paraId="770379AC">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27.1.6未通过符合性审查的。</w:t>
      </w:r>
    </w:p>
    <w:p w14:paraId="4C41472B">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27.1.7不符合招标文件中规定的实质性要求和条件的。</w:t>
      </w:r>
    </w:p>
    <w:p w14:paraId="2AD441EC">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9D008DC">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27.1.9 投标文件含有采购人不能接受的附加条件的。</w:t>
      </w:r>
    </w:p>
    <w:p w14:paraId="0F35C003">
      <w:pPr>
        <w:widowControl w:val="0"/>
        <w:spacing w:beforeAutospacing="0" w:afterAutospacing="0" w:line="520" w:lineRule="exact"/>
        <w:ind w:firstLine="482"/>
        <w:jc w:val="both"/>
        <w:rPr>
          <w:rFonts w:hint="default" w:ascii="宋体" w:hAnsi="宋体" w:eastAsia="宋体" w:cs="宋体"/>
          <w:b/>
          <w:sz w:val="24"/>
          <w:szCs w:val="24"/>
          <w:highlight w:val="none"/>
        </w:rPr>
      </w:pPr>
      <w:r>
        <w:rPr>
          <w:rFonts w:hint="eastAsia" w:ascii="宋体" w:hAnsi="宋体" w:eastAsia="宋体" w:cs="宋体"/>
          <w:b/>
          <w:sz w:val="24"/>
          <w:szCs w:val="24"/>
          <w:highlight w:val="none"/>
        </w:rPr>
        <w:t>27.1.10投标人不能证明其报价合理性的，评标委员会应当将其作为无效投标处理。</w:t>
      </w:r>
    </w:p>
    <w:p w14:paraId="0C934FD0">
      <w:pPr>
        <w:spacing w:line="480" w:lineRule="exact"/>
        <w:ind w:firstLine="480"/>
        <w:rPr>
          <w:rFonts w:ascii="宋体" w:hAnsi="宋体" w:eastAsia="宋体" w:cs="Times New Roman"/>
          <w:b/>
          <w:sz w:val="24"/>
          <w:szCs w:val="24"/>
          <w:highlight w:val="none"/>
        </w:rPr>
      </w:pPr>
      <w:r>
        <w:rPr>
          <w:rFonts w:hint="eastAsia" w:ascii="宋体" w:hAnsi="宋体" w:eastAsia="宋体" w:cs="Times New Roman"/>
          <w:sz w:val="24"/>
          <w:szCs w:val="24"/>
          <w:highlight w:val="none"/>
        </w:rPr>
        <w:t>（一）</w:t>
      </w:r>
      <w:r>
        <w:rPr>
          <w:rFonts w:hint="eastAsia" w:ascii="宋体" w:hAnsi="宋体" w:eastAsia="宋体" w:cs="Times New Roman"/>
          <w:b/>
          <w:sz w:val="24"/>
          <w:szCs w:val="24"/>
          <w:highlight w:val="none"/>
        </w:rPr>
        <w:t>评审过程中出现下列情形之一的，评审委员会应当启动异常低价投标(响应)审查程序:</w:t>
      </w:r>
    </w:p>
    <w:p w14:paraId="4EE91F1D">
      <w:pPr>
        <w:spacing w:line="480" w:lineRule="exact"/>
        <w:ind w:firstLine="482"/>
        <w:rPr>
          <w:rFonts w:ascii="宋体" w:hAnsi="宋体" w:eastAsia="宋体" w:cs="Times New Roman"/>
          <w:b/>
          <w:sz w:val="24"/>
          <w:szCs w:val="24"/>
          <w:highlight w:val="none"/>
        </w:rPr>
      </w:pPr>
      <w:r>
        <w:rPr>
          <w:rFonts w:hint="eastAsia" w:ascii="宋体" w:hAnsi="宋体" w:eastAsia="宋体" w:cs="Times New Roman"/>
          <w:b/>
          <w:sz w:val="24"/>
          <w:szCs w:val="24"/>
          <w:highlight w:val="none"/>
        </w:rPr>
        <w:t>（1）投标（响应）报价低于全部通过符合性审查供应商投标（响应）报价平均值50%的，即投标（响应）报价&lt;全部通过符合性审查供应商投标（响应）报价平均值×50%；</w:t>
      </w:r>
    </w:p>
    <w:p w14:paraId="66332F9C">
      <w:pPr>
        <w:spacing w:line="480" w:lineRule="exact"/>
        <w:ind w:firstLine="482"/>
        <w:rPr>
          <w:rFonts w:ascii="宋体" w:hAnsi="宋体" w:eastAsia="宋体" w:cs="Times New Roman"/>
          <w:b/>
          <w:sz w:val="24"/>
          <w:szCs w:val="24"/>
          <w:highlight w:val="none"/>
        </w:rPr>
      </w:pPr>
      <w:r>
        <w:rPr>
          <w:rFonts w:hint="eastAsia" w:ascii="宋体" w:hAnsi="宋体" w:eastAsia="宋体" w:cs="Times New Roman"/>
          <w:b/>
          <w:sz w:val="24"/>
          <w:szCs w:val="24"/>
          <w:highlight w:val="none"/>
        </w:rPr>
        <w:t>（2）投标（响应）报价低于通过符合性审查的次低报价供应商投标（响应）报价50%的，即投标（响应）报价&lt;通过符合性审查的次低报价供应商投标（响应）报价×50%；</w:t>
      </w:r>
    </w:p>
    <w:p w14:paraId="531F6027">
      <w:pPr>
        <w:spacing w:line="480" w:lineRule="exact"/>
        <w:ind w:firstLine="482"/>
        <w:rPr>
          <w:rFonts w:ascii="宋体" w:hAnsi="宋体" w:eastAsia="宋体" w:cs="Times New Roman"/>
          <w:b/>
          <w:sz w:val="24"/>
          <w:szCs w:val="24"/>
          <w:highlight w:val="none"/>
        </w:rPr>
      </w:pPr>
      <w:r>
        <w:rPr>
          <w:rFonts w:hint="eastAsia" w:ascii="宋体" w:hAnsi="宋体" w:eastAsia="宋体" w:cs="Times New Roman"/>
          <w:b/>
          <w:sz w:val="24"/>
          <w:szCs w:val="24"/>
          <w:highlight w:val="none"/>
        </w:rPr>
        <w:t>（3）投标（响应）报价低于采购项目最高限价45%的，即投标（响应）报价&lt;采购项目最高限价×45%；</w:t>
      </w:r>
    </w:p>
    <w:p w14:paraId="076E73C1">
      <w:pPr>
        <w:spacing w:line="480" w:lineRule="exact"/>
        <w:ind w:firstLine="482"/>
        <w:rPr>
          <w:rFonts w:ascii="宋体" w:hAnsi="宋体" w:eastAsia="宋体" w:cs="Times New Roman"/>
          <w:b/>
          <w:sz w:val="24"/>
          <w:szCs w:val="24"/>
          <w:highlight w:val="none"/>
        </w:rPr>
      </w:pPr>
      <w:r>
        <w:rPr>
          <w:rFonts w:hint="eastAsia" w:ascii="宋体" w:hAnsi="宋体" w:eastAsia="宋体" w:cs="Times New Roman"/>
          <w:b/>
          <w:sz w:val="24"/>
          <w:szCs w:val="24"/>
          <w:highlight w:val="none"/>
        </w:rPr>
        <w:t>（4）评审委员会基于专业判断，认为供应商报价过低，有可能影响产品质量或者不能诚信履约的其他情形。</w:t>
      </w:r>
    </w:p>
    <w:p w14:paraId="5C9F6EE2">
      <w:pPr>
        <w:spacing w:line="480" w:lineRule="exact"/>
        <w:ind w:firstLine="482"/>
        <w:rPr>
          <w:rFonts w:ascii="宋体" w:hAnsi="宋体" w:eastAsia="宋体" w:cs="Times New Roman"/>
          <w:b/>
          <w:sz w:val="24"/>
          <w:szCs w:val="24"/>
          <w:highlight w:val="none"/>
        </w:rPr>
      </w:pPr>
      <w:r>
        <w:rPr>
          <w:rFonts w:hint="eastAsia" w:ascii="宋体" w:hAnsi="宋体" w:eastAsia="宋体" w:cs="Times New Roman"/>
          <w:b/>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859CAC9">
      <w:pPr>
        <w:spacing w:line="480" w:lineRule="exact"/>
        <w:ind w:firstLine="482"/>
        <w:rPr>
          <w:rFonts w:ascii="宋体" w:hAnsi="宋体" w:eastAsia="宋体" w:cs="Times New Roman"/>
          <w:b/>
          <w:sz w:val="24"/>
          <w:szCs w:val="24"/>
          <w:highlight w:val="none"/>
        </w:rPr>
      </w:pPr>
      <w:r>
        <w:rPr>
          <w:rFonts w:hint="eastAsia" w:ascii="宋体" w:hAnsi="宋体" w:eastAsia="宋体" w:cs="Times New Roman"/>
          <w:b/>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7E22C0">
      <w:pPr>
        <w:spacing w:line="480" w:lineRule="exact"/>
        <w:ind w:firstLine="482"/>
        <w:rPr>
          <w:rFonts w:ascii="宋体" w:hAnsi="宋体" w:eastAsia="宋体" w:cs="Times New Roman"/>
          <w:b/>
          <w:sz w:val="24"/>
          <w:szCs w:val="24"/>
          <w:highlight w:val="none"/>
        </w:rPr>
      </w:pPr>
      <w:r>
        <w:rPr>
          <w:rFonts w:hint="eastAsia" w:ascii="宋体" w:hAnsi="宋体" w:eastAsia="宋体" w:cs="Times New Roman"/>
          <w:b/>
          <w:sz w:val="24"/>
          <w:szCs w:val="24"/>
          <w:highlight w:val="none"/>
        </w:rPr>
        <w:t>（二）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8D6E4E2">
      <w:pPr>
        <w:spacing w:line="480" w:lineRule="exact"/>
        <w:ind w:firstLine="482"/>
        <w:rPr>
          <w:rFonts w:ascii="宋体" w:hAnsi="宋体" w:eastAsia="宋体" w:cs="Times New Roman"/>
          <w:b/>
          <w:sz w:val="24"/>
          <w:szCs w:val="24"/>
          <w:highlight w:val="none"/>
        </w:rPr>
      </w:pPr>
      <w:r>
        <w:rPr>
          <w:rFonts w:hint="eastAsia" w:ascii="宋体" w:hAnsi="宋体" w:eastAsia="宋体" w:cs="Times New Roman"/>
          <w:b/>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BE6A409">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462510D">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27.1.12 投标文件未按照招标文件要求加盖CA电子公章的。</w:t>
      </w:r>
    </w:p>
    <w:p w14:paraId="0D75AB5C">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27.1.13其他法律、法规及本招标文件规定的属无效投标的情形。</w:t>
      </w:r>
    </w:p>
    <w:p w14:paraId="7658654A">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27.2废标条款</w:t>
      </w:r>
    </w:p>
    <w:p w14:paraId="65BEF62F">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27.2.1符合专业条件的供应商或者对招标文件作实质响应的供应商不足三家的。</w:t>
      </w:r>
    </w:p>
    <w:p w14:paraId="0FBCCA3D">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27.2.2出现影响采购公正的违法、违规行为的。</w:t>
      </w:r>
    </w:p>
    <w:p w14:paraId="3CB4771B">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27.2.3因重大变故，采购任务取消的。</w:t>
      </w:r>
    </w:p>
    <w:p w14:paraId="0FDEE0B4">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27.2.4评标委员会认定招标文件存在歧义、重大缺陷导致评审工作无法进行。</w:t>
      </w:r>
    </w:p>
    <w:p w14:paraId="157C299D">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27.2.5 因苏采云系统故障原因造成开标不成功的。</w:t>
      </w:r>
    </w:p>
    <w:p w14:paraId="39AF9F6C">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27.3 投标截止时间结束后参加投标的供应商不足三家的处理：</w:t>
      </w:r>
    </w:p>
    <w:p w14:paraId="4300ACDC">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27.3.1如出现投标截止时间结束后参加投标的供应商或者在评标期间对招标文件做出实质响应的供应商不足三家情况，按政府采购相关规定执行。</w:t>
      </w:r>
    </w:p>
    <w:p w14:paraId="316EADD0">
      <w:pPr>
        <w:keepNext/>
        <w:keepLines/>
        <w:widowControl w:val="0"/>
        <w:spacing w:beforeAutospacing="0" w:afterAutospacing="0" w:line="520" w:lineRule="exact"/>
        <w:ind w:firstLine="482"/>
        <w:jc w:val="both"/>
        <w:rPr>
          <w:rFonts w:hint="default" w:ascii="宋体" w:hAnsi="宋体" w:eastAsia="宋体" w:cs="宋体"/>
          <w:sz w:val="24"/>
          <w:szCs w:val="24"/>
          <w:highlight w:val="none"/>
        </w:rPr>
      </w:pPr>
      <w:bookmarkStart w:id="149" w:name="_Toc120614219"/>
      <w:r>
        <w:rPr>
          <w:rFonts w:hint="eastAsia" w:ascii="宋体" w:hAnsi="宋体" w:eastAsia="宋体" w:cs="宋体"/>
          <w:b/>
          <w:sz w:val="24"/>
          <w:szCs w:val="24"/>
          <w:highlight w:val="none"/>
        </w:rPr>
        <w:t>六、定标</w:t>
      </w:r>
      <w:bookmarkEnd w:id="149"/>
    </w:p>
    <w:p w14:paraId="7281DB2C">
      <w:pPr>
        <w:keepNext/>
        <w:keepLines/>
        <w:widowControl w:val="0"/>
        <w:spacing w:beforeAutospacing="0" w:afterAutospacing="0" w:line="520" w:lineRule="exact"/>
        <w:ind w:firstLine="480"/>
        <w:jc w:val="both"/>
        <w:rPr>
          <w:rFonts w:hint="default" w:ascii="宋体" w:hAnsi="宋体" w:eastAsia="宋体" w:cs="宋体"/>
          <w:sz w:val="24"/>
          <w:szCs w:val="24"/>
          <w:highlight w:val="none"/>
        </w:rPr>
      </w:pPr>
      <w:bookmarkStart w:id="150" w:name="_Toc20823310"/>
      <w:bookmarkStart w:id="151" w:name="_Toc513029238"/>
      <w:bookmarkStart w:id="152" w:name="_Toc16938554"/>
      <w:r>
        <w:rPr>
          <w:rFonts w:hint="eastAsia" w:ascii="宋体" w:hAnsi="宋体" w:eastAsia="宋体" w:cs="宋体"/>
          <w:sz w:val="24"/>
          <w:szCs w:val="24"/>
          <w:highlight w:val="none"/>
        </w:rPr>
        <w:t>28、</w:t>
      </w:r>
      <w:bookmarkEnd w:id="150"/>
      <w:r>
        <w:rPr>
          <w:rFonts w:hint="eastAsia" w:ascii="宋体" w:hAnsi="宋体" w:eastAsia="宋体" w:cs="宋体"/>
          <w:sz w:val="24"/>
          <w:szCs w:val="24"/>
          <w:highlight w:val="none"/>
        </w:rPr>
        <w:t>确定</w:t>
      </w:r>
      <w:bookmarkEnd w:id="151"/>
      <w:bookmarkEnd w:id="152"/>
      <w:r>
        <w:rPr>
          <w:rFonts w:hint="eastAsia" w:ascii="宋体" w:hAnsi="宋体" w:eastAsia="宋体" w:cs="宋体"/>
          <w:sz w:val="24"/>
          <w:szCs w:val="24"/>
          <w:highlight w:val="none"/>
        </w:rPr>
        <w:t>中标单位</w:t>
      </w:r>
    </w:p>
    <w:p w14:paraId="4B126EF0">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28.1中标候选人的选取原则和数量见招标文件第五章规定。 </w:t>
      </w:r>
    </w:p>
    <w:p w14:paraId="578A0369">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28.2 采购人应根据评委会推荐的中标候选人确定中标人。</w:t>
      </w:r>
    </w:p>
    <w:p w14:paraId="0ED92B13">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28.3 采购代理机构将在“中国政府采购网”“江苏政府采购网”“盐城市政府采购网</w:t>
      </w:r>
      <w:r>
        <w:rPr>
          <w:rFonts w:hint="eastAsia" w:ascii="宋体" w:hAnsi="宋体" w:eastAsia="宋体" w:cs="宋体"/>
          <w:sz w:val="24"/>
          <w:szCs w:val="24"/>
          <w:highlight w:val="none"/>
          <w:shd w:val="clear" w:color="auto" w:fill="FFFFFF"/>
        </w:rPr>
        <w:t>”</w:t>
      </w:r>
      <w:r>
        <w:rPr>
          <w:rFonts w:hint="eastAsia" w:ascii="宋体" w:hAnsi="宋体" w:eastAsia="宋体" w:cs="宋体"/>
          <w:sz w:val="24"/>
          <w:szCs w:val="24"/>
          <w:highlight w:val="none"/>
        </w:rPr>
        <w:t>发布中标公告，公告期限为1个工作日。</w:t>
      </w:r>
    </w:p>
    <w:p w14:paraId="3EA20934">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28.4若有充分证据证明，中标人出现下列情况之一的，一经查实，将被取消中标资格：</w:t>
      </w:r>
    </w:p>
    <w:p w14:paraId="307F9A2C">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28.4.1提供虚假材料谋取中标的。</w:t>
      </w:r>
    </w:p>
    <w:p w14:paraId="3F957C15">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28.4.2向采购人、采购代理机构行贿或者提供其他不正当利益的。</w:t>
      </w:r>
    </w:p>
    <w:p w14:paraId="40FF16B7">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28.4.3属于本文件规定的无效条件，但在评标过程中又未被评委会发现的。</w:t>
      </w:r>
    </w:p>
    <w:p w14:paraId="1F2A4D1F">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28.4.4与采购人或者其他供应商恶意串通的。</w:t>
      </w:r>
    </w:p>
    <w:p w14:paraId="2720A543">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28.4.5采取不正当手段诋毁、排挤其他供应商的。</w:t>
      </w:r>
    </w:p>
    <w:p w14:paraId="25BD2E71">
      <w:pPr>
        <w:widowControl w:val="0"/>
        <w:spacing w:beforeAutospacing="0" w:afterAutospacing="0" w:line="520" w:lineRule="exact"/>
        <w:ind w:firstLine="480"/>
        <w:jc w:val="both"/>
        <w:rPr>
          <w:rFonts w:hint="default" w:ascii="宋体" w:hAnsi="宋体" w:eastAsia="宋体" w:cs="宋体"/>
          <w:sz w:val="24"/>
          <w:szCs w:val="24"/>
          <w:highlight w:val="none"/>
        </w:rPr>
      </w:pPr>
      <w:bookmarkStart w:id="153" w:name="_Toc200451960"/>
      <w:r>
        <w:rPr>
          <w:rFonts w:hint="eastAsia" w:ascii="宋体" w:hAnsi="宋体" w:eastAsia="宋体" w:cs="宋体"/>
          <w:sz w:val="24"/>
          <w:szCs w:val="24"/>
          <w:highlight w:val="none"/>
        </w:rPr>
        <w:t>28.5有下列情形之一的，视为投标人串通投标，投标无效：</w:t>
      </w:r>
      <w:bookmarkEnd w:id="153"/>
    </w:p>
    <w:p w14:paraId="711869E6">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28.5.1不同投标人的投标文件由同一单位或者个人编制；</w:t>
      </w:r>
    </w:p>
    <w:p w14:paraId="512F0BA6">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28.5.2不同投标人委托同一单位或者个人办理投标事宜；</w:t>
      </w:r>
    </w:p>
    <w:p w14:paraId="473B70C5">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28.5.3 不同投标人的投标文件载明的项目管理成员或者联系人员为同一人；</w:t>
      </w:r>
    </w:p>
    <w:p w14:paraId="30C6D7AF">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28.5.4不同投标人的投标文件异常一致或者投标报价呈规律性差异；</w:t>
      </w:r>
    </w:p>
    <w:p w14:paraId="5A35BA15">
      <w:pPr>
        <w:keepNext/>
        <w:keepLines/>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29、质疑处理</w:t>
      </w:r>
    </w:p>
    <w:p w14:paraId="572648FA">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29.1 提出质疑的供应商应当是参与所质疑项目采购活动的供应商。潜在供应商依法获取其可质疑的采购文件的，可以对采购文件提出质疑。</w:t>
      </w:r>
    </w:p>
    <w:p w14:paraId="60B2DAE4">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310B84EC">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29.2.1对可以质疑的采购文件提出质疑的，为收到采购文件之日或者采购文件公告期限届满之日；</w:t>
      </w:r>
    </w:p>
    <w:p w14:paraId="0D442CBA">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29.2.2对采购过程提出质疑的，为各采购程序环节结束之日；</w:t>
      </w:r>
    </w:p>
    <w:p w14:paraId="10248FA6">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29.2.3对中标或者成交结果提出质疑的，为中标或者成交结果公告期限届满之日。</w:t>
      </w:r>
    </w:p>
    <w:p w14:paraId="0E2AA179">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6CF3BD7">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29.3质疑函必须按照本招标文件中《质疑函范本》要求的格式和内容进行填写。供应商如组成联合体参加投标，则《质疑函范本》中要求签名、盖章、加盖公章之处，联合体各方均须按要求签名、盖章、加盖公章。</w:t>
      </w:r>
    </w:p>
    <w:p w14:paraId="4578DA44">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人或采购代理机构提出，由采购人或采购代理机构负责答复。</w:t>
      </w:r>
    </w:p>
    <w:p w14:paraId="6AD1FCE2">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采购人及采购代理机构只接收以纸质原件形式送达的质疑,采购人和采购代理机构不接受未填写快递运单的快件。</w:t>
      </w:r>
    </w:p>
    <w:p w14:paraId="1968CF5E">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29.5 以下情形的质疑不予受理</w:t>
      </w:r>
    </w:p>
    <w:p w14:paraId="7D465C12">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29.5.1 内容不符合《政府采购质疑和投诉办法》第十二条规定的质疑。</w:t>
      </w:r>
    </w:p>
    <w:p w14:paraId="0D1C2FC1">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29.5.2 超出政府采购法定期限的质疑。</w:t>
      </w:r>
    </w:p>
    <w:p w14:paraId="545A1E61">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29.5.3 以传真、电子邮件等方式递交的非原件形式的质疑。</w:t>
      </w:r>
    </w:p>
    <w:p w14:paraId="11C29B6A">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29.5.4 未参加投标活动的供应商或在投标活动中自身权益未受到损害的供应商所提出的质疑。</w:t>
      </w:r>
    </w:p>
    <w:p w14:paraId="45879515">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29.5.5供应商组成联合体参加投标，联合体中任何一方或多方未按要求签字、盖章、加盖公章的质疑。</w:t>
      </w:r>
    </w:p>
    <w:p w14:paraId="3285FB3D">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29.6供应商提出书面质疑必须有理、有据，不得捏造事实、提供虚假材料进行恶意质疑。否则，一经查实，采购人及采购代理机构有权依据政府采购的有关规定，报请政府采购监管部门对该供应商进行相应的行政处罚和记录该供应商的失信信息。</w:t>
      </w:r>
    </w:p>
    <w:p w14:paraId="27230E47">
      <w:pPr>
        <w:keepNext/>
        <w:keepLines/>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30、中标通知书</w:t>
      </w:r>
    </w:p>
    <w:p w14:paraId="3C3FE8FA">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0FAEC4A">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5BB7E194">
      <w:pPr>
        <w:keepNext/>
        <w:keepLines/>
        <w:widowControl w:val="0"/>
        <w:spacing w:beforeAutospacing="0" w:afterAutospacing="0" w:line="520" w:lineRule="exact"/>
        <w:ind w:firstLine="482"/>
        <w:jc w:val="both"/>
        <w:rPr>
          <w:rFonts w:hint="default" w:ascii="宋体" w:hAnsi="宋体" w:eastAsia="宋体" w:cs="宋体"/>
          <w:sz w:val="24"/>
          <w:szCs w:val="24"/>
          <w:highlight w:val="none"/>
        </w:rPr>
      </w:pPr>
      <w:bookmarkStart w:id="154" w:name="_Toc120614220"/>
      <w:bookmarkStart w:id="155" w:name="_Toc513029236"/>
      <w:bookmarkStart w:id="156" w:name="_Toc16938552"/>
      <w:bookmarkStart w:id="157" w:name="_Toc20823308"/>
      <w:r>
        <w:rPr>
          <w:rFonts w:hint="eastAsia" w:ascii="宋体" w:hAnsi="宋体" w:eastAsia="宋体" w:cs="宋体"/>
          <w:b/>
          <w:sz w:val="24"/>
          <w:szCs w:val="24"/>
          <w:highlight w:val="none"/>
        </w:rPr>
        <w:t>七、授予合同</w:t>
      </w:r>
      <w:bookmarkEnd w:id="154"/>
      <w:bookmarkEnd w:id="155"/>
      <w:bookmarkEnd w:id="156"/>
      <w:bookmarkEnd w:id="157"/>
    </w:p>
    <w:p w14:paraId="62C080C4">
      <w:pPr>
        <w:keepNext/>
        <w:keepLines/>
        <w:widowControl w:val="0"/>
        <w:spacing w:beforeAutospacing="0" w:afterAutospacing="0" w:line="520" w:lineRule="exact"/>
        <w:ind w:firstLine="480"/>
        <w:jc w:val="both"/>
        <w:rPr>
          <w:rFonts w:hint="default" w:ascii="宋体" w:hAnsi="宋体" w:eastAsia="宋体" w:cs="宋体"/>
          <w:sz w:val="24"/>
          <w:szCs w:val="24"/>
          <w:highlight w:val="none"/>
        </w:rPr>
      </w:pPr>
      <w:bookmarkStart w:id="158" w:name="_Toc20823309"/>
      <w:bookmarkStart w:id="159" w:name="_Toc513029237"/>
      <w:bookmarkStart w:id="160" w:name="_Toc16938553"/>
      <w:r>
        <w:rPr>
          <w:rFonts w:hint="eastAsia" w:ascii="宋体" w:hAnsi="宋体" w:eastAsia="宋体" w:cs="宋体"/>
          <w:sz w:val="24"/>
          <w:szCs w:val="24"/>
          <w:highlight w:val="none"/>
        </w:rPr>
        <w:t>31. 签订合同</w:t>
      </w:r>
      <w:bookmarkEnd w:id="158"/>
      <w:bookmarkEnd w:id="159"/>
      <w:bookmarkEnd w:id="160"/>
    </w:p>
    <w:p w14:paraId="3D8103B8">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31.l中标人应当在中标通知书发出之日起三十日内，按照招标文件确定的事项与采购人签订政府采购合同。</w:t>
      </w:r>
    </w:p>
    <w:p w14:paraId="05E22614">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31.2招标文件、中标人的投标文件及招标过程中有关澄清、承诺文件均应作为合同附件。</w:t>
      </w:r>
    </w:p>
    <w:p w14:paraId="5F8B8252">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31.3 签订合同后，</w:t>
      </w:r>
      <w:r>
        <w:rPr>
          <w:rFonts w:hint="eastAsia" w:ascii="宋体" w:hAnsi="宋体" w:eastAsia="宋体" w:cs="宋体"/>
          <w:sz w:val="24"/>
          <w:szCs w:val="24"/>
          <w:highlight w:val="none"/>
          <w:u w:val="single"/>
        </w:rPr>
        <w:t>中标人不得将合同标的进行转包</w:t>
      </w:r>
      <w:r>
        <w:rPr>
          <w:rFonts w:hint="eastAsia" w:ascii="宋体" w:hAnsi="宋体" w:eastAsia="宋体" w:cs="宋体"/>
          <w:sz w:val="24"/>
          <w:szCs w:val="24"/>
          <w:highlight w:val="none"/>
        </w:rPr>
        <w:t>。未经采购人同意，中标人也不得采用分包的形式履行合同，否则采购人有权终止合同。转包或分包造成采购人损失的，中标人应承担相应赔偿责任。</w:t>
      </w:r>
    </w:p>
    <w:p w14:paraId="016D4D51">
      <w:pPr>
        <w:keepNext/>
        <w:keepLines/>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32、服务（包含与服务相关的货物）的追加</w:t>
      </w:r>
    </w:p>
    <w:p w14:paraId="5B886FC9">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32.1政府采购合同履行中，采购人需追加与合同标的相同的服务（包含与服务相关的货物）的，在不改变合同其他条款的前提下，可以与中标人协商签订补充合同，但所有补充合同的采购金额不超过原合同金额10%。</w:t>
      </w:r>
    </w:p>
    <w:p w14:paraId="30A9A557">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33.政府采购政策功能落实</w:t>
      </w:r>
    </w:p>
    <w:p w14:paraId="1934486D">
      <w:pPr>
        <w:keepNext/>
        <w:keepLines/>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33.1政府采购线上合同信用融资政策</w:t>
      </w:r>
    </w:p>
    <w:p w14:paraId="577B4160">
      <w:pPr>
        <w:widowControl w:val="0"/>
        <w:spacing w:beforeAutospacing="0" w:afterAutospacing="0" w:line="520" w:lineRule="exact"/>
        <w:ind w:firstLine="482"/>
        <w:jc w:val="both"/>
        <w:rPr>
          <w:rFonts w:hint="default" w:ascii="宋体" w:hAnsi="宋体" w:eastAsia="宋体" w:cs="宋体"/>
          <w:b/>
          <w:sz w:val="24"/>
          <w:szCs w:val="24"/>
          <w:highlight w:val="none"/>
        </w:rPr>
      </w:pPr>
      <w:r>
        <w:rPr>
          <w:rFonts w:hint="eastAsia" w:ascii="宋体" w:hAnsi="宋体" w:eastAsia="宋体" w:cs="宋体"/>
          <w:b/>
          <w:sz w:val="24"/>
          <w:szCs w:val="24"/>
          <w:highlight w:val="none"/>
        </w:rPr>
        <w:t>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69571615">
      <w:pPr>
        <w:tabs>
          <w:tab w:val="left" w:pos="1381"/>
        </w:tabs>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33.2进口产品</w:t>
      </w:r>
    </w:p>
    <w:p w14:paraId="1A585657">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718F16A">
      <w:pPr>
        <w:tabs>
          <w:tab w:val="left" w:pos="1381"/>
        </w:tabs>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33.3中小企业、监狱企业及残疾人福利性单位</w:t>
      </w:r>
    </w:p>
    <w:p w14:paraId="216876B5">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33.3.1中小企业定义：</w:t>
      </w:r>
    </w:p>
    <w:p w14:paraId="4837B2C9">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CB5074D">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33.3.2供应商提供的货物、工程或者服务符合下列情形的，享受中小企业扶持政策：</w:t>
      </w:r>
    </w:p>
    <w:p w14:paraId="4A97C232">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33.3.2.1在货物采购项目中，货物由中小企业制造，即货物由中小企业生产且使用该中小企业商号或者注册商标；</w:t>
      </w:r>
    </w:p>
    <w:p w14:paraId="5F76C2A6">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33.3.2.2在工程采购项目中，工程由中小企业承建，即工程施工单位为中小企业；</w:t>
      </w:r>
    </w:p>
    <w:p w14:paraId="0C563CB3">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33.3.2.3在服务采购项目中，服务由中小企业承接，即提供服务的人员为中小企业依照《中华人民共和国劳动合同法》订立劳动合同的从业人员。</w:t>
      </w:r>
    </w:p>
    <w:p w14:paraId="410C951F">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33.3.3在货物采购项目中，供应商提供的货物既有中小企业制造货物，也有大型企业制造货物的，不享受中小企业扶持政策。</w:t>
      </w:r>
    </w:p>
    <w:p w14:paraId="4DBB2F6F">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33.3.4以联合体形式参加政府采购活动，联合体各方均为中小企业的，联合体视同中小企业。其中，联合体各方均为小微企业的，联合体视同小微企业。</w:t>
      </w:r>
    </w:p>
    <w:p w14:paraId="11BDF69F">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5D8D455">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33.3.6残疾人福利单位定义：享受政府采购支持政策的残疾人福利性单位应当同时满足以下条件：</w:t>
      </w:r>
    </w:p>
    <w:p w14:paraId="623B32D1">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33.3.6.1安置的残疾人占本单位在职职工人数的比例不低于25%（含25%），并且安置的残疾人人数不少于10 人（含10 人）；</w:t>
      </w:r>
    </w:p>
    <w:p w14:paraId="45DCCD97">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33.3.6.2依法与安置的每位残疾人签订了一年以上（含一年）的劳动合同或服务协议；</w:t>
      </w:r>
    </w:p>
    <w:p w14:paraId="4E47A35F">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33.3.6.3为安置的每位残疾人按月足额缴纳了基本养老保险、基本医疗保险、失业保险、工伤保险和生育保险等社会保险费；</w:t>
      </w:r>
    </w:p>
    <w:p w14:paraId="5C96FAD5">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33.3.6.4通过银行等金融机构向安置的每位残疾人，按月支付了不低于单位所在区县适用的经省级人民政府批准的月最低工资标准的工资；</w:t>
      </w:r>
    </w:p>
    <w:p w14:paraId="31F674E7">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33.3.6.5提供本单位制造的货物、承担的工程或者服务（以下简称产品），或者提供其他残疾人福利性单位制造的货物（不包括使用非残疾人福利性单位注册商标的货物）；</w:t>
      </w:r>
    </w:p>
    <w:p w14:paraId="0E5D74F5">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E744932">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33.3.7本项目是否专门面向中小企业预留采购份额见第一章《招标公告》。</w:t>
      </w:r>
    </w:p>
    <w:p w14:paraId="3CDF110F">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33.3.8采购标的对应的中小企业划分标准所属行业见第四章《采购需求》。</w:t>
      </w:r>
    </w:p>
    <w:p w14:paraId="541A78CF">
      <w:pPr>
        <w:widowControl w:val="0"/>
        <w:spacing w:beforeAutospacing="0" w:afterAutospacing="0" w:line="520" w:lineRule="exact"/>
        <w:ind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33.3.9小微企业价格评审优惠的政策：见第五章《评标方法和评标标准》。</w:t>
      </w:r>
    </w:p>
    <w:p w14:paraId="09A40DD5">
      <w:pPr>
        <w:tabs>
          <w:tab w:val="left" w:pos="1381"/>
        </w:tabs>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33.4政府采购节能产品、环境标志产品</w:t>
      </w:r>
    </w:p>
    <w:p w14:paraId="31A1F75B">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szCs w:val="24"/>
          <w:highlight w:val="none"/>
        </w:rPr>
        <w:t>如属政府强制采购产品未提供认证证书的或认证证书提供不全的将视为未实质性响应采购要求</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其他条件相同情况下，应当优先采购节能产品、环境标志产品。</w:t>
      </w:r>
    </w:p>
    <w:p w14:paraId="2FB4A5BE">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ED1B4F8">
      <w:pPr>
        <w:tabs>
          <w:tab w:val="left" w:pos="1381"/>
        </w:tabs>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33.5绿色包装</w:t>
      </w:r>
    </w:p>
    <w:p w14:paraId="12DCB6AB">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5A250E2">
      <w:pPr>
        <w:tabs>
          <w:tab w:val="left" w:pos="1381"/>
        </w:tabs>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33.6政府采购创新产品</w:t>
      </w:r>
    </w:p>
    <w:p w14:paraId="11B537C0">
      <w:pPr>
        <w:pBdr>
          <w:top w:val="none" w:color="000000" w:sz="0" w:space="0"/>
          <w:left w:val="none" w:color="000000" w:sz="0" w:space="0"/>
          <w:bottom w:val="none" w:color="000000" w:sz="0" w:space="0"/>
          <w:right w:val="none" w:color="000000" w:sz="0" w:space="0"/>
        </w:pBd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采购人优先采购各级政府部门公开发布的有效期内的创新产品、创新服务、首台套、首购首用等《目录》的创新产品。</w:t>
      </w:r>
    </w:p>
    <w:p w14:paraId="37F5EF6D">
      <w:pPr>
        <w:tabs>
          <w:tab w:val="left" w:pos="1381"/>
        </w:tabs>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33.7绿色数据中心政策 </w:t>
      </w:r>
    </w:p>
    <w:p w14:paraId="48397621">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88E546E">
      <w:pPr>
        <w:tabs>
          <w:tab w:val="left" w:pos="1381"/>
        </w:tabs>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33.8履约保证金政策</w:t>
      </w:r>
    </w:p>
    <w:p w14:paraId="36EC6D52">
      <w:pPr>
        <w:widowControl w:val="0"/>
        <w:spacing w:after="0" w:line="520" w:lineRule="exact"/>
        <w:ind w:left="0" w:firstLine="48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履约保证金的缴纳形式：</w:t>
      </w:r>
    </w:p>
    <w:p w14:paraId="6818401B">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2756387">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 如以履约保函（保险）形式缴纳履约保证金，供应商可通过政府采购电子履约保函（保险）平台（www.jsdzbh.com）在线申请履约保函（保险）。</w:t>
      </w:r>
    </w:p>
    <w:p w14:paraId="5133F81E">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级及以上的政府采购供应商（需在签订采购合同前提供信用管理部门备案的第三方信用报告，且信用报告通过“信用盐城网”可查实），降低履约保证金缴纳比例（合同金额的5%）。</w:t>
      </w:r>
    </w:p>
    <w:p w14:paraId="2AC43380">
      <w:pPr>
        <w:tabs>
          <w:tab w:val="left" w:pos="1381"/>
        </w:tabs>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34. 预付款制度</w:t>
      </w:r>
    </w:p>
    <w:p w14:paraId="54434D84">
      <w:pPr>
        <w:spacing w:line="5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本项目落实预付款制度，预付款比例为30%，在签订合同时，中标、成交供应商明确书面表示无需预付款或者主动要求降低预付款比例的，采购人可就预付款比例作相应调整。</w:t>
      </w:r>
    </w:p>
    <w:p w14:paraId="78B4C4A9">
      <w:pPr>
        <w:pageBreakBefore/>
        <w:spacing w:line="520" w:lineRule="exact"/>
        <w:jc w:val="center"/>
        <w:outlineLvl w:val="0"/>
        <w:rPr>
          <w:rFonts w:ascii="Times New Roman" w:hAnsi="Times New Roman" w:cs="Times New Roman"/>
          <w:b/>
          <w:color w:val="auto"/>
          <w:sz w:val="44"/>
          <w:szCs w:val="44"/>
          <w:highlight w:val="none"/>
        </w:rPr>
      </w:pPr>
      <w:r>
        <w:rPr>
          <w:rFonts w:hint="eastAsia" w:ascii="Times New Roman" w:hAnsi="Times New Roman" w:cs="Times New Roman"/>
          <w:b/>
          <w:color w:val="auto"/>
          <w:sz w:val="44"/>
          <w:szCs w:val="44"/>
          <w:highlight w:val="none"/>
        </w:rPr>
        <w:t xml:space="preserve">第三章  </w:t>
      </w:r>
      <w:bookmarkEnd w:id="21"/>
      <w:bookmarkEnd w:id="22"/>
      <w:bookmarkEnd w:id="23"/>
      <w:bookmarkEnd w:id="24"/>
      <w:bookmarkEnd w:id="25"/>
      <w:bookmarkStart w:id="161" w:name="_Toc20823346"/>
      <w:bookmarkStart w:id="162" w:name="_Toc16938590"/>
      <w:bookmarkStart w:id="163" w:name="_Toc120614244"/>
      <w:bookmarkStart w:id="164" w:name="_Toc479757211"/>
      <w:bookmarkStart w:id="165" w:name="_Toc462564139"/>
      <w:r>
        <w:rPr>
          <w:rFonts w:hint="eastAsia" w:ascii="Times New Roman" w:hAnsi="Times New Roman" w:cs="Times New Roman"/>
          <w:b/>
          <w:color w:val="auto"/>
          <w:sz w:val="44"/>
          <w:szCs w:val="44"/>
          <w:highlight w:val="none"/>
        </w:rPr>
        <w:t xml:space="preserve"> </w:t>
      </w:r>
      <w:bookmarkEnd w:id="161"/>
      <w:bookmarkEnd w:id="162"/>
      <w:bookmarkEnd w:id="163"/>
      <w:r>
        <w:rPr>
          <w:rFonts w:hint="eastAsia" w:ascii="Times New Roman" w:hAnsi="Times New Roman" w:cs="Times New Roman"/>
          <w:b/>
          <w:color w:val="auto"/>
          <w:sz w:val="44"/>
          <w:szCs w:val="44"/>
          <w:highlight w:val="none"/>
        </w:rPr>
        <w:t>项目需求</w:t>
      </w:r>
    </w:p>
    <w:p w14:paraId="1C2EE542">
      <w:pPr>
        <w:tabs>
          <w:tab w:val="left" w:pos="420"/>
        </w:tabs>
        <w:spacing w:line="360" w:lineRule="auto"/>
        <w:ind w:firstLine="480"/>
        <w:rPr>
          <w:rFonts w:hint="eastAsia" w:ascii="宋体" w:hAnsi="宋体" w:cs="Times New Roman"/>
          <w:color w:val="auto"/>
          <w:sz w:val="24"/>
          <w:szCs w:val="24"/>
          <w:highlight w:val="none"/>
        </w:rPr>
      </w:pPr>
      <w:bookmarkStart w:id="166" w:name="_Toc120614281"/>
      <w:bookmarkStart w:id="167" w:name="_Toc49090575"/>
      <w:bookmarkStart w:id="168" w:name="_Toc26554093"/>
      <w:r>
        <w:rPr>
          <w:rFonts w:hint="eastAsia" w:ascii="宋体" w:hAnsi="宋体" w:cs="Times New Roman"/>
          <w:color w:val="auto"/>
          <w:sz w:val="24"/>
          <w:szCs w:val="24"/>
          <w:highlight w:val="none"/>
        </w:rPr>
        <w:t xml:space="preserve">  </w:t>
      </w:r>
    </w:p>
    <w:p w14:paraId="080A5FAF">
      <w:pPr>
        <w:widowControl w:val="0"/>
        <w:snapToGrid w:val="0"/>
        <w:spacing w:line="360" w:lineRule="auto"/>
        <w:jc w:val="both"/>
        <w:rPr>
          <w:rFonts w:hint="default" w:ascii="宋体" w:hAnsi="宋体" w:eastAsia="宋体" w:cs="宋体"/>
          <w:b/>
          <w:color w:val="000000"/>
          <w:kern w:val="2"/>
          <w:sz w:val="24"/>
          <w:szCs w:val="24"/>
          <w:highlight w:val="none"/>
          <w:lang w:val="en-US" w:bidi="ar-SA"/>
        </w:rPr>
      </w:pPr>
      <w:r>
        <w:rPr>
          <w:rFonts w:hint="default" w:ascii="宋体" w:hAnsi="宋体" w:eastAsia="宋体" w:cs="宋体"/>
          <w:b/>
          <w:color w:val="000000"/>
          <w:kern w:val="2"/>
          <w:sz w:val="24"/>
          <w:szCs w:val="24"/>
          <w:highlight w:val="none"/>
          <w:lang w:val="en-US" w:bidi="ar-SA"/>
        </w:rPr>
        <w:t>一、项目属性:服务类项目。</w:t>
      </w:r>
    </w:p>
    <w:p w14:paraId="3F0DDC28">
      <w:pPr>
        <w:widowControl w:val="0"/>
        <w:snapToGrid w:val="0"/>
        <w:spacing w:line="360" w:lineRule="auto"/>
        <w:jc w:val="both"/>
        <w:rPr>
          <w:rFonts w:hint="default" w:ascii="宋体" w:hAnsi="宋体" w:eastAsia="宋体" w:cs="宋体"/>
          <w:b/>
          <w:color w:val="000000"/>
          <w:kern w:val="2"/>
          <w:sz w:val="24"/>
          <w:szCs w:val="24"/>
          <w:highlight w:val="none"/>
          <w:lang w:val="en-US" w:bidi="ar-SA"/>
        </w:rPr>
      </w:pPr>
      <w:r>
        <w:rPr>
          <w:rFonts w:hint="default" w:ascii="宋体" w:hAnsi="宋体" w:eastAsia="宋体" w:cs="宋体"/>
          <w:b/>
          <w:color w:val="000000"/>
          <w:kern w:val="2"/>
          <w:sz w:val="24"/>
          <w:szCs w:val="24"/>
          <w:highlight w:val="none"/>
          <w:lang w:val="en-US" w:bidi="ar-SA"/>
        </w:rPr>
        <w:t>二、采购标的对应的中小企业划分标准所属行业一览表</w:t>
      </w:r>
    </w:p>
    <w:tbl>
      <w:tblPr>
        <w:tblStyle w:val="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16"/>
        <w:gridCol w:w="3090"/>
        <w:gridCol w:w="4422"/>
      </w:tblGrid>
      <w:tr w14:paraId="612662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75D33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default" w:ascii="Arial" w:hAnsi="Arial" w:eastAsia="Arial" w:cs="Times New Roman"/>
                <w:szCs w:val="22"/>
                <w:highlight w:val="none"/>
              </w:rPr>
            </w:pPr>
            <w:r>
              <w:rPr>
                <w:rFonts w:hint="default" w:ascii="宋体" w:hAnsi="宋体" w:eastAsia="宋体" w:cs="宋体"/>
                <w:color w:val="000000"/>
                <w:sz w:val="24"/>
                <w:szCs w:val="22"/>
                <w:highlight w:val="none"/>
              </w:rPr>
              <w:t>序号</w:t>
            </w:r>
          </w:p>
        </w:tc>
        <w:tc>
          <w:tcPr>
            <w:tcW w:w="3090"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BA40943">
            <w:pPr>
              <w:widowControl/>
              <w:pBdr>
                <w:top w:val="none" w:color="000000" w:sz="0" w:space="0"/>
                <w:left w:val="none" w:color="000000" w:sz="0" w:space="0"/>
                <w:bottom w:val="none" w:color="000000" w:sz="0" w:space="0"/>
                <w:right w:val="none" w:color="000000" w:sz="0" w:space="0"/>
              </w:pBdr>
              <w:spacing w:before="0" w:after="0" w:line="240" w:lineRule="auto"/>
              <w:ind w:left="0" w:right="0" w:firstLine="480"/>
              <w:jc w:val="center"/>
              <w:rPr>
                <w:rFonts w:hint="default" w:ascii="Arial" w:hAnsi="Arial" w:eastAsia="Arial" w:cs="Times New Roman"/>
                <w:szCs w:val="22"/>
                <w:highlight w:val="none"/>
              </w:rPr>
            </w:pPr>
            <w:r>
              <w:rPr>
                <w:rFonts w:hint="default" w:ascii="宋体" w:hAnsi="宋体" w:eastAsia="宋体" w:cs="宋体"/>
                <w:color w:val="000000"/>
                <w:sz w:val="24"/>
                <w:szCs w:val="22"/>
                <w:highlight w:val="none"/>
              </w:rPr>
              <w:t>采购标的</w:t>
            </w:r>
          </w:p>
        </w:tc>
        <w:tc>
          <w:tcPr>
            <w:tcW w:w="442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74DF7E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default" w:ascii="Arial" w:hAnsi="Arial" w:eastAsia="Arial" w:cs="Times New Roman"/>
                <w:szCs w:val="22"/>
                <w:highlight w:val="none"/>
              </w:rPr>
            </w:pPr>
            <w:r>
              <w:rPr>
                <w:rFonts w:hint="default" w:ascii="宋体" w:hAnsi="宋体" w:eastAsia="宋体" w:cs="宋体"/>
                <w:color w:val="000000"/>
                <w:sz w:val="24"/>
                <w:szCs w:val="22"/>
                <w:highlight w:val="none"/>
              </w:rPr>
              <w:t>对应中小企业划分标准所属行业</w:t>
            </w:r>
          </w:p>
        </w:tc>
      </w:tr>
      <w:tr w14:paraId="26A718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1" w:hRule="atLeast"/>
        </w:trPr>
        <w:tc>
          <w:tcPr>
            <w:tcW w:w="81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9915BA">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Arial" w:hAnsi="Arial" w:eastAsia="Arial" w:cs="Times New Roman"/>
                <w:szCs w:val="22"/>
                <w:highlight w:val="none"/>
              </w:rPr>
            </w:pPr>
            <w:r>
              <w:rPr>
                <w:rFonts w:hint="default" w:ascii="Arial" w:hAnsi="Arial" w:eastAsia="Arial" w:cs="Arial"/>
                <w:color w:val="000000"/>
                <w:sz w:val="24"/>
                <w:szCs w:val="22"/>
                <w:highlight w:val="none"/>
              </w:rPr>
              <w:t>1</w:t>
            </w:r>
          </w:p>
        </w:tc>
        <w:tc>
          <w:tcPr>
            <w:tcW w:w="30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81F04E4">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ascii="Arial" w:hAnsi="Arial" w:eastAsia="Arial" w:cs="Times New Roman"/>
                <w:szCs w:val="22"/>
                <w:highlight w:val="none"/>
              </w:rPr>
            </w:pPr>
            <w:r>
              <w:rPr>
                <w:rFonts w:hint="eastAsia" w:ascii="宋体" w:hAnsi="宋体" w:eastAsia="宋体" w:cs="宋体"/>
                <w:color w:val="auto"/>
                <w:sz w:val="24"/>
                <w:szCs w:val="24"/>
                <w:highlight w:val="none"/>
                <w:lang w:eastAsia="zh-CN"/>
              </w:rPr>
              <w:t>大丰港化工园区安全监管第三方技术服务项目（2026-2027）</w:t>
            </w:r>
          </w:p>
        </w:tc>
        <w:tc>
          <w:tcPr>
            <w:tcW w:w="442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23ECD07">
            <w:pPr>
              <w:widowControl/>
              <w:pBdr>
                <w:top w:val="none" w:color="000000" w:sz="0" w:space="0"/>
                <w:left w:val="none" w:color="000000" w:sz="0" w:space="0"/>
                <w:bottom w:val="none" w:color="000000" w:sz="0" w:space="0"/>
                <w:right w:val="none" w:color="000000" w:sz="0" w:space="0"/>
              </w:pBdr>
              <w:spacing w:before="0" w:after="0" w:line="240" w:lineRule="auto"/>
              <w:ind w:left="0" w:right="0" w:firstLine="480"/>
              <w:jc w:val="left"/>
              <w:rPr>
                <w:rFonts w:hint="default" w:ascii="Arial" w:hAnsi="Arial" w:eastAsia="Arial" w:cs="Times New Roman"/>
                <w:szCs w:val="22"/>
                <w:highlight w:val="none"/>
              </w:rPr>
            </w:pPr>
            <w:r>
              <w:rPr>
                <w:rFonts w:hint="default" w:ascii="宋体" w:hAnsi="宋体" w:eastAsia="宋体" w:cs="宋体"/>
                <w:color w:val="000000"/>
                <w:sz w:val="24"/>
                <w:szCs w:val="22"/>
                <w:highlight w:val="none"/>
              </w:rPr>
              <w:t>其他未列明行业</w:t>
            </w:r>
            <w:r>
              <w:rPr>
                <w:rFonts w:hint="default" w:ascii="Arial" w:hAnsi="Arial" w:eastAsia="Arial" w:cs="Arial"/>
                <w:color w:val="000000"/>
                <w:sz w:val="24"/>
                <w:szCs w:val="22"/>
                <w:highlight w:val="none"/>
              </w:rPr>
              <w:t> </w:t>
            </w:r>
          </w:p>
        </w:tc>
      </w:tr>
    </w:tbl>
    <w:p w14:paraId="3BD0FA06">
      <w:pPr>
        <w:widowControl w:val="0"/>
        <w:snapToGrid w:val="0"/>
        <w:spacing w:line="360" w:lineRule="auto"/>
        <w:jc w:val="both"/>
        <w:rPr>
          <w:rFonts w:hint="eastAsia" w:ascii="宋体" w:hAnsi="宋体" w:eastAsia="宋体" w:cs="宋体"/>
          <w:b/>
          <w:color w:val="000000"/>
          <w:kern w:val="2"/>
          <w:sz w:val="24"/>
          <w:szCs w:val="24"/>
          <w:highlight w:val="none"/>
          <w:lang w:val="en-US" w:bidi="ar-SA"/>
        </w:rPr>
      </w:pPr>
    </w:p>
    <w:p w14:paraId="6F268DA7">
      <w:pPr>
        <w:widowControl w:val="0"/>
        <w:snapToGrid w:val="0"/>
        <w:spacing w:line="360" w:lineRule="auto"/>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
          <w:color w:val="000000"/>
          <w:kern w:val="2"/>
          <w:sz w:val="24"/>
          <w:szCs w:val="24"/>
          <w:highlight w:val="none"/>
          <w:lang w:val="en-US" w:eastAsia="zh-CN" w:bidi="ar-SA"/>
        </w:rPr>
        <w:t>三</w:t>
      </w:r>
      <w:r>
        <w:rPr>
          <w:rFonts w:hint="eastAsia" w:ascii="宋体" w:hAnsi="宋体" w:eastAsia="宋体" w:cs="宋体"/>
          <w:b/>
          <w:color w:val="000000"/>
          <w:kern w:val="2"/>
          <w:sz w:val="24"/>
          <w:szCs w:val="24"/>
          <w:highlight w:val="none"/>
          <w:lang w:val="en-US" w:bidi="ar-SA"/>
        </w:rPr>
        <w:t>、服务内容要求</w:t>
      </w:r>
    </w:p>
    <w:p w14:paraId="66217891">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根据《中华人民共和国安全生产法》、《中华人民共和国危险化学品安全法》、《国务院办公厅关于加强安全生产监督执法的通知》（国发办[2015]20号）、《江苏省安全生产条例》、《盐城市办公室关于开展第三方力量与安全监督和管理工作的指导意见》（盐政办发[2016]77号）及区相关文件的要求，中标人须对采购人提供的固定和动态对象范围内的生产经营单位实施安全生产检查、安全技术咨询、安全风险分析、安全教育培训、事故隐患整改以及重大危险源辨识和应急处置等安全技术服务（针对生产经营单位的安全技术有偿服务不在本合同中结算，由相关生产经营单位承担），具体服务内容如下：</w:t>
      </w:r>
    </w:p>
    <w:p w14:paraId="59173706">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1.开展安全量化评估，编制“一企一策”。参照国家、省市及园区安全生产和应急管理最新要求，结合园区危化品企业安全管理现状，编制综合全面检查导则，组织安全、工艺、设备、电气、仪表、消防等专业专家开展“审计式”安全管理体系深度检查，深层次诊断危化品企业安全管理缺陷，推动危化品企业化工过程安全管理体系进一步完善。服务期内对新区范围内投产的危险化学品生产、仓储经营、使用企业开展主体责任量化评估，出具“一企一策”报告，针对企业安全生产管理短板进行精准赋能。</w:t>
      </w:r>
    </w:p>
    <w:p w14:paraId="7ACB1AFE">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2.强化源头把关，严控项目安全准入。严格园区内新、改、扩建项目安全设施设计专篇合规性审查与现场核查工作，构建安全设计、设备选型、现场安装、调试运行、竣工验收全流程专家指导服务体系，为园区监管部门提供精准监管依据，消除监管盲区。</w:t>
      </w:r>
    </w:p>
    <w:p w14:paraId="07934DD4">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3.突出过程管控，开展专项隐患排查。一是根据园区危化品安全生产年度重点工作，每月综合评估研判企业动态安全风险形势，有针对性选取突出风险及监管弱项，开展“小切口”式专项工作，及时消除生产安全事故隐患。二是组织同类装置或参加过同类装置检查的高水平专家，开展高危细分领域穿透检查。三是每季度开展园区安全风险形势研判，形成研判报告。每半年对发现的问题隐患进行溯源分析，编制企业安全运行分析报告。四是配合园区开展年度深度检查、上级部门交办问题复查及其他临时检查巡查等工作。</w:t>
      </w:r>
    </w:p>
    <w:p w14:paraId="37D2BA53">
      <w:pPr>
        <w:widowControl w:val="0"/>
        <w:snapToGrid w:val="0"/>
        <w:spacing w:line="360" w:lineRule="auto"/>
        <w:ind w:firstLine="480" w:firstLineChars="200"/>
        <w:jc w:val="both"/>
        <w:rPr>
          <w:rFonts w:hint="default"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4.盯紧企业关键设备，做好设备设施防腐蚀、防泄漏管理，压降异常工况风险。提高智能化监管水平，推进监管工作重心向事前预防转移，引导企业推动建设数智化关键设备全生命体征状态监测预警系统，实现关键设备全过程线上监测预警，督促企业严格落实关键设备运行维护管理，降低设备设施防腐蚀、防泄漏的风险和大型压缩机、高危机泵运行异常风险。</w:t>
      </w:r>
    </w:p>
    <w:p w14:paraId="352322B4">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color w:val="000000"/>
          <w:kern w:val="2"/>
          <w:sz w:val="24"/>
          <w:szCs w:val="24"/>
          <w:highlight w:val="none"/>
          <w:lang w:val="en-US" w:eastAsia="zh-CN" w:bidi="ar-SA"/>
        </w:rPr>
        <w:t>5.</w:t>
      </w:r>
      <w:r>
        <w:rPr>
          <w:rFonts w:hint="eastAsia" w:ascii="宋体" w:hAnsi="宋体" w:eastAsia="宋体" w:cs="宋体"/>
          <w:bCs/>
          <w:color w:val="000000"/>
          <w:kern w:val="2"/>
          <w:sz w:val="24"/>
          <w:szCs w:val="24"/>
          <w:highlight w:val="none"/>
          <w:lang w:val="en-US" w:bidi="ar-SA"/>
        </w:rPr>
        <w:t>组织HAZOP分析报告专项审查，确保分析程序合规、风险结论可靠、管控措施可行</w:t>
      </w:r>
      <w:r>
        <w:rPr>
          <w:rFonts w:hint="eastAsia" w:ascii="宋体" w:hAnsi="宋体" w:eastAsia="宋体" w:cs="宋体"/>
          <w:bCs/>
          <w:color w:val="000000"/>
          <w:kern w:val="2"/>
          <w:sz w:val="24"/>
          <w:szCs w:val="24"/>
          <w:highlight w:val="none"/>
          <w:lang w:val="en-US" w:eastAsia="zh-CN" w:bidi="ar-SA"/>
        </w:rPr>
        <w:t>，降低生产工艺安全风险</w:t>
      </w:r>
      <w:r>
        <w:rPr>
          <w:rFonts w:hint="eastAsia" w:ascii="宋体" w:hAnsi="宋体" w:eastAsia="宋体" w:cs="宋体"/>
          <w:bCs/>
          <w:color w:val="000000"/>
          <w:kern w:val="2"/>
          <w:sz w:val="24"/>
          <w:szCs w:val="24"/>
          <w:highlight w:val="none"/>
          <w:lang w:val="en-US" w:bidi="ar-SA"/>
        </w:rPr>
        <w:t>。</w:t>
      </w:r>
      <w:r>
        <w:rPr>
          <w:rFonts w:hint="eastAsia" w:ascii="宋体" w:hAnsi="宋体" w:eastAsia="宋体" w:cs="宋体"/>
          <w:bCs/>
          <w:color w:val="000000"/>
          <w:kern w:val="2"/>
          <w:sz w:val="24"/>
          <w:szCs w:val="24"/>
          <w:highlight w:val="none"/>
          <w:lang w:val="en-US" w:eastAsia="zh-CN" w:bidi="ar-SA"/>
        </w:rPr>
        <w:t>服务期内</w:t>
      </w:r>
      <w:r>
        <w:rPr>
          <w:rFonts w:hint="eastAsia" w:ascii="宋体" w:hAnsi="宋体" w:eastAsia="宋体" w:cs="宋体"/>
          <w:bCs/>
          <w:color w:val="000000"/>
          <w:kern w:val="2"/>
          <w:sz w:val="24"/>
          <w:szCs w:val="24"/>
          <w:highlight w:val="none"/>
          <w:lang w:val="en-US" w:bidi="ar-SA"/>
        </w:rPr>
        <w:t>抽取重点监管危险工艺典型生产装置，开展危险与可操作性分析报告质量审查，编制HAZOP报告质量审查报告，指导企业完善报警联锁、自动控制等本质安全措施，</w:t>
      </w:r>
      <w:r>
        <w:rPr>
          <w:rFonts w:hint="eastAsia" w:ascii="宋体" w:hAnsi="宋体" w:eastAsia="宋体" w:cs="宋体"/>
          <w:bCs/>
          <w:color w:val="000000"/>
          <w:kern w:val="2"/>
          <w:sz w:val="24"/>
          <w:szCs w:val="24"/>
          <w:highlight w:val="none"/>
          <w:lang w:val="en-US" w:eastAsia="zh-CN" w:bidi="ar-SA"/>
        </w:rPr>
        <w:t>服务期内</w:t>
      </w:r>
      <w:r>
        <w:rPr>
          <w:rFonts w:hint="eastAsia" w:ascii="宋体" w:hAnsi="宋体" w:eastAsia="宋体" w:cs="宋体"/>
          <w:bCs/>
          <w:color w:val="000000"/>
          <w:kern w:val="2"/>
          <w:sz w:val="24"/>
          <w:szCs w:val="24"/>
          <w:highlight w:val="none"/>
          <w:lang w:val="en-US" w:bidi="ar-SA"/>
        </w:rPr>
        <w:t>审查</w:t>
      </w:r>
      <w:r>
        <w:rPr>
          <w:rFonts w:hint="eastAsia" w:ascii="宋体" w:hAnsi="宋体" w:eastAsia="宋体" w:cs="宋体"/>
          <w:bCs/>
          <w:color w:val="000000"/>
          <w:kern w:val="2"/>
          <w:sz w:val="24"/>
          <w:szCs w:val="24"/>
          <w:highlight w:val="none"/>
          <w:lang w:val="en-US" w:eastAsia="zh-CN" w:bidi="ar-SA"/>
        </w:rPr>
        <w:t>“两重点一重大”企业</w:t>
      </w:r>
      <w:r>
        <w:rPr>
          <w:rFonts w:hint="eastAsia" w:ascii="宋体" w:hAnsi="宋体" w:eastAsia="宋体" w:cs="宋体"/>
          <w:bCs/>
          <w:color w:val="000000"/>
          <w:kern w:val="2"/>
          <w:sz w:val="24"/>
          <w:szCs w:val="24"/>
          <w:highlight w:val="none"/>
          <w:lang w:val="en-US" w:bidi="ar-SA"/>
        </w:rPr>
        <w:t>数量不低于园区</w:t>
      </w:r>
      <w:r>
        <w:rPr>
          <w:rFonts w:hint="eastAsia" w:ascii="宋体" w:hAnsi="宋体" w:eastAsia="宋体" w:cs="宋体"/>
          <w:bCs/>
          <w:color w:val="000000"/>
          <w:kern w:val="2"/>
          <w:sz w:val="24"/>
          <w:szCs w:val="24"/>
          <w:highlight w:val="none"/>
          <w:lang w:val="en-US" w:eastAsia="zh-CN" w:bidi="ar-SA"/>
        </w:rPr>
        <w:t>涉及企业</w:t>
      </w:r>
      <w:r>
        <w:rPr>
          <w:rFonts w:hint="eastAsia" w:ascii="宋体" w:hAnsi="宋体" w:eastAsia="宋体" w:cs="宋体"/>
          <w:bCs/>
          <w:color w:val="000000"/>
          <w:kern w:val="2"/>
          <w:sz w:val="24"/>
          <w:szCs w:val="24"/>
          <w:highlight w:val="none"/>
          <w:lang w:val="en-US" w:bidi="ar-SA"/>
        </w:rPr>
        <w:t>总数的</w:t>
      </w:r>
      <w:r>
        <w:rPr>
          <w:rFonts w:hint="eastAsia" w:ascii="宋体" w:hAnsi="宋体" w:eastAsia="宋体" w:cs="宋体"/>
          <w:bCs/>
          <w:color w:val="000000"/>
          <w:kern w:val="2"/>
          <w:sz w:val="24"/>
          <w:szCs w:val="24"/>
          <w:highlight w:val="none"/>
          <w:lang w:val="en-US" w:eastAsia="zh-CN" w:bidi="ar-SA"/>
        </w:rPr>
        <w:t>5</w:t>
      </w:r>
      <w:r>
        <w:rPr>
          <w:rFonts w:hint="eastAsia" w:ascii="宋体" w:hAnsi="宋体" w:eastAsia="宋体" w:cs="宋体"/>
          <w:bCs/>
          <w:color w:val="000000"/>
          <w:kern w:val="2"/>
          <w:sz w:val="24"/>
          <w:szCs w:val="24"/>
          <w:highlight w:val="none"/>
          <w:lang w:val="en-US" w:bidi="ar-SA"/>
        </w:rPr>
        <w:t>0%。</w:t>
      </w:r>
    </w:p>
    <w:p w14:paraId="0981B6DF">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6.聚焦政企联动，夯实应急救援基础。每年指导园区开展不少于1次综合应急演练和2次危化品专项演练，对应急队伍实战能力和整体预案体系等进行系统研判，提出改进提升建议，并提供应急救援决策咨询。</w:t>
      </w:r>
    </w:p>
    <w:p w14:paraId="60F904F0">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7.开展专题安全培训，提升企业从业人员能力。面向危化企业专职安全监管人员、重点岗位专业工程师、车间一线班组长开展国内最新安全法规标准宣贯、安全生产主体责任落实、安全风险辨识与评估等方面专业培训，每年不少于6次专题培训。</w:t>
      </w:r>
    </w:p>
    <w:p w14:paraId="1ED1215D">
      <w:pPr>
        <w:widowControl w:val="0"/>
        <w:snapToGrid w:val="0"/>
        <w:spacing w:line="360" w:lineRule="auto"/>
        <w:ind w:firstLine="480" w:firstLineChars="200"/>
        <w:jc w:val="both"/>
        <w:rPr>
          <w:rFonts w:hint="default"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8</w:t>
      </w:r>
      <w:r>
        <w:rPr>
          <w:rFonts w:hint="default" w:ascii="宋体" w:hAnsi="宋体" w:eastAsia="宋体" w:cs="宋体"/>
          <w:bCs/>
          <w:color w:val="000000"/>
          <w:kern w:val="2"/>
          <w:sz w:val="24"/>
          <w:szCs w:val="24"/>
          <w:highlight w:val="none"/>
          <w:lang w:val="en-US" w:eastAsia="zh-CN" w:bidi="ar-SA"/>
        </w:rPr>
        <w:t>.协助开展假期及重点时段值班值守</w:t>
      </w:r>
      <w:r>
        <w:rPr>
          <w:rFonts w:hint="eastAsia" w:ascii="宋体" w:hAnsi="宋体" w:eastAsia="宋体" w:cs="宋体"/>
          <w:bCs/>
          <w:color w:val="000000"/>
          <w:kern w:val="2"/>
          <w:sz w:val="24"/>
          <w:szCs w:val="24"/>
          <w:highlight w:val="none"/>
          <w:lang w:val="en-US" w:eastAsia="zh-CN" w:bidi="ar-SA"/>
        </w:rPr>
        <w:t>。</w:t>
      </w:r>
      <w:r>
        <w:rPr>
          <w:rFonts w:hint="default" w:ascii="宋体" w:hAnsi="宋体" w:eastAsia="宋体" w:cs="宋体"/>
          <w:bCs/>
          <w:color w:val="000000"/>
          <w:kern w:val="2"/>
          <w:sz w:val="24"/>
          <w:szCs w:val="24"/>
          <w:highlight w:val="none"/>
          <w:lang w:val="en-US" w:eastAsia="zh-CN" w:bidi="ar-SA"/>
        </w:rPr>
        <w:t>周末、法定节假日、恶劣天气及重大活动期间安排部分专家在岗值班值守，协助</w:t>
      </w:r>
      <w:r>
        <w:rPr>
          <w:rFonts w:hint="eastAsia" w:ascii="宋体" w:hAnsi="宋体" w:eastAsia="宋体" w:cs="宋体"/>
          <w:bCs/>
          <w:color w:val="000000"/>
          <w:kern w:val="2"/>
          <w:sz w:val="24"/>
          <w:szCs w:val="24"/>
          <w:highlight w:val="none"/>
          <w:lang w:val="en-US" w:eastAsia="zh-CN" w:bidi="ar-SA"/>
        </w:rPr>
        <w:t>园区</w:t>
      </w:r>
      <w:r>
        <w:rPr>
          <w:rFonts w:hint="default" w:ascii="宋体" w:hAnsi="宋体" w:eastAsia="宋体" w:cs="宋体"/>
          <w:bCs/>
          <w:color w:val="000000"/>
          <w:kern w:val="2"/>
          <w:sz w:val="24"/>
          <w:szCs w:val="24"/>
          <w:highlight w:val="none"/>
          <w:lang w:val="en-US" w:eastAsia="zh-CN" w:bidi="ar-SA"/>
        </w:rPr>
        <w:t>有关部门开展重点时段安全巡查，核查企业值班值守、安全管控措施落实等工作，做好突发事件应急处置准备。</w:t>
      </w:r>
    </w:p>
    <w:p w14:paraId="4549E2EF">
      <w:pPr>
        <w:widowControl w:val="0"/>
        <w:snapToGrid w:val="0"/>
        <w:spacing w:line="360" w:lineRule="auto"/>
        <w:ind w:firstLine="480" w:firstLineChars="200"/>
        <w:jc w:val="both"/>
        <w:rPr>
          <w:rFonts w:hint="default"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9</w:t>
      </w:r>
      <w:r>
        <w:rPr>
          <w:rFonts w:hint="default" w:ascii="宋体" w:hAnsi="宋体" w:eastAsia="宋体" w:cs="宋体"/>
          <w:bCs/>
          <w:color w:val="000000"/>
          <w:kern w:val="2"/>
          <w:sz w:val="24"/>
          <w:szCs w:val="24"/>
          <w:highlight w:val="none"/>
          <w:lang w:val="en-US" w:eastAsia="zh-CN" w:bidi="ar-SA"/>
        </w:rPr>
        <w:t>.园区交办的其他事项</w:t>
      </w:r>
      <w:r>
        <w:rPr>
          <w:rFonts w:hint="eastAsia" w:ascii="宋体" w:hAnsi="宋体" w:eastAsia="宋体" w:cs="宋体"/>
          <w:bCs/>
          <w:color w:val="000000"/>
          <w:kern w:val="2"/>
          <w:sz w:val="24"/>
          <w:szCs w:val="24"/>
          <w:highlight w:val="none"/>
          <w:lang w:val="en-US" w:eastAsia="zh-CN" w:bidi="ar-SA"/>
        </w:rPr>
        <w:t>。</w:t>
      </w:r>
      <w:r>
        <w:rPr>
          <w:rFonts w:hint="default" w:ascii="宋体" w:hAnsi="宋体" w:eastAsia="宋体" w:cs="宋体"/>
          <w:bCs/>
          <w:color w:val="000000"/>
          <w:kern w:val="2"/>
          <w:sz w:val="24"/>
          <w:szCs w:val="24"/>
          <w:highlight w:val="none"/>
          <w:lang w:val="en-US" w:eastAsia="zh-CN" w:bidi="ar-SA"/>
        </w:rPr>
        <w:t>发挥专家优势，协助推进实施“一园一策”整治提升，巩固拓展D级建设质效。协助</w:t>
      </w:r>
      <w:r>
        <w:rPr>
          <w:rFonts w:hint="eastAsia" w:ascii="宋体" w:hAnsi="宋体" w:eastAsia="宋体" w:cs="宋体"/>
          <w:bCs/>
          <w:color w:val="000000"/>
          <w:kern w:val="2"/>
          <w:sz w:val="24"/>
          <w:szCs w:val="24"/>
          <w:highlight w:val="none"/>
          <w:lang w:val="en-US" w:eastAsia="zh-CN" w:bidi="ar-SA"/>
        </w:rPr>
        <w:t>园区</w:t>
      </w:r>
      <w:r>
        <w:rPr>
          <w:rFonts w:hint="default" w:ascii="宋体" w:hAnsi="宋体" w:eastAsia="宋体" w:cs="宋体"/>
          <w:bCs/>
          <w:color w:val="000000"/>
          <w:kern w:val="2"/>
          <w:sz w:val="24"/>
          <w:szCs w:val="24"/>
          <w:highlight w:val="none"/>
          <w:lang w:val="en-US" w:eastAsia="zh-CN" w:bidi="ar-SA"/>
        </w:rPr>
        <w:t>有关部门参与突发事件应急处置和生产安全事故调查，列席</w:t>
      </w:r>
      <w:r>
        <w:rPr>
          <w:rFonts w:hint="eastAsia" w:ascii="宋体" w:hAnsi="宋体" w:eastAsia="宋体" w:cs="宋体"/>
          <w:bCs/>
          <w:color w:val="000000"/>
          <w:kern w:val="2"/>
          <w:sz w:val="24"/>
          <w:szCs w:val="24"/>
          <w:highlight w:val="none"/>
          <w:lang w:val="en-US" w:eastAsia="zh-CN" w:bidi="ar-SA"/>
        </w:rPr>
        <w:t>园区</w:t>
      </w:r>
      <w:r>
        <w:rPr>
          <w:rFonts w:hint="default" w:ascii="宋体" w:hAnsi="宋体" w:eastAsia="宋体" w:cs="宋体"/>
          <w:bCs/>
          <w:color w:val="000000"/>
          <w:kern w:val="2"/>
          <w:sz w:val="24"/>
          <w:szCs w:val="24"/>
          <w:highlight w:val="none"/>
          <w:lang w:val="en-US" w:eastAsia="zh-CN" w:bidi="ar-SA"/>
        </w:rPr>
        <w:t>安委会、应急管理系统例会等相关会议，参加安全生产月活动，完成</w:t>
      </w:r>
      <w:r>
        <w:rPr>
          <w:rFonts w:hint="eastAsia" w:ascii="宋体" w:hAnsi="宋体" w:eastAsia="宋体" w:cs="宋体"/>
          <w:bCs/>
          <w:color w:val="000000"/>
          <w:kern w:val="2"/>
          <w:sz w:val="24"/>
          <w:szCs w:val="24"/>
          <w:highlight w:val="none"/>
          <w:lang w:val="en-US" w:eastAsia="zh-CN" w:bidi="ar-SA"/>
        </w:rPr>
        <w:t>园区</w:t>
      </w:r>
      <w:r>
        <w:rPr>
          <w:rFonts w:hint="default" w:ascii="宋体" w:hAnsi="宋体" w:eastAsia="宋体" w:cs="宋体"/>
          <w:bCs/>
          <w:color w:val="000000"/>
          <w:kern w:val="2"/>
          <w:sz w:val="24"/>
          <w:szCs w:val="24"/>
          <w:highlight w:val="none"/>
          <w:lang w:val="en-US" w:eastAsia="zh-CN" w:bidi="ar-SA"/>
        </w:rPr>
        <w:t>管委会领导交办的其他工作事项等。</w:t>
      </w:r>
    </w:p>
    <w:p w14:paraId="2DC88EF1">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color w:val="000000"/>
          <w:kern w:val="2"/>
          <w:sz w:val="24"/>
          <w:szCs w:val="24"/>
          <w:highlight w:val="none"/>
          <w:lang w:val="en-US" w:eastAsia="zh-CN" w:bidi="ar-SA"/>
        </w:rPr>
        <w:t>10.</w:t>
      </w:r>
      <w:r>
        <w:rPr>
          <w:rFonts w:hint="eastAsia" w:ascii="宋体" w:hAnsi="宋体" w:eastAsia="宋体" w:cs="宋体"/>
          <w:bCs/>
          <w:color w:val="000000"/>
          <w:kern w:val="2"/>
          <w:sz w:val="24"/>
          <w:szCs w:val="24"/>
          <w:highlight w:val="none"/>
          <w:lang w:val="en-US" w:bidi="ar-SA"/>
        </w:rPr>
        <w:t>安全外包服务委托对象范围</w:t>
      </w:r>
    </w:p>
    <w:p w14:paraId="3D480B26">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color w:val="000000"/>
          <w:kern w:val="2"/>
          <w:sz w:val="24"/>
          <w:szCs w:val="24"/>
          <w:highlight w:val="none"/>
          <w:lang w:val="en-US" w:bidi="ar-SA"/>
        </w:rPr>
        <w:t>（1）固定对象范围，以采购人提供的外包服务生产经营单位名录为准（合同内结算）。</w:t>
      </w:r>
    </w:p>
    <w:p w14:paraId="03221AD1">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color w:val="000000"/>
          <w:kern w:val="2"/>
          <w:sz w:val="24"/>
          <w:szCs w:val="24"/>
          <w:highlight w:val="none"/>
          <w:lang w:val="en-US" w:bidi="ar-SA"/>
        </w:rPr>
        <w:t>（2）动态对象范围，以采购人实时提供的如新开办或关闭生产经营单位，临时性生产经营单位等（核增部分在合同外补充结算，核减部分在合同履行末绩效考核中结算）。</w:t>
      </w:r>
    </w:p>
    <w:p w14:paraId="21FF813C">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11.</w:t>
      </w:r>
      <w:r>
        <w:rPr>
          <w:rFonts w:hint="eastAsia" w:ascii="宋体" w:hAnsi="宋体" w:eastAsia="宋体" w:cs="宋体"/>
          <w:bCs/>
          <w:color w:val="000000"/>
          <w:kern w:val="2"/>
          <w:sz w:val="24"/>
          <w:szCs w:val="24"/>
          <w:highlight w:val="none"/>
          <w:lang w:val="en-US" w:bidi="ar-SA"/>
        </w:rPr>
        <w:t>服务成果合规性要求</w:t>
      </w:r>
    </w:p>
    <w:p w14:paraId="1A696BF6">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服务结束后需提供</w:t>
      </w:r>
      <w:r>
        <w:rPr>
          <w:rFonts w:hint="eastAsia" w:ascii="宋体" w:hAnsi="宋体" w:eastAsia="宋体" w:cs="宋体"/>
          <w:bCs/>
          <w:color w:val="000000"/>
          <w:kern w:val="2"/>
          <w:sz w:val="24"/>
          <w:szCs w:val="24"/>
          <w:highlight w:val="none"/>
          <w:lang w:val="en-US" w:bidi="ar-SA"/>
        </w:rPr>
        <w:t>安全排查报告、风险评估文件</w:t>
      </w:r>
      <w:r>
        <w:rPr>
          <w:rFonts w:hint="eastAsia" w:ascii="宋体" w:hAnsi="宋体" w:eastAsia="宋体" w:cs="宋体"/>
          <w:bCs/>
          <w:color w:val="000000"/>
          <w:kern w:val="2"/>
          <w:sz w:val="24"/>
          <w:szCs w:val="24"/>
          <w:highlight w:val="none"/>
          <w:lang w:val="en-US" w:eastAsia="zh-CN" w:bidi="ar-SA"/>
        </w:rPr>
        <w:t>等</w:t>
      </w:r>
      <w:r>
        <w:rPr>
          <w:rFonts w:hint="eastAsia" w:ascii="宋体" w:hAnsi="宋体" w:eastAsia="宋体" w:cs="宋体"/>
          <w:bCs/>
          <w:color w:val="000000"/>
          <w:kern w:val="2"/>
          <w:sz w:val="24"/>
          <w:szCs w:val="24"/>
          <w:highlight w:val="none"/>
          <w:lang w:val="en-US" w:bidi="ar-SA"/>
        </w:rPr>
        <w:t>，需符合</w:t>
      </w:r>
      <w:r>
        <w:rPr>
          <w:rFonts w:hint="eastAsia" w:ascii="宋体" w:hAnsi="宋体" w:eastAsia="宋体" w:cs="宋体"/>
          <w:bCs/>
          <w:color w:val="000000"/>
          <w:kern w:val="2"/>
          <w:sz w:val="24"/>
          <w:szCs w:val="24"/>
          <w:highlight w:val="none"/>
          <w:lang w:val="en-US" w:eastAsia="zh-CN" w:bidi="ar-SA"/>
        </w:rPr>
        <w:t>国家、江苏省应急管理部门的相关要求</w:t>
      </w:r>
      <w:r>
        <w:rPr>
          <w:rFonts w:hint="eastAsia" w:ascii="宋体" w:hAnsi="宋体" w:eastAsia="宋体" w:cs="宋体"/>
          <w:bCs/>
          <w:color w:val="000000"/>
          <w:kern w:val="2"/>
          <w:sz w:val="24"/>
          <w:szCs w:val="24"/>
          <w:highlight w:val="none"/>
          <w:lang w:val="en-US" w:bidi="ar-SA"/>
        </w:rPr>
        <w:t>，要求具备注册安全工程师或</w:t>
      </w:r>
      <w:r>
        <w:rPr>
          <w:rFonts w:hint="eastAsia" w:ascii="宋体" w:hAnsi="宋体" w:eastAsia="宋体" w:cs="宋体"/>
          <w:bCs/>
          <w:color w:val="000000"/>
          <w:kern w:val="2"/>
          <w:sz w:val="24"/>
          <w:szCs w:val="24"/>
          <w:highlight w:val="none"/>
          <w:lang w:val="en-US" w:eastAsia="zh-CN" w:bidi="ar-SA"/>
        </w:rPr>
        <w:t>高级工程师</w:t>
      </w:r>
      <w:r>
        <w:rPr>
          <w:rFonts w:hint="eastAsia" w:ascii="宋体" w:hAnsi="宋体" w:eastAsia="宋体" w:cs="宋体"/>
          <w:bCs/>
          <w:color w:val="000000"/>
          <w:kern w:val="2"/>
          <w:sz w:val="24"/>
          <w:szCs w:val="24"/>
          <w:highlight w:val="none"/>
          <w:lang w:val="en-US" w:bidi="ar-SA"/>
        </w:rPr>
        <w:t>资质的人员全程参与报告编制、内部审核环节，保障成果可直接用于园区监管存档、应急管理部门核查</w:t>
      </w:r>
      <w:r>
        <w:rPr>
          <w:rFonts w:hint="eastAsia" w:ascii="宋体" w:hAnsi="宋体" w:eastAsia="宋体" w:cs="宋体"/>
          <w:bCs/>
          <w:color w:val="000000"/>
          <w:kern w:val="2"/>
          <w:sz w:val="24"/>
          <w:szCs w:val="24"/>
          <w:highlight w:val="none"/>
          <w:lang w:val="en-US" w:eastAsia="zh-CN" w:bidi="ar-SA"/>
        </w:rPr>
        <w:t>。</w:t>
      </w:r>
    </w:p>
    <w:p w14:paraId="5D0ACB34">
      <w:pPr>
        <w:widowControl w:val="0"/>
        <w:snapToGrid w:val="0"/>
        <w:spacing w:before="156" w:beforeLines="50" w:after="156" w:afterLines="50" w:line="360" w:lineRule="auto"/>
        <w:ind w:firstLine="482"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
          <w:color w:val="000000"/>
          <w:kern w:val="2"/>
          <w:sz w:val="24"/>
          <w:szCs w:val="24"/>
          <w:highlight w:val="none"/>
          <w:lang w:val="en-US" w:eastAsia="zh-CN" w:bidi="ar-SA"/>
        </w:rPr>
        <w:t>四</w:t>
      </w:r>
      <w:r>
        <w:rPr>
          <w:rFonts w:hint="eastAsia" w:ascii="宋体" w:hAnsi="宋体" w:eastAsia="宋体" w:cs="宋体"/>
          <w:b/>
          <w:color w:val="000000"/>
          <w:kern w:val="2"/>
          <w:sz w:val="24"/>
          <w:szCs w:val="24"/>
          <w:highlight w:val="none"/>
          <w:lang w:val="en-US" w:bidi="ar-SA"/>
        </w:rPr>
        <w:t>、服务频次要求</w:t>
      </w:r>
    </w:p>
    <w:p w14:paraId="088AD0A7">
      <w:pPr>
        <w:widowControl w:val="0"/>
        <w:snapToGrid w:val="0"/>
        <w:spacing w:before="156" w:beforeLines="50" w:after="156" w:afterLines="50" w:line="360" w:lineRule="auto"/>
        <w:ind w:firstLine="480" w:firstLineChars="200"/>
        <w:jc w:val="both"/>
        <w:rPr>
          <w:rFonts w:hint="eastAsia" w:ascii="宋体" w:hAnsi="宋体" w:eastAsia="宋体" w:cs="宋体"/>
          <w:bCs/>
          <w:kern w:val="2"/>
          <w:sz w:val="24"/>
          <w:szCs w:val="24"/>
          <w:highlight w:val="none"/>
          <w:lang w:val="en-US" w:bidi="ar-SA"/>
        </w:rPr>
      </w:pPr>
      <w:r>
        <w:rPr>
          <w:rFonts w:hint="eastAsia" w:ascii="宋体" w:hAnsi="宋体" w:eastAsia="宋体" w:cs="宋体"/>
          <w:bCs/>
          <w:kern w:val="2"/>
          <w:sz w:val="24"/>
          <w:szCs w:val="24"/>
          <w:highlight w:val="none"/>
          <w:lang w:val="en-US" w:bidi="ar-SA"/>
        </w:rPr>
        <w:t>1</w:t>
      </w:r>
      <w:r>
        <w:rPr>
          <w:rFonts w:hint="eastAsia" w:ascii="宋体" w:hAnsi="宋体" w:eastAsia="宋体" w:cs="宋体"/>
          <w:bCs/>
          <w:kern w:val="2"/>
          <w:sz w:val="24"/>
          <w:szCs w:val="24"/>
          <w:highlight w:val="none"/>
          <w:lang w:val="en-US" w:eastAsia="zh-CN" w:bidi="ar-SA"/>
        </w:rPr>
        <w:t>.</w:t>
      </w:r>
      <w:r>
        <w:rPr>
          <w:rFonts w:hint="eastAsia" w:ascii="宋体" w:hAnsi="宋体" w:eastAsia="宋体" w:cs="宋体"/>
          <w:bCs/>
          <w:kern w:val="2"/>
          <w:sz w:val="24"/>
          <w:szCs w:val="24"/>
          <w:highlight w:val="none"/>
          <w:lang w:val="en-US" w:bidi="ar-SA"/>
        </w:rPr>
        <w:t>全年安排不少于3名安全专家，其中2名为常驻现场</w:t>
      </w:r>
      <w:r>
        <w:rPr>
          <w:rFonts w:hint="eastAsia" w:ascii="宋体" w:hAnsi="宋体" w:eastAsia="宋体" w:cs="宋体"/>
          <w:bCs/>
          <w:kern w:val="2"/>
          <w:sz w:val="24"/>
          <w:szCs w:val="24"/>
          <w:highlight w:val="none"/>
          <w:lang w:val="en-US" w:eastAsia="zh-CN" w:bidi="ar-SA"/>
        </w:rPr>
        <w:t>专家</w:t>
      </w:r>
      <w:r>
        <w:rPr>
          <w:rFonts w:hint="eastAsia" w:ascii="宋体" w:hAnsi="宋体" w:eastAsia="宋体" w:cs="宋体"/>
          <w:bCs/>
          <w:kern w:val="2"/>
          <w:sz w:val="24"/>
          <w:szCs w:val="24"/>
          <w:highlight w:val="none"/>
          <w:lang w:val="en-US" w:bidi="ar-SA"/>
        </w:rPr>
        <w:t>（节假日不少于1人），</w:t>
      </w:r>
      <w:r>
        <w:rPr>
          <w:rFonts w:hint="eastAsia" w:ascii="宋体" w:hAnsi="宋体" w:eastAsia="宋体" w:cs="宋体"/>
          <w:bCs/>
          <w:kern w:val="2"/>
          <w:sz w:val="24"/>
          <w:szCs w:val="24"/>
          <w:highlight w:val="none"/>
          <w:lang w:val="en-US" w:eastAsia="zh-CN" w:bidi="ar-SA"/>
        </w:rPr>
        <w:t>根据园区需要，</w:t>
      </w:r>
      <w:r>
        <w:rPr>
          <w:rFonts w:hint="eastAsia" w:ascii="宋体" w:hAnsi="宋体" w:eastAsia="宋体" w:cs="宋体"/>
          <w:bCs/>
          <w:kern w:val="2"/>
          <w:sz w:val="24"/>
          <w:szCs w:val="24"/>
          <w:highlight w:val="none"/>
          <w:lang w:val="en-US" w:bidi="ar-SA"/>
        </w:rPr>
        <w:t>参与夜间、周末、节假日应急值班。</w:t>
      </w:r>
    </w:p>
    <w:p w14:paraId="7B0447BF">
      <w:pPr>
        <w:widowControl w:val="0"/>
        <w:snapToGrid w:val="0"/>
        <w:spacing w:before="156" w:beforeLines="50" w:after="156" w:afterLines="50" w:line="360" w:lineRule="auto"/>
        <w:ind w:firstLine="480"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kern w:val="2"/>
          <w:sz w:val="24"/>
          <w:szCs w:val="24"/>
          <w:highlight w:val="none"/>
          <w:lang w:val="en-US" w:bidi="ar-SA"/>
        </w:rPr>
        <w:t>2</w:t>
      </w:r>
      <w:r>
        <w:rPr>
          <w:rFonts w:hint="eastAsia" w:ascii="宋体" w:hAnsi="宋体" w:eastAsia="宋体" w:cs="宋体"/>
          <w:bCs/>
          <w:kern w:val="2"/>
          <w:sz w:val="24"/>
          <w:szCs w:val="24"/>
          <w:highlight w:val="none"/>
          <w:lang w:val="en-US" w:eastAsia="zh-CN" w:bidi="ar-SA"/>
        </w:rPr>
        <w:t>.</w:t>
      </w:r>
      <w:r>
        <w:rPr>
          <w:rFonts w:hint="eastAsia" w:ascii="宋体" w:hAnsi="宋体" w:eastAsia="宋体" w:cs="宋体"/>
          <w:bCs/>
          <w:kern w:val="2"/>
          <w:sz w:val="24"/>
          <w:szCs w:val="24"/>
          <w:highlight w:val="none"/>
          <w:lang w:val="en-US" w:bidi="ar-SA"/>
        </w:rPr>
        <w:t>根据园区年度安全专项检查计划，</w:t>
      </w:r>
      <w:r>
        <w:rPr>
          <w:rFonts w:hint="eastAsia" w:ascii="宋体" w:hAnsi="宋体" w:eastAsia="宋体" w:cs="宋体"/>
          <w:bCs/>
          <w:kern w:val="2"/>
          <w:sz w:val="24"/>
          <w:szCs w:val="24"/>
          <w:highlight w:val="none"/>
          <w:lang w:val="en-US" w:eastAsia="zh-CN" w:bidi="ar-SA"/>
        </w:rPr>
        <w:t>按照</w:t>
      </w:r>
      <w:r>
        <w:rPr>
          <w:rFonts w:hint="eastAsia" w:ascii="宋体" w:hAnsi="宋体" w:eastAsia="宋体" w:cs="宋体"/>
          <w:bCs/>
          <w:kern w:val="2"/>
          <w:sz w:val="24"/>
          <w:szCs w:val="24"/>
          <w:highlight w:val="none"/>
          <w:lang w:val="en-US" w:bidi="ar-SA"/>
        </w:rPr>
        <w:t>园区所有企业“家家到”形式的安全专项检查每年不少于4次，分别为:</w:t>
      </w:r>
      <w:r>
        <w:rPr>
          <w:rFonts w:hint="eastAsia" w:ascii="宋体" w:hAnsi="宋体" w:eastAsia="宋体" w:cs="宋体"/>
          <w:bCs/>
          <w:color w:val="000000"/>
          <w:kern w:val="2"/>
          <w:sz w:val="24"/>
          <w:szCs w:val="24"/>
          <w:highlight w:val="none"/>
          <w:lang w:val="en-US" w:eastAsia="zh-CN" w:bidi="ar-SA"/>
        </w:rPr>
        <w:t>重大危险源专项检查</w:t>
      </w:r>
      <w:r>
        <w:rPr>
          <w:rFonts w:hint="eastAsia" w:ascii="宋体" w:hAnsi="宋体" w:eastAsia="宋体" w:cs="宋体"/>
          <w:bCs/>
          <w:color w:val="000000"/>
          <w:kern w:val="2"/>
          <w:sz w:val="24"/>
          <w:szCs w:val="24"/>
          <w:highlight w:val="none"/>
          <w:lang w:val="en-US" w:bidi="ar-SA"/>
        </w:rPr>
        <w:t>、</w:t>
      </w:r>
      <w:r>
        <w:rPr>
          <w:rFonts w:hint="eastAsia" w:ascii="宋体" w:hAnsi="宋体" w:eastAsia="宋体" w:cs="宋体"/>
          <w:bCs/>
          <w:color w:val="000000"/>
          <w:kern w:val="2"/>
          <w:sz w:val="24"/>
          <w:szCs w:val="24"/>
          <w:highlight w:val="none"/>
          <w:lang w:val="en-US" w:eastAsia="zh-CN" w:bidi="ar-SA"/>
        </w:rPr>
        <w:t>精细化工企业安全管理规范对标排查暨环保设施检查；</w:t>
      </w:r>
      <w:r>
        <w:rPr>
          <w:rFonts w:hint="eastAsia" w:ascii="宋体" w:hAnsi="宋体" w:eastAsia="宋体" w:cs="宋体"/>
          <w:bCs/>
          <w:color w:val="000000"/>
          <w:kern w:val="2"/>
          <w:sz w:val="24"/>
          <w:szCs w:val="24"/>
          <w:highlight w:val="none"/>
          <w:lang w:val="en-US" w:bidi="ar-SA"/>
        </w:rPr>
        <w:t>重大</w:t>
      </w:r>
      <w:r>
        <w:rPr>
          <w:rFonts w:hint="eastAsia" w:ascii="宋体" w:hAnsi="宋体" w:eastAsia="宋体" w:cs="宋体"/>
          <w:bCs/>
          <w:color w:val="000000"/>
          <w:kern w:val="2"/>
          <w:sz w:val="24"/>
          <w:szCs w:val="24"/>
          <w:highlight w:val="none"/>
          <w:lang w:val="en-US" w:eastAsia="zh-CN" w:bidi="ar-SA"/>
        </w:rPr>
        <w:t>事故</w:t>
      </w:r>
      <w:r>
        <w:rPr>
          <w:rFonts w:hint="eastAsia" w:ascii="宋体" w:hAnsi="宋体" w:eastAsia="宋体" w:cs="宋体"/>
          <w:bCs/>
          <w:color w:val="000000"/>
          <w:kern w:val="2"/>
          <w:sz w:val="24"/>
          <w:szCs w:val="24"/>
          <w:highlight w:val="none"/>
          <w:lang w:val="en-US" w:bidi="ar-SA"/>
        </w:rPr>
        <w:t>隐患</w:t>
      </w:r>
      <w:r>
        <w:rPr>
          <w:rFonts w:hint="eastAsia" w:ascii="宋体" w:hAnsi="宋体" w:eastAsia="宋体" w:cs="宋体"/>
          <w:bCs/>
          <w:color w:val="000000"/>
          <w:kern w:val="2"/>
          <w:sz w:val="24"/>
          <w:szCs w:val="24"/>
          <w:highlight w:val="none"/>
          <w:lang w:val="en-US" w:eastAsia="zh-CN" w:bidi="ar-SA"/>
        </w:rPr>
        <w:t>排查暨化工企业设备检修作业检查</w:t>
      </w:r>
      <w:r>
        <w:rPr>
          <w:rFonts w:hint="eastAsia" w:ascii="宋体" w:hAnsi="宋体" w:eastAsia="宋体" w:cs="宋体"/>
          <w:bCs/>
          <w:color w:val="000000"/>
          <w:kern w:val="2"/>
          <w:sz w:val="24"/>
          <w:szCs w:val="24"/>
          <w:highlight w:val="none"/>
          <w:lang w:val="en-US" w:bidi="ar-SA"/>
        </w:rPr>
        <w:t>、高危细分领域</w:t>
      </w:r>
      <w:r>
        <w:rPr>
          <w:rFonts w:hint="eastAsia" w:ascii="宋体" w:hAnsi="宋体" w:eastAsia="宋体" w:cs="宋体"/>
          <w:bCs/>
          <w:color w:val="000000"/>
          <w:kern w:val="2"/>
          <w:sz w:val="24"/>
          <w:szCs w:val="24"/>
          <w:highlight w:val="none"/>
          <w:lang w:val="en-US" w:eastAsia="zh-CN" w:bidi="ar-SA"/>
        </w:rPr>
        <w:t>暨特种设备</w:t>
      </w:r>
      <w:r>
        <w:rPr>
          <w:rFonts w:hint="eastAsia" w:ascii="宋体" w:hAnsi="宋体" w:eastAsia="宋体" w:cs="宋体"/>
          <w:bCs/>
          <w:color w:val="000000"/>
          <w:kern w:val="2"/>
          <w:sz w:val="24"/>
          <w:szCs w:val="24"/>
          <w:highlight w:val="none"/>
          <w:lang w:val="en-US" w:bidi="ar-SA"/>
        </w:rPr>
        <w:t>专项检查。</w:t>
      </w:r>
    </w:p>
    <w:p w14:paraId="1C06DEA8">
      <w:pPr>
        <w:widowControl w:val="0"/>
        <w:snapToGrid w:val="0"/>
        <w:spacing w:before="156" w:beforeLines="50" w:after="156" w:afterLines="50" w:line="360" w:lineRule="auto"/>
        <w:ind w:firstLine="480" w:firstLineChars="200"/>
        <w:jc w:val="both"/>
        <w:rPr>
          <w:rFonts w:hint="eastAsia" w:ascii="宋体" w:hAnsi="宋体" w:eastAsia="宋体" w:cs="宋体"/>
          <w:bCs/>
          <w:kern w:val="2"/>
          <w:sz w:val="24"/>
          <w:szCs w:val="24"/>
          <w:highlight w:val="none"/>
          <w:lang w:val="en-US" w:bidi="ar-SA"/>
        </w:rPr>
      </w:pPr>
      <w:r>
        <w:rPr>
          <w:rFonts w:hint="eastAsia" w:ascii="宋体" w:hAnsi="宋体" w:eastAsia="宋体" w:cs="宋体"/>
          <w:bCs/>
          <w:kern w:val="2"/>
          <w:sz w:val="24"/>
          <w:szCs w:val="24"/>
          <w:highlight w:val="none"/>
          <w:lang w:val="en-US" w:bidi="ar-SA"/>
        </w:rPr>
        <w:t>3</w:t>
      </w:r>
      <w:r>
        <w:rPr>
          <w:rFonts w:hint="eastAsia" w:ascii="宋体" w:hAnsi="宋体" w:eastAsia="宋体" w:cs="宋体"/>
          <w:bCs/>
          <w:kern w:val="2"/>
          <w:sz w:val="24"/>
          <w:szCs w:val="24"/>
          <w:highlight w:val="none"/>
          <w:lang w:val="en-US" w:eastAsia="zh-CN" w:bidi="ar-SA"/>
        </w:rPr>
        <w:t>.</w:t>
      </w:r>
      <w:r>
        <w:rPr>
          <w:rFonts w:hint="eastAsia" w:ascii="宋体" w:hAnsi="宋体" w:eastAsia="宋体" w:cs="宋体"/>
          <w:bCs/>
          <w:kern w:val="2"/>
          <w:sz w:val="24"/>
          <w:szCs w:val="24"/>
          <w:highlight w:val="none"/>
          <w:lang w:val="en-US" w:bidi="ar-SA"/>
        </w:rPr>
        <w:t>贯彻落实上级政府、部门工作安排，预留突击性质的专项安全隐患排查治理服务每年1次；结合</w:t>
      </w:r>
      <w:r>
        <w:rPr>
          <w:rFonts w:hint="eastAsia" w:ascii="宋体" w:hAnsi="宋体" w:eastAsia="宋体" w:cs="宋体"/>
          <w:bCs/>
          <w:kern w:val="2"/>
          <w:sz w:val="24"/>
          <w:szCs w:val="24"/>
          <w:highlight w:val="none"/>
          <w:lang w:val="en-US" w:eastAsia="zh-CN" w:bidi="ar-SA"/>
        </w:rPr>
        <w:t>园区</w:t>
      </w:r>
      <w:r>
        <w:rPr>
          <w:rFonts w:hint="eastAsia" w:ascii="宋体" w:hAnsi="宋体" w:eastAsia="宋体" w:cs="宋体"/>
          <w:bCs/>
          <w:kern w:val="2"/>
          <w:sz w:val="24"/>
          <w:szCs w:val="24"/>
          <w:highlight w:val="none"/>
          <w:lang w:val="en-US" w:bidi="ar-SA"/>
        </w:rPr>
        <w:t>实际，预留服务范围可扩大至港区</w:t>
      </w:r>
      <w:r>
        <w:rPr>
          <w:rFonts w:hint="eastAsia" w:ascii="宋体" w:hAnsi="宋体" w:eastAsia="宋体" w:cs="宋体"/>
          <w:bCs/>
          <w:kern w:val="2"/>
          <w:sz w:val="24"/>
          <w:szCs w:val="24"/>
          <w:highlight w:val="none"/>
          <w:lang w:val="en-US" w:eastAsia="zh-CN" w:bidi="ar-SA"/>
        </w:rPr>
        <w:t>其他</w:t>
      </w:r>
      <w:r>
        <w:rPr>
          <w:rFonts w:hint="eastAsia" w:ascii="宋体" w:hAnsi="宋体" w:eastAsia="宋体" w:cs="宋体"/>
          <w:bCs/>
          <w:kern w:val="2"/>
          <w:sz w:val="24"/>
          <w:szCs w:val="24"/>
          <w:highlight w:val="none"/>
          <w:lang w:val="en-US" w:bidi="ar-SA"/>
        </w:rPr>
        <w:t>化工行业（即涵盖物流园区石化仓储企业及化工园区外监测点盈德气体）。</w:t>
      </w:r>
    </w:p>
    <w:p w14:paraId="27AAC068">
      <w:pPr>
        <w:widowControl w:val="0"/>
        <w:snapToGrid w:val="0"/>
        <w:spacing w:before="156" w:beforeLines="50" w:after="156" w:afterLines="50" w:line="360" w:lineRule="auto"/>
        <w:ind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bidi="ar-SA"/>
        </w:rPr>
        <w:t>4</w:t>
      </w:r>
      <w:r>
        <w:rPr>
          <w:rFonts w:hint="eastAsia" w:ascii="宋体" w:hAnsi="宋体" w:eastAsia="宋体" w:cs="宋体"/>
          <w:bCs/>
          <w:kern w:val="2"/>
          <w:sz w:val="24"/>
          <w:szCs w:val="24"/>
          <w:highlight w:val="none"/>
          <w:lang w:val="en-US" w:eastAsia="zh-CN" w:bidi="ar-SA"/>
        </w:rPr>
        <w:t>.每年指导园区开展不少于1次综合应急演练和2次危化品专项演练。</w:t>
      </w:r>
    </w:p>
    <w:p w14:paraId="36652A30">
      <w:pPr>
        <w:widowControl w:val="0"/>
        <w:snapToGrid w:val="0"/>
        <w:spacing w:before="156" w:beforeLines="50" w:after="156" w:afterLines="50" w:line="360" w:lineRule="auto"/>
        <w:ind w:firstLine="480" w:firstLineChars="200"/>
        <w:jc w:val="both"/>
        <w:rPr>
          <w:rFonts w:hint="eastAsia" w:ascii="宋体" w:hAnsi="宋体" w:eastAsia="宋体" w:cs="宋体"/>
          <w:bCs/>
          <w:kern w:val="2"/>
          <w:sz w:val="24"/>
          <w:szCs w:val="24"/>
          <w:highlight w:val="none"/>
          <w:lang w:val="en-US" w:bidi="ar-SA"/>
        </w:rPr>
      </w:pPr>
      <w:r>
        <w:rPr>
          <w:rFonts w:hint="eastAsia" w:ascii="宋体" w:hAnsi="宋体" w:eastAsia="宋体" w:cs="宋体"/>
          <w:bCs/>
          <w:kern w:val="2"/>
          <w:sz w:val="24"/>
          <w:szCs w:val="24"/>
          <w:highlight w:val="none"/>
          <w:lang w:val="en-US" w:eastAsia="zh-CN" w:bidi="ar-SA"/>
        </w:rPr>
        <w:t>5.面向危化企业专职安全监管人员、重点岗位专业工程师、车间一线班组长开展国内最新安全法规标准宣贯、安全生产主体责任落实、安全风险辨识与评估等方面专业培训，每年不少于6次专题培训。</w:t>
      </w:r>
      <w:r>
        <w:rPr>
          <w:rFonts w:hint="eastAsia" w:ascii="宋体" w:hAnsi="宋体" w:eastAsia="宋体" w:cs="宋体"/>
          <w:bCs/>
          <w:kern w:val="2"/>
          <w:sz w:val="24"/>
          <w:szCs w:val="24"/>
          <w:highlight w:val="none"/>
          <w:lang w:val="en-US" w:bidi="ar-SA"/>
        </w:rPr>
        <w:t>园区监管人员安全培训每年</w:t>
      </w:r>
      <w:r>
        <w:rPr>
          <w:rFonts w:hint="eastAsia" w:ascii="宋体" w:hAnsi="宋体" w:eastAsia="宋体" w:cs="宋体"/>
          <w:bCs/>
          <w:kern w:val="2"/>
          <w:sz w:val="24"/>
          <w:szCs w:val="24"/>
          <w:highlight w:val="none"/>
          <w:lang w:val="en-US" w:eastAsia="zh-CN" w:bidi="ar-SA"/>
        </w:rPr>
        <w:t>不少于</w:t>
      </w:r>
      <w:r>
        <w:rPr>
          <w:rFonts w:hint="eastAsia" w:ascii="宋体" w:hAnsi="宋体" w:eastAsia="宋体" w:cs="宋体"/>
          <w:bCs/>
          <w:kern w:val="2"/>
          <w:sz w:val="24"/>
          <w:szCs w:val="24"/>
          <w:highlight w:val="none"/>
          <w:lang w:val="en-US" w:bidi="ar-SA"/>
        </w:rPr>
        <w:t>2次。</w:t>
      </w:r>
    </w:p>
    <w:p w14:paraId="37B22883">
      <w:pPr>
        <w:widowControl w:val="0"/>
        <w:snapToGrid w:val="0"/>
        <w:spacing w:line="360" w:lineRule="auto"/>
        <w:ind w:firstLine="240" w:firstLineChars="1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color w:val="000000"/>
          <w:kern w:val="2"/>
          <w:sz w:val="24"/>
          <w:szCs w:val="24"/>
          <w:highlight w:val="none"/>
          <w:lang w:val="en-US" w:bidi="ar-SA"/>
        </w:rPr>
        <w:t xml:space="preserve"> </w:t>
      </w:r>
      <w:r>
        <w:rPr>
          <w:rFonts w:hint="eastAsia" w:ascii="宋体" w:hAnsi="宋体" w:eastAsia="宋体" w:cs="宋体"/>
          <w:bCs/>
          <w:color w:val="000000"/>
          <w:kern w:val="2"/>
          <w:sz w:val="24"/>
          <w:szCs w:val="24"/>
          <w:highlight w:val="none"/>
          <w:lang w:val="en-US" w:eastAsia="zh-CN" w:bidi="ar-SA"/>
        </w:rPr>
        <w:t xml:space="preserve"> </w:t>
      </w:r>
      <w:r>
        <w:rPr>
          <w:rFonts w:hint="eastAsia" w:ascii="宋体" w:hAnsi="宋体" w:eastAsia="宋体" w:cs="宋体"/>
          <w:b/>
          <w:color w:val="000000"/>
          <w:kern w:val="2"/>
          <w:sz w:val="24"/>
          <w:szCs w:val="24"/>
          <w:highlight w:val="none"/>
          <w:lang w:val="en-US" w:eastAsia="zh-CN" w:bidi="ar-SA"/>
        </w:rPr>
        <w:t>五</w:t>
      </w:r>
      <w:r>
        <w:rPr>
          <w:rFonts w:hint="eastAsia" w:ascii="宋体" w:hAnsi="宋体" w:eastAsia="宋体" w:cs="宋体"/>
          <w:b/>
          <w:color w:val="000000"/>
          <w:kern w:val="2"/>
          <w:sz w:val="24"/>
          <w:szCs w:val="24"/>
          <w:highlight w:val="none"/>
          <w:lang w:val="en-US" w:bidi="ar-SA"/>
        </w:rPr>
        <w:t>、服务质量要求</w:t>
      </w:r>
    </w:p>
    <w:p w14:paraId="5B670AC0">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color w:val="000000"/>
          <w:kern w:val="2"/>
          <w:sz w:val="24"/>
          <w:szCs w:val="24"/>
          <w:highlight w:val="none"/>
          <w:lang w:val="en-US" w:bidi="ar-SA"/>
        </w:rPr>
        <w:t>服务方按《盐城市人民政府办公室关于开展第三方力量与安全监督和管理工作的指导意见》要求完成第三方安全监管技术服务工作。</w:t>
      </w:r>
    </w:p>
    <w:p w14:paraId="179CD811">
      <w:pPr>
        <w:widowControl w:val="0"/>
        <w:snapToGrid w:val="0"/>
        <w:spacing w:line="360" w:lineRule="auto"/>
        <w:ind w:firstLine="482" w:firstLineChars="200"/>
        <w:jc w:val="both"/>
        <w:rPr>
          <w:rFonts w:hint="eastAsia" w:ascii="宋体" w:hAnsi="宋体" w:eastAsia="宋体" w:cs="宋体"/>
          <w:b/>
          <w:bCs w:val="0"/>
          <w:color w:val="000000"/>
          <w:kern w:val="2"/>
          <w:sz w:val="24"/>
          <w:szCs w:val="24"/>
          <w:highlight w:val="none"/>
          <w:lang w:val="en-US" w:bidi="ar-SA"/>
        </w:rPr>
      </w:pPr>
      <w:r>
        <w:rPr>
          <w:rFonts w:hint="eastAsia" w:ascii="宋体" w:hAnsi="宋体" w:eastAsia="宋体" w:cs="宋体"/>
          <w:b/>
          <w:bCs w:val="0"/>
          <w:color w:val="000000"/>
          <w:kern w:val="2"/>
          <w:sz w:val="24"/>
          <w:szCs w:val="24"/>
          <w:highlight w:val="none"/>
          <w:lang w:val="en-US" w:eastAsia="zh-CN" w:bidi="ar-SA"/>
        </w:rPr>
        <w:t>六</w:t>
      </w:r>
      <w:r>
        <w:rPr>
          <w:rFonts w:hint="eastAsia" w:ascii="宋体" w:hAnsi="宋体" w:eastAsia="宋体" w:cs="宋体"/>
          <w:b/>
          <w:bCs w:val="0"/>
          <w:color w:val="000000"/>
          <w:kern w:val="2"/>
          <w:sz w:val="24"/>
          <w:szCs w:val="24"/>
          <w:highlight w:val="none"/>
          <w:lang w:val="en-US" w:bidi="ar-SA"/>
        </w:rPr>
        <w:t>、服务人员要求</w:t>
      </w:r>
    </w:p>
    <w:p w14:paraId="70EBA793">
      <w:pPr>
        <w:widowControl w:val="0"/>
        <w:snapToGrid w:val="0"/>
        <w:spacing w:line="360" w:lineRule="auto"/>
        <w:ind w:firstLine="480" w:firstLineChars="200"/>
        <w:jc w:val="both"/>
        <w:rPr>
          <w:rFonts w:hint="eastAsia" w:ascii="宋体" w:hAnsi="宋体" w:eastAsia="宋体" w:cs="宋体"/>
          <w:b/>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bidi="ar-SA"/>
        </w:rPr>
        <w:t>全年安排不少于3名安全专家</w:t>
      </w:r>
      <w:r>
        <w:rPr>
          <w:rFonts w:hint="eastAsia" w:ascii="宋体" w:hAnsi="宋体" w:eastAsia="宋体" w:cs="宋体"/>
          <w:bCs/>
          <w:color w:val="000000"/>
          <w:kern w:val="2"/>
          <w:sz w:val="24"/>
          <w:szCs w:val="24"/>
          <w:highlight w:val="none"/>
          <w:lang w:val="en-US" w:eastAsia="zh-CN" w:bidi="ar-SA"/>
        </w:rPr>
        <w:t>，其中2名为</w:t>
      </w:r>
      <w:r>
        <w:rPr>
          <w:rFonts w:hint="eastAsia" w:ascii="宋体" w:hAnsi="宋体" w:eastAsia="宋体" w:cs="宋体"/>
          <w:bCs/>
          <w:color w:val="000000"/>
          <w:kern w:val="2"/>
          <w:sz w:val="24"/>
          <w:szCs w:val="24"/>
          <w:highlight w:val="none"/>
          <w:lang w:val="en-US" w:bidi="ar-SA"/>
        </w:rPr>
        <w:t>常驻现场</w:t>
      </w:r>
      <w:r>
        <w:rPr>
          <w:rFonts w:hint="eastAsia" w:ascii="宋体" w:hAnsi="宋体" w:eastAsia="宋体" w:cs="宋体"/>
          <w:bCs/>
          <w:color w:val="000000"/>
          <w:kern w:val="2"/>
          <w:sz w:val="24"/>
          <w:szCs w:val="24"/>
          <w:highlight w:val="none"/>
          <w:lang w:val="en-US" w:eastAsia="zh-CN" w:bidi="ar-SA"/>
        </w:rPr>
        <w:t>专家</w:t>
      </w:r>
      <w:r>
        <w:rPr>
          <w:rFonts w:hint="eastAsia" w:ascii="宋体" w:hAnsi="宋体" w:eastAsia="宋体" w:cs="宋体"/>
          <w:bCs/>
          <w:color w:val="000000"/>
          <w:kern w:val="2"/>
          <w:sz w:val="24"/>
          <w:szCs w:val="24"/>
          <w:highlight w:val="none"/>
          <w:lang w:val="en-US" w:bidi="ar-SA"/>
        </w:rPr>
        <w:t>，派驻人员须经采购人认可，且能服从管理，专家需明确1名项目负责人，全面负责项目推进协调、工作进展总结汇报、文件材料撰写等工作。</w:t>
      </w:r>
      <w:r>
        <w:rPr>
          <w:rFonts w:hint="eastAsia" w:ascii="宋体" w:hAnsi="宋体" w:eastAsia="宋体" w:cs="宋体"/>
          <w:bCs/>
          <w:color w:val="000000"/>
          <w:kern w:val="2"/>
          <w:sz w:val="24"/>
          <w:szCs w:val="24"/>
          <w:highlight w:val="none"/>
          <w:lang w:val="en-US" w:eastAsia="zh-CN" w:bidi="ar-SA"/>
        </w:rPr>
        <w:t>园区</w:t>
      </w:r>
      <w:r>
        <w:rPr>
          <w:rFonts w:hint="eastAsia" w:ascii="宋体" w:hAnsi="宋体" w:eastAsia="宋体" w:cs="宋体"/>
          <w:bCs/>
          <w:color w:val="000000"/>
          <w:kern w:val="2"/>
          <w:sz w:val="24"/>
          <w:szCs w:val="24"/>
          <w:highlight w:val="none"/>
          <w:lang w:val="en-US" w:bidi="ar-SA"/>
        </w:rPr>
        <w:t>有权根据工作开展情况，提出调配专家成员开展针对性专项工作。</w:t>
      </w:r>
    </w:p>
    <w:p w14:paraId="249A580C">
      <w:pPr>
        <w:widowControl w:val="0"/>
        <w:snapToGrid w:val="0"/>
        <w:spacing w:line="360" w:lineRule="auto"/>
        <w:ind w:firstLine="482"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
          <w:color w:val="000000"/>
          <w:kern w:val="2"/>
          <w:sz w:val="24"/>
          <w:szCs w:val="24"/>
          <w:highlight w:val="none"/>
          <w:lang w:val="en-US" w:eastAsia="zh-CN" w:bidi="ar-SA"/>
        </w:rPr>
        <w:t>七</w:t>
      </w:r>
      <w:r>
        <w:rPr>
          <w:rFonts w:hint="eastAsia" w:ascii="宋体" w:hAnsi="宋体" w:eastAsia="宋体" w:cs="宋体"/>
          <w:b/>
          <w:color w:val="000000"/>
          <w:kern w:val="2"/>
          <w:sz w:val="24"/>
          <w:szCs w:val="24"/>
          <w:highlight w:val="none"/>
          <w:lang w:val="en-US" w:bidi="ar-SA"/>
        </w:rPr>
        <w:t>、保密义务</w:t>
      </w:r>
    </w:p>
    <w:p w14:paraId="0A64BD8D">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color w:val="000000"/>
          <w:kern w:val="2"/>
          <w:sz w:val="24"/>
          <w:szCs w:val="24"/>
          <w:highlight w:val="none"/>
          <w:lang w:val="en-US" w:bidi="ar-SA"/>
        </w:rPr>
        <w:t>1.采购人对服务方完成技术服务中所利用的各类技术方法和形成的资料不得泄漏给第三者，但相关的行政机关、司法机关除外。</w:t>
      </w:r>
    </w:p>
    <w:p w14:paraId="4E9A1541">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color w:val="000000"/>
          <w:kern w:val="2"/>
          <w:sz w:val="24"/>
          <w:szCs w:val="24"/>
          <w:highlight w:val="none"/>
          <w:lang w:val="en-US" w:bidi="ar-SA"/>
        </w:rPr>
        <w:t>2.服务方对采购人提供的相关企业资料、文件、生产工艺等不得泄漏给第三者，但下列情况除外:</w:t>
      </w:r>
    </w:p>
    <w:p w14:paraId="68E2FC60">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color w:val="000000"/>
          <w:kern w:val="2"/>
          <w:sz w:val="24"/>
          <w:szCs w:val="24"/>
          <w:highlight w:val="none"/>
          <w:lang w:val="en-US" w:bidi="ar-SA"/>
        </w:rPr>
        <w:t>(1)合同签订前服务方从公开渠道得到的信息;</w:t>
      </w:r>
    </w:p>
    <w:p w14:paraId="7737BFC2">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color w:val="000000"/>
          <w:kern w:val="2"/>
          <w:sz w:val="24"/>
          <w:szCs w:val="24"/>
          <w:highlight w:val="none"/>
          <w:lang w:val="en-US" w:bidi="ar-SA"/>
        </w:rPr>
        <w:t>(2)采购人企业范围外己公开的资料、文件和信息等;</w:t>
      </w:r>
    </w:p>
    <w:p w14:paraId="1A61C7B8">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color w:val="000000"/>
          <w:kern w:val="2"/>
          <w:sz w:val="24"/>
          <w:szCs w:val="24"/>
          <w:highlight w:val="none"/>
          <w:lang w:val="en-US" w:bidi="ar-SA"/>
        </w:rPr>
        <w:t>(3)法律法规另有要求时;</w:t>
      </w:r>
    </w:p>
    <w:p w14:paraId="37D1E9CB">
      <w:pPr>
        <w:widowControl w:val="0"/>
        <w:snapToGrid w:val="0"/>
        <w:spacing w:line="360" w:lineRule="auto"/>
        <w:ind w:firstLine="480" w:firstLineChars="200"/>
        <w:jc w:val="both"/>
        <w:rPr>
          <w:rFonts w:hint="eastAsia" w:ascii="宋体" w:hAnsi="宋体" w:eastAsia="宋体" w:cs="宋体"/>
          <w:bCs/>
          <w:color w:val="000000"/>
          <w:kern w:val="2"/>
          <w:sz w:val="24"/>
          <w:szCs w:val="24"/>
          <w:highlight w:val="none"/>
          <w:lang w:val="en-US" w:bidi="ar-SA"/>
        </w:rPr>
      </w:pPr>
      <w:r>
        <w:rPr>
          <w:rFonts w:hint="eastAsia" w:ascii="宋体" w:hAnsi="宋体" w:eastAsia="宋体" w:cs="宋体"/>
          <w:bCs/>
          <w:color w:val="000000"/>
          <w:kern w:val="2"/>
          <w:sz w:val="24"/>
          <w:szCs w:val="24"/>
          <w:highlight w:val="none"/>
          <w:lang w:val="en-US" w:bidi="ar-SA"/>
        </w:rPr>
        <w:t>(4)国家主管部门要求时。</w:t>
      </w:r>
    </w:p>
    <w:p w14:paraId="50CAF46E">
      <w:pPr>
        <w:rPr>
          <w:color w:val="auto"/>
          <w:highlight w:val="none"/>
        </w:rPr>
        <w:sectPr>
          <w:pgSz w:w="11906" w:h="16838"/>
          <w:pgMar w:top="1440" w:right="1800" w:bottom="1440" w:left="1800" w:header="851" w:footer="992" w:gutter="0"/>
          <w:cols w:space="720" w:num="1"/>
          <w:docGrid w:linePitch="360" w:charSpace="0"/>
        </w:sectPr>
      </w:pPr>
    </w:p>
    <w:p w14:paraId="72032A21">
      <w:pPr>
        <w:rPr>
          <w:rFonts w:ascii="Times New Roman" w:hAnsi="Times New Roman" w:cs="Times New Roman"/>
          <w:color w:val="auto"/>
          <w:highlight w:val="none"/>
        </w:rPr>
      </w:pPr>
    </w:p>
    <w:tbl>
      <w:tblPr>
        <w:tblStyle w:val="9"/>
        <w:tblW w:w="913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8"/>
        <w:gridCol w:w="5530"/>
        <w:gridCol w:w="1652"/>
        <w:gridCol w:w="1106"/>
      </w:tblGrid>
      <w:tr w14:paraId="3B128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2" w:hRule="atLeast"/>
        </w:trPr>
        <w:tc>
          <w:tcPr>
            <w:tcW w:w="9136"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9275D0">
            <w:pPr>
              <w:keepNext w:val="0"/>
              <w:keepLines w:val="0"/>
              <w:widowControl/>
              <w:suppressLineNumbers w:val="0"/>
              <w:jc w:val="center"/>
              <w:textAlignment w:val="center"/>
              <w:rPr>
                <w:rFonts w:hint="eastAsia" w:ascii="宋体" w:hAnsi="宋体" w:eastAsia="宋体" w:cs="宋体"/>
                <w:b/>
                <w:bCs/>
                <w:i w:val="0"/>
                <w:iCs w:val="0"/>
                <w:color w:val="000000"/>
                <w:kern w:val="2"/>
                <w:sz w:val="32"/>
                <w:szCs w:val="32"/>
                <w:highlight w:val="none"/>
                <w:u w:val="none"/>
                <w:lang w:val="en-US" w:bidi="ar-SA"/>
              </w:rPr>
            </w:pPr>
            <w:r>
              <w:rPr>
                <w:rFonts w:hint="eastAsia" w:ascii="宋体" w:hAnsi="宋体" w:eastAsia="宋体" w:cs="宋体"/>
                <w:b/>
                <w:bCs/>
                <w:i w:val="0"/>
                <w:iCs w:val="0"/>
                <w:color w:val="000000"/>
                <w:kern w:val="0"/>
                <w:sz w:val="32"/>
                <w:szCs w:val="32"/>
                <w:highlight w:val="none"/>
                <w:u w:val="none"/>
                <w:lang w:val="en-US" w:eastAsia="zh-CN" w:bidi="ar"/>
              </w:rPr>
              <w:t>2026年盐城大丰新材料产业园区专家考核表</w:t>
            </w:r>
          </w:p>
        </w:tc>
      </w:tr>
      <w:tr w14:paraId="4EF4C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48"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DCEEA7E">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highlight w:val="none"/>
                <w:u w:val="none"/>
                <w:lang w:val="en-US" w:bidi="ar-SA"/>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553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4B6DC5F4">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highlight w:val="none"/>
                <w:u w:val="none"/>
                <w:lang w:val="en-US" w:bidi="ar-SA"/>
              </w:rPr>
            </w:pPr>
            <w:r>
              <w:rPr>
                <w:rFonts w:hint="eastAsia" w:ascii="宋体" w:hAnsi="宋体" w:eastAsia="宋体" w:cs="宋体"/>
                <w:b/>
                <w:bCs/>
                <w:i w:val="0"/>
                <w:iCs w:val="0"/>
                <w:color w:val="000000"/>
                <w:kern w:val="0"/>
                <w:sz w:val="24"/>
                <w:szCs w:val="24"/>
                <w:highlight w:val="none"/>
                <w:u w:val="none"/>
                <w:lang w:val="en-US" w:eastAsia="zh-CN" w:bidi="ar"/>
              </w:rPr>
              <w:t>考 核 内 容</w:t>
            </w:r>
          </w:p>
        </w:tc>
        <w:tc>
          <w:tcPr>
            <w:tcW w:w="1652"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088EE3B9">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highlight w:val="none"/>
                <w:u w:val="none"/>
                <w:lang w:val="en-US" w:bidi="ar-SA"/>
              </w:rPr>
            </w:pPr>
            <w:r>
              <w:rPr>
                <w:rFonts w:hint="eastAsia" w:ascii="宋体" w:hAnsi="宋体" w:eastAsia="宋体" w:cs="宋体"/>
                <w:b/>
                <w:bCs/>
                <w:i w:val="0"/>
                <w:iCs w:val="0"/>
                <w:color w:val="000000"/>
                <w:kern w:val="0"/>
                <w:sz w:val="24"/>
                <w:szCs w:val="24"/>
                <w:highlight w:val="none"/>
                <w:u w:val="none"/>
                <w:lang w:val="en-US" w:eastAsia="zh-CN" w:bidi="ar"/>
              </w:rPr>
              <w:t>考核分值（100分）</w:t>
            </w:r>
          </w:p>
        </w:tc>
        <w:tc>
          <w:tcPr>
            <w:tcW w:w="11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2CB8DA">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highlight w:val="none"/>
                <w:u w:val="none"/>
                <w:lang w:val="en-US" w:bidi="ar-SA"/>
              </w:rPr>
            </w:pPr>
            <w:r>
              <w:rPr>
                <w:rFonts w:hint="eastAsia" w:ascii="宋体" w:hAnsi="宋体" w:eastAsia="宋体" w:cs="宋体"/>
                <w:b/>
                <w:bCs/>
                <w:i w:val="0"/>
                <w:iCs w:val="0"/>
                <w:color w:val="000000"/>
                <w:kern w:val="0"/>
                <w:sz w:val="24"/>
                <w:szCs w:val="24"/>
                <w:highlight w:val="none"/>
                <w:u w:val="none"/>
                <w:lang w:val="en-US" w:eastAsia="zh-CN" w:bidi="ar"/>
              </w:rPr>
              <w:t>备注</w:t>
            </w:r>
          </w:p>
        </w:tc>
      </w:tr>
      <w:tr w14:paraId="10AD1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8AA44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55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3AA50E">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bidi="ar-SA"/>
              </w:rPr>
            </w:pPr>
            <w:r>
              <w:rPr>
                <w:rFonts w:hint="eastAsia" w:ascii="宋体" w:hAnsi="宋体" w:eastAsia="宋体" w:cs="宋体"/>
                <w:i w:val="0"/>
                <w:iCs w:val="0"/>
                <w:color w:val="000000"/>
                <w:kern w:val="0"/>
                <w:sz w:val="24"/>
                <w:szCs w:val="24"/>
                <w:highlight w:val="none"/>
                <w:u w:val="none"/>
                <w:lang w:val="en-US" w:eastAsia="zh-CN" w:bidi="ar"/>
              </w:rPr>
              <w:t>热爱安全生产事业，具有良好的职业道德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F8838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11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B7F0A2">
            <w:pPr>
              <w:jc w:val="center"/>
              <w:rPr>
                <w:rFonts w:hint="eastAsia" w:ascii="宋体" w:hAnsi="宋体" w:eastAsia="宋体" w:cs="宋体"/>
                <w:i w:val="0"/>
                <w:iCs w:val="0"/>
                <w:color w:val="000000"/>
                <w:kern w:val="2"/>
                <w:sz w:val="22"/>
                <w:szCs w:val="22"/>
                <w:highlight w:val="none"/>
                <w:u w:val="none"/>
                <w:lang w:val="en-US" w:bidi="ar-SA"/>
              </w:rPr>
            </w:pPr>
          </w:p>
        </w:tc>
      </w:tr>
      <w:tr w14:paraId="23ED6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E85CC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55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4580D5">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bidi="ar-SA"/>
              </w:rPr>
            </w:pPr>
            <w:r>
              <w:rPr>
                <w:rFonts w:hint="eastAsia" w:ascii="宋体" w:hAnsi="宋体" w:eastAsia="宋体" w:cs="宋体"/>
                <w:i w:val="0"/>
                <w:iCs w:val="0"/>
                <w:color w:val="000000"/>
                <w:kern w:val="0"/>
                <w:sz w:val="24"/>
                <w:szCs w:val="24"/>
                <w:highlight w:val="none"/>
                <w:u w:val="none"/>
                <w:lang w:val="en-US" w:eastAsia="zh-CN" w:bidi="ar"/>
              </w:rPr>
              <w:t>熟悉安全生产方针政策、法律法规和有关技术及标准，具有较高的理论水平和丰富的实践经验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CCE75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11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64E767">
            <w:pPr>
              <w:jc w:val="center"/>
              <w:rPr>
                <w:rFonts w:hint="eastAsia" w:ascii="宋体" w:hAnsi="宋体" w:eastAsia="宋体" w:cs="宋体"/>
                <w:i w:val="0"/>
                <w:iCs w:val="0"/>
                <w:color w:val="000000"/>
                <w:kern w:val="2"/>
                <w:sz w:val="22"/>
                <w:szCs w:val="22"/>
                <w:highlight w:val="none"/>
                <w:u w:val="none"/>
                <w:lang w:val="en-US" w:bidi="ar-SA"/>
              </w:rPr>
            </w:pPr>
          </w:p>
        </w:tc>
      </w:tr>
      <w:tr w14:paraId="3C0EF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8"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B4F7B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55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986CFC">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bidi="ar-SA"/>
              </w:rPr>
            </w:pPr>
            <w:r>
              <w:rPr>
                <w:rFonts w:hint="eastAsia" w:ascii="宋体" w:hAnsi="宋体" w:eastAsia="宋体" w:cs="宋体"/>
                <w:i w:val="0"/>
                <w:iCs w:val="0"/>
                <w:color w:val="000000"/>
                <w:kern w:val="0"/>
                <w:sz w:val="24"/>
                <w:szCs w:val="24"/>
                <w:highlight w:val="none"/>
                <w:u w:val="none"/>
                <w:lang w:val="en-US" w:eastAsia="zh-CN" w:bidi="ar"/>
              </w:rPr>
              <w:t>遵守国家安全生产有关管理规定，严格按安全标准进行项目实施，消除事故隐患，确保项目服务过程中的安全，协助园区完成安全生产事故调查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0BC20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11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D93101">
            <w:pPr>
              <w:jc w:val="center"/>
              <w:rPr>
                <w:rFonts w:hint="eastAsia" w:ascii="宋体" w:hAnsi="宋体" w:eastAsia="宋体" w:cs="宋体"/>
                <w:i w:val="0"/>
                <w:iCs w:val="0"/>
                <w:color w:val="000000"/>
                <w:kern w:val="2"/>
                <w:sz w:val="22"/>
                <w:szCs w:val="22"/>
                <w:highlight w:val="none"/>
                <w:u w:val="none"/>
                <w:lang w:val="en-US" w:bidi="ar-SA"/>
              </w:rPr>
            </w:pPr>
          </w:p>
        </w:tc>
      </w:tr>
      <w:tr w14:paraId="4BF19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FE17E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55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9DB934">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bidi="ar-SA"/>
              </w:rPr>
            </w:pPr>
            <w:r>
              <w:rPr>
                <w:rFonts w:hint="eastAsia" w:ascii="宋体" w:hAnsi="宋体" w:eastAsia="宋体" w:cs="宋体"/>
                <w:i w:val="0"/>
                <w:iCs w:val="0"/>
                <w:color w:val="000000"/>
                <w:kern w:val="0"/>
                <w:sz w:val="24"/>
                <w:szCs w:val="24"/>
                <w:highlight w:val="none"/>
                <w:u w:val="none"/>
                <w:lang w:val="en-US" w:eastAsia="zh-CN" w:bidi="ar"/>
              </w:rPr>
              <w:t>对照标准规范完成建设项目可行性研究报告的审核</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EB340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11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3EB5F0">
            <w:pPr>
              <w:jc w:val="center"/>
              <w:rPr>
                <w:rFonts w:hint="eastAsia" w:ascii="宋体" w:hAnsi="宋体" w:eastAsia="宋体" w:cs="宋体"/>
                <w:i w:val="0"/>
                <w:iCs w:val="0"/>
                <w:color w:val="000000"/>
                <w:kern w:val="2"/>
                <w:sz w:val="22"/>
                <w:szCs w:val="22"/>
                <w:highlight w:val="none"/>
                <w:u w:val="none"/>
                <w:lang w:val="en-US" w:bidi="ar-SA"/>
              </w:rPr>
            </w:pPr>
          </w:p>
        </w:tc>
      </w:tr>
      <w:tr w14:paraId="49782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4"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973E5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55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744096">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bidi="ar-SA"/>
              </w:rPr>
            </w:pPr>
            <w:r>
              <w:rPr>
                <w:rFonts w:hint="eastAsia" w:ascii="宋体" w:hAnsi="宋体" w:eastAsia="宋体" w:cs="宋体"/>
                <w:i w:val="0"/>
                <w:iCs w:val="0"/>
                <w:color w:val="000000"/>
                <w:kern w:val="0"/>
                <w:sz w:val="24"/>
                <w:szCs w:val="24"/>
                <w:highlight w:val="none"/>
                <w:u w:val="none"/>
                <w:lang w:val="en-US" w:eastAsia="zh-CN" w:bidi="ar"/>
              </w:rPr>
              <w:t>完成安全生产教育培训，省级及以上专家面向园区监管人员、企业管理人员集中安全培训，每年各2次。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9B09D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11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A4AF7A">
            <w:pPr>
              <w:jc w:val="center"/>
              <w:rPr>
                <w:rFonts w:hint="eastAsia" w:ascii="宋体" w:hAnsi="宋体" w:eastAsia="宋体" w:cs="宋体"/>
                <w:i w:val="0"/>
                <w:iCs w:val="0"/>
                <w:color w:val="000000"/>
                <w:kern w:val="2"/>
                <w:sz w:val="22"/>
                <w:szCs w:val="22"/>
                <w:highlight w:val="none"/>
                <w:u w:val="none"/>
                <w:lang w:val="en-US" w:bidi="ar-SA"/>
              </w:rPr>
            </w:pPr>
          </w:p>
        </w:tc>
      </w:tr>
      <w:tr w14:paraId="1B942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9"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F4B02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55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9D4CDF">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bidi="ar-SA"/>
              </w:rPr>
            </w:pPr>
            <w:r>
              <w:rPr>
                <w:rFonts w:hint="eastAsia" w:ascii="宋体" w:hAnsi="宋体" w:eastAsia="宋体" w:cs="宋体"/>
                <w:i w:val="0"/>
                <w:iCs w:val="0"/>
                <w:color w:val="000000"/>
                <w:kern w:val="0"/>
                <w:sz w:val="24"/>
                <w:szCs w:val="24"/>
                <w:highlight w:val="none"/>
                <w:u w:val="none"/>
                <w:lang w:val="en-US" w:eastAsia="zh-CN" w:bidi="ar"/>
              </w:rPr>
              <w:t>以“家家到”形式，完成安全专项检查每年不少于4次，分别为：重大危险源专项检查、精细化工企业安全管理规范对标排查暨环保设施检查；重大事故隐患排查暨化工企业设备检修作业检查、高危细分领域暨特种设备专项检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C3EA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15</w:t>
            </w:r>
          </w:p>
        </w:tc>
        <w:tc>
          <w:tcPr>
            <w:tcW w:w="11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7A359C">
            <w:pPr>
              <w:jc w:val="center"/>
              <w:rPr>
                <w:rFonts w:hint="eastAsia" w:ascii="宋体" w:hAnsi="宋体" w:eastAsia="宋体" w:cs="宋体"/>
                <w:i w:val="0"/>
                <w:iCs w:val="0"/>
                <w:color w:val="000000"/>
                <w:kern w:val="2"/>
                <w:sz w:val="22"/>
                <w:szCs w:val="22"/>
                <w:highlight w:val="none"/>
                <w:u w:val="none"/>
                <w:lang w:val="en-US" w:bidi="ar-SA"/>
              </w:rPr>
            </w:pPr>
          </w:p>
        </w:tc>
      </w:tr>
      <w:tr w14:paraId="2588C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416FC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7</w:t>
            </w:r>
          </w:p>
        </w:tc>
        <w:tc>
          <w:tcPr>
            <w:tcW w:w="55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49CA4A">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bidi="ar-SA"/>
              </w:rPr>
            </w:pPr>
            <w:r>
              <w:rPr>
                <w:rFonts w:hint="eastAsia" w:ascii="宋体" w:hAnsi="宋体" w:eastAsia="宋体" w:cs="宋体"/>
                <w:i w:val="0"/>
                <w:iCs w:val="0"/>
                <w:color w:val="000000"/>
                <w:kern w:val="0"/>
                <w:sz w:val="24"/>
                <w:szCs w:val="24"/>
                <w:highlight w:val="none"/>
                <w:u w:val="none"/>
                <w:lang w:val="en-US" w:eastAsia="zh-CN" w:bidi="ar"/>
              </w:rPr>
              <w:t>执行有关法律法规标准，坚持原则，公正客观开展工作，把好隐患整改闭环关，隐患问题未整改或整改不彻底不闭环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9CBA3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15</w:t>
            </w:r>
          </w:p>
        </w:tc>
        <w:tc>
          <w:tcPr>
            <w:tcW w:w="11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05B9D9">
            <w:pPr>
              <w:jc w:val="center"/>
              <w:rPr>
                <w:rFonts w:hint="eastAsia" w:ascii="宋体" w:hAnsi="宋体" w:eastAsia="宋体" w:cs="宋体"/>
                <w:i w:val="0"/>
                <w:iCs w:val="0"/>
                <w:color w:val="000000"/>
                <w:kern w:val="2"/>
                <w:sz w:val="22"/>
                <w:szCs w:val="22"/>
                <w:highlight w:val="none"/>
                <w:u w:val="none"/>
                <w:lang w:val="en-US" w:bidi="ar-SA"/>
              </w:rPr>
            </w:pPr>
          </w:p>
        </w:tc>
      </w:tr>
      <w:tr w14:paraId="30D47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8178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8</w:t>
            </w:r>
          </w:p>
        </w:tc>
        <w:tc>
          <w:tcPr>
            <w:tcW w:w="55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55F6E7">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bidi="ar-SA"/>
              </w:rPr>
            </w:pPr>
            <w:r>
              <w:rPr>
                <w:rFonts w:hint="eastAsia" w:ascii="宋体" w:hAnsi="宋体" w:eastAsia="宋体" w:cs="宋体"/>
                <w:i w:val="0"/>
                <w:iCs w:val="0"/>
                <w:color w:val="000000"/>
                <w:kern w:val="0"/>
                <w:sz w:val="24"/>
                <w:szCs w:val="24"/>
                <w:highlight w:val="none"/>
                <w:u w:val="none"/>
                <w:lang w:val="en-US" w:eastAsia="zh-CN" w:bidi="ar"/>
              </w:rPr>
              <w:t>协助园区安全监管人员参与夜间检查，各类节假日确保有一人常驻值班值守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A8852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11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A913F8">
            <w:pPr>
              <w:jc w:val="center"/>
              <w:rPr>
                <w:rFonts w:hint="eastAsia" w:ascii="宋体" w:hAnsi="宋体" w:eastAsia="宋体" w:cs="宋体"/>
                <w:i w:val="0"/>
                <w:iCs w:val="0"/>
                <w:color w:val="000000"/>
                <w:kern w:val="2"/>
                <w:sz w:val="22"/>
                <w:szCs w:val="22"/>
                <w:highlight w:val="none"/>
                <w:u w:val="none"/>
                <w:lang w:val="en-US" w:bidi="ar-SA"/>
              </w:rPr>
            </w:pPr>
          </w:p>
        </w:tc>
      </w:tr>
      <w:tr w14:paraId="76B5C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26537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9</w:t>
            </w:r>
          </w:p>
        </w:tc>
        <w:tc>
          <w:tcPr>
            <w:tcW w:w="55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762C65">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bidi="ar-SA"/>
              </w:rPr>
            </w:pPr>
            <w:r>
              <w:rPr>
                <w:rFonts w:hint="eastAsia" w:ascii="宋体" w:hAnsi="宋体" w:eastAsia="宋体" w:cs="宋体"/>
                <w:i w:val="0"/>
                <w:iCs w:val="0"/>
                <w:color w:val="000000"/>
                <w:kern w:val="0"/>
                <w:sz w:val="24"/>
                <w:szCs w:val="24"/>
                <w:highlight w:val="none"/>
                <w:u w:val="none"/>
                <w:lang w:val="en-US" w:eastAsia="zh-CN" w:bidi="ar"/>
              </w:rPr>
              <w:t>执行保密规定，不得擅自披露涉密或敏感信息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C8FFB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11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DBDFEF">
            <w:pPr>
              <w:jc w:val="center"/>
              <w:rPr>
                <w:rFonts w:hint="eastAsia" w:ascii="宋体" w:hAnsi="宋体" w:eastAsia="宋体" w:cs="宋体"/>
                <w:i w:val="0"/>
                <w:iCs w:val="0"/>
                <w:color w:val="000000"/>
                <w:kern w:val="2"/>
                <w:sz w:val="22"/>
                <w:szCs w:val="22"/>
                <w:highlight w:val="none"/>
                <w:u w:val="none"/>
                <w:lang w:val="en-US" w:bidi="ar-SA"/>
              </w:rPr>
            </w:pPr>
          </w:p>
        </w:tc>
      </w:tr>
      <w:tr w14:paraId="7852D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C39EB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55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85E64F">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val="en-US" w:bidi="ar-SA"/>
              </w:rPr>
            </w:pPr>
            <w:r>
              <w:rPr>
                <w:rFonts w:hint="eastAsia" w:ascii="宋体" w:hAnsi="宋体" w:eastAsia="宋体" w:cs="宋体"/>
                <w:i w:val="0"/>
                <w:iCs w:val="0"/>
                <w:color w:val="000000"/>
                <w:kern w:val="0"/>
                <w:sz w:val="24"/>
                <w:szCs w:val="24"/>
                <w:highlight w:val="none"/>
                <w:u w:val="none"/>
                <w:lang w:val="en-US" w:eastAsia="zh-CN" w:bidi="ar"/>
              </w:rPr>
              <w:t>遵守回避规定</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1194C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110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5F05D8">
            <w:pPr>
              <w:jc w:val="center"/>
              <w:rPr>
                <w:rFonts w:hint="eastAsia" w:ascii="宋体" w:hAnsi="宋体" w:eastAsia="宋体" w:cs="宋体"/>
                <w:i w:val="0"/>
                <w:iCs w:val="0"/>
                <w:color w:val="000000"/>
                <w:kern w:val="2"/>
                <w:sz w:val="22"/>
                <w:szCs w:val="22"/>
                <w:highlight w:val="none"/>
                <w:u w:val="none"/>
                <w:lang w:val="en-US" w:bidi="ar-SA"/>
              </w:rPr>
            </w:pPr>
          </w:p>
        </w:tc>
      </w:tr>
    </w:tbl>
    <w:p w14:paraId="205DBD87">
      <w:pPr>
        <w:rPr>
          <w:color w:val="auto"/>
          <w:highlight w:val="none"/>
        </w:rPr>
        <w:sectPr>
          <w:pgSz w:w="11906" w:h="16838"/>
          <w:pgMar w:top="1440" w:right="1800" w:bottom="1440" w:left="1800" w:header="851" w:footer="992" w:gutter="0"/>
          <w:cols w:space="720" w:num="1"/>
          <w:docGrid w:linePitch="360" w:charSpace="0"/>
        </w:sectPr>
      </w:pPr>
    </w:p>
    <w:p w14:paraId="2949897C">
      <w:pPr>
        <w:pageBreakBefore/>
        <w:spacing w:line="520" w:lineRule="exact"/>
        <w:jc w:val="center"/>
        <w:outlineLvl w:val="0"/>
        <w:rPr>
          <w:rFonts w:ascii="Times New Roman" w:hAnsi="Times New Roman" w:cs="Times New Roman"/>
          <w:b/>
          <w:color w:val="auto"/>
          <w:sz w:val="44"/>
          <w:szCs w:val="44"/>
          <w:highlight w:val="none"/>
        </w:rPr>
      </w:pPr>
      <w:r>
        <w:rPr>
          <w:rFonts w:hint="eastAsia" w:ascii="Times New Roman" w:hAnsi="Times New Roman" w:cs="Times New Roman"/>
          <w:b/>
          <w:color w:val="auto"/>
          <w:sz w:val="44"/>
          <w:szCs w:val="44"/>
          <w:highlight w:val="none"/>
        </w:rPr>
        <w:t>第四章  评标办法及评分标准</w:t>
      </w:r>
      <w:bookmarkEnd w:id="166"/>
      <w:bookmarkEnd w:id="167"/>
      <w:bookmarkEnd w:id="168"/>
    </w:p>
    <w:p w14:paraId="019FCFCC">
      <w:pPr>
        <w:rPr>
          <w:rFonts w:ascii="Times New Roman" w:hAnsi="Times New Roman" w:cs="Times New Roman"/>
          <w:color w:val="auto"/>
          <w:highlight w:val="none"/>
        </w:rPr>
      </w:pPr>
    </w:p>
    <w:p w14:paraId="5BC17A2D">
      <w:pPr>
        <w:spacing w:line="360" w:lineRule="auto"/>
        <w:rPr>
          <w:rFonts w:hint="eastAsia" w:ascii="宋体" w:hAnsi="宋体" w:cs="Courier New"/>
          <w:b/>
          <w:bCs/>
          <w:color w:val="auto"/>
          <w:highlight w:val="none"/>
        </w:rPr>
      </w:pPr>
      <w:r>
        <w:rPr>
          <w:rFonts w:hint="eastAsia" w:ascii="宋体" w:hAnsi="宋体" w:cs="Courier New"/>
          <w:b/>
          <w:bCs/>
          <w:color w:val="auto"/>
          <w:highlight w:val="none"/>
        </w:rPr>
        <w:t>一、定标原则</w:t>
      </w:r>
    </w:p>
    <w:p w14:paraId="7006B61F">
      <w:pPr>
        <w:spacing w:line="360" w:lineRule="auto"/>
        <w:ind w:firstLine="480"/>
        <w:rPr>
          <w:rFonts w:hint="eastAsia" w:ascii="宋体" w:hAnsi="宋体" w:cs="Arial"/>
          <w:color w:val="auto"/>
          <w:sz w:val="24"/>
          <w:szCs w:val="24"/>
          <w:highlight w:val="none"/>
        </w:rPr>
      </w:pPr>
      <w:r>
        <w:rPr>
          <w:rFonts w:hint="eastAsia" w:ascii="宋体" w:hAnsi="宋体" w:cs="Courier New"/>
          <w:bCs/>
          <w:color w:val="auto"/>
          <w:sz w:val="24"/>
          <w:szCs w:val="24"/>
          <w:highlight w:val="none"/>
        </w:rPr>
        <w:t>本项目采用</w:t>
      </w:r>
      <w:r>
        <w:rPr>
          <w:rFonts w:hint="eastAsia" w:ascii="宋体" w:hAnsi="宋体" w:cs="Courier New"/>
          <w:bCs/>
          <w:color w:val="auto"/>
          <w:sz w:val="24"/>
          <w:szCs w:val="24"/>
          <w:highlight w:val="none"/>
          <w:u w:val="single"/>
        </w:rPr>
        <w:t xml:space="preserve"> 综合评分</w:t>
      </w:r>
      <w:r>
        <w:rPr>
          <w:rFonts w:hint="eastAsia" w:ascii="宋体" w:hAnsi="宋体" w:cs="Courier New"/>
          <w:bCs/>
          <w:color w:val="auto"/>
          <w:sz w:val="24"/>
          <w:szCs w:val="24"/>
          <w:highlight w:val="none"/>
        </w:rPr>
        <w:t>法。</w:t>
      </w:r>
      <w:r>
        <w:rPr>
          <w:rFonts w:hint="eastAsia" w:ascii="宋体" w:hAnsi="宋体" w:cs="Arial"/>
          <w:color w:val="auto"/>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0283A079">
      <w:pPr>
        <w:pStyle w:val="18"/>
        <w:keepNext w:val="0"/>
        <w:keepLines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二、对投标文件的初审</w:t>
      </w:r>
    </w:p>
    <w:p w14:paraId="3A29320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投标文件初审分为资格审查和符合性审查。</w:t>
      </w:r>
    </w:p>
    <w:p w14:paraId="2E6EED41">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2.1资格审查</w:t>
      </w:r>
    </w:p>
    <w:p w14:paraId="4EB793F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开标结束后，采购人或者采购代理机构依法对投标人的资格进行审查。</w:t>
      </w:r>
    </w:p>
    <w:p w14:paraId="029CFAE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审查投标文件中的资格、资信证明文件等，以确定投标人是否具备投标资格。（资格审查需提供的材料详见《资格信誉等证明文件要求》）</w:t>
      </w:r>
    </w:p>
    <w:p w14:paraId="0136949B">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2.2符合性审查</w:t>
      </w:r>
    </w:p>
    <w:p w14:paraId="3B13515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1.评标委员会对符合资格的投标人的投标文件进行符合性审查。</w:t>
      </w:r>
    </w:p>
    <w:p w14:paraId="319997C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2.依据招标文件的规定，从投标文件的有效性、完整性和对招标文件的响应程度进行审查，以确定其是否满足招标文件的实质性要求。</w:t>
      </w:r>
    </w:p>
    <w:p w14:paraId="73009EC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3.明确响应的投标应该是与招标文件要求的全部条款、条件和规格相符，没有重大偏离或保留的投标。</w:t>
      </w:r>
    </w:p>
    <w:p w14:paraId="7CB8433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p>
    <w:p w14:paraId="0BBC629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5.如果投标文件没有明确响应招标文件的要求，评标委员会将按无效投标处理，投标人不得通过修改或撤销不合要求的偏离或保留而使其投标成为明确响应的投标。</w:t>
      </w:r>
    </w:p>
    <w:p w14:paraId="0E8E24A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6.评标委员会将对确定为明确响应的投标进行进一步审核，投标文件报价出现前后不一致的，除招标文件另有规定外，按照下列规定修正：</w:t>
      </w:r>
    </w:p>
    <w:p w14:paraId="4354B64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7.投标文件中开标一览表内容与投标文件中相应内容不一致的，以开标一览表为准；</w:t>
      </w:r>
    </w:p>
    <w:p w14:paraId="3F7BEF7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8.大写金额和小写金额不一致的，以大写金额为准；</w:t>
      </w:r>
    </w:p>
    <w:p w14:paraId="079AEA3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9.单价金额小数点或者百分比有明显错位的，以开标一览表的总价为准，并修改单价；</w:t>
      </w:r>
    </w:p>
    <w:p w14:paraId="1447568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10.总价金额与按单价汇总金额不一致的，以单价金额计算结果为准。</w:t>
      </w:r>
    </w:p>
    <w:p w14:paraId="15A2DCA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评标委员会将按上述修正错误的方法调整投标文件中的投标报价，修正后的报价应当采用书面形式，并加盖章，或者由法定代表人或其授权的代表签字，经投标人确认后产生约束力，投标人不确认的，其投标无效。</w:t>
      </w:r>
    </w:p>
    <w:p w14:paraId="3AEAB7A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D64F00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E0BFC0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14.非单一产品采购，采购人根据采购项目技术构成、产品价格比重等合理确定核心产品，并在招标文件中载明。多家投标人提供的核心产品品牌相同的按上述规定处理。</w:t>
      </w:r>
    </w:p>
    <w:p w14:paraId="2BA3DC7F">
      <w:pPr>
        <w:widowControl/>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w:t>
      </w:r>
      <w:r>
        <w:rPr>
          <w:rFonts w:hint="eastAsia" w:ascii="宋体" w:hAnsi="宋体" w:cs="宋体"/>
          <w:color w:val="auto"/>
          <w:sz w:val="24"/>
          <w:szCs w:val="24"/>
          <w:highlight w:val="none"/>
        </w:rPr>
        <w:t>评分标准</w:t>
      </w:r>
    </w:p>
    <w:p w14:paraId="40D04AB0">
      <w:pPr>
        <w:widowControl/>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3.1政府采购政策功能落实</w:t>
      </w:r>
    </w:p>
    <w:p w14:paraId="40AF26EE">
      <w:pPr>
        <w:widowControl/>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3.1.1小微型企业价格扣除</w:t>
      </w:r>
    </w:p>
    <w:p w14:paraId="0443C735">
      <w:pPr>
        <w:widowControl/>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（1）本项目对小型和微型企业产品给予20%的扣除价格，用扣除后的价格参与评审。</w:t>
      </w:r>
    </w:p>
    <w:p w14:paraId="25D2C70B">
      <w:pPr>
        <w:widowControl/>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（2）供应商需按照采购文件的要求提供相应的《企业声明函》。</w:t>
      </w:r>
    </w:p>
    <w:p w14:paraId="5B180E19">
      <w:pPr>
        <w:widowControl/>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（3）企业标准请参照《关于印发中小企业划型标准规定的通知》（工信部联企业[2011]300号）文件规定自行填写。</w:t>
      </w:r>
    </w:p>
    <w:p w14:paraId="5CFD794A">
      <w:pPr>
        <w:widowControl/>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（4）在货物采购项目中，供应商提供的货物既有中小企业制造货物，也有大型企业制造货物的，不享受本办法规定的中小企业扶持政策。</w:t>
      </w:r>
    </w:p>
    <w:p w14:paraId="4FD66510">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3.1.2残疾人福利单位价格扣除</w:t>
      </w:r>
    </w:p>
    <w:p w14:paraId="560307DD">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（1）本项目对残疾人福利性单位视同小型、微型企业，给予20%的价格扣除，用扣除后的价格参与评审。</w:t>
      </w:r>
    </w:p>
    <w:p w14:paraId="1D87D772">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（2）残疾人福利单位需按照采购文件的要求提供《残疾人福利性单位声明函》。</w:t>
      </w:r>
    </w:p>
    <w:p w14:paraId="5C90B621">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（3）残疾人福利单位标准请参照《关于促进残疾人就业政府采购政策的通知》（财库〔2017〕141号）。</w:t>
      </w:r>
    </w:p>
    <w:p w14:paraId="278A48F2">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3.1.3监狱和戒毒企业价格扣除</w:t>
      </w:r>
    </w:p>
    <w:p w14:paraId="2F51A3F8">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（1）本项目对监狱和戒毒企业（简称监狱企业）视同小型、微型企业，给予20%的价格扣除，用扣除后的价格参与评审。</w:t>
      </w:r>
    </w:p>
    <w:p w14:paraId="3B054CDD">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5088AF23">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（3）监狱企业标准请参照《关于政府采购支持监狱企业发展有关问题的通知》（财库[2014]68号）。</w:t>
      </w:r>
    </w:p>
    <w:p w14:paraId="6C913A64">
      <w:pPr>
        <w:spacing w:line="360" w:lineRule="auto"/>
        <w:ind w:firstLine="48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4</w:t>
      </w:r>
      <w:r>
        <w:rPr>
          <w:rFonts w:hint="eastAsia" w:ascii="宋体" w:hAnsi="宋体" w:eastAsia="宋体" w:cs="Times New Roman"/>
          <w:color w:val="auto"/>
          <w:sz w:val="24"/>
          <w:szCs w:val="24"/>
          <w:highlight w:val="none"/>
          <w:lang w:eastAsia="zh-CN"/>
        </w:rPr>
        <w:t>.</w:t>
      </w:r>
      <w:r>
        <w:rPr>
          <w:rFonts w:hint="eastAsia" w:ascii="宋体" w:hAnsi="宋体" w:cs="Times New Roman"/>
          <w:color w:val="auto"/>
          <w:sz w:val="24"/>
          <w:szCs w:val="24"/>
          <w:highlight w:val="none"/>
        </w:rPr>
        <w:t>残疾人福利单位、监狱企业属于小型、微型企业的，不重复享受政策。</w:t>
      </w:r>
    </w:p>
    <w:p w14:paraId="5BFA7FCF">
      <w:pPr>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br w:type="page" w:clear="all"/>
      </w:r>
    </w:p>
    <w:p w14:paraId="3A72BFD9">
      <w:pPr>
        <w:spacing w:line="360" w:lineRule="auto"/>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3.2、评标标准</w:t>
      </w:r>
    </w:p>
    <w:tbl>
      <w:tblPr>
        <w:tblStyle w:val="9"/>
        <w:tblW w:w="5150" w:type="pct"/>
        <w:jc w:val="center"/>
        <w:tblBorders>
          <w:top w:val="single" w:color="auto" w:sz="2" w:space="0"/>
          <w:left w:val="single" w:color="auto" w:sz="2" w:space="0"/>
          <w:bottom w:val="single" w:color="auto" w:sz="2" w:space="0"/>
          <w:right w:val="single" w:color="auto" w:sz="2" w:space="0"/>
          <w:insideH w:val="none" w:color="auto" w:sz="0" w:space="0"/>
          <w:insideV w:val="none" w:color="auto" w:sz="0" w:space="0"/>
        </w:tblBorders>
        <w:tblLayout w:type="fixed"/>
        <w:tblCellMar>
          <w:top w:w="0" w:type="dxa"/>
          <w:left w:w="108" w:type="dxa"/>
          <w:bottom w:w="0" w:type="dxa"/>
          <w:right w:w="108" w:type="dxa"/>
        </w:tblCellMar>
      </w:tblPr>
      <w:tblGrid>
        <w:gridCol w:w="1134"/>
        <w:gridCol w:w="1002"/>
        <w:gridCol w:w="6642"/>
      </w:tblGrid>
      <w:tr w14:paraId="1B390D70">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545" w:hRule="atLeast"/>
          <w:tblHeader/>
          <w:jc w:val="center"/>
        </w:trPr>
        <w:tc>
          <w:tcPr>
            <w:tcW w:w="645" w:type="pct"/>
            <w:tcBorders>
              <w:top w:val="single" w:color="auto" w:sz="2" w:space="0"/>
              <w:left w:val="single" w:color="auto" w:sz="2" w:space="0"/>
              <w:bottom w:val="single" w:color="auto" w:sz="4" w:space="0"/>
              <w:right w:val="single" w:color="auto" w:sz="4" w:space="0"/>
            </w:tcBorders>
            <w:noWrap w:val="0"/>
            <w:vAlign w:val="center"/>
          </w:tcPr>
          <w:p w14:paraId="354ACB74">
            <w:pPr>
              <w:widowControl w:val="0"/>
              <w:jc w:val="center"/>
              <w:rPr>
                <w:rFonts w:hint="eastAsia" w:ascii="宋体" w:hAnsi="宋体" w:eastAsia="Arial" w:cs="宋体"/>
                <w:b/>
                <w:color w:val="auto"/>
                <w:sz w:val="21"/>
                <w:szCs w:val="21"/>
                <w:highlight w:val="none"/>
                <w:lang w:val="en-US" w:eastAsia="zh-CN" w:bidi="ar-SA"/>
              </w:rPr>
            </w:pPr>
            <w:r>
              <w:rPr>
                <w:rFonts w:hint="eastAsia" w:ascii="宋体" w:hAnsi="宋体" w:eastAsia="Arial" w:cs="宋体"/>
                <w:b/>
                <w:color w:val="auto"/>
                <w:sz w:val="21"/>
                <w:szCs w:val="21"/>
                <w:highlight w:val="none"/>
                <w:lang w:val="en-US" w:eastAsia="zh-CN" w:bidi="ar-SA"/>
              </w:rPr>
              <w:t>评分项目</w:t>
            </w:r>
          </w:p>
        </w:tc>
        <w:tc>
          <w:tcPr>
            <w:tcW w:w="570" w:type="pct"/>
            <w:tcBorders>
              <w:top w:val="single" w:color="auto" w:sz="2" w:space="0"/>
              <w:left w:val="single" w:color="auto" w:sz="2" w:space="0"/>
              <w:bottom w:val="single" w:color="auto" w:sz="4" w:space="0"/>
              <w:right w:val="single" w:color="auto" w:sz="4" w:space="0"/>
            </w:tcBorders>
            <w:noWrap w:val="0"/>
            <w:vAlign w:val="center"/>
          </w:tcPr>
          <w:p w14:paraId="52F58E39">
            <w:pPr>
              <w:widowControl w:val="0"/>
              <w:jc w:val="center"/>
              <w:rPr>
                <w:rFonts w:hint="eastAsia" w:ascii="宋体" w:hAnsi="宋体" w:eastAsia="Arial" w:cs="宋体"/>
                <w:b/>
                <w:color w:val="auto"/>
                <w:sz w:val="21"/>
                <w:szCs w:val="21"/>
                <w:highlight w:val="none"/>
                <w:lang w:val="en-US" w:eastAsia="zh-CN" w:bidi="ar-SA"/>
              </w:rPr>
            </w:pPr>
            <w:r>
              <w:rPr>
                <w:rFonts w:hint="eastAsia" w:ascii="宋体" w:hAnsi="宋体" w:eastAsia="Arial" w:cs="宋体"/>
                <w:b/>
                <w:color w:val="auto"/>
                <w:sz w:val="21"/>
                <w:szCs w:val="21"/>
                <w:highlight w:val="none"/>
                <w:lang w:val="en-US" w:eastAsia="zh-CN" w:bidi="ar-SA"/>
              </w:rPr>
              <w:t>分值</w:t>
            </w:r>
          </w:p>
        </w:tc>
        <w:tc>
          <w:tcPr>
            <w:tcW w:w="3783" w:type="pct"/>
            <w:tcBorders>
              <w:top w:val="single" w:color="auto" w:sz="2" w:space="0"/>
              <w:left w:val="single" w:color="auto" w:sz="2" w:space="0"/>
              <w:bottom w:val="single" w:color="auto" w:sz="4" w:space="0"/>
              <w:right w:val="single" w:color="auto" w:sz="4" w:space="0"/>
            </w:tcBorders>
            <w:noWrap w:val="0"/>
            <w:vAlign w:val="center"/>
          </w:tcPr>
          <w:p w14:paraId="50E10504">
            <w:pPr>
              <w:widowControl w:val="0"/>
              <w:jc w:val="center"/>
              <w:rPr>
                <w:rFonts w:hint="eastAsia" w:ascii="宋体" w:hAnsi="宋体" w:eastAsia="Arial" w:cs="宋体"/>
                <w:b/>
                <w:color w:val="auto"/>
                <w:sz w:val="21"/>
                <w:szCs w:val="21"/>
                <w:highlight w:val="none"/>
                <w:lang w:val="en-US" w:eastAsia="zh-CN" w:bidi="ar-SA"/>
              </w:rPr>
            </w:pPr>
            <w:r>
              <w:rPr>
                <w:rFonts w:hint="eastAsia" w:ascii="宋体" w:hAnsi="宋体" w:eastAsia="Arial" w:cs="宋体"/>
                <w:b/>
                <w:color w:val="auto"/>
                <w:sz w:val="21"/>
                <w:szCs w:val="21"/>
                <w:highlight w:val="none"/>
                <w:lang w:val="en-US" w:eastAsia="zh-CN" w:bidi="ar-SA"/>
              </w:rPr>
              <w:t>评分标准</w:t>
            </w:r>
          </w:p>
        </w:tc>
      </w:tr>
      <w:tr w14:paraId="41CDF1E6">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5432" w:hRule="atLeast"/>
          <w:jc w:val="center"/>
        </w:trPr>
        <w:tc>
          <w:tcPr>
            <w:tcW w:w="645" w:type="pct"/>
            <w:tcBorders>
              <w:top w:val="single" w:color="auto" w:sz="4" w:space="0"/>
              <w:left w:val="single" w:color="auto" w:sz="2" w:space="0"/>
              <w:bottom w:val="single" w:color="auto" w:sz="4" w:space="0"/>
              <w:right w:val="single" w:color="auto" w:sz="4" w:space="0"/>
            </w:tcBorders>
            <w:noWrap w:val="0"/>
            <w:vAlign w:val="center"/>
          </w:tcPr>
          <w:p w14:paraId="554ACADE">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投标</w:t>
            </w:r>
          </w:p>
          <w:p w14:paraId="4D394B8A">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报价</w:t>
            </w:r>
          </w:p>
        </w:tc>
        <w:tc>
          <w:tcPr>
            <w:tcW w:w="570" w:type="pct"/>
            <w:tcBorders>
              <w:top w:val="single" w:color="auto" w:sz="4" w:space="0"/>
              <w:left w:val="single" w:color="auto" w:sz="2" w:space="0"/>
              <w:bottom w:val="single" w:color="auto" w:sz="4" w:space="0"/>
              <w:right w:val="single" w:color="auto" w:sz="4" w:space="0"/>
            </w:tcBorders>
            <w:noWrap w:val="0"/>
            <w:vAlign w:val="center"/>
          </w:tcPr>
          <w:p w14:paraId="38B69FC7">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30分</w:t>
            </w:r>
          </w:p>
        </w:tc>
        <w:tc>
          <w:tcPr>
            <w:tcW w:w="3783" w:type="pct"/>
            <w:tcBorders>
              <w:top w:val="single" w:color="auto" w:sz="4" w:space="0"/>
              <w:left w:val="single" w:color="auto" w:sz="2" w:space="0"/>
              <w:bottom w:val="single" w:color="auto" w:sz="4" w:space="0"/>
              <w:right w:val="single" w:color="auto" w:sz="4" w:space="0"/>
            </w:tcBorders>
            <w:noWrap w:val="0"/>
            <w:vAlign w:val="center"/>
          </w:tcPr>
          <w:p w14:paraId="7B2E0658">
            <w:pPr>
              <w:widowControl/>
              <w:spacing w:line="360" w:lineRule="auto"/>
              <w:jc w:val="left"/>
              <w:rPr>
                <w:rFonts w:hint="eastAsia" w:ascii="宋体" w:hAnsi="宋体" w:eastAsia="宋体" w:cs="宋体"/>
                <w:color w:val="auto"/>
                <w:sz w:val="23"/>
                <w:szCs w:val="23"/>
                <w:highlight w:val="none"/>
                <w:lang w:val="en-US" w:eastAsia="zh-CN" w:bidi="ar-SA"/>
              </w:rPr>
            </w:pPr>
            <w:r>
              <w:rPr>
                <w:rStyle w:val="20"/>
                <w:rFonts w:hint="eastAsia" w:ascii="宋体" w:hAnsi="宋体" w:eastAsia="宋体" w:cs="宋体"/>
                <w:color w:val="auto"/>
                <w:sz w:val="23"/>
                <w:szCs w:val="23"/>
                <w:highlight w:val="none"/>
                <w:lang w:val="en-US" w:eastAsia="zh-CN" w:bidi="ar-SA"/>
              </w:rPr>
              <w:t>满足招标文件要求且投标价格最低的投标报价为评标基准价，投标报价得分=（评标基准价／投标报价）×30，计算分数时四舍五入取小数点后两位。</w:t>
            </w:r>
            <w:r>
              <w:rPr>
                <w:rFonts w:hint="eastAsia" w:ascii="宋体" w:hAnsi="宋体" w:eastAsia="宋体" w:cs="宋体"/>
                <w:b/>
                <w:bCs/>
                <w:color w:val="auto"/>
                <w:sz w:val="23"/>
                <w:szCs w:val="23"/>
                <w:highlight w:val="none"/>
                <w:lang w:val="en-US" w:eastAsia="zh-CN" w:bidi="ar"/>
              </w:rPr>
              <w:t>注：对小型和微型企业产品的价格给予20%的扣除，用扣除后的价格参与评审，中小微企业划分标准以工信部、国家统计局、国家发改委、财政部《关于印发中小企业划型标准规定的通知》（工信部联企业{2011}300号）为准。小微企业在投标文件中，须签署《小微企业声明函》，如有虚假，将按照《中华人民共和国政府采购法》第七十七条依法承担响应责任，具体事项详见盐财购{2018}3号文。</w:t>
            </w:r>
          </w:p>
          <w:p w14:paraId="2D7BF403">
            <w:pPr>
              <w:widowControl w:val="0"/>
              <w:ind w:firstLine="480"/>
              <w:jc w:val="both"/>
              <w:rPr>
                <w:rFonts w:hint="eastAsia" w:ascii="宋体" w:hAnsi="宋体" w:eastAsia="宋体" w:cs="宋体"/>
                <w:color w:val="auto"/>
                <w:sz w:val="23"/>
                <w:szCs w:val="23"/>
                <w:highlight w:val="none"/>
                <w:lang w:val="en-US" w:eastAsia="zh-CN" w:bidi="ar"/>
              </w:rPr>
            </w:pPr>
            <w:r>
              <w:rPr>
                <w:rStyle w:val="20"/>
                <w:rFonts w:hint="eastAsia" w:ascii="宋体" w:hAnsi="宋体" w:eastAsia="宋体" w:cs="宋体"/>
                <w:color w:val="auto"/>
                <w:sz w:val="23"/>
                <w:szCs w:val="23"/>
                <w:highlight w:val="none"/>
                <w:lang w:val="en-US" w:eastAsia="zh-CN" w:bidi="ar-SA"/>
              </w:rPr>
              <w:t>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5992E767">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645" w:type="pct"/>
            <w:tcBorders>
              <w:top w:val="single" w:color="auto" w:sz="4" w:space="0"/>
              <w:left w:val="single" w:color="auto" w:sz="2" w:space="0"/>
              <w:right w:val="single" w:color="auto" w:sz="4" w:space="0"/>
            </w:tcBorders>
            <w:noWrap w:val="0"/>
            <w:vAlign w:val="center"/>
          </w:tcPr>
          <w:p w14:paraId="1FCEB4FD">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团队</w:t>
            </w:r>
          </w:p>
          <w:p w14:paraId="7A9FA7D3">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配备</w:t>
            </w:r>
          </w:p>
        </w:tc>
        <w:tc>
          <w:tcPr>
            <w:tcW w:w="570" w:type="pct"/>
            <w:tcBorders>
              <w:top w:val="single" w:color="auto" w:sz="4" w:space="0"/>
              <w:left w:val="single" w:color="auto" w:sz="2" w:space="0"/>
              <w:right w:val="single" w:color="auto" w:sz="4" w:space="0"/>
            </w:tcBorders>
            <w:noWrap w:val="0"/>
            <w:vAlign w:val="center"/>
          </w:tcPr>
          <w:p w14:paraId="54F36915">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10分</w:t>
            </w:r>
          </w:p>
        </w:tc>
        <w:tc>
          <w:tcPr>
            <w:tcW w:w="3783" w:type="pct"/>
            <w:tcBorders>
              <w:top w:val="single" w:color="auto" w:sz="4" w:space="0"/>
              <w:left w:val="single" w:color="auto" w:sz="2" w:space="0"/>
              <w:bottom w:val="single" w:color="auto" w:sz="4" w:space="0"/>
              <w:right w:val="single" w:color="auto" w:sz="4" w:space="0"/>
            </w:tcBorders>
            <w:noWrap w:val="0"/>
            <w:vAlign w:val="center"/>
          </w:tcPr>
          <w:p w14:paraId="1CF338CF">
            <w:pPr>
              <w:widowControl w:val="0"/>
              <w:ind w:firstLine="48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1.投标人至少配备2名专家，具有安全化工类正高级工程师职称的，每提供一人得3分，本项满分6分。</w:t>
            </w:r>
          </w:p>
          <w:p w14:paraId="05965265">
            <w:pPr>
              <w:widowControl w:val="0"/>
              <w:ind w:firstLine="48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2.投标人拟投入服务专家组中，具有注册安全工程师、安全评价师任意一张证书的，每提供一人得2分，本项满分得4分。</w:t>
            </w:r>
          </w:p>
          <w:p w14:paraId="6316E60F">
            <w:pPr>
              <w:widowControl w:val="0"/>
              <w:ind w:firstLine="480"/>
              <w:jc w:val="both"/>
              <w:rPr>
                <w:rFonts w:hint="eastAsia" w:ascii="宋体" w:hAnsi="宋体" w:eastAsia="宋体" w:cs="宋体"/>
                <w:bCs/>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
              </w:rPr>
              <w:t>（1）须保证拟派人员均为本单位的正式职工或签约资深专家，提供专家职称证书、资格证书，并确保从投标截止之日起（不含当月）向前半年任意1个月均已在本单位或原单位缴纳养老保险。投标人须提供养老保险的证明材料扫描件。事业单位不需提供，但需提供人社部门出具的该单位及项目组人员事业性质证明；</w:t>
            </w:r>
            <w:r>
              <w:rPr>
                <w:rFonts w:hint="eastAsia" w:ascii="宋体" w:hAnsi="宋体" w:eastAsia="宋体" w:cs="宋体"/>
                <w:bCs/>
                <w:color w:val="auto"/>
                <w:sz w:val="23"/>
                <w:szCs w:val="23"/>
                <w:highlight w:val="none"/>
                <w:lang w:val="en-US" w:eastAsia="zh-CN" w:bidi="ar-SA"/>
              </w:rPr>
              <w:t>未按要求提供不得分。</w:t>
            </w:r>
          </w:p>
          <w:p w14:paraId="733A3D13">
            <w:pPr>
              <w:widowControl w:val="0"/>
              <w:ind w:firstLine="480"/>
              <w:jc w:val="both"/>
              <w:rPr>
                <w:rFonts w:hint="eastAsia" w:ascii="宋体" w:hAnsi="宋体" w:eastAsia="宋体" w:cs="宋体"/>
                <w:bCs/>
                <w:color w:val="auto"/>
                <w:sz w:val="23"/>
                <w:szCs w:val="23"/>
                <w:highlight w:val="none"/>
                <w:lang w:val="en-US" w:eastAsia="zh-CN" w:bidi="ar-SA"/>
              </w:rPr>
            </w:pPr>
            <w:r>
              <w:rPr>
                <w:rFonts w:hint="eastAsia" w:ascii="宋体" w:hAnsi="宋体" w:eastAsia="宋体" w:cs="宋体"/>
                <w:bCs/>
                <w:color w:val="auto"/>
                <w:sz w:val="23"/>
                <w:szCs w:val="23"/>
                <w:highlight w:val="none"/>
                <w:lang w:val="en-US" w:eastAsia="zh-CN" w:bidi="ar-SA"/>
              </w:rPr>
              <w:t>（2）在投标文件中提供相关证书或证明材料扫描件；未按要求提供不得分。</w:t>
            </w:r>
          </w:p>
        </w:tc>
      </w:tr>
      <w:tr w14:paraId="323F982C">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45" w:type="pct"/>
            <w:tcBorders>
              <w:top w:val="single" w:color="auto" w:sz="4" w:space="0"/>
              <w:left w:val="single" w:color="auto" w:sz="2" w:space="0"/>
              <w:right w:val="single" w:color="auto" w:sz="4" w:space="0"/>
            </w:tcBorders>
            <w:noWrap w:val="0"/>
            <w:vAlign w:val="center"/>
          </w:tcPr>
          <w:p w14:paraId="7BFD93AC">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综合</w:t>
            </w:r>
          </w:p>
          <w:p w14:paraId="1BCE2038">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实力</w:t>
            </w:r>
          </w:p>
        </w:tc>
        <w:tc>
          <w:tcPr>
            <w:tcW w:w="570" w:type="pct"/>
            <w:tcBorders>
              <w:top w:val="single" w:color="auto" w:sz="4" w:space="0"/>
              <w:left w:val="single" w:color="auto" w:sz="2" w:space="0"/>
              <w:right w:val="single" w:color="auto" w:sz="4" w:space="0"/>
            </w:tcBorders>
            <w:noWrap w:val="0"/>
            <w:vAlign w:val="center"/>
          </w:tcPr>
          <w:p w14:paraId="38A6C65D">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4分</w:t>
            </w:r>
          </w:p>
        </w:tc>
        <w:tc>
          <w:tcPr>
            <w:tcW w:w="3783" w:type="pct"/>
            <w:tcBorders>
              <w:top w:val="single" w:color="auto" w:sz="4" w:space="0"/>
              <w:left w:val="single" w:color="auto" w:sz="2" w:space="0"/>
              <w:bottom w:val="single" w:color="auto" w:sz="4" w:space="0"/>
              <w:right w:val="single" w:color="auto" w:sz="4" w:space="0"/>
            </w:tcBorders>
            <w:noWrap w:val="0"/>
            <w:vAlign w:val="center"/>
          </w:tcPr>
          <w:p w14:paraId="43817C2C">
            <w:pPr>
              <w:widowControl w:val="0"/>
              <w:ind w:firstLine="48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投标人自2020年1月1日至今参与过国家标准和行业（石化或化工或安全）标准制修定的，每提供一个得1分，最高4分，本小项满分得4分。</w:t>
            </w:r>
          </w:p>
          <w:p w14:paraId="759D69D4">
            <w:pPr>
              <w:widowControl w:val="0"/>
              <w:ind w:firstLine="48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
              </w:rPr>
              <w:t>注：投标文件中需提供相关证书及证明材料扫描件。</w:t>
            </w:r>
          </w:p>
        </w:tc>
      </w:tr>
      <w:tr w14:paraId="2BE3656D">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645" w:type="pct"/>
            <w:tcBorders>
              <w:top w:val="single" w:color="auto" w:sz="4" w:space="0"/>
              <w:left w:val="single" w:color="auto" w:sz="4" w:space="0"/>
              <w:right w:val="single" w:color="auto" w:sz="4" w:space="0"/>
            </w:tcBorders>
            <w:noWrap w:val="0"/>
            <w:vAlign w:val="center"/>
          </w:tcPr>
          <w:p w14:paraId="36DCD447">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业绩</w:t>
            </w:r>
          </w:p>
          <w:p w14:paraId="7EAD5C7B">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经验</w:t>
            </w:r>
          </w:p>
        </w:tc>
        <w:tc>
          <w:tcPr>
            <w:tcW w:w="570" w:type="pct"/>
            <w:tcBorders>
              <w:top w:val="single" w:color="auto" w:sz="4" w:space="0"/>
              <w:left w:val="single" w:color="auto" w:sz="2" w:space="0"/>
              <w:right w:val="single" w:color="auto" w:sz="4" w:space="0"/>
            </w:tcBorders>
            <w:noWrap w:val="0"/>
            <w:vAlign w:val="center"/>
          </w:tcPr>
          <w:p w14:paraId="1B726D93">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6分</w:t>
            </w:r>
          </w:p>
        </w:tc>
        <w:tc>
          <w:tcPr>
            <w:tcW w:w="3783" w:type="pct"/>
            <w:tcBorders>
              <w:top w:val="single" w:color="auto" w:sz="4" w:space="0"/>
              <w:left w:val="single" w:color="auto" w:sz="2" w:space="0"/>
              <w:bottom w:val="single" w:color="auto" w:sz="4" w:space="0"/>
              <w:right w:val="single" w:color="auto" w:sz="4" w:space="0"/>
            </w:tcBorders>
            <w:noWrap w:val="0"/>
            <w:vAlign w:val="center"/>
          </w:tcPr>
          <w:p w14:paraId="39D17BE5">
            <w:pPr>
              <w:widowControl w:val="0"/>
              <w:ind w:firstLine="48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投标人自2023年1月1日至今，承担省级化工园区常驻化工服务项目合同的，提供一份得1分；承担国家级化工园区常驻化工服务项目合同的，提供一份得3分；本项最多得6分。</w:t>
            </w:r>
          </w:p>
          <w:p w14:paraId="3B89CDDA">
            <w:pPr>
              <w:widowControl w:val="0"/>
              <w:ind w:firstLine="48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注：投标文件中需提供合同证明材料（包括合同首页、服务内容页、签字盖章页）注：投标时需提供合同扫描件，未提供的不得分。</w:t>
            </w:r>
          </w:p>
        </w:tc>
      </w:tr>
      <w:tr w14:paraId="1E9789D5">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645" w:type="pct"/>
            <w:tcBorders>
              <w:top w:val="single" w:color="auto" w:sz="4" w:space="0"/>
              <w:left w:val="single" w:color="auto" w:sz="4" w:space="0"/>
              <w:right w:val="single" w:color="auto" w:sz="4" w:space="0"/>
            </w:tcBorders>
            <w:noWrap w:val="0"/>
            <w:vAlign w:val="center"/>
          </w:tcPr>
          <w:p w14:paraId="53E03E97">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企业</w:t>
            </w:r>
          </w:p>
          <w:p w14:paraId="4CC51C1F">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荣誉</w:t>
            </w:r>
          </w:p>
        </w:tc>
        <w:tc>
          <w:tcPr>
            <w:tcW w:w="570" w:type="pct"/>
            <w:tcBorders>
              <w:top w:val="single" w:color="auto" w:sz="4" w:space="0"/>
              <w:left w:val="single" w:color="auto" w:sz="2" w:space="0"/>
              <w:right w:val="single" w:color="auto" w:sz="4" w:space="0"/>
            </w:tcBorders>
            <w:noWrap w:val="0"/>
            <w:vAlign w:val="center"/>
          </w:tcPr>
          <w:p w14:paraId="77216917">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4分</w:t>
            </w:r>
          </w:p>
        </w:tc>
        <w:tc>
          <w:tcPr>
            <w:tcW w:w="3783" w:type="pct"/>
            <w:tcBorders>
              <w:top w:val="single" w:color="auto" w:sz="4" w:space="0"/>
              <w:left w:val="single" w:color="auto" w:sz="2" w:space="0"/>
              <w:bottom w:val="single" w:color="auto" w:sz="4" w:space="0"/>
              <w:right w:val="single" w:color="auto" w:sz="4" w:space="0"/>
            </w:tcBorders>
            <w:noWrap w:val="0"/>
            <w:vAlign w:val="center"/>
          </w:tcPr>
          <w:p w14:paraId="51A1E091">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投标人受到过与安全生产相关的表彰或奖励的，区县或地级市荣誉的得1分，省级荣誉的得2分，国家级荣誉的得4分，本小项最多得4分。</w:t>
            </w:r>
          </w:p>
          <w:p w14:paraId="25549207">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注：投标文件中需提供相关证书或证明材料扫描件。</w:t>
            </w:r>
          </w:p>
        </w:tc>
      </w:tr>
      <w:tr w14:paraId="1CF2FDD0">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105" w:hRule="atLeast"/>
          <w:jc w:val="center"/>
        </w:trPr>
        <w:tc>
          <w:tcPr>
            <w:tcW w:w="645" w:type="pct"/>
            <w:tcBorders>
              <w:top w:val="single" w:color="auto" w:sz="4" w:space="0"/>
              <w:left w:val="single" w:color="auto" w:sz="4" w:space="0"/>
              <w:bottom w:val="single" w:color="auto" w:sz="4" w:space="0"/>
              <w:right w:val="single" w:color="auto" w:sz="4" w:space="0"/>
            </w:tcBorders>
            <w:noWrap w:val="0"/>
            <w:vAlign w:val="center"/>
          </w:tcPr>
          <w:p w14:paraId="32EAD1AF">
            <w:pPr>
              <w:widowControl w:val="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项目工作方案</w:t>
            </w:r>
          </w:p>
        </w:tc>
        <w:tc>
          <w:tcPr>
            <w:tcW w:w="570" w:type="pct"/>
            <w:tcBorders>
              <w:top w:val="single" w:color="auto" w:sz="4" w:space="0"/>
              <w:left w:val="single" w:color="auto" w:sz="2" w:space="0"/>
              <w:bottom w:val="single" w:color="auto" w:sz="4" w:space="0"/>
              <w:right w:val="single" w:color="auto" w:sz="4" w:space="0"/>
            </w:tcBorders>
            <w:noWrap w:val="0"/>
            <w:vAlign w:val="center"/>
          </w:tcPr>
          <w:p w14:paraId="6AC13F7B">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10分</w:t>
            </w:r>
          </w:p>
        </w:tc>
        <w:tc>
          <w:tcPr>
            <w:tcW w:w="3783" w:type="pct"/>
            <w:tcBorders>
              <w:top w:val="single" w:color="auto" w:sz="4" w:space="0"/>
              <w:left w:val="single" w:color="auto" w:sz="2" w:space="0"/>
              <w:bottom w:val="single" w:color="auto" w:sz="4" w:space="0"/>
              <w:right w:val="single" w:color="auto" w:sz="4" w:space="0"/>
            </w:tcBorders>
            <w:noWrap w:val="0"/>
            <w:vAlign w:val="center"/>
          </w:tcPr>
          <w:p w14:paraId="4809CC31">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针对本项目提出项目实施过程整体服务方案，</w:t>
            </w:r>
            <w:r>
              <w:rPr>
                <w:rFonts w:hint="eastAsia" w:ascii="宋体" w:hAnsi="宋体" w:eastAsia="宋体" w:cs="宋体"/>
                <w:color w:val="auto"/>
                <w:sz w:val="23"/>
                <w:szCs w:val="23"/>
                <w:highlight w:val="none"/>
                <w:lang w:val="en-US" w:eastAsia="zh-Hans" w:bidi="ar-SA"/>
              </w:rPr>
              <w:t>方案包括但不限于</w:t>
            </w:r>
            <w:r>
              <w:rPr>
                <w:rFonts w:hint="eastAsia" w:ascii="宋体" w:hAnsi="宋体" w:eastAsia="宋体" w:cs="宋体"/>
                <w:color w:val="auto"/>
                <w:sz w:val="23"/>
                <w:szCs w:val="23"/>
                <w:highlight w:val="none"/>
                <w:lang w:val="en-US" w:eastAsia="zh-CN" w:bidi="ar-SA"/>
              </w:rPr>
              <w:t>项目理解、服务</w:t>
            </w:r>
            <w:r>
              <w:rPr>
                <w:rFonts w:hint="eastAsia" w:ascii="宋体" w:hAnsi="宋体" w:eastAsia="宋体" w:cs="宋体"/>
                <w:color w:val="auto"/>
                <w:sz w:val="23"/>
                <w:szCs w:val="23"/>
                <w:highlight w:val="none"/>
                <w:lang w:val="en-US" w:eastAsia="zh-Hans" w:bidi="ar-SA"/>
              </w:rPr>
              <w:t>内容、标准、流程、方法等</w:t>
            </w:r>
            <w:r>
              <w:rPr>
                <w:rFonts w:hint="eastAsia" w:ascii="宋体" w:hAnsi="宋体" w:eastAsia="宋体" w:cs="宋体"/>
                <w:color w:val="auto"/>
                <w:sz w:val="23"/>
                <w:szCs w:val="23"/>
                <w:highlight w:val="none"/>
                <w:lang w:val="en-US" w:eastAsia="zh-CN" w:bidi="ar-SA"/>
              </w:rPr>
              <w:t>。</w:t>
            </w:r>
          </w:p>
          <w:p w14:paraId="0178327D">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1.对项目定位、园区产业特点、企业核心痛点理解深刻，服务内容完全贴合园区企业实际需求，服务标准量化可考核，全流程节点清晰，得10分；</w:t>
            </w:r>
          </w:p>
          <w:p w14:paraId="7A999FFC">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2.对项目整体定位理解较深刻，服务方案内容较详细，工作分解覆盖核心环节，服务流程基本完整，得7分；</w:t>
            </w:r>
          </w:p>
          <w:p w14:paraId="64617840">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3.对项目理解停留在通用层面，未结合本园区场景，服务方案内容基本齐全，仅罗列常规服务流程和通用方法，得4分。</w:t>
            </w:r>
          </w:p>
          <w:p w14:paraId="6CA2418E">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4.未提供方案的不得分。</w:t>
            </w:r>
          </w:p>
        </w:tc>
      </w:tr>
      <w:tr w14:paraId="4B6C9A73">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105" w:hRule="atLeast"/>
          <w:jc w:val="center"/>
        </w:trPr>
        <w:tc>
          <w:tcPr>
            <w:tcW w:w="645" w:type="pct"/>
            <w:tcBorders>
              <w:top w:val="single" w:color="auto" w:sz="4" w:space="0"/>
              <w:left w:val="single" w:color="auto" w:sz="4" w:space="0"/>
              <w:bottom w:val="single" w:color="auto" w:sz="4" w:space="0"/>
              <w:right w:val="single" w:color="auto" w:sz="4" w:space="0"/>
            </w:tcBorders>
            <w:noWrap w:val="0"/>
            <w:vAlign w:val="center"/>
          </w:tcPr>
          <w:p w14:paraId="0DF151E2">
            <w:pPr>
              <w:widowControl w:val="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项目进度计划及保障措施</w:t>
            </w:r>
          </w:p>
        </w:tc>
        <w:tc>
          <w:tcPr>
            <w:tcW w:w="570" w:type="pct"/>
            <w:tcBorders>
              <w:top w:val="single" w:color="auto" w:sz="4" w:space="0"/>
              <w:left w:val="single" w:color="auto" w:sz="2" w:space="0"/>
              <w:bottom w:val="single" w:color="auto" w:sz="4" w:space="0"/>
              <w:right w:val="single" w:color="auto" w:sz="4" w:space="0"/>
            </w:tcBorders>
            <w:noWrap w:val="0"/>
            <w:vAlign w:val="center"/>
          </w:tcPr>
          <w:p w14:paraId="009B398C">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10分</w:t>
            </w:r>
          </w:p>
        </w:tc>
        <w:tc>
          <w:tcPr>
            <w:tcW w:w="3783" w:type="pct"/>
            <w:tcBorders>
              <w:top w:val="single" w:color="auto" w:sz="4" w:space="0"/>
              <w:left w:val="single" w:color="auto" w:sz="2" w:space="0"/>
              <w:bottom w:val="single" w:color="auto" w:sz="4" w:space="0"/>
              <w:right w:val="single" w:color="auto" w:sz="4" w:space="0"/>
            </w:tcBorders>
            <w:noWrap w:val="0"/>
            <w:vAlign w:val="center"/>
          </w:tcPr>
          <w:p w14:paraId="5F34DD2C">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投标人针对本项目提供的进度计划及保障措施。</w:t>
            </w:r>
          </w:p>
          <w:p w14:paraId="2EB6054D">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1.进度节点完全匹配采购人要求的服务周期，关键路径清晰，配套驻场人员配置、突发服务需求响应预案等保障措施具体可落地，整体进度可完全覆盖，得10分；</w:t>
            </w:r>
          </w:p>
          <w:p w14:paraId="64287325">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2.核心服务节点符合采购人的周期要求，基础保障措施齐全，覆盖常规第三方服务场景，仅非核心环节的细节安排待补充，整体服务进度可控，得7分；</w:t>
            </w:r>
          </w:p>
          <w:p w14:paraId="2BA8D114">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3.进度节点仅笼统划分大的服务阶段，未拆解到具体节点，保障措施仅罗列通用第三方服务条款，无针对性人员、协同配置方案，仅能覆盖基础服务要求，得4分；</w:t>
            </w:r>
          </w:p>
          <w:p w14:paraId="7A241B23">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4.未提供方案的不得分。</w:t>
            </w:r>
          </w:p>
        </w:tc>
      </w:tr>
      <w:tr w14:paraId="7FA585CD">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105" w:hRule="atLeast"/>
          <w:jc w:val="center"/>
        </w:trPr>
        <w:tc>
          <w:tcPr>
            <w:tcW w:w="645" w:type="pct"/>
            <w:tcBorders>
              <w:top w:val="single" w:color="auto" w:sz="4" w:space="0"/>
              <w:left w:val="single" w:color="auto" w:sz="4" w:space="0"/>
              <w:bottom w:val="single" w:color="auto" w:sz="4" w:space="0"/>
              <w:right w:val="single" w:color="auto" w:sz="4" w:space="0"/>
            </w:tcBorders>
            <w:noWrap w:val="0"/>
            <w:vAlign w:val="center"/>
          </w:tcPr>
          <w:p w14:paraId="37716880">
            <w:pPr>
              <w:widowControl w:val="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rPr>
              <w:t>服务</w:t>
            </w:r>
            <w:r>
              <w:rPr>
                <w:rFonts w:hint="eastAsia" w:ascii="宋体" w:hAnsi="宋体" w:eastAsia="宋体" w:cs="宋体"/>
                <w:color w:val="auto"/>
                <w:sz w:val="23"/>
                <w:szCs w:val="23"/>
                <w:highlight w:val="none"/>
                <w:lang w:val="zh-CN" w:eastAsia="zh-CN"/>
              </w:rPr>
              <w:t>质量保证措施</w:t>
            </w:r>
          </w:p>
        </w:tc>
        <w:tc>
          <w:tcPr>
            <w:tcW w:w="570" w:type="pct"/>
            <w:tcBorders>
              <w:top w:val="single" w:color="auto" w:sz="4" w:space="0"/>
              <w:left w:val="single" w:color="auto" w:sz="2" w:space="0"/>
              <w:bottom w:val="single" w:color="auto" w:sz="4" w:space="0"/>
              <w:right w:val="single" w:color="auto" w:sz="4" w:space="0"/>
            </w:tcBorders>
            <w:noWrap w:val="0"/>
            <w:vAlign w:val="center"/>
          </w:tcPr>
          <w:p w14:paraId="06B78FC1">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10分</w:t>
            </w:r>
          </w:p>
        </w:tc>
        <w:tc>
          <w:tcPr>
            <w:tcW w:w="3783" w:type="pct"/>
            <w:tcBorders>
              <w:top w:val="single" w:color="auto" w:sz="4" w:space="0"/>
              <w:left w:val="single" w:color="auto" w:sz="2" w:space="0"/>
              <w:bottom w:val="single" w:color="auto" w:sz="4" w:space="0"/>
              <w:right w:val="single" w:color="auto" w:sz="4" w:space="0"/>
            </w:tcBorders>
            <w:noWrap w:val="0"/>
            <w:vAlign w:val="center"/>
          </w:tcPr>
          <w:p w14:paraId="6DFE9628">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根据对项目的质量保证措施的合理性、全面性、对本项目的现场情况掌握充分、关键技术问题把握等方面进行 综合打分。</w:t>
            </w:r>
          </w:p>
          <w:p w14:paraId="06E63346">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1.措施覆盖全流程，精准匹配项目现场实际情况，关键技术问题有专属针对性解决方案，预期成效显著，得10分；</w:t>
            </w:r>
          </w:p>
          <w:p w14:paraId="6704D6A0">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2.核心质量管控环节齐全，对项目现场有基本掌握，关键技术问题有常规应对方案，可保障项目达标，得7分；</w:t>
            </w:r>
          </w:p>
          <w:p w14:paraId="1B75F24B">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3.未结合本项目现场特点，关键技术问题无针对性内容，仅能满足基础合规要求，得 4分；</w:t>
            </w:r>
          </w:p>
          <w:p w14:paraId="51DA1B81">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4.未提供方案的不得分。</w:t>
            </w:r>
          </w:p>
        </w:tc>
      </w:tr>
      <w:tr w14:paraId="2F8EB568">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105" w:hRule="atLeast"/>
          <w:jc w:val="center"/>
        </w:trPr>
        <w:tc>
          <w:tcPr>
            <w:tcW w:w="645" w:type="pct"/>
            <w:tcBorders>
              <w:top w:val="single" w:color="auto" w:sz="4" w:space="0"/>
              <w:left w:val="single" w:color="auto" w:sz="4" w:space="0"/>
              <w:bottom w:val="single" w:color="auto" w:sz="4" w:space="0"/>
              <w:right w:val="single" w:color="auto" w:sz="4" w:space="0"/>
            </w:tcBorders>
            <w:noWrap w:val="0"/>
            <w:vAlign w:val="center"/>
          </w:tcPr>
          <w:p w14:paraId="7587FD89">
            <w:pPr>
              <w:widowControl w:val="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内部建制和管理状况</w:t>
            </w:r>
          </w:p>
        </w:tc>
        <w:tc>
          <w:tcPr>
            <w:tcW w:w="570" w:type="pct"/>
            <w:tcBorders>
              <w:top w:val="single" w:color="auto" w:sz="4" w:space="0"/>
              <w:left w:val="single" w:color="auto" w:sz="2" w:space="0"/>
              <w:bottom w:val="single" w:color="auto" w:sz="4" w:space="0"/>
              <w:right w:val="single" w:color="auto" w:sz="4" w:space="0"/>
            </w:tcBorders>
            <w:noWrap w:val="0"/>
            <w:vAlign w:val="center"/>
          </w:tcPr>
          <w:p w14:paraId="201D414E">
            <w:pPr>
              <w:widowControl w:val="0"/>
              <w:jc w:val="center"/>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rPr>
              <w:t>8分</w:t>
            </w:r>
          </w:p>
        </w:tc>
        <w:tc>
          <w:tcPr>
            <w:tcW w:w="3783" w:type="pct"/>
            <w:tcBorders>
              <w:top w:val="single" w:color="auto" w:sz="4" w:space="0"/>
              <w:left w:val="single" w:color="auto" w:sz="2" w:space="0"/>
              <w:bottom w:val="single" w:color="auto" w:sz="4" w:space="0"/>
              <w:right w:val="single" w:color="auto" w:sz="4" w:space="0"/>
            </w:tcBorders>
            <w:noWrap w:val="0"/>
            <w:vAlign w:val="center"/>
          </w:tcPr>
          <w:p w14:paraId="0D884CB7">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投标人内部建制和管理状况，包括企业内部组织机构图、企业内部工作流程图、企业内部质量控制制度、企业内部业务档案管理制度、企业内部人事管理制度等。</w:t>
            </w:r>
          </w:p>
          <w:p w14:paraId="0BEA27C8">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1.提供完整清晰的企业内部组织机构图、全流程内部工作流程图，且质量控制、业务档案、人事三类核心制度齐全，所有制度条款贴合项目实际，权责划分明确，可直接落地执行得8分；</w:t>
            </w:r>
          </w:p>
          <w:p w14:paraId="10F0A7E4">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2.组织机构图、工作流程图要素完整，三类核心制度均已提供，仅部分条款表述偏笼统，细节完善度不足，整体可支撑项目正常开展得的5分；</w:t>
            </w:r>
          </w:p>
          <w:p w14:paraId="1D7224C4">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3.仅提供零散的制度片段，组织机构图/工作流程图要素不全，部分核心制度缺失，条款多为通用模板内容得2分；</w:t>
            </w:r>
          </w:p>
          <w:p w14:paraId="4219745B">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4.未提供方案的不得分。</w:t>
            </w:r>
          </w:p>
        </w:tc>
      </w:tr>
      <w:tr w14:paraId="52570F0D">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105" w:hRule="atLeast"/>
          <w:jc w:val="center"/>
        </w:trPr>
        <w:tc>
          <w:tcPr>
            <w:tcW w:w="645" w:type="pct"/>
            <w:tcBorders>
              <w:top w:val="single" w:color="auto" w:sz="4" w:space="0"/>
              <w:left w:val="single" w:color="auto" w:sz="4" w:space="0"/>
              <w:bottom w:val="single" w:color="auto" w:sz="4" w:space="0"/>
              <w:right w:val="single" w:color="auto" w:sz="4" w:space="0"/>
            </w:tcBorders>
            <w:noWrap w:val="0"/>
            <w:vAlign w:val="center"/>
          </w:tcPr>
          <w:p w14:paraId="3023A026">
            <w:pPr>
              <w:widowControl w:val="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服务质量提升辅助措施</w:t>
            </w:r>
          </w:p>
        </w:tc>
        <w:tc>
          <w:tcPr>
            <w:tcW w:w="570" w:type="pct"/>
            <w:tcBorders>
              <w:top w:val="single" w:color="auto" w:sz="4" w:space="0"/>
              <w:left w:val="single" w:color="auto" w:sz="2" w:space="0"/>
              <w:bottom w:val="single" w:color="auto" w:sz="4" w:space="0"/>
              <w:right w:val="single" w:color="auto" w:sz="4" w:space="0"/>
            </w:tcBorders>
            <w:noWrap w:val="0"/>
            <w:vAlign w:val="center"/>
          </w:tcPr>
          <w:p w14:paraId="3F27A68D">
            <w:pPr>
              <w:widowControl w:val="0"/>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7分</w:t>
            </w:r>
          </w:p>
        </w:tc>
        <w:tc>
          <w:tcPr>
            <w:tcW w:w="3783" w:type="pct"/>
            <w:tcBorders>
              <w:top w:val="single" w:color="auto" w:sz="4" w:space="0"/>
              <w:left w:val="single" w:color="auto" w:sz="2" w:space="0"/>
              <w:bottom w:val="single" w:color="auto" w:sz="4" w:space="0"/>
              <w:right w:val="single" w:color="auto" w:sz="4" w:space="0"/>
            </w:tcBorders>
            <w:noWrap w:val="0"/>
            <w:vAlign w:val="center"/>
          </w:tcPr>
          <w:p w14:paraId="4E71CA11">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为了确保服务过程中质量，提供投标人自主的安全教育培训平台、HAZOP分析培训教程、工艺报警管理系统、设备完好性管理系统、特殊作业管理系统等，用来辅助服务项目质量提升。</w:t>
            </w:r>
          </w:p>
          <w:p w14:paraId="51CDFFDD">
            <w:pPr>
              <w:widowControl w:val="0"/>
              <w:ind w:firstLine="460" w:firstLineChars="20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每提供一项得1分，得满7分为止。</w:t>
            </w:r>
          </w:p>
        </w:tc>
      </w:tr>
      <w:tr w14:paraId="29ECD699">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108" w:type="dxa"/>
            <w:bottom w:w="0" w:type="dxa"/>
            <w:right w:w="108" w:type="dxa"/>
          </w:tblCellMar>
        </w:tblPrEx>
        <w:trPr>
          <w:trHeight w:val="105" w:hRule="atLeast"/>
          <w:jc w:val="center"/>
        </w:trPr>
        <w:tc>
          <w:tcPr>
            <w:tcW w:w="645" w:type="pct"/>
            <w:tcBorders>
              <w:top w:val="single" w:color="auto" w:sz="4" w:space="0"/>
              <w:left w:val="single" w:color="auto" w:sz="4" w:space="0"/>
              <w:bottom w:val="single" w:color="auto" w:sz="4" w:space="0"/>
              <w:right w:val="single" w:color="auto" w:sz="4" w:space="0"/>
            </w:tcBorders>
            <w:noWrap w:val="0"/>
            <w:vAlign w:val="center"/>
          </w:tcPr>
          <w:p w14:paraId="308DB247">
            <w:pPr>
              <w:widowControl w:val="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供应商承诺书</w:t>
            </w:r>
          </w:p>
        </w:tc>
        <w:tc>
          <w:tcPr>
            <w:tcW w:w="570" w:type="pct"/>
            <w:tcBorders>
              <w:top w:val="single" w:color="auto" w:sz="4" w:space="0"/>
              <w:left w:val="single" w:color="auto" w:sz="2" w:space="0"/>
              <w:bottom w:val="single" w:color="auto" w:sz="4" w:space="0"/>
              <w:right w:val="single" w:color="auto" w:sz="4" w:space="0"/>
            </w:tcBorders>
            <w:noWrap w:val="0"/>
            <w:vAlign w:val="center"/>
          </w:tcPr>
          <w:p w14:paraId="2AA2A74B">
            <w:pPr>
              <w:widowControl w:val="0"/>
              <w:ind w:firstLine="230" w:firstLineChars="100"/>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1分</w:t>
            </w:r>
          </w:p>
        </w:tc>
        <w:tc>
          <w:tcPr>
            <w:tcW w:w="3783" w:type="pct"/>
            <w:tcBorders>
              <w:top w:val="single" w:color="auto" w:sz="4" w:space="0"/>
              <w:left w:val="single" w:color="auto" w:sz="2" w:space="0"/>
              <w:bottom w:val="single" w:color="auto" w:sz="4" w:space="0"/>
              <w:right w:val="single" w:color="auto" w:sz="4" w:space="0"/>
            </w:tcBorders>
            <w:noWrap w:val="0"/>
            <w:vAlign w:val="center"/>
          </w:tcPr>
          <w:p w14:paraId="6F16CFFC">
            <w:pPr>
              <w:widowControl w:val="0"/>
              <w:jc w:val="both"/>
              <w:rPr>
                <w:rFonts w:hint="eastAsia" w:ascii="宋体" w:hAnsi="宋体" w:eastAsia="宋体" w:cs="宋体"/>
                <w:color w:val="auto"/>
                <w:sz w:val="23"/>
                <w:szCs w:val="23"/>
                <w:highlight w:val="none"/>
                <w:lang w:val="en-US" w:eastAsia="zh-CN" w:bidi="ar-SA"/>
              </w:rPr>
            </w:pPr>
            <w:r>
              <w:rPr>
                <w:rFonts w:hint="eastAsia" w:ascii="宋体" w:hAnsi="宋体" w:eastAsia="宋体" w:cs="宋体"/>
                <w:color w:val="auto"/>
                <w:sz w:val="23"/>
                <w:szCs w:val="23"/>
                <w:highlight w:val="none"/>
                <w:lang w:val="en-US" w:eastAsia="zh-CN" w:bidi="ar-SA"/>
              </w:rPr>
              <w:t>提供签署并盖章的盐城市政府采购事前信用承诺书，得1分。</w:t>
            </w:r>
          </w:p>
        </w:tc>
      </w:tr>
    </w:tbl>
    <w:p w14:paraId="153ECDAA">
      <w:pPr>
        <w:spacing w:line="360" w:lineRule="auto"/>
        <w:rPr>
          <w:rFonts w:hint="eastAsia" w:ascii="宋体" w:hAnsi="宋体" w:cs="Courier New"/>
          <w:b/>
          <w:bCs/>
          <w:color w:val="auto"/>
          <w:sz w:val="24"/>
          <w:szCs w:val="24"/>
          <w:highlight w:val="none"/>
        </w:rPr>
      </w:pPr>
    </w:p>
    <w:p w14:paraId="4CA170F7">
      <w:pPr>
        <w:widowControl/>
        <w:spacing w:line="360" w:lineRule="exact"/>
        <w:ind w:firstLine="24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3.3异常低价审查</w:t>
      </w:r>
    </w:p>
    <w:p w14:paraId="07D4FB9B">
      <w:pPr>
        <w:widowControl/>
        <w:spacing w:line="36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（一）评审过程中出现下列情形之一的，评审委员会应当启动异常低价投标（响应）审查程序：</w:t>
      </w:r>
    </w:p>
    <w:p w14:paraId="4AF5C8E2">
      <w:pPr>
        <w:widowControl/>
        <w:spacing w:line="36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1.投标（响应）报价低于采购项目预算50%的，即投标（响应）报价&lt;采购项目预算×50%；</w:t>
      </w:r>
    </w:p>
    <w:p w14:paraId="11F1ACCD">
      <w:pPr>
        <w:widowControl/>
        <w:spacing w:line="36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2.投标（响应）报价低于采购项目最高限价45%的，即投标（响应）报价&lt;采购项目最高限价×45%；</w:t>
      </w:r>
    </w:p>
    <w:p w14:paraId="374BCB6B">
      <w:pPr>
        <w:widowControl/>
        <w:spacing w:line="36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Times New Roman" w:hAnsi="Times New Roman" w:cs="宋体"/>
          <w:color w:val="auto"/>
          <w:sz w:val="24"/>
          <w:szCs w:val="24"/>
          <w:highlight w:val="none"/>
        </w:rPr>
        <w:t>.</w:t>
      </w:r>
      <w:r>
        <w:rPr>
          <w:rFonts w:hint="eastAsia" w:ascii="宋体" w:hAnsi="宋体" w:cs="宋体"/>
          <w:color w:val="auto"/>
          <w:sz w:val="24"/>
          <w:szCs w:val="24"/>
          <w:highlight w:val="none"/>
        </w:rPr>
        <w:t>评审委员会认定的供应商报价过低、有可能影响产品质量或者不能诚信履约的其他情形。</w:t>
      </w:r>
    </w:p>
    <w:p w14:paraId="30E2B03F">
      <w:pPr>
        <w:widowControl/>
        <w:spacing w:line="360" w:lineRule="exact"/>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响应）供应商不提供书面说明、证明材料，或者提供的书面说明、证明材料不能证明其报价合理性的，评审委员会应当将其作为无效投标（响应）处理。审查相关情况 应当在评审报告中进行记录。</w:t>
      </w:r>
    </w:p>
    <w:p w14:paraId="3D5D58E4">
      <w:pPr>
        <w:pStyle w:val="21"/>
        <w:spacing w:line="360" w:lineRule="auto"/>
        <w:rPr>
          <w:color w:val="auto"/>
          <w:highlight w:val="none"/>
        </w:rPr>
      </w:pPr>
    </w:p>
    <w:p w14:paraId="7F35FCEF">
      <w:pPr>
        <w:spacing w:line="360" w:lineRule="auto"/>
        <w:ind w:firstLine="442"/>
        <w:rPr>
          <w:rFonts w:hint="eastAsia" w:ascii="宋体" w:hAnsi="宋体" w:cs="宋体"/>
          <w:color w:val="auto"/>
          <w:sz w:val="22"/>
          <w:szCs w:val="22"/>
          <w:highlight w:val="none"/>
        </w:rPr>
      </w:pPr>
      <w:r>
        <w:rPr>
          <w:rFonts w:hint="eastAsia" w:ascii="宋体" w:hAnsi="宋体" w:cs="宋体"/>
          <w:b/>
          <w:bCs/>
          <w:color w:val="auto"/>
          <w:sz w:val="22"/>
          <w:szCs w:val="22"/>
          <w:highlight w:val="none"/>
        </w:rPr>
        <w:t>四、评标程序</w:t>
      </w:r>
    </w:p>
    <w:p w14:paraId="12A7F30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4.1 评标准备</w:t>
      </w:r>
    </w:p>
    <w:p w14:paraId="6950453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4.1.1 评标委员会成员到达评标现场时应在签到表上签到（或通过门禁系统签到）以证明其出席。</w:t>
      </w:r>
    </w:p>
    <w:p w14:paraId="12D85DA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4.1.2 评标委员会成员首先推选一名评标委员会负责人，负责评标活动的组织领导工作。</w:t>
      </w:r>
    </w:p>
    <w:p w14:paraId="7375F42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4.1.3 招标人或招标代理机构应向评标委员会提供评标所需的信息和数据。评标委员会负责人应组织评标委员会成员认真研究招标文件，未在招标文件中规定的标准和方法不得作为评标的依据。</w:t>
      </w:r>
    </w:p>
    <w:p w14:paraId="505D758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4.2 初步评审</w:t>
      </w:r>
    </w:p>
    <w:p w14:paraId="7D5306F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4.2.1评标委员会依据本章第2.1 款规定的标准对投标文件进行初步评审。</w:t>
      </w:r>
    </w:p>
    <w:p w14:paraId="3C1A60F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4.2.2投标文件不符合本章第2.1款评审标准的，属于重大偏差，视为未能对招标文件作出实质性响应，应当作为无效投标予以否决。</w:t>
      </w:r>
    </w:p>
    <w:p w14:paraId="7E862E4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4.2.3对照投标人须知6.4款，投标文件有上述情况之一，视为未能对招标文件作出实质性响应，凡招标文件未明确标明无效标条款的，评标委员会不得作为判定无效投标的依据。</w:t>
      </w:r>
    </w:p>
    <w:p w14:paraId="365791A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4.2.4 投标报价有算术错误的，评标委员会按以下原则对投标报价进行修正，修正的价格经投标人书面确认后具有约束力。</w:t>
      </w:r>
    </w:p>
    <w:p w14:paraId="38AA65C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(1）投标文件中的大写金额与小写金额不一致的，以大写金额为准；</w:t>
      </w:r>
    </w:p>
    <w:p w14:paraId="4E45826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(2）总价金额与依据单价计算出的结果不一致的，以单价金额为准修正总价，但单价金额小数点有明显错误的除外。</w:t>
      </w:r>
    </w:p>
    <w:p w14:paraId="0EEA8B7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4.2.5只有通过初步评审的投标文件才能进入详细评审。</w:t>
      </w:r>
    </w:p>
    <w:p w14:paraId="227273F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4.3 详细评审</w:t>
      </w:r>
    </w:p>
    <w:p w14:paraId="63A2930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4.3.1 在详细评审发现符合“无效标书条款”的，应当作为无效投标予以否决，其投标报价亦不作为评标基准价的依据。</w:t>
      </w:r>
    </w:p>
    <w:p w14:paraId="23B0CEF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4.3.2 评标委员会按本章第2.2款规定的量化因素和分值进行打分，并计算出综合评估得分。</w:t>
      </w:r>
    </w:p>
    <w:p w14:paraId="3BD4FAD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4.3.3 评分分值计算保留小数点后两位，小数点后第三位“四舍五入”。</w:t>
      </w:r>
    </w:p>
    <w:p w14:paraId="4061890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4.4 投标文件的澄清和补正</w:t>
      </w:r>
    </w:p>
    <w:p w14:paraId="185FE8A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4.4.1 在评标过程中，评标委员会可以书面形式要求投标人对所提交投标文件中不明确的内容进行书面澄清或说明，或者对细微偏差进行补正。评标委员会不接受投标人主动提出的澄清、说明或补正。</w:t>
      </w:r>
    </w:p>
    <w:p w14:paraId="3A2D54B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4.4.2 澄清、说明和补正不得改变投标文件的实质性内容（算术性错误修正的除外）。投标人的书面澄清、说明和补正属于投标文件的组成部分。</w:t>
      </w:r>
    </w:p>
    <w:p w14:paraId="3E8CCBD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4.4.3 评标委员会对投标人提交的澄清、说明或补正有疑问的，可以要求投标人进一步澄清、说明或补正。</w:t>
      </w:r>
    </w:p>
    <w:p w14:paraId="1C8D745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4.5 推荐中标候选人或直接确定中标人</w:t>
      </w:r>
    </w:p>
    <w:p w14:paraId="045BD34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4.5.1 除投标人须知前附表授权直接确定中标人外，评标委员会在推荐中标候选人时，应遵照以下原则:</w:t>
      </w:r>
    </w:p>
    <w:p w14:paraId="2CA2D3F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评标委员会按照最终得分由高至低的次序排列，并根据投标人须知前附表规定的中标候选人数量，将排序在前的投标人推荐为中标候选人。</w:t>
      </w:r>
    </w:p>
    <w:p w14:paraId="3D33CBC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4.6 提交评标报告 </w:t>
      </w:r>
    </w:p>
    <w:p w14:paraId="1C7180F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评标委员会完成评标后，应当向招标人提交书面评标报告。评标报告应当由全体评标委员会成员签字，并于评标结束时抄送有关行政监督部门。</w:t>
      </w:r>
    </w:p>
    <w:p w14:paraId="5D880D8A">
      <w:pPr>
        <w:pStyle w:val="22"/>
        <w:rPr>
          <w:rFonts w:ascii="Times New Roman" w:hAnsi="Times New Roman" w:cs="Times New Roman"/>
          <w:color w:val="auto"/>
          <w:highlight w:val="none"/>
        </w:rPr>
      </w:pPr>
    </w:p>
    <w:p w14:paraId="6B3BCB40">
      <w:pPr>
        <w:pageBreakBefore/>
        <w:spacing w:line="520" w:lineRule="exact"/>
        <w:jc w:val="center"/>
        <w:outlineLvl w:val="0"/>
        <w:rPr>
          <w:rFonts w:ascii="Times New Roman" w:hAnsi="Times New Roman" w:cs="Times New Roman"/>
          <w:b/>
          <w:color w:val="auto"/>
          <w:sz w:val="44"/>
          <w:szCs w:val="44"/>
          <w:highlight w:val="none"/>
        </w:rPr>
      </w:pPr>
      <w:bookmarkStart w:id="169" w:name="_Toc120614282"/>
      <w:bookmarkStart w:id="170" w:name="_Toc513029243"/>
      <w:bookmarkStart w:id="171" w:name="_Toc6648"/>
      <w:bookmarkStart w:id="172" w:name="_Toc10540"/>
      <w:bookmarkStart w:id="173" w:name="_Toc26554094"/>
      <w:bookmarkStart w:id="174" w:name="_Toc16938559"/>
      <w:bookmarkStart w:id="175" w:name="_Toc49090576"/>
      <w:bookmarkStart w:id="176" w:name="_Toc20823315"/>
      <w:bookmarkStart w:id="177" w:name="_Toc15858"/>
      <w:r>
        <w:rPr>
          <w:rFonts w:hint="eastAsia" w:ascii="Times New Roman" w:hAnsi="Times New Roman" w:cs="Times New Roman"/>
          <w:b/>
          <w:color w:val="auto"/>
          <w:sz w:val="44"/>
          <w:szCs w:val="44"/>
          <w:highlight w:val="none"/>
        </w:rPr>
        <w:t>第五章 合同主要条款</w:t>
      </w:r>
      <w:bookmarkEnd w:id="164"/>
      <w:bookmarkEnd w:id="165"/>
      <w:bookmarkEnd w:id="169"/>
      <w:bookmarkEnd w:id="170"/>
      <w:bookmarkEnd w:id="171"/>
      <w:bookmarkEnd w:id="172"/>
      <w:bookmarkEnd w:id="173"/>
      <w:bookmarkEnd w:id="174"/>
      <w:bookmarkEnd w:id="175"/>
      <w:bookmarkEnd w:id="176"/>
      <w:bookmarkEnd w:id="177"/>
    </w:p>
    <w:p w14:paraId="53F4B38E">
      <w:pPr>
        <w:spacing w:line="360" w:lineRule="auto"/>
        <w:rPr>
          <w:rFonts w:hint="eastAsia" w:ascii="宋体" w:hAnsi="宋体" w:cs="宋体"/>
          <w:color w:val="auto"/>
          <w:sz w:val="24"/>
          <w:szCs w:val="24"/>
          <w:highlight w:val="none"/>
          <w:lang w:bidi="ar"/>
        </w:rPr>
      </w:pPr>
    </w:p>
    <w:p w14:paraId="15C9A855">
      <w:pPr>
        <w:spacing w:line="360" w:lineRule="auto"/>
        <w:ind w:firstLine="220"/>
        <w:rPr>
          <w:rFonts w:hint="eastAsia" w:ascii="宋体" w:hAnsi="宋体" w:cs="Times New Roman"/>
          <w:color w:val="auto"/>
          <w:sz w:val="24"/>
          <w:szCs w:val="24"/>
          <w:highlight w:val="none"/>
          <w:u w:val="single"/>
        </w:rPr>
      </w:pPr>
      <w:bookmarkStart w:id="178" w:name="_Toc31592"/>
      <w:bookmarkStart w:id="179" w:name="_Toc25681"/>
      <w:bookmarkStart w:id="180" w:name="_Toc32002"/>
      <w:r>
        <w:rPr>
          <w:rFonts w:hint="eastAsia" w:ascii="宋体" w:hAnsi="宋体" w:cs="宋体"/>
          <w:color w:val="auto"/>
          <w:sz w:val="24"/>
          <w:szCs w:val="24"/>
          <w:highlight w:val="none"/>
        </w:rPr>
        <w:t>项目名称：</w:t>
      </w:r>
      <w:r>
        <w:rPr>
          <w:rFonts w:hint="eastAsia" w:ascii="宋体" w:hAnsi="宋体" w:cs="宋体"/>
          <w:color w:val="auto"/>
          <w:sz w:val="24"/>
          <w:szCs w:val="24"/>
          <w:highlight w:val="none"/>
          <w:u w:val="single"/>
        </w:rPr>
        <w:t xml:space="preserve">                        </w:t>
      </w:r>
    </w:p>
    <w:p w14:paraId="251BA66E">
      <w:pPr>
        <w:spacing w:line="360" w:lineRule="auto"/>
        <w:ind w:firstLine="220"/>
        <w:rPr>
          <w:rFonts w:hint="eastAsia" w:ascii="宋体" w:hAnsi="宋体" w:cs="宋体"/>
          <w:color w:val="auto"/>
          <w:sz w:val="24"/>
          <w:szCs w:val="24"/>
          <w:highlight w:val="none"/>
        </w:rPr>
      </w:pPr>
      <w:r>
        <w:rPr>
          <w:rFonts w:hint="eastAsia" w:ascii="宋体" w:hAnsi="宋体" w:cs="宋体"/>
          <w:color w:val="auto"/>
          <w:sz w:val="24"/>
          <w:szCs w:val="24"/>
          <w:highlight w:val="none"/>
        </w:rPr>
        <w:t>甲方：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w:t>
      </w:r>
    </w:p>
    <w:p w14:paraId="785F096D">
      <w:pPr>
        <w:spacing w:line="360" w:lineRule="auto"/>
        <w:ind w:firstLine="220"/>
        <w:rPr>
          <w:rFonts w:hint="eastAsia" w:ascii="宋体" w:hAnsi="宋体" w:cs="Times New Roman"/>
          <w:bCs/>
          <w:color w:val="auto"/>
          <w:sz w:val="24"/>
          <w:szCs w:val="24"/>
          <w:highlight w:val="none"/>
        </w:rPr>
      </w:pPr>
      <w:r>
        <w:rPr>
          <w:rFonts w:hint="eastAsia" w:ascii="宋体" w:hAnsi="宋体" w:cs="宋体"/>
          <w:color w:val="auto"/>
          <w:sz w:val="24"/>
          <w:szCs w:val="24"/>
          <w:highlight w:val="none"/>
        </w:rPr>
        <w:t>乙方：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（中标人）</w:t>
      </w:r>
    </w:p>
    <w:p w14:paraId="22BE214F">
      <w:pPr>
        <w:spacing w:line="360" w:lineRule="auto"/>
        <w:ind w:firstLine="440"/>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本合同甲方委托乙方开展</w:t>
      </w:r>
      <w:r>
        <w:rPr>
          <w:rFonts w:hint="eastAsia" w:ascii="宋体" w:hAnsi="宋体" w:eastAsia="宋体" w:cs="Times New Roman"/>
          <w:bCs/>
          <w:color w:val="auto"/>
          <w:sz w:val="24"/>
          <w:szCs w:val="24"/>
          <w:highlight w:val="none"/>
          <w:lang w:eastAsia="zh-CN"/>
        </w:rPr>
        <w:t>大丰港化工园区安全监管第三方技术服务项目（2026-2027）</w:t>
      </w:r>
      <w:r>
        <w:rPr>
          <w:rFonts w:hint="eastAsia" w:ascii="宋体" w:hAnsi="宋体" w:cs="Times New Roman"/>
          <w:bCs/>
          <w:color w:val="auto"/>
          <w:sz w:val="24"/>
          <w:szCs w:val="24"/>
          <w:highlight w:val="none"/>
        </w:rPr>
        <w:t>，并支付相应的报酬，乙方接受委托并提供此项技术服务。双方经过平等协商，在真实、充分地表达各自意愿的基础上，根据《中华人民共和国民法典》的规定，达成如下协议，并由双方共同恪守。</w:t>
      </w:r>
    </w:p>
    <w:p w14:paraId="641A0C67">
      <w:pPr>
        <w:numPr>
          <w:ilvl w:val="0"/>
          <w:numId w:val="1"/>
        </w:numPr>
        <w:spacing w:line="360" w:lineRule="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项目名称及服务内容：</w:t>
      </w:r>
    </w:p>
    <w:p w14:paraId="1F125923">
      <w:pPr>
        <w:pStyle w:val="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大丰港化工园区安全监管第三方技术服务项目（2026-2027）</w:t>
      </w:r>
      <w:r>
        <w:rPr>
          <w:rFonts w:hint="eastAsia" w:ascii="宋体" w:hAnsi="宋体" w:eastAsia="宋体" w:cs="宋体"/>
          <w:color w:val="auto"/>
          <w:sz w:val="24"/>
          <w:szCs w:val="24"/>
          <w:highlight w:val="none"/>
        </w:rPr>
        <w:t>项目</w:t>
      </w:r>
    </w:p>
    <w:p w14:paraId="168FEE1D">
      <w:pPr>
        <w:pStyle w:val="2"/>
        <w:spacing w:line="360" w:lineRule="auto"/>
        <w:ind w:firstLine="480"/>
        <w:rPr>
          <w:rFonts w:cs="Times New Roman"/>
          <w:color w:val="auto"/>
          <w:highlight w:val="none"/>
        </w:rPr>
      </w:pPr>
      <w:r>
        <w:rPr>
          <w:rFonts w:hint="eastAsia" w:ascii="宋体" w:hAnsi="宋体" w:eastAsia="宋体" w:cs="宋体"/>
          <w:color w:val="auto"/>
          <w:sz w:val="24"/>
          <w:szCs w:val="24"/>
          <w:highlight w:val="none"/>
        </w:rPr>
        <w:t>服务内容：</w:t>
      </w:r>
      <w:r>
        <w:rPr>
          <w:rFonts w:hint="eastAsia" w:ascii="宋体" w:hAnsi="宋体" w:eastAsia="宋体" w:cs="宋体"/>
          <w:bCs/>
          <w:kern w:val="2"/>
          <w:sz w:val="24"/>
          <w:szCs w:val="24"/>
          <w:highlight w:val="none"/>
        </w:rPr>
        <w:t>根据园区安全专项检查年度计划，调集机构高水平专家力量，安排园区所有企业“家家到”形式的安全专项检查每年不少于4次</w:t>
      </w:r>
      <w:r>
        <w:rPr>
          <w:rFonts w:hint="eastAsia" w:ascii="宋体" w:hAnsi="宋体" w:eastAsia="宋体" w:cs="宋体"/>
          <w:bCs/>
          <w:kern w:val="2"/>
          <w:sz w:val="24"/>
          <w:szCs w:val="24"/>
          <w:highlight w:val="none"/>
          <w:lang w:eastAsia="zh-CN"/>
        </w:rPr>
        <w:t>，</w:t>
      </w:r>
      <w:r>
        <w:rPr>
          <w:rFonts w:hint="eastAsia" w:ascii="宋体" w:hAnsi="宋体" w:eastAsia="宋体" w:cs="宋体"/>
          <w:bCs/>
          <w:kern w:val="2"/>
          <w:sz w:val="24"/>
          <w:szCs w:val="24"/>
          <w:highlight w:val="none"/>
          <w:lang w:val="en-US" w:eastAsia="zh-CN"/>
        </w:rPr>
        <w:t>具体详见服务需求</w:t>
      </w:r>
      <w:r>
        <w:rPr>
          <w:rFonts w:hint="eastAsia" w:ascii="宋体" w:hAnsi="宋体" w:eastAsia="宋体" w:cs="宋体"/>
          <w:color w:val="auto"/>
          <w:sz w:val="24"/>
          <w:szCs w:val="24"/>
          <w:highlight w:val="none"/>
        </w:rPr>
        <w:t>。具体项目内容以招标文件项目需求为准</w:t>
      </w:r>
      <w:r>
        <w:rPr>
          <w:rFonts w:hint="eastAsia" w:cs="Times New Roman"/>
          <w:color w:val="auto"/>
          <w:highlight w:val="none"/>
        </w:rPr>
        <w:t>。</w:t>
      </w:r>
    </w:p>
    <w:p w14:paraId="43C125BE">
      <w:pPr>
        <w:spacing w:line="360" w:lineRule="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二、履行的服务期限、地点和方式：</w:t>
      </w:r>
    </w:p>
    <w:p w14:paraId="03393A88">
      <w:pPr>
        <w:spacing w:line="360" w:lineRule="auto"/>
        <w:ind w:firstLine="440"/>
        <w:rPr>
          <w:rFonts w:hint="eastAsia" w:ascii="宋体" w:hAnsi="宋体" w:cs="宋体"/>
          <w:color w:val="auto"/>
          <w:sz w:val="24"/>
          <w:szCs w:val="24"/>
          <w:highlight w:val="none"/>
        </w:rPr>
      </w:pPr>
      <w:r>
        <w:rPr>
          <w:rFonts w:hint="eastAsia" w:ascii="宋体" w:hAnsi="宋体" w:cs="宋体"/>
          <w:color w:val="auto"/>
          <w:sz w:val="24"/>
          <w:szCs w:val="24"/>
          <w:highlight w:val="none"/>
        </w:rPr>
        <w:t>1.服务期限</w:t>
      </w:r>
    </w:p>
    <w:p w14:paraId="7E235B9A">
      <w:pPr>
        <w:pStyle w:val="2"/>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2年，</w:t>
      </w:r>
      <w:r>
        <w:rPr>
          <w:rFonts w:hint="default" w:ascii="宋体" w:hAnsi="宋体" w:eastAsia="宋体" w:cs="宋体"/>
          <w:color w:val="auto"/>
          <w:sz w:val="24"/>
          <w:szCs w:val="24"/>
          <w:highlight w:val="none"/>
          <w:lang w:eastAsia="zh-CN"/>
        </w:rPr>
        <w:t>‌在合同服务期内</w:t>
      </w:r>
      <w:r>
        <w:rPr>
          <w:rFonts w:hint="eastAsia" w:ascii="宋体" w:hAnsi="宋体" w:eastAsia="宋体" w:cs="宋体"/>
          <w:color w:val="auto"/>
          <w:sz w:val="24"/>
          <w:szCs w:val="24"/>
          <w:highlight w:val="none"/>
          <w:lang w:val="en-US" w:eastAsia="zh-CN"/>
        </w:rPr>
        <w:t>甲方对乙方</w:t>
      </w:r>
      <w:r>
        <w:rPr>
          <w:rFonts w:hint="default" w:ascii="宋体" w:hAnsi="宋体" w:eastAsia="宋体" w:cs="宋体"/>
          <w:color w:val="auto"/>
          <w:sz w:val="24"/>
          <w:szCs w:val="24"/>
          <w:highlight w:val="none"/>
          <w:lang w:eastAsia="zh-CN"/>
        </w:rPr>
        <w:t>实行考核机制，若考核不合格</w:t>
      </w:r>
      <w:r>
        <w:rPr>
          <w:rFonts w:hint="eastAsia" w:ascii="宋体" w:hAnsi="宋体" w:eastAsia="宋体" w:cs="宋体"/>
          <w:color w:val="auto"/>
          <w:sz w:val="24"/>
          <w:szCs w:val="24"/>
          <w:highlight w:val="none"/>
          <w:lang w:val="en-US" w:eastAsia="zh-CN"/>
        </w:rPr>
        <w:t>甲方</w:t>
      </w:r>
      <w:r>
        <w:rPr>
          <w:rFonts w:hint="default" w:ascii="宋体" w:hAnsi="宋体" w:eastAsia="宋体" w:cs="宋体"/>
          <w:color w:val="auto"/>
          <w:sz w:val="24"/>
          <w:szCs w:val="24"/>
          <w:highlight w:val="none"/>
          <w:lang w:eastAsia="zh-CN"/>
        </w:rPr>
        <w:t>将‌终止服务‌。</w:t>
      </w:r>
    </w:p>
    <w:p w14:paraId="0E7D9203">
      <w:pPr>
        <w:spacing w:line="360" w:lineRule="auto"/>
        <w:ind w:firstLine="440"/>
        <w:rPr>
          <w:rFonts w:hint="eastAsia" w:ascii="宋体" w:hAnsi="宋体" w:cs="宋体"/>
          <w:color w:val="auto"/>
          <w:sz w:val="24"/>
          <w:szCs w:val="24"/>
          <w:highlight w:val="none"/>
        </w:rPr>
      </w:pPr>
      <w:r>
        <w:rPr>
          <w:rFonts w:hint="eastAsia" w:ascii="宋体" w:hAnsi="宋体" w:cs="宋体"/>
          <w:color w:val="auto"/>
          <w:sz w:val="24"/>
          <w:szCs w:val="24"/>
          <w:highlight w:val="none"/>
        </w:rPr>
        <w:t>2.履行的地点</w:t>
      </w:r>
    </w:p>
    <w:p w14:paraId="343A89DA">
      <w:pPr>
        <w:spacing w:line="360" w:lineRule="auto"/>
        <w:ind w:firstLine="44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根据甲方要求设定服务地点</w:t>
      </w:r>
      <w:r>
        <w:rPr>
          <w:rFonts w:hint="eastAsia" w:ascii="宋体" w:hAnsi="宋体" w:cs="宋体"/>
          <w:color w:val="auto"/>
          <w:sz w:val="24"/>
          <w:szCs w:val="24"/>
          <w:highlight w:val="none"/>
        </w:rPr>
        <w:t>。</w:t>
      </w:r>
    </w:p>
    <w:p w14:paraId="21370D01">
      <w:pPr>
        <w:spacing w:line="360" w:lineRule="auto"/>
        <w:ind w:firstLine="440"/>
        <w:rPr>
          <w:rFonts w:hint="eastAsia" w:ascii="宋体" w:hAnsi="宋体" w:cs="宋体"/>
          <w:color w:val="auto"/>
          <w:sz w:val="24"/>
          <w:szCs w:val="24"/>
          <w:highlight w:val="none"/>
        </w:rPr>
      </w:pPr>
      <w:r>
        <w:rPr>
          <w:rFonts w:hint="eastAsia" w:ascii="宋体" w:hAnsi="宋体" w:cs="宋体"/>
          <w:color w:val="auto"/>
          <w:sz w:val="24"/>
          <w:szCs w:val="24"/>
          <w:highlight w:val="none"/>
        </w:rPr>
        <w:t>3.履行的方式</w:t>
      </w:r>
    </w:p>
    <w:p w14:paraId="0D6392C7">
      <w:pPr>
        <w:spacing w:line="360" w:lineRule="auto"/>
        <w:ind w:firstLine="440"/>
        <w:rPr>
          <w:rFonts w:hint="eastAsia" w:ascii="宋体" w:hAnsi="宋体" w:cs="宋体"/>
          <w:color w:val="auto"/>
          <w:sz w:val="24"/>
          <w:szCs w:val="24"/>
          <w:highlight w:val="none"/>
        </w:rPr>
      </w:pPr>
      <w:r>
        <w:rPr>
          <w:rFonts w:ascii="宋体" w:hAnsi="宋体" w:eastAsia="宋体" w:cs="宋体"/>
          <w:color w:val="000000"/>
          <w:sz w:val="24"/>
          <w:highlight w:val="none"/>
        </w:rPr>
        <w:t>按《盐城市人民政府办公室关于开展第三方力量与安全监督和管理工作的指导意见》要求完成第三方安全监管技术服务工作。</w:t>
      </w:r>
    </w:p>
    <w:p w14:paraId="0DDFB24F">
      <w:pPr>
        <w:spacing w:line="360" w:lineRule="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三、合同总价款及付款方式：</w:t>
      </w:r>
    </w:p>
    <w:p w14:paraId="1AFA6906">
      <w:pPr>
        <w:widowControl/>
        <w:spacing w:before="100" w:after="100" w:line="360" w:lineRule="auto"/>
        <w:ind w:firstLine="44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本合同总价款为人民币：大写：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小写：</w:t>
      </w:r>
      <w:r>
        <w:rPr>
          <w:rFonts w:hint="eastAsia" w:ascii="宋体" w:hAnsi="宋体" w:cs="宋体"/>
          <w:color w:val="auto"/>
          <w:sz w:val="24"/>
          <w:szCs w:val="24"/>
          <w:highlight w:val="none"/>
          <w:u w:val="single"/>
        </w:rPr>
        <w:t>￥      元</w:t>
      </w:r>
      <w:r>
        <w:rPr>
          <w:rFonts w:hint="eastAsia" w:ascii="宋体" w:hAnsi="宋体" w:cs="宋体"/>
          <w:color w:val="auto"/>
          <w:sz w:val="24"/>
          <w:szCs w:val="24"/>
          <w:highlight w:val="none"/>
        </w:rPr>
        <w:t>，本合同总价款包含乙方为完成本项目所有服务内容和后续服务产生的全部费用及税金。除此之外，甲方不再承担或支付任何费用。</w:t>
      </w:r>
    </w:p>
    <w:p w14:paraId="638B50D0">
      <w:pPr>
        <w:spacing w:line="360" w:lineRule="auto"/>
        <w:ind w:firstLine="440"/>
        <w:rPr>
          <w:rFonts w:hint="eastAsia" w:ascii="宋体" w:hAnsi="宋体" w:cs="宋体"/>
          <w:color w:val="auto"/>
          <w:sz w:val="24"/>
          <w:szCs w:val="24"/>
          <w:highlight w:val="none"/>
        </w:rPr>
      </w:pPr>
      <w:r>
        <w:rPr>
          <w:rFonts w:hint="eastAsia" w:ascii="宋体" w:hAnsi="宋体" w:cs="宋体"/>
          <w:color w:val="auto"/>
          <w:sz w:val="24"/>
          <w:szCs w:val="24"/>
          <w:highlight w:val="none"/>
        </w:rPr>
        <w:t>乙方开户银行名称和帐号为：</w:t>
      </w:r>
    </w:p>
    <w:p w14:paraId="78399F46">
      <w:pPr>
        <w:spacing w:line="360" w:lineRule="auto"/>
        <w:ind w:firstLine="44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开户银行：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帐号：</w:t>
      </w:r>
      <w:r>
        <w:rPr>
          <w:rFonts w:hint="eastAsia" w:ascii="宋体" w:hAnsi="宋体" w:cs="宋体"/>
          <w:color w:val="auto"/>
          <w:sz w:val="24"/>
          <w:szCs w:val="24"/>
          <w:highlight w:val="none"/>
          <w:u w:val="single"/>
        </w:rPr>
        <w:t xml:space="preserve">               </w:t>
      </w:r>
    </w:p>
    <w:p w14:paraId="52952464">
      <w:pPr>
        <w:spacing w:line="360" w:lineRule="auto"/>
        <w:ind w:firstLine="440"/>
        <w:rPr>
          <w:rFonts w:hint="eastAsia" w:ascii="宋体" w:hAnsi="宋体" w:cs="宋体"/>
          <w:color w:val="auto"/>
          <w:sz w:val="24"/>
          <w:szCs w:val="24"/>
          <w:highlight w:val="none"/>
          <w:u w:val="single"/>
        </w:rPr>
      </w:pPr>
    </w:p>
    <w:p w14:paraId="7FAB742E">
      <w:pPr>
        <w:widowControl/>
        <w:spacing w:before="100" w:after="100" w:line="360" w:lineRule="auto"/>
        <w:ind w:firstLine="440"/>
        <w:jc w:val="left"/>
        <w:rPr>
          <w:rFonts w:hint="default" w:ascii="宋体" w:hAnsi="宋体" w:eastAsia="Arial" w:cs="宋体"/>
          <w:color w:val="auto"/>
          <w:sz w:val="24"/>
          <w:szCs w:val="24"/>
          <w:highlight w:val="none"/>
        </w:rPr>
      </w:pPr>
      <w:r>
        <w:rPr>
          <w:rFonts w:hint="eastAsia" w:ascii="宋体" w:hAnsi="宋体" w:eastAsia="Arial" w:cs="宋体"/>
          <w:color w:val="auto"/>
          <w:sz w:val="24"/>
          <w:szCs w:val="24"/>
          <w:highlight w:val="none"/>
        </w:rPr>
        <w:t>付款方式：</w:t>
      </w:r>
      <w:r>
        <w:rPr>
          <w:rFonts w:hint="default" w:ascii="宋体" w:hAnsi="宋体" w:eastAsia="Arial" w:cs="宋体"/>
          <w:color w:val="auto"/>
          <w:sz w:val="24"/>
          <w:szCs w:val="24"/>
          <w:highlight w:val="none"/>
        </w:rPr>
        <w:t>合同签订后由乙方向甲方申请预支付第一年合同价款的30%(合同签订并收到乙方发票后10个工作日内)，一年服务期满且达到考核标准后并提供项目成果提交后甲方验收合格后付至第一年结算价款的80%(结算价款的计算方式考核细则详见附件)，待本项目两年服务期满并达到考核标准后且提供项目成果提交后甲方验收合格后一次性结清余款;若服务期满一年，经甲方年度考核未达到考核标准(考核分数低于70分的认定为不合格)甲方依据约定终止本合同的，乙方无条件接受，并在收到书面终止服务通知后10个工作日内无条件撤离。第一年的服务费双方按照考核细则的考核结果按实结算:甲方不再支付合同剩余款项，乙方不得提出其他补偿要求。</w:t>
      </w:r>
    </w:p>
    <w:p w14:paraId="35746921">
      <w:pPr>
        <w:widowControl/>
        <w:spacing w:before="100" w:after="100" w:line="360" w:lineRule="auto"/>
        <w:ind w:firstLine="440"/>
        <w:jc w:val="left"/>
        <w:rPr>
          <w:rFonts w:hint="eastAsia" w:ascii="宋体" w:hAnsi="宋体" w:eastAsia="Arial" w:cs="宋体"/>
          <w:color w:val="auto"/>
          <w:sz w:val="24"/>
          <w:szCs w:val="24"/>
          <w:highlight w:val="none"/>
        </w:rPr>
      </w:pPr>
      <w:r>
        <w:rPr>
          <w:rFonts w:hint="eastAsia" w:ascii="宋体" w:hAnsi="宋体" w:eastAsia="Arial" w:cs="宋体"/>
          <w:color w:val="auto"/>
          <w:sz w:val="24"/>
          <w:szCs w:val="24"/>
          <w:highlight w:val="none"/>
        </w:rPr>
        <w:t>注：乙方申请付款的程序应符合甲方的财务规定。甲方付款前，乙方需提供等额的正式发票及相关资料，否则甲方有权延迟付款，并不承担逾期违约责任。具体到款时间最终以财政实际拨付为准，财政审核延迟付款不视为甲方违约。</w:t>
      </w:r>
    </w:p>
    <w:p w14:paraId="046D0EBF">
      <w:pPr>
        <w:spacing w:line="520" w:lineRule="exact"/>
        <w:ind w:firstLine="482"/>
        <w:rPr>
          <w:rFonts w:hint="eastAsia" w:ascii="宋体" w:hAnsi="宋体" w:eastAsia="Arial" w:cs="宋体"/>
          <w:color w:val="auto"/>
          <w:sz w:val="24"/>
          <w:szCs w:val="24"/>
          <w:highlight w:val="none"/>
        </w:rPr>
      </w:pPr>
      <w:r>
        <w:rPr>
          <w:rFonts w:hint="eastAsia" w:ascii="宋体" w:hAnsi="宋体" w:eastAsia="宋体" w:cs="宋体"/>
          <w:b/>
          <w:i/>
          <w:sz w:val="24"/>
          <w:szCs w:val="24"/>
          <w:highlight w:val="none"/>
        </w:rPr>
        <w:t>在签订合同时，乙方明确表示无需预付款或者主动要求降低预付款比例的，甲方可不适用上述关于预付款的规定；</w:t>
      </w:r>
    </w:p>
    <w:p w14:paraId="7A8F2FEA">
      <w:pPr>
        <w:spacing w:line="360" w:lineRule="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四、履约保证金</w:t>
      </w:r>
    </w:p>
    <w:p w14:paraId="458C60FA">
      <w:pPr>
        <w:pStyle w:val="4"/>
        <w:spacing w:line="360" w:lineRule="auto"/>
        <w:ind w:firstLine="480"/>
        <w:rPr>
          <w:rFonts w:hint="eastAsia" w:hAnsi="宋体" w:cs="宋体"/>
          <w:color w:val="auto"/>
          <w:sz w:val="24"/>
          <w:szCs w:val="24"/>
          <w:highlight w:val="none"/>
        </w:rPr>
      </w:pPr>
      <w:r>
        <w:rPr>
          <w:rFonts w:hint="eastAsia" w:hAnsi="宋体" w:cs="宋体"/>
          <w:color w:val="auto"/>
          <w:sz w:val="24"/>
          <w:szCs w:val="24"/>
          <w:highlight w:val="none"/>
        </w:rPr>
        <w:t xml:space="preserve">1、履约保证金的形式：  供应商应当以支票、汇票、本票或者金融机构、担保机构、保险机构出具的保函等非现金形式提交履约保证金。       </w:t>
      </w:r>
    </w:p>
    <w:p w14:paraId="5F550EBD">
      <w:pPr>
        <w:pStyle w:val="4"/>
        <w:spacing w:line="360" w:lineRule="auto"/>
        <w:ind w:firstLine="480"/>
        <w:rPr>
          <w:rFonts w:hint="eastAsia" w:hAnsi="宋体" w:cs="宋体"/>
          <w:color w:val="auto"/>
          <w:sz w:val="24"/>
          <w:szCs w:val="24"/>
          <w:highlight w:val="none"/>
          <w:u w:val="single"/>
        </w:rPr>
      </w:pPr>
      <w:r>
        <w:rPr>
          <w:rFonts w:hint="eastAsia" w:hAnsi="宋体" w:cs="宋体"/>
          <w:color w:val="auto"/>
          <w:sz w:val="24"/>
          <w:szCs w:val="24"/>
          <w:highlight w:val="none"/>
          <w:u w:val="single"/>
        </w:rPr>
        <w:t>根据盐财购〔2025〕18号 关于在全市政府采购领域进一步推行电子履约保函（保险）的通知。可以通过政府采购电子履约保函（保险）平台（www.jsdzbh.com）在线申请履约保函（保险）。”</w:t>
      </w:r>
    </w:p>
    <w:p w14:paraId="582BE8D9">
      <w:pPr>
        <w:pStyle w:val="4"/>
        <w:spacing w:line="360" w:lineRule="auto"/>
        <w:ind w:firstLine="440"/>
        <w:rPr>
          <w:rFonts w:hint="eastAsia" w:hAnsi="宋体" w:cs="宋体"/>
          <w:color w:val="auto"/>
          <w:sz w:val="24"/>
          <w:szCs w:val="24"/>
          <w:highlight w:val="none"/>
          <w:u w:val="single"/>
        </w:rPr>
      </w:pPr>
      <w:r>
        <w:rPr>
          <w:rFonts w:hint="eastAsia" w:hAnsi="宋体" w:cs="宋体"/>
          <w:color w:val="auto"/>
          <w:sz w:val="24"/>
          <w:szCs w:val="24"/>
          <w:highlight w:val="none"/>
        </w:rPr>
        <w:t>2、履约保证金的金额：</w:t>
      </w:r>
      <w:r>
        <w:rPr>
          <w:rFonts w:hint="eastAsia" w:hAnsi="宋体" w:cs="宋体"/>
          <w:color w:val="auto"/>
          <w:sz w:val="24"/>
          <w:szCs w:val="24"/>
          <w:highlight w:val="none"/>
          <w:u w:val="single"/>
        </w:rPr>
        <w:t xml:space="preserve">          元（中标价的</w:t>
      </w:r>
      <w:r>
        <w:rPr>
          <w:rFonts w:hint="eastAsia" w:hAnsi="宋体" w:eastAsia="宋体" w:cs="宋体"/>
          <w:color w:val="auto"/>
          <w:sz w:val="24"/>
          <w:szCs w:val="24"/>
          <w:highlight w:val="none"/>
          <w:u w:val="single"/>
          <w:lang w:val="en-US" w:eastAsia="zh-CN"/>
        </w:rPr>
        <w:t>10</w:t>
      </w:r>
      <w:r>
        <w:rPr>
          <w:rFonts w:hint="eastAsia" w:hAnsi="宋体" w:cs="宋体"/>
          <w:color w:val="auto"/>
          <w:sz w:val="24"/>
          <w:szCs w:val="24"/>
          <w:highlight w:val="none"/>
          <w:u w:val="single"/>
        </w:rPr>
        <w:t>%）</w:t>
      </w:r>
    </w:p>
    <w:p w14:paraId="4EE0F376">
      <w:pPr>
        <w:pStyle w:val="4"/>
        <w:spacing w:after="0" w:line="360" w:lineRule="auto"/>
        <w:ind w:firstLine="440"/>
        <w:rPr>
          <w:rFonts w:hint="eastAsia" w:ascii="宋体" w:hAnsi="宋体" w:eastAsia="Arial" w:cs="宋体"/>
          <w:color w:val="auto"/>
          <w:sz w:val="24"/>
          <w:szCs w:val="24"/>
          <w:highlight w:val="none"/>
          <w:u w:val="single"/>
          <w:lang w:val="en-US"/>
        </w:rPr>
      </w:pPr>
      <w:r>
        <w:rPr>
          <w:rFonts w:hint="eastAsia" w:ascii="宋体" w:hAnsi="宋体" w:eastAsia="Arial" w:cs="宋体"/>
          <w:color w:val="auto"/>
          <w:sz w:val="24"/>
          <w:szCs w:val="24"/>
          <w:highlight w:val="none"/>
        </w:rPr>
        <w:t>3、履约保证金的退还：</w:t>
      </w:r>
      <w:r>
        <w:rPr>
          <w:rFonts w:hint="eastAsia" w:ascii="宋体" w:hAnsi="宋体" w:eastAsia="Arial" w:cs="宋体"/>
          <w:color w:val="auto"/>
          <w:sz w:val="24"/>
          <w:szCs w:val="24"/>
          <w:highlight w:val="none"/>
          <w:u w:val="single"/>
          <w:lang w:val="en-US"/>
        </w:rPr>
        <w:t>二年服务期满项目结束，</w:t>
      </w:r>
      <w:r>
        <w:rPr>
          <w:rFonts w:hint="eastAsia" w:ascii="宋体" w:hAnsi="宋体" w:eastAsia="Arial" w:cs="宋体"/>
          <w:color w:val="auto"/>
          <w:sz w:val="24"/>
          <w:szCs w:val="24"/>
          <w:highlight w:val="none"/>
          <w:u w:val="single"/>
          <w:lang w:val="en-US" w:eastAsia="zh-CN"/>
        </w:rPr>
        <w:t>乙方履行全部义务经甲方验收合格且乙方无违约情形</w:t>
      </w:r>
      <w:r>
        <w:rPr>
          <w:rFonts w:hint="eastAsia" w:ascii="宋体" w:hAnsi="宋体" w:eastAsia="Arial" w:cs="宋体"/>
          <w:color w:val="auto"/>
          <w:sz w:val="24"/>
          <w:szCs w:val="24"/>
          <w:highlight w:val="none"/>
          <w:u w:val="single"/>
          <w:lang w:val="en-US"/>
        </w:rPr>
        <w:t>后</w:t>
      </w:r>
      <w:r>
        <w:rPr>
          <w:rFonts w:hint="eastAsia" w:ascii="宋体" w:hAnsi="宋体" w:eastAsia="Arial" w:cs="宋体"/>
          <w:color w:val="auto"/>
          <w:sz w:val="24"/>
          <w:szCs w:val="24"/>
          <w:highlight w:val="none"/>
          <w:u w:val="single"/>
          <w:lang w:val="en-US" w:eastAsia="zh-CN"/>
        </w:rPr>
        <w:t>无息退还至乙方缴纳履约保证金的账户。如为保函，在到期时自行失效。</w:t>
      </w:r>
    </w:p>
    <w:p w14:paraId="78D9C402">
      <w:pPr>
        <w:pStyle w:val="4"/>
        <w:spacing w:line="360" w:lineRule="auto"/>
        <w:ind w:firstLine="480" w:firstLineChars="200"/>
        <w:rPr>
          <w:rFonts w:hint="eastAsia" w:ascii="宋体" w:hAnsi="宋体" w:eastAsia="Arial" w:cs="宋体"/>
          <w:color w:val="auto"/>
          <w:sz w:val="24"/>
          <w:szCs w:val="24"/>
          <w:highlight w:val="none"/>
        </w:rPr>
      </w:pPr>
      <w:r>
        <w:rPr>
          <w:rFonts w:hint="eastAsia" w:ascii="宋体" w:hAnsi="宋体" w:eastAsia="Arial" w:cs="宋体"/>
          <w:color w:val="auto"/>
          <w:sz w:val="24"/>
          <w:szCs w:val="24"/>
          <w:highlight w:val="none"/>
        </w:rPr>
        <w:t>4、甲方对提供＂信用中国(江苏盐城)＂备案的第三方信用报告AA评级及以上政府采购供应商，</w:t>
      </w:r>
      <w:r>
        <w:rPr>
          <w:rFonts w:hint="eastAsia" w:ascii="宋体" w:hAnsi="宋体" w:eastAsia="宋体" w:cs="宋体"/>
          <w:color w:val="auto"/>
          <w:sz w:val="24"/>
          <w:szCs w:val="24"/>
          <w:highlight w:val="none"/>
          <w:lang w:val="en-US" w:eastAsia="zh-CN"/>
        </w:rPr>
        <w:t>降低履约保证金缴纳比例，为中标价款的5%</w:t>
      </w:r>
      <w:r>
        <w:rPr>
          <w:rFonts w:hint="eastAsia" w:ascii="宋体" w:hAnsi="宋体" w:eastAsia="Arial" w:cs="宋体"/>
          <w:color w:val="auto"/>
          <w:sz w:val="24"/>
          <w:szCs w:val="24"/>
          <w:highlight w:val="none"/>
        </w:rPr>
        <w:t>。</w:t>
      </w:r>
    </w:p>
    <w:p w14:paraId="73CBF8EC">
      <w:pPr>
        <w:spacing w:line="360" w:lineRule="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五、技术情报和资料的保密事项：</w:t>
      </w:r>
    </w:p>
    <w:p w14:paraId="7809F4E6">
      <w:pPr>
        <w:pStyle w:val="4"/>
        <w:spacing w:line="360" w:lineRule="auto"/>
        <w:ind w:firstLine="440"/>
        <w:rPr>
          <w:rFonts w:hint="eastAsia" w:hAnsi="宋体" w:cs="宋体"/>
          <w:color w:val="auto"/>
          <w:sz w:val="24"/>
          <w:szCs w:val="24"/>
          <w:highlight w:val="none"/>
        </w:rPr>
      </w:pPr>
      <w:r>
        <w:rPr>
          <w:rFonts w:hint="eastAsia" w:hAnsi="宋体" w:cs="宋体"/>
          <w:color w:val="auto"/>
          <w:sz w:val="24"/>
          <w:szCs w:val="24"/>
          <w:highlight w:val="none"/>
        </w:rPr>
        <w:t>本协议涉及的技术研究及其成果报告除国家行政管理部门规定的公开外，保密期为永久。甲乙双方须妥善保管各自持有的报告及其相关资料。</w:t>
      </w:r>
    </w:p>
    <w:p w14:paraId="7E105E96">
      <w:pPr>
        <w:pStyle w:val="4"/>
        <w:spacing w:line="360" w:lineRule="auto"/>
        <w:ind w:firstLine="440"/>
        <w:rPr>
          <w:rFonts w:hint="eastAsia" w:hAnsi="宋体" w:cs="宋体"/>
          <w:color w:val="auto"/>
          <w:sz w:val="24"/>
          <w:szCs w:val="24"/>
          <w:highlight w:val="none"/>
        </w:rPr>
      </w:pPr>
      <w:r>
        <w:rPr>
          <w:rFonts w:hint="eastAsia" w:hAnsi="宋体" w:cs="宋体"/>
          <w:color w:val="auto"/>
          <w:sz w:val="24"/>
          <w:szCs w:val="24"/>
          <w:highlight w:val="none"/>
        </w:rPr>
        <w:t>甲乙任何一方因本协议而获知他方明示为机密的信息物件等，未经他方同意，不得运用于本协议无关的工作，且应以妥善管理，不得泄露、告知、交付或以任何其他方式转移，或提供给任何第三人使用。</w:t>
      </w:r>
    </w:p>
    <w:p w14:paraId="52A41FD5">
      <w:pPr>
        <w:spacing w:line="360" w:lineRule="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六、风险责任的承担：</w:t>
      </w:r>
    </w:p>
    <w:p w14:paraId="0DE1E633">
      <w:pPr>
        <w:pStyle w:val="4"/>
        <w:spacing w:line="360" w:lineRule="auto"/>
        <w:ind w:firstLine="440"/>
        <w:rPr>
          <w:rFonts w:hint="eastAsia" w:hAnsi="宋体" w:cs="宋体"/>
          <w:color w:val="auto"/>
          <w:sz w:val="24"/>
          <w:szCs w:val="24"/>
          <w:highlight w:val="none"/>
        </w:rPr>
      </w:pPr>
      <w:r>
        <w:rPr>
          <w:rFonts w:hint="eastAsia" w:hAnsi="宋体" w:cs="宋体"/>
          <w:color w:val="auto"/>
          <w:sz w:val="24"/>
          <w:szCs w:val="24"/>
          <w:highlight w:val="none"/>
        </w:rPr>
        <w:t>若因不可抗力的原因导致合同无法履行的，双方互不承担违约责任，任何一方有权解除本合同，甲方须按乙方已提供技术咨询的工作量向乙方支付技术工作经费。</w:t>
      </w:r>
    </w:p>
    <w:p w14:paraId="6768E8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七、知识产权归属：</w:t>
      </w:r>
    </w:p>
    <w:p w14:paraId="5E983051">
      <w:pPr>
        <w:pStyle w:val="4"/>
        <w:spacing w:line="360" w:lineRule="auto"/>
        <w:ind w:firstLine="44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1、本项目最终服务成果的所有权、使用权和著作权归属于甲方所有，未经甲方许可，乙方不得擅自使用、泄露本项目的任何数据及相关资料。</w:t>
      </w:r>
    </w:p>
    <w:p w14:paraId="55B06C21">
      <w:pPr>
        <w:pStyle w:val="4"/>
        <w:spacing w:line="360" w:lineRule="auto"/>
        <w:ind w:firstLine="44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2、乙方应保证甲方在使用、接受本合同标的或其任何一部分时不受第三方提出侵犯其专利权、版权、商标权和工业设计权等知识产权的起诉。一旦出现侵权，由乙方负全部责任。同时消除对甲方产生的不利影响并赔偿甲方的损失。</w:t>
      </w:r>
    </w:p>
    <w:p w14:paraId="0BCCD321">
      <w:pPr>
        <w:pStyle w:val="4"/>
        <w:spacing w:line="360" w:lineRule="auto"/>
        <w:ind w:firstLine="44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3、没有甲方事先书面同意，乙方不得将由甲方提供的有关合同或任何合同条文、计划、图纸、样品、数据或资料提供给与履行本合同无关的任何其他人。即使向履行本合同有关的人员提供，也应注意保密并限于履行合同的必需范围。否则，乙方应赔偿甲方损失。</w:t>
      </w:r>
    </w:p>
    <w:p w14:paraId="2E87B3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八、各方当事人的义务或协作事项及承担的责任：</w:t>
      </w:r>
    </w:p>
    <w:p w14:paraId="6248C1D9">
      <w:pPr>
        <w:pStyle w:val="4"/>
        <w:keepNext w:val="0"/>
        <w:keepLines w:val="0"/>
        <w:pageBreakBefore w:val="0"/>
        <w:widowControl w:val="0"/>
        <w:kinsoku/>
        <w:wordWrap/>
        <w:overflowPunct/>
        <w:topLinePunct w:val="0"/>
        <w:autoSpaceDE/>
        <w:autoSpaceDN/>
        <w:bidi w:val="0"/>
        <w:adjustRightInd/>
        <w:snapToGrid/>
        <w:spacing w:line="440" w:lineRule="exact"/>
        <w:ind w:firstLine="440"/>
        <w:textAlignment w:val="auto"/>
        <w:rPr>
          <w:rFonts w:hint="eastAsia" w:hAnsi="宋体" w:cs="宋体"/>
          <w:color w:val="auto"/>
          <w:sz w:val="24"/>
          <w:szCs w:val="24"/>
          <w:highlight w:val="none"/>
        </w:rPr>
      </w:pPr>
      <w:r>
        <w:rPr>
          <w:rFonts w:hint="eastAsia" w:hAnsi="宋体" w:cs="宋体"/>
          <w:color w:val="auto"/>
          <w:sz w:val="24"/>
          <w:szCs w:val="24"/>
          <w:highlight w:val="none"/>
        </w:rPr>
        <w:t>双方确定，在本合同有效期内，甲方指定</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为甲方项目联系人，乙方指定</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为乙方项目联系人。</w:t>
      </w:r>
    </w:p>
    <w:p w14:paraId="7E8DC49F">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一方变更项目联系人的，应当及时以书面形式通知另一方。未及时通知并影响本合同履行或造成损失的，应承担相应的责任。</w:t>
      </w:r>
    </w:p>
    <w:p w14:paraId="0DF50D8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九、中介方、担保方的义务、报酬和支付方式及承担的责任：</w:t>
      </w:r>
    </w:p>
    <w:p w14:paraId="21F366E4">
      <w:pPr>
        <w:pStyle w:val="4"/>
        <w:keepNext w:val="0"/>
        <w:keepLines w:val="0"/>
        <w:pageBreakBefore w:val="0"/>
        <w:widowControl w:val="0"/>
        <w:kinsoku/>
        <w:wordWrap/>
        <w:overflowPunct/>
        <w:topLinePunct w:val="0"/>
        <w:autoSpaceDE/>
        <w:autoSpaceDN/>
        <w:bidi w:val="0"/>
        <w:adjustRightInd/>
        <w:snapToGrid/>
        <w:spacing w:line="440" w:lineRule="exact"/>
        <w:ind w:firstLine="440"/>
        <w:textAlignment w:val="auto"/>
        <w:rPr>
          <w:rFonts w:hint="eastAsia" w:hAnsi="宋体" w:cs="宋体"/>
          <w:color w:val="auto"/>
          <w:sz w:val="24"/>
          <w:szCs w:val="24"/>
          <w:highlight w:val="none"/>
        </w:rPr>
      </w:pPr>
      <w:r>
        <w:rPr>
          <w:rFonts w:hint="eastAsia" w:hAnsi="宋体" w:cs="宋体"/>
          <w:color w:val="auto"/>
          <w:sz w:val="24"/>
          <w:szCs w:val="24"/>
          <w:highlight w:val="none"/>
        </w:rPr>
        <w:t>无。</w:t>
      </w:r>
    </w:p>
    <w:p w14:paraId="3EB932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十、违约金或者损失赔偿的计算方法：</w:t>
      </w:r>
    </w:p>
    <w:p w14:paraId="2CE3F480">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Times New Roman" w:hAnsi="宋体" w:eastAsia="Arial" w:cs="宋体"/>
          <w:color w:val="auto"/>
          <w:sz w:val="24"/>
          <w:szCs w:val="24"/>
          <w:highlight w:val="none"/>
        </w:rPr>
      </w:pPr>
      <w:r>
        <w:rPr>
          <w:rFonts w:hint="default" w:ascii="Times New Roman" w:hAnsi="宋体" w:eastAsia="Arial" w:cs="宋体"/>
          <w:color w:val="auto"/>
          <w:sz w:val="24"/>
          <w:szCs w:val="24"/>
          <w:highlight w:val="none"/>
        </w:rPr>
        <w:t>1.合同签订后，甲方中途停止或解除合同，甲方按乙方实际完成的工作量支付乙方酬金。</w:t>
      </w:r>
    </w:p>
    <w:p w14:paraId="6725B659">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Times New Roman" w:hAnsi="宋体" w:eastAsia="Arial" w:cs="宋体"/>
          <w:color w:val="auto"/>
          <w:sz w:val="24"/>
          <w:szCs w:val="24"/>
          <w:highlight w:val="none"/>
        </w:rPr>
      </w:pPr>
      <w:r>
        <w:rPr>
          <w:rFonts w:hint="default" w:ascii="Times New Roman" w:hAnsi="宋体" w:eastAsia="Arial" w:cs="宋体"/>
          <w:color w:val="auto"/>
          <w:sz w:val="24"/>
          <w:szCs w:val="24"/>
          <w:highlight w:val="none"/>
        </w:rPr>
        <w:t>2．甲方应按照本合同约定按期支付合同价款。非因甲方原因导致未按期支付乙方酬金的，甲方应积极协调费用支付事宜。</w:t>
      </w:r>
    </w:p>
    <w:p w14:paraId="7ABD0B58">
      <w:pPr>
        <w:spacing w:after="0" w:line="440" w:lineRule="exact"/>
        <w:ind w:firstLine="480"/>
        <w:rPr>
          <w:rFonts w:hint="default" w:ascii="Times New Roman" w:hAnsi="宋体" w:eastAsia="Arial" w:cs="宋体"/>
          <w:color w:val="auto"/>
          <w:sz w:val="24"/>
          <w:szCs w:val="24"/>
          <w:highlight w:val="none"/>
          <w:lang w:val="en-US" w:eastAsia="zh-CN"/>
        </w:rPr>
      </w:pPr>
      <w:r>
        <w:rPr>
          <w:rFonts w:hint="default" w:ascii="Times New Roman" w:hAnsi="宋体" w:eastAsia="Arial" w:cs="宋体"/>
          <w:color w:val="auto"/>
          <w:sz w:val="24"/>
          <w:szCs w:val="24"/>
          <w:highlight w:val="none"/>
        </w:rPr>
        <w:t>3.</w:t>
      </w:r>
      <w:r>
        <w:rPr>
          <w:rFonts w:hint="default" w:ascii="Times New Roman" w:hAnsi="宋体" w:eastAsia="Arial" w:cs="宋体"/>
          <w:color w:val="auto"/>
          <w:sz w:val="24"/>
          <w:szCs w:val="24"/>
          <w:highlight w:val="none"/>
          <w:lang w:val="en-US"/>
        </w:rPr>
        <w:t>合同签订后，</w:t>
      </w:r>
      <w:r>
        <w:rPr>
          <w:rFonts w:hint="eastAsia" w:ascii="Times New Roman" w:hAnsi="宋体" w:eastAsia="Arial" w:cs="宋体"/>
          <w:color w:val="auto"/>
          <w:sz w:val="24"/>
          <w:szCs w:val="24"/>
          <w:highlight w:val="none"/>
          <w:lang w:val="en-US" w:eastAsia="zh-CN"/>
        </w:rPr>
        <w:t>乙方未按合同约定全面履行合同义务的，每逾期一日，应承担合同总价款3‰的违约金，逾期超过30日的，甲方有权解除合同，乙方除返还甲方支付的价款外，应承担合同总价款30%的违约金并赔偿甲方损失。甲方如迟延支付款项的，应按合同订立时1年期贷款市场报价利率承担逾期利息甲方如迟延支付款项的，应按合同订立时1年期贷款市场报价利率承担逾期利息，如乙方擅自中途停止或解除合同，乙方除返还甲方支付的价款外，还应向甲方支付合同总价款的</w:t>
      </w:r>
      <w:r>
        <w:rPr>
          <w:rFonts w:hint="default" w:ascii="Times New Roman" w:hAnsi="宋体" w:eastAsia="Arial" w:cs="宋体"/>
          <w:color w:val="auto"/>
          <w:sz w:val="24"/>
          <w:szCs w:val="24"/>
          <w:highlight w:val="none"/>
          <w:lang w:val="en-US" w:eastAsia="zh-CN"/>
        </w:rPr>
        <w:t>30</w:t>
      </w:r>
      <w:r>
        <w:rPr>
          <w:rFonts w:hint="eastAsia" w:ascii="Times New Roman" w:hAnsi="宋体" w:eastAsia="Arial" w:cs="宋体"/>
          <w:color w:val="auto"/>
          <w:sz w:val="24"/>
          <w:szCs w:val="24"/>
          <w:highlight w:val="none"/>
          <w:lang w:val="en-US" w:eastAsia="zh-CN"/>
        </w:rPr>
        <w:t>％的违约金并赔偿甲方损失。</w:t>
      </w:r>
    </w:p>
    <w:p w14:paraId="55881F32">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Times New Roman" w:hAnsi="宋体" w:eastAsia="Arial" w:cs="宋体"/>
          <w:color w:val="auto"/>
          <w:sz w:val="24"/>
          <w:szCs w:val="24"/>
          <w:highlight w:val="none"/>
        </w:rPr>
      </w:pPr>
      <w:r>
        <w:rPr>
          <w:rFonts w:hint="default" w:ascii="Times New Roman" w:hAnsi="宋体" w:eastAsia="Arial" w:cs="宋体"/>
          <w:color w:val="auto"/>
          <w:sz w:val="24"/>
          <w:szCs w:val="24"/>
          <w:highlight w:val="none"/>
        </w:rPr>
        <w:t>如乙方擅自中途停止或解除合同，乙方向甲方赔偿合同价款的30％。</w:t>
      </w:r>
    </w:p>
    <w:p w14:paraId="3BA4EE7F">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Times New Roman" w:hAnsi="宋体" w:eastAsia="Arial" w:cs="宋体"/>
          <w:color w:val="auto"/>
          <w:sz w:val="24"/>
          <w:szCs w:val="24"/>
          <w:highlight w:val="none"/>
          <w:lang w:val="en-US"/>
        </w:rPr>
      </w:pPr>
      <w:r>
        <w:rPr>
          <w:rFonts w:hint="default" w:ascii="Times New Roman" w:hAnsi="宋体" w:eastAsia="Arial" w:cs="宋体"/>
          <w:color w:val="auto"/>
          <w:sz w:val="24"/>
          <w:szCs w:val="24"/>
          <w:highlight w:val="none"/>
        </w:rPr>
        <w:t>4.</w:t>
      </w:r>
      <w:r>
        <w:rPr>
          <w:rFonts w:hint="eastAsia" w:ascii="Times New Roman" w:hAnsi="宋体" w:eastAsia="Arial" w:cs="宋体"/>
          <w:color w:val="auto"/>
          <w:sz w:val="24"/>
          <w:szCs w:val="24"/>
          <w:highlight w:val="none"/>
          <w:lang w:val="en-US" w:eastAsia="zh-CN"/>
        </w:rPr>
        <w:t>乙方在承担违约责任后，仍应继续履行合同约定的义务（甲方解除合同的除外）。甲方未能及时追究乙方的任何一项违约责任并不表明甲方放弃追究乙方该项或其他违约责任</w:t>
      </w:r>
      <w:r>
        <w:rPr>
          <w:rFonts w:hint="default" w:ascii="Times New Roman" w:hAnsi="宋体" w:eastAsia="Arial" w:cs="宋体"/>
          <w:color w:val="auto"/>
          <w:sz w:val="24"/>
          <w:szCs w:val="24"/>
          <w:highlight w:val="none"/>
          <w:lang w:val="en-US"/>
        </w:rPr>
        <w:t>。</w:t>
      </w:r>
    </w:p>
    <w:p w14:paraId="57E3B691">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Times New Roman" w:hAnsi="宋体" w:eastAsia="Arial" w:cs="宋体"/>
          <w:color w:val="auto"/>
          <w:sz w:val="24"/>
          <w:szCs w:val="24"/>
          <w:highlight w:val="none"/>
        </w:rPr>
      </w:pPr>
      <w:r>
        <w:rPr>
          <w:rFonts w:hint="default" w:ascii="Times New Roman" w:hAnsi="宋体" w:eastAsia="Arial" w:cs="宋体"/>
          <w:color w:val="auto"/>
          <w:sz w:val="24"/>
          <w:szCs w:val="24"/>
          <w:highlight w:val="none"/>
        </w:rPr>
        <w:t>5.对于甲方提供的有关资料，乙方有保密义务，不得向第三人以任何方式泄漏，否则，乙方按成果成本的100％赔偿损失并承担法律责任。</w:t>
      </w:r>
    </w:p>
    <w:p w14:paraId="173C9C46">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宋体" w:eastAsia="Arial" w:cs="宋体"/>
          <w:color w:val="auto"/>
          <w:sz w:val="24"/>
          <w:szCs w:val="24"/>
          <w:highlight w:val="none"/>
        </w:rPr>
      </w:pPr>
      <w:r>
        <w:rPr>
          <w:rFonts w:hint="eastAsia" w:ascii="Times New Roman" w:hAnsi="宋体" w:eastAsia="宋体" w:cs="宋体"/>
          <w:b/>
          <w:bCs/>
          <w:color w:val="auto"/>
          <w:sz w:val="24"/>
          <w:szCs w:val="24"/>
          <w:highlight w:val="none"/>
          <w:lang w:val="en-US" w:eastAsia="zh-CN"/>
        </w:rPr>
        <w:t>十一、</w:t>
      </w:r>
      <w:r>
        <w:rPr>
          <w:rFonts w:hint="default" w:ascii="Times New Roman" w:hAnsi="宋体" w:eastAsia="Arial" w:cs="宋体"/>
          <w:b/>
          <w:bCs/>
          <w:color w:val="auto"/>
          <w:sz w:val="24"/>
          <w:szCs w:val="24"/>
          <w:highlight w:val="none"/>
        </w:rPr>
        <w:t>合同的变更和终止</w:t>
      </w:r>
    </w:p>
    <w:p w14:paraId="79B98D21">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Times New Roman" w:hAnsi="宋体" w:eastAsia="Arial" w:cs="宋体"/>
          <w:color w:val="auto"/>
          <w:sz w:val="24"/>
          <w:szCs w:val="24"/>
          <w:highlight w:val="none"/>
        </w:rPr>
      </w:pPr>
      <w:r>
        <w:rPr>
          <w:rFonts w:hint="default" w:ascii="Times New Roman" w:hAnsi="宋体" w:eastAsia="Arial" w:cs="宋体"/>
          <w:color w:val="auto"/>
          <w:sz w:val="24"/>
          <w:szCs w:val="24"/>
          <w:highlight w:val="none"/>
        </w:rPr>
        <w:t>除发生法律规定的不能预见、不能避免并不能克服的客观情况外，甲乙双方不得放弃或拒绝履行合同。</w:t>
      </w:r>
    </w:p>
    <w:p w14:paraId="55F2F87B">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宋体" w:eastAsia="Arial" w:cs="宋体"/>
          <w:color w:val="auto"/>
          <w:sz w:val="24"/>
          <w:szCs w:val="24"/>
          <w:highlight w:val="none"/>
        </w:rPr>
      </w:pPr>
      <w:r>
        <w:rPr>
          <w:rFonts w:hint="eastAsia" w:ascii="Times New Roman" w:hAnsi="宋体" w:eastAsia="宋体" w:cs="宋体"/>
          <w:b/>
          <w:bCs/>
          <w:color w:val="auto"/>
          <w:sz w:val="24"/>
          <w:szCs w:val="24"/>
          <w:highlight w:val="none"/>
          <w:lang w:val="en-US" w:eastAsia="zh-CN"/>
        </w:rPr>
        <w:t>十二、</w:t>
      </w:r>
      <w:r>
        <w:rPr>
          <w:rFonts w:hint="default" w:ascii="Times New Roman" w:hAnsi="宋体" w:eastAsia="Arial" w:cs="宋体"/>
          <w:b/>
          <w:bCs/>
          <w:color w:val="auto"/>
          <w:sz w:val="24"/>
          <w:szCs w:val="24"/>
          <w:highlight w:val="none"/>
        </w:rPr>
        <w:t>合同的转让</w:t>
      </w:r>
    </w:p>
    <w:p w14:paraId="42D30500">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default" w:ascii="Times New Roman" w:hAnsi="宋体" w:eastAsia="Arial" w:cs="宋体"/>
          <w:color w:val="auto"/>
          <w:sz w:val="24"/>
          <w:szCs w:val="24"/>
          <w:highlight w:val="none"/>
        </w:rPr>
      </w:pPr>
      <w:r>
        <w:rPr>
          <w:rFonts w:hint="eastAsia" w:ascii="Times New Roman" w:hAnsi="宋体" w:eastAsia="Arial" w:cs="宋体"/>
          <w:color w:val="auto"/>
          <w:sz w:val="24"/>
          <w:szCs w:val="24"/>
          <w:highlight w:val="none"/>
          <w:lang w:eastAsia="zh-CN"/>
        </w:rPr>
        <w:t>乙方不得擅自部分或全部转让其应履行的合同义务，如出现此行为，甲方有权解除合同，同时乙方应承担合同总价款金额</w:t>
      </w:r>
      <w:r>
        <w:rPr>
          <w:rFonts w:hint="default" w:ascii="Times New Roman" w:hAnsi="宋体" w:eastAsia="Arial" w:cs="宋体"/>
          <w:color w:val="auto"/>
          <w:sz w:val="24"/>
          <w:szCs w:val="24"/>
          <w:highlight w:val="none"/>
          <w:lang w:eastAsia="zh-CN"/>
        </w:rPr>
        <w:t>30%</w:t>
      </w:r>
      <w:r>
        <w:rPr>
          <w:rFonts w:hint="eastAsia" w:ascii="Times New Roman" w:hAnsi="宋体" w:eastAsia="Arial" w:cs="宋体"/>
          <w:color w:val="auto"/>
          <w:sz w:val="24"/>
          <w:szCs w:val="24"/>
          <w:highlight w:val="none"/>
          <w:lang w:eastAsia="zh-CN"/>
        </w:rPr>
        <w:t>的违约金。</w:t>
      </w:r>
    </w:p>
    <w:p w14:paraId="513B8E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十</w:t>
      </w:r>
      <w:r>
        <w:rPr>
          <w:rFonts w:hint="eastAsia" w:ascii="宋体" w:hAnsi="宋体" w:eastAsia="宋体" w:cs="Times New Roman"/>
          <w:b/>
          <w:color w:val="auto"/>
          <w:sz w:val="24"/>
          <w:szCs w:val="24"/>
          <w:highlight w:val="none"/>
          <w:lang w:val="en-US" w:eastAsia="zh-CN"/>
        </w:rPr>
        <w:t>一</w:t>
      </w:r>
      <w:r>
        <w:rPr>
          <w:rFonts w:hint="eastAsia" w:ascii="宋体" w:hAnsi="宋体" w:cs="Times New Roman"/>
          <w:b/>
          <w:color w:val="auto"/>
          <w:sz w:val="24"/>
          <w:szCs w:val="24"/>
          <w:highlight w:val="none"/>
        </w:rPr>
        <w:t>、争议的解决办法：</w:t>
      </w:r>
    </w:p>
    <w:p w14:paraId="299B6DAB">
      <w:pPr>
        <w:pStyle w:val="4"/>
        <w:keepNext w:val="0"/>
        <w:keepLines w:val="0"/>
        <w:pageBreakBefore w:val="0"/>
        <w:widowControl w:val="0"/>
        <w:kinsoku/>
        <w:wordWrap/>
        <w:overflowPunct/>
        <w:topLinePunct w:val="0"/>
        <w:autoSpaceDE/>
        <w:autoSpaceDN/>
        <w:bidi w:val="0"/>
        <w:adjustRightInd/>
        <w:snapToGrid/>
        <w:spacing w:line="440" w:lineRule="exact"/>
        <w:ind w:firstLine="440"/>
        <w:textAlignment w:val="auto"/>
        <w:rPr>
          <w:rFonts w:hint="eastAsia" w:hAnsi="宋体" w:cs="宋体"/>
          <w:color w:val="auto"/>
          <w:sz w:val="24"/>
          <w:szCs w:val="24"/>
          <w:highlight w:val="none"/>
        </w:rPr>
      </w:pPr>
      <w:r>
        <w:rPr>
          <w:rFonts w:hint="eastAsia" w:hAnsi="宋体" w:cs="宋体"/>
          <w:color w:val="auto"/>
          <w:sz w:val="24"/>
          <w:szCs w:val="24"/>
          <w:highlight w:val="none"/>
        </w:rPr>
        <w:t>因履行本合同发生的争议，由当事人协商解决；协商不成的，依法向甲方住所地人民法院起诉。</w:t>
      </w:r>
    </w:p>
    <w:p w14:paraId="3FF79FC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十</w:t>
      </w:r>
      <w:r>
        <w:rPr>
          <w:rFonts w:hint="eastAsia" w:ascii="宋体" w:hAnsi="宋体" w:eastAsia="宋体" w:cs="Times New Roman"/>
          <w:b/>
          <w:color w:val="auto"/>
          <w:sz w:val="24"/>
          <w:szCs w:val="24"/>
          <w:highlight w:val="none"/>
          <w:lang w:val="en-US" w:eastAsia="zh-CN"/>
        </w:rPr>
        <w:t>二</w:t>
      </w:r>
      <w:r>
        <w:rPr>
          <w:rFonts w:hint="eastAsia" w:ascii="宋体" w:hAnsi="宋体" w:cs="Times New Roman"/>
          <w:b/>
          <w:color w:val="auto"/>
          <w:sz w:val="24"/>
          <w:szCs w:val="24"/>
          <w:highlight w:val="none"/>
        </w:rPr>
        <w:t>、名词和术语的解释：</w:t>
      </w:r>
    </w:p>
    <w:p w14:paraId="20014390">
      <w:pPr>
        <w:pStyle w:val="4"/>
        <w:keepNext w:val="0"/>
        <w:keepLines w:val="0"/>
        <w:pageBreakBefore w:val="0"/>
        <w:widowControl w:val="0"/>
        <w:kinsoku/>
        <w:wordWrap/>
        <w:overflowPunct/>
        <w:topLinePunct w:val="0"/>
        <w:autoSpaceDE/>
        <w:autoSpaceDN/>
        <w:bidi w:val="0"/>
        <w:adjustRightInd/>
        <w:snapToGrid/>
        <w:spacing w:line="440" w:lineRule="exact"/>
        <w:ind w:firstLine="440"/>
        <w:textAlignment w:val="auto"/>
        <w:rPr>
          <w:rFonts w:hint="eastAsia" w:hAnsi="宋体" w:cs="宋体"/>
          <w:color w:val="auto"/>
          <w:sz w:val="24"/>
          <w:szCs w:val="24"/>
          <w:highlight w:val="none"/>
        </w:rPr>
      </w:pPr>
      <w:r>
        <w:rPr>
          <w:rFonts w:hint="eastAsia" w:hAnsi="宋体" w:cs="宋体"/>
          <w:color w:val="auto"/>
          <w:sz w:val="24"/>
          <w:szCs w:val="24"/>
          <w:highlight w:val="none"/>
        </w:rPr>
        <w:t>双方确定：本合同及相关附件中所涉及的有关名词和技术术语，其定义和解释如下：</w:t>
      </w:r>
    </w:p>
    <w:p w14:paraId="0D45EFD0">
      <w:pPr>
        <w:pStyle w:val="4"/>
        <w:keepNext w:val="0"/>
        <w:keepLines w:val="0"/>
        <w:pageBreakBefore w:val="0"/>
        <w:widowControl w:val="0"/>
        <w:kinsoku/>
        <w:wordWrap/>
        <w:overflowPunct/>
        <w:topLinePunct w:val="0"/>
        <w:autoSpaceDE/>
        <w:autoSpaceDN/>
        <w:bidi w:val="0"/>
        <w:adjustRightInd/>
        <w:snapToGrid/>
        <w:spacing w:line="440" w:lineRule="exact"/>
        <w:ind w:firstLine="440"/>
        <w:textAlignment w:val="auto"/>
        <w:rPr>
          <w:rFonts w:hint="eastAsia" w:hAnsi="宋体" w:cs="宋体"/>
          <w:color w:val="auto"/>
          <w:sz w:val="24"/>
          <w:szCs w:val="24"/>
          <w:highlight w:val="none"/>
        </w:rPr>
      </w:pPr>
      <w:r>
        <w:rPr>
          <w:rFonts w:hint="eastAsia" w:hAnsi="宋体" w:cs="宋体"/>
          <w:color w:val="auto"/>
          <w:sz w:val="24"/>
          <w:szCs w:val="24"/>
          <w:highlight w:val="none"/>
        </w:rPr>
        <w:t xml:space="preserve">1. </w:t>
      </w:r>
      <w:r>
        <w:rPr>
          <w:rFonts w:hint="eastAsia" w:hAnsi="宋体" w:cs="宋体"/>
          <w:color w:val="auto"/>
          <w:sz w:val="24"/>
          <w:szCs w:val="24"/>
          <w:highlight w:val="none"/>
          <w:u w:val="single"/>
        </w:rPr>
        <w:t xml:space="preserve">                    /                             </w:t>
      </w:r>
      <w:r>
        <w:rPr>
          <w:rFonts w:hint="eastAsia" w:hAnsi="宋体" w:cs="宋体"/>
          <w:color w:val="auto"/>
          <w:sz w:val="24"/>
          <w:szCs w:val="24"/>
          <w:highlight w:val="none"/>
        </w:rPr>
        <w:t>；</w:t>
      </w:r>
    </w:p>
    <w:p w14:paraId="3B1DEB79">
      <w:pPr>
        <w:pStyle w:val="4"/>
        <w:keepNext w:val="0"/>
        <w:keepLines w:val="0"/>
        <w:pageBreakBefore w:val="0"/>
        <w:widowControl w:val="0"/>
        <w:kinsoku/>
        <w:wordWrap/>
        <w:overflowPunct/>
        <w:topLinePunct w:val="0"/>
        <w:autoSpaceDE/>
        <w:autoSpaceDN/>
        <w:bidi w:val="0"/>
        <w:adjustRightInd/>
        <w:snapToGrid/>
        <w:spacing w:line="440" w:lineRule="exact"/>
        <w:ind w:firstLine="440"/>
        <w:textAlignment w:val="auto"/>
        <w:rPr>
          <w:rFonts w:hint="eastAsia" w:hAnsi="宋体" w:cs="宋体"/>
          <w:color w:val="auto"/>
          <w:sz w:val="24"/>
          <w:szCs w:val="24"/>
          <w:highlight w:val="none"/>
        </w:rPr>
      </w:pPr>
      <w:r>
        <w:rPr>
          <w:rFonts w:hint="eastAsia" w:hAnsi="宋体" w:cs="宋体"/>
          <w:color w:val="auto"/>
          <w:sz w:val="24"/>
          <w:szCs w:val="24"/>
          <w:highlight w:val="none"/>
        </w:rPr>
        <w:t>2.</w:t>
      </w:r>
      <w:r>
        <w:rPr>
          <w:rFonts w:hint="eastAsia" w:hAnsi="宋体" w:cs="宋体"/>
          <w:color w:val="auto"/>
          <w:sz w:val="24"/>
          <w:szCs w:val="24"/>
          <w:highlight w:val="none"/>
          <w:u w:val="single"/>
        </w:rPr>
        <w:t xml:space="preserve">                     /                             </w:t>
      </w:r>
      <w:r>
        <w:rPr>
          <w:rFonts w:hint="eastAsia" w:hAnsi="宋体" w:cs="宋体"/>
          <w:color w:val="auto"/>
          <w:sz w:val="24"/>
          <w:szCs w:val="24"/>
          <w:highlight w:val="none"/>
        </w:rPr>
        <w:t>；</w:t>
      </w:r>
    </w:p>
    <w:p w14:paraId="78B9A677">
      <w:pPr>
        <w:pStyle w:val="4"/>
        <w:keepNext w:val="0"/>
        <w:keepLines w:val="0"/>
        <w:pageBreakBefore w:val="0"/>
        <w:widowControl w:val="0"/>
        <w:kinsoku/>
        <w:wordWrap/>
        <w:overflowPunct/>
        <w:topLinePunct w:val="0"/>
        <w:autoSpaceDE/>
        <w:autoSpaceDN/>
        <w:bidi w:val="0"/>
        <w:adjustRightInd/>
        <w:snapToGrid/>
        <w:spacing w:line="440" w:lineRule="exact"/>
        <w:ind w:firstLine="440"/>
        <w:textAlignment w:val="auto"/>
        <w:rPr>
          <w:rFonts w:hint="eastAsia" w:hAnsi="宋体" w:cs="宋体"/>
          <w:color w:val="auto"/>
          <w:sz w:val="24"/>
          <w:szCs w:val="24"/>
          <w:highlight w:val="none"/>
        </w:rPr>
      </w:pPr>
      <w:r>
        <w:rPr>
          <w:rFonts w:hint="eastAsia" w:hAnsi="宋体" w:cs="宋体"/>
          <w:color w:val="auto"/>
          <w:sz w:val="24"/>
          <w:szCs w:val="24"/>
          <w:highlight w:val="none"/>
        </w:rPr>
        <w:t>3.</w:t>
      </w:r>
      <w:r>
        <w:rPr>
          <w:rFonts w:hint="eastAsia" w:hAnsi="宋体" w:cs="宋体"/>
          <w:color w:val="auto"/>
          <w:sz w:val="24"/>
          <w:szCs w:val="24"/>
          <w:highlight w:val="none"/>
          <w:u w:val="single"/>
        </w:rPr>
        <w:t xml:space="preserve">                      /                            </w:t>
      </w:r>
      <w:r>
        <w:rPr>
          <w:rFonts w:hint="eastAsia" w:hAnsi="宋体" w:cs="宋体"/>
          <w:color w:val="auto"/>
          <w:sz w:val="24"/>
          <w:szCs w:val="24"/>
          <w:highlight w:val="none"/>
        </w:rPr>
        <w:t>。</w:t>
      </w:r>
    </w:p>
    <w:p w14:paraId="2DFAE7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十</w:t>
      </w:r>
      <w:r>
        <w:rPr>
          <w:rFonts w:hint="eastAsia" w:ascii="宋体" w:hAnsi="宋体" w:eastAsia="宋体" w:cs="Times New Roman"/>
          <w:b/>
          <w:color w:val="auto"/>
          <w:sz w:val="24"/>
          <w:szCs w:val="24"/>
          <w:highlight w:val="none"/>
          <w:lang w:val="en-US" w:eastAsia="zh-CN"/>
        </w:rPr>
        <w:t>三</w:t>
      </w:r>
      <w:r>
        <w:rPr>
          <w:rFonts w:hint="eastAsia" w:ascii="宋体" w:hAnsi="宋体" w:cs="Times New Roman"/>
          <w:b/>
          <w:color w:val="auto"/>
          <w:sz w:val="24"/>
          <w:szCs w:val="24"/>
          <w:highlight w:val="none"/>
        </w:rPr>
        <w:t>、双方约定本合同其他相关事项为：</w:t>
      </w:r>
    </w:p>
    <w:p w14:paraId="5373E138">
      <w:pPr>
        <w:pStyle w:val="4"/>
        <w:keepNext w:val="0"/>
        <w:keepLines w:val="0"/>
        <w:pageBreakBefore w:val="0"/>
        <w:widowControl w:val="0"/>
        <w:kinsoku/>
        <w:wordWrap/>
        <w:overflowPunct/>
        <w:topLinePunct w:val="0"/>
        <w:autoSpaceDE/>
        <w:autoSpaceDN/>
        <w:bidi w:val="0"/>
        <w:adjustRightInd/>
        <w:snapToGrid/>
        <w:spacing w:line="440" w:lineRule="exact"/>
        <w:ind w:firstLine="440"/>
        <w:textAlignment w:val="auto"/>
        <w:rPr>
          <w:rFonts w:hint="eastAsia" w:hAnsi="宋体" w:cs="宋体"/>
          <w:color w:val="auto"/>
          <w:sz w:val="24"/>
          <w:szCs w:val="24"/>
          <w:highlight w:val="none"/>
        </w:rPr>
      </w:pPr>
      <w:r>
        <w:rPr>
          <w:rFonts w:hint="eastAsia" w:hAnsi="宋体" w:cs="宋体"/>
          <w:color w:val="auto"/>
          <w:sz w:val="24"/>
          <w:szCs w:val="24"/>
          <w:highlight w:val="none"/>
        </w:rPr>
        <w:t>1.为保证乙方有效进行技术研究工作，甲方应当向乙方提供下列协作事项：</w:t>
      </w:r>
    </w:p>
    <w:p w14:paraId="7FDBA483">
      <w:pPr>
        <w:pStyle w:val="4"/>
        <w:keepNext w:val="0"/>
        <w:keepLines w:val="0"/>
        <w:pageBreakBefore w:val="0"/>
        <w:widowControl w:val="0"/>
        <w:kinsoku/>
        <w:wordWrap/>
        <w:overflowPunct/>
        <w:topLinePunct w:val="0"/>
        <w:autoSpaceDE/>
        <w:autoSpaceDN/>
        <w:bidi w:val="0"/>
        <w:adjustRightInd/>
        <w:snapToGrid/>
        <w:spacing w:line="440" w:lineRule="exact"/>
        <w:ind w:firstLine="440"/>
        <w:textAlignment w:val="auto"/>
        <w:rPr>
          <w:rFonts w:hint="eastAsia" w:hAnsi="宋体" w:cs="宋体"/>
          <w:color w:val="auto"/>
          <w:sz w:val="24"/>
          <w:szCs w:val="24"/>
          <w:highlight w:val="none"/>
        </w:rPr>
      </w:pPr>
      <w:r>
        <w:rPr>
          <w:rFonts w:hint="eastAsia" w:hAnsi="宋体" w:cs="宋体"/>
          <w:color w:val="auto"/>
          <w:sz w:val="24"/>
          <w:szCs w:val="24"/>
          <w:highlight w:val="none"/>
        </w:rPr>
        <w:t>Ⅰ、提供技术资料，协调乙方开展资料和技术文件的收集工作。</w:t>
      </w:r>
    </w:p>
    <w:p w14:paraId="6C548142">
      <w:pPr>
        <w:pStyle w:val="4"/>
        <w:keepNext w:val="0"/>
        <w:keepLines w:val="0"/>
        <w:pageBreakBefore w:val="0"/>
        <w:widowControl w:val="0"/>
        <w:kinsoku/>
        <w:wordWrap/>
        <w:overflowPunct/>
        <w:topLinePunct w:val="0"/>
        <w:autoSpaceDE/>
        <w:autoSpaceDN/>
        <w:bidi w:val="0"/>
        <w:adjustRightInd/>
        <w:snapToGrid/>
        <w:spacing w:line="440" w:lineRule="exact"/>
        <w:ind w:firstLine="440"/>
        <w:textAlignment w:val="auto"/>
        <w:rPr>
          <w:rFonts w:hint="eastAsia" w:hAnsi="宋体" w:cs="宋体"/>
          <w:color w:val="auto"/>
          <w:sz w:val="24"/>
          <w:szCs w:val="24"/>
          <w:highlight w:val="none"/>
        </w:rPr>
      </w:pPr>
      <w:r>
        <w:rPr>
          <w:rFonts w:hint="eastAsia" w:hAnsi="宋体" w:cs="宋体"/>
          <w:color w:val="auto"/>
          <w:sz w:val="24"/>
          <w:szCs w:val="24"/>
          <w:highlight w:val="none"/>
        </w:rPr>
        <w:t>2.本合同的变更必须由双方协商一致，并以书面形式确定。但有下列情形之一的，一方可以向另一方提出变更合同权利与义务的请求，另一方应当在</w:t>
      </w:r>
      <w:r>
        <w:rPr>
          <w:rFonts w:hint="eastAsia" w:hAnsi="宋体" w:cs="宋体"/>
          <w:color w:val="auto"/>
          <w:sz w:val="24"/>
          <w:szCs w:val="24"/>
          <w:highlight w:val="none"/>
          <w:u w:val="single"/>
        </w:rPr>
        <w:t xml:space="preserve">  伍  </w:t>
      </w:r>
      <w:r>
        <w:rPr>
          <w:rFonts w:hint="eastAsia" w:hAnsi="宋体" w:cs="宋体"/>
          <w:color w:val="auto"/>
          <w:sz w:val="24"/>
          <w:szCs w:val="24"/>
          <w:highlight w:val="none"/>
        </w:rPr>
        <w:t>个工作日内予以答复；逾期未予答复的，视为同意：（1）甲方向乙方提交的基础资料有重大变化；（2）在项目过程中，国家、省或地方管理部门出台新的政策影响项目的进展；（3）项目行政主管部门发生变化。</w:t>
      </w:r>
    </w:p>
    <w:p w14:paraId="77F5DCC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十</w:t>
      </w:r>
      <w:r>
        <w:rPr>
          <w:rFonts w:hint="eastAsia" w:ascii="宋体" w:hAnsi="宋体" w:eastAsia="宋体" w:cs="Times New Roman"/>
          <w:b/>
          <w:color w:val="auto"/>
          <w:sz w:val="24"/>
          <w:szCs w:val="24"/>
          <w:highlight w:val="none"/>
          <w:lang w:val="en-US" w:eastAsia="zh-CN"/>
        </w:rPr>
        <w:t>四</w:t>
      </w:r>
      <w:r>
        <w:rPr>
          <w:rFonts w:hint="eastAsia" w:ascii="宋体" w:hAnsi="宋体" w:cs="Times New Roman"/>
          <w:b/>
          <w:color w:val="auto"/>
          <w:sz w:val="24"/>
          <w:szCs w:val="24"/>
          <w:highlight w:val="none"/>
        </w:rPr>
        <w:t>、本合同一式肆份，双方各执贰份，具有同等法律效力。</w:t>
      </w:r>
    </w:p>
    <w:p w14:paraId="590553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十</w:t>
      </w:r>
      <w:r>
        <w:rPr>
          <w:rFonts w:hint="eastAsia" w:ascii="宋体" w:hAnsi="宋体" w:eastAsia="宋体" w:cs="Times New Roman"/>
          <w:b/>
          <w:color w:val="auto"/>
          <w:sz w:val="24"/>
          <w:szCs w:val="24"/>
          <w:highlight w:val="none"/>
          <w:lang w:val="en-US" w:eastAsia="zh-CN"/>
        </w:rPr>
        <w:t>五</w:t>
      </w:r>
      <w:r>
        <w:rPr>
          <w:rFonts w:hint="eastAsia" w:ascii="宋体" w:hAnsi="宋体" w:cs="Times New Roman"/>
          <w:b/>
          <w:color w:val="auto"/>
          <w:sz w:val="24"/>
          <w:szCs w:val="24"/>
          <w:highlight w:val="none"/>
        </w:rPr>
        <w:t>、本合同经双方盖章、法定代表人或授权代理人签名后生效。</w:t>
      </w:r>
    </w:p>
    <w:p w14:paraId="36BA4361">
      <w:pPr>
        <w:pStyle w:val="4"/>
        <w:keepNext w:val="0"/>
        <w:keepLines w:val="0"/>
        <w:pageBreakBefore w:val="0"/>
        <w:widowControl w:val="0"/>
        <w:kinsoku/>
        <w:wordWrap/>
        <w:overflowPunct/>
        <w:topLinePunct w:val="0"/>
        <w:autoSpaceDE/>
        <w:autoSpaceDN/>
        <w:bidi w:val="0"/>
        <w:adjustRightInd/>
        <w:snapToGrid/>
        <w:spacing w:before="120" w:after="120" w:line="440" w:lineRule="exact"/>
        <w:ind w:left="479" w:hanging="240"/>
        <w:textAlignment w:val="auto"/>
        <w:rPr>
          <w:rFonts w:hint="eastAsia" w:hAnsi="宋体" w:cs="Times New Roman"/>
          <w:color w:val="auto"/>
          <w:sz w:val="24"/>
          <w:szCs w:val="24"/>
          <w:highlight w:val="none"/>
        </w:rPr>
      </w:pPr>
      <w:r>
        <w:rPr>
          <w:rFonts w:hAnsi="宋体" w:cs="Times New Roman"/>
          <w:color w:val="auto"/>
          <w:sz w:val="24"/>
          <w:szCs w:val="24"/>
          <w:highlight w:val="none"/>
        </w:rPr>
        <w:t xml:space="preserve">甲方：                                   乙方： </w:t>
      </w:r>
    </w:p>
    <w:p w14:paraId="3D3A9D56">
      <w:pPr>
        <w:pStyle w:val="4"/>
        <w:keepNext w:val="0"/>
        <w:keepLines w:val="0"/>
        <w:pageBreakBefore w:val="0"/>
        <w:widowControl w:val="0"/>
        <w:kinsoku/>
        <w:wordWrap/>
        <w:overflowPunct/>
        <w:topLinePunct w:val="0"/>
        <w:autoSpaceDE/>
        <w:autoSpaceDN/>
        <w:bidi w:val="0"/>
        <w:adjustRightInd/>
        <w:snapToGrid/>
        <w:spacing w:before="120" w:after="120" w:line="440" w:lineRule="exact"/>
        <w:textAlignment w:val="auto"/>
        <w:rPr>
          <w:rFonts w:hint="eastAsia" w:hAnsi="宋体" w:cs="Times New Roman"/>
          <w:color w:val="auto"/>
          <w:sz w:val="24"/>
          <w:szCs w:val="24"/>
          <w:highlight w:val="none"/>
        </w:rPr>
      </w:pPr>
      <w:r>
        <w:rPr>
          <w:rFonts w:hAnsi="宋体" w:cs="Times New Roman"/>
          <w:color w:val="auto"/>
          <w:sz w:val="24"/>
          <w:szCs w:val="24"/>
          <w:highlight w:val="none"/>
        </w:rPr>
        <w:t xml:space="preserve">  地址：                                   地址： </w:t>
      </w:r>
    </w:p>
    <w:p w14:paraId="37CBC319">
      <w:pPr>
        <w:pStyle w:val="4"/>
        <w:keepNext w:val="0"/>
        <w:keepLines w:val="0"/>
        <w:pageBreakBefore w:val="0"/>
        <w:widowControl w:val="0"/>
        <w:kinsoku/>
        <w:wordWrap/>
        <w:overflowPunct/>
        <w:topLinePunct w:val="0"/>
        <w:autoSpaceDE/>
        <w:autoSpaceDN/>
        <w:bidi w:val="0"/>
        <w:adjustRightInd/>
        <w:snapToGrid/>
        <w:spacing w:before="120" w:after="120" w:line="440" w:lineRule="exact"/>
        <w:ind w:left="240" w:hanging="240"/>
        <w:textAlignment w:val="auto"/>
        <w:rPr>
          <w:rFonts w:hint="eastAsia" w:hAnsi="宋体" w:cs="Times New Roman"/>
          <w:color w:val="auto"/>
          <w:sz w:val="24"/>
          <w:szCs w:val="24"/>
          <w:highlight w:val="none"/>
        </w:rPr>
      </w:pPr>
      <w:r>
        <w:rPr>
          <w:rFonts w:hAnsi="宋体" w:cs="Times New Roman"/>
          <w:color w:val="auto"/>
          <w:sz w:val="24"/>
          <w:szCs w:val="24"/>
          <w:highlight w:val="none"/>
        </w:rPr>
        <w:t xml:space="preserve">  法定代表人</w:t>
      </w:r>
      <w:r>
        <w:rPr>
          <w:rFonts w:hint="eastAsia" w:hAnsi="宋体" w:cs="Times New Roman"/>
          <w:color w:val="auto"/>
          <w:sz w:val="24"/>
          <w:szCs w:val="24"/>
          <w:highlight w:val="none"/>
        </w:rPr>
        <w:t>或授权代理人</w:t>
      </w:r>
      <w:r>
        <w:rPr>
          <w:rFonts w:hAnsi="宋体" w:cs="Times New Roman"/>
          <w:color w:val="auto"/>
          <w:sz w:val="24"/>
          <w:szCs w:val="24"/>
          <w:highlight w:val="none"/>
        </w:rPr>
        <w:t>：                法定代表人</w:t>
      </w:r>
      <w:r>
        <w:rPr>
          <w:rFonts w:hint="eastAsia" w:hAnsi="宋体" w:cs="Times New Roman"/>
          <w:color w:val="auto"/>
          <w:sz w:val="24"/>
          <w:szCs w:val="24"/>
          <w:highlight w:val="none"/>
        </w:rPr>
        <w:t>或授权代理人</w:t>
      </w:r>
      <w:r>
        <w:rPr>
          <w:rFonts w:hAnsi="宋体" w:cs="Times New Roman"/>
          <w:color w:val="auto"/>
          <w:sz w:val="24"/>
          <w:szCs w:val="24"/>
          <w:highlight w:val="none"/>
        </w:rPr>
        <w:t>：</w:t>
      </w:r>
    </w:p>
    <w:p w14:paraId="7D760136">
      <w:pPr>
        <w:pStyle w:val="4"/>
        <w:keepNext w:val="0"/>
        <w:keepLines w:val="0"/>
        <w:pageBreakBefore w:val="0"/>
        <w:widowControl w:val="0"/>
        <w:kinsoku/>
        <w:wordWrap/>
        <w:overflowPunct/>
        <w:topLinePunct w:val="0"/>
        <w:autoSpaceDE/>
        <w:autoSpaceDN/>
        <w:bidi w:val="0"/>
        <w:adjustRightInd/>
        <w:snapToGrid/>
        <w:spacing w:before="120" w:after="120" w:line="440" w:lineRule="exact"/>
        <w:ind w:left="210" w:firstLine="120"/>
        <w:textAlignment w:val="auto"/>
        <w:rPr>
          <w:rFonts w:hint="eastAsia" w:hAnsi="宋体" w:cs="Times New Roman"/>
          <w:color w:val="auto"/>
          <w:sz w:val="24"/>
          <w:szCs w:val="24"/>
          <w:highlight w:val="none"/>
        </w:rPr>
      </w:pPr>
      <w:r>
        <w:rPr>
          <w:rFonts w:hint="eastAsia" w:hAnsi="宋体" w:cs="Times New Roman"/>
          <w:color w:val="auto"/>
          <w:sz w:val="24"/>
          <w:szCs w:val="24"/>
          <w:highlight w:val="none"/>
        </w:rPr>
        <w:t>联系电话：                               联系电话：</w:t>
      </w:r>
    </w:p>
    <w:p w14:paraId="16E0E5EE">
      <w:pPr>
        <w:spacing w:line="360" w:lineRule="auto"/>
        <w:rPr>
          <w:color w:val="auto"/>
          <w:sz w:val="24"/>
          <w:szCs w:val="24"/>
          <w:highlight w:val="none"/>
        </w:rPr>
        <w:sectPr>
          <w:pgSz w:w="11906" w:h="16838"/>
          <w:pgMar w:top="1440" w:right="1800" w:bottom="1440" w:left="1800" w:header="851" w:footer="992" w:gutter="0"/>
          <w:cols w:space="720" w:num="1"/>
          <w:docGrid w:linePitch="360" w:charSpace="0"/>
        </w:sectPr>
      </w:pPr>
    </w:p>
    <w:p w14:paraId="04F76A2D">
      <w:pPr>
        <w:spacing w:line="420" w:lineRule="exact"/>
        <w:ind w:left="703" w:right="281" w:hanging="703"/>
        <w:jc w:val="center"/>
        <w:rPr>
          <w:rFonts w:hint="eastAsia" w:ascii="宋体" w:hAnsi="宋体" w:cs="Times New Roman"/>
          <w:b/>
          <w:bCs/>
          <w:color w:val="auto"/>
          <w:sz w:val="40"/>
          <w:szCs w:val="40"/>
          <w:highlight w:val="none"/>
        </w:rPr>
      </w:pPr>
      <w:r>
        <w:rPr>
          <w:rFonts w:hint="eastAsia" w:ascii="宋体" w:hAnsi="宋体" w:cs="Times New Roman"/>
          <w:b/>
          <w:bCs/>
          <w:color w:val="auto"/>
          <w:sz w:val="40"/>
          <w:szCs w:val="40"/>
          <w:highlight w:val="none"/>
        </w:rPr>
        <w:t>廉 政 合 同</w:t>
      </w:r>
    </w:p>
    <w:p w14:paraId="3AF331EF">
      <w:pPr>
        <w:spacing w:line="420" w:lineRule="exact"/>
        <w:ind w:left="703" w:right="281" w:hanging="703"/>
        <w:jc w:val="center"/>
        <w:rPr>
          <w:rFonts w:hint="eastAsia" w:ascii="宋体" w:hAnsi="宋体" w:cs="Times New Roman"/>
          <w:b/>
          <w:bCs/>
          <w:color w:val="auto"/>
          <w:sz w:val="40"/>
          <w:szCs w:val="40"/>
          <w:highlight w:val="none"/>
        </w:rPr>
      </w:pPr>
    </w:p>
    <w:p w14:paraId="5C14E6BF">
      <w:pPr>
        <w:spacing w:line="360" w:lineRule="auto"/>
        <w:ind w:left="386" w:right="283" w:hanging="386"/>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甲方：江苏大丰港经济开发区管理委员会              </w:t>
      </w:r>
      <w:r>
        <w:rPr>
          <w:rFonts w:hint="eastAsia" w:ascii="宋体" w:hAnsi="宋体" w:cs="Times New Roman"/>
          <w:color w:val="auto"/>
          <w:sz w:val="24"/>
          <w:szCs w:val="24"/>
          <w:highlight w:val="none"/>
        </w:rPr>
        <w:tab/>
      </w:r>
    </w:p>
    <w:p w14:paraId="4A4FE4B3">
      <w:pPr>
        <w:spacing w:line="360" w:lineRule="auto"/>
        <w:ind w:left="386" w:right="283" w:hanging="386"/>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乙方：                   </w:t>
      </w:r>
    </w:p>
    <w:p w14:paraId="51742B85">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为强化抓源治本工作力度，从制度机制上进一步规范建设行为，杜绝不廉洁行为，特订立本合同，双方遵照执行。</w:t>
      </w:r>
    </w:p>
    <w:p w14:paraId="01AE33DB">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一、双方职责</w:t>
      </w:r>
    </w:p>
    <w:p w14:paraId="02231229">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1、甲、乙双方必须严格遵守国家法律、法规、政策及各项廉政规定，恪守职业道德规范。</w:t>
      </w:r>
    </w:p>
    <w:p w14:paraId="6BDE436C">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2、甲、乙双方在具体工程建设行为中，必须严格遵守招投标法规定的原则、方式、程序，保证公平、公正、公开。</w:t>
      </w:r>
    </w:p>
    <w:p w14:paraId="09EA0BC3">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3、甲、乙双方不得相互串通，损害国家利益、社会公共利益及其他当事人的合法权益。</w:t>
      </w:r>
    </w:p>
    <w:p w14:paraId="133FC2FE">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5FBE39E3">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260B4172">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6、甲方工作人员及其配偶、子女不得以打“业务牌”等形式变相接受乙方的钱物；乙方不得以打“业务牌”的形式向甲方工作人员及其配偶、子女变相送钱物。</w:t>
      </w:r>
    </w:p>
    <w:p w14:paraId="71E63E64">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7、甲方工作人员及其配偶、子女不得在乙方报销应由个人支付的费用或领取报酬；乙方不得为甲方工作人员及其配偶、子女报销应由个人支付的费用或发放报酬。</w:t>
      </w:r>
    </w:p>
    <w:p w14:paraId="5EB71061">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二、违约责任：</w:t>
      </w:r>
    </w:p>
    <w:p w14:paraId="65CE835D">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1、甲方发生违约行为，一经查实将视情节轻重对直接责任人进行严肃处理并追究主管人员的责任。</w:t>
      </w:r>
    </w:p>
    <w:p w14:paraId="03589B61">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2、乙方发生违约行为，甲方有权解除合同，并将其列入“黑名单”在一定范围内公布，三年内不得参加辖区内的工程建设。</w:t>
      </w:r>
    </w:p>
    <w:p w14:paraId="5950C574">
      <w:pPr>
        <w:spacing w:line="360" w:lineRule="auto"/>
        <w:ind w:firstLine="4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三、本合同经双方盖章、法定代表人或授权代理人签名后生效。</w:t>
      </w:r>
    </w:p>
    <w:p w14:paraId="56C1145F">
      <w:pPr>
        <w:spacing w:line="360" w:lineRule="auto"/>
        <w:ind w:left="386" w:right="283" w:hanging="386"/>
        <w:rPr>
          <w:rFonts w:hint="eastAsia" w:ascii="宋体" w:hAnsi="宋体" w:cs="Times New Roman"/>
          <w:color w:val="auto"/>
          <w:sz w:val="24"/>
          <w:szCs w:val="24"/>
          <w:highlight w:val="none"/>
        </w:rPr>
      </w:pPr>
    </w:p>
    <w:p w14:paraId="4387842E">
      <w:pPr>
        <w:spacing w:line="360" w:lineRule="auto"/>
        <w:ind w:left="386" w:right="283" w:hanging="386"/>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    甲方：                           </w:t>
      </w:r>
      <w:r>
        <w:rPr>
          <w:rFonts w:hint="eastAsia" w:ascii="宋体" w:hAnsi="宋体" w:cs="Times New Roman"/>
          <w:color w:val="auto"/>
          <w:sz w:val="24"/>
          <w:szCs w:val="24"/>
          <w:highlight w:val="none"/>
        </w:rPr>
        <w:tab/>
      </w:r>
      <w:r>
        <w:rPr>
          <w:rFonts w:hint="eastAsia" w:ascii="宋体" w:hAnsi="宋体" w:cs="Times New Roman"/>
          <w:color w:val="auto"/>
          <w:sz w:val="24"/>
          <w:szCs w:val="24"/>
          <w:highlight w:val="none"/>
        </w:rPr>
        <w:t xml:space="preserve">    乙方：</w:t>
      </w:r>
    </w:p>
    <w:p w14:paraId="1F9B2392">
      <w:pPr>
        <w:spacing w:line="360" w:lineRule="auto"/>
        <w:ind w:left="386" w:right="283" w:hanging="386"/>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    地址：                            </w:t>
      </w:r>
      <w:r>
        <w:rPr>
          <w:rFonts w:hint="eastAsia" w:ascii="宋体" w:hAnsi="宋体" w:cs="Times New Roman"/>
          <w:color w:val="auto"/>
          <w:sz w:val="24"/>
          <w:szCs w:val="24"/>
          <w:highlight w:val="none"/>
        </w:rPr>
        <w:tab/>
      </w:r>
      <w:r>
        <w:rPr>
          <w:rFonts w:hint="eastAsia" w:ascii="宋体" w:hAnsi="宋体" w:cs="Times New Roman"/>
          <w:color w:val="auto"/>
          <w:sz w:val="24"/>
          <w:szCs w:val="24"/>
          <w:highlight w:val="none"/>
        </w:rPr>
        <w:tab/>
      </w:r>
      <w:r>
        <w:rPr>
          <w:rFonts w:hint="eastAsia" w:ascii="宋体" w:hAnsi="宋体" w:cs="Times New Roman"/>
          <w:color w:val="auto"/>
          <w:sz w:val="24"/>
          <w:szCs w:val="24"/>
          <w:highlight w:val="none"/>
        </w:rPr>
        <w:t>地址：</w:t>
      </w:r>
    </w:p>
    <w:p w14:paraId="654F6563">
      <w:pPr>
        <w:spacing w:line="360" w:lineRule="auto"/>
        <w:ind w:left="386" w:right="283" w:hanging="386"/>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    法定代表人                        </w:t>
      </w:r>
      <w:r>
        <w:rPr>
          <w:rFonts w:hint="eastAsia" w:ascii="宋体" w:hAnsi="宋体" w:cs="Times New Roman"/>
          <w:color w:val="auto"/>
          <w:sz w:val="24"/>
          <w:szCs w:val="24"/>
          <w:highlight w:val="none"/>
        </w:rPr>
        <w:tab/>
      </w:r>
      <w:r>
        <w:rPr>
          <w:rFonts w:hint="eastAsia" w:ascii="宋体" w:hAnsi="宋体" w:cs="Times New Roman"/>
          <w:color w:val="auto"/>
          <w:sz w:val="24"/>
          <w:szCs w:val="24"/>
          <w:highlight w:val="none"/>
        </w:rPr>
        <w:tab/>
      </w:r>
      <w:r>
        <w:rPr>
          <w:rFonts w:hint="eastAsia" w:ascii="宋体" w:hAnsi="宋体" w:cs="Times New Roman"/>
          <w:color w:val="auto"/>
          <w:sz w:val="24"/>
          <w:szCs w:val="24"/>
          <w:highlight w:val="none"/>
        </w:rPr>
        <w:t>法定代表人</w:t>
      </w:r>
    </w:p>
    <w:p w14:paraId="4BC1A838">
      <w:pPr>
        <w:spacing w:line="360" w:lineRule="auto"/>
        <w:ind w:left="386" w:right="283" w:hanging="386"/>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    或其授权代理人：                  </w:t>
      </w:r>
      <w:r>
        <w:rPr>
          <w:rFonts w:hint="eastAsia" w:ascii="宋体" w:hAnsi="宋体" w:cs="Times New Roman"/>
          <w:color w:val="auto"/>
          <w:sz w:val="24"/>
          <w:szCs w:val="24"/>
          <w:highlight w:val="none"/>
        </w:rPr>
        <w:tab/>
      </w:r>
      <w:r>
        <w:rPr>
          <w:rFonts w:hint="eastAsia" w:ascii="宋体" w:hAnsi="宋体" w:cs="Times New Roman"/>
          <w:color w:val="auto"/>
          <w:sz w:val="24"/>
          <w:szCs w:val="24"/>
          <w:highlight w:val="none"/>
        </w:rPr>
        <w:tab/>
      </w:r>
      <w:r>
        <w:rPr>
          <w:rFonts w:hint="eastAsia" w:ascii="宋体" w:hAnsi="宋体" w:cs="Times New Roman"/>
          <w:color w:val="auto"/>
          <w:sz w:val="24"/>
          <w:szCs w:val="24"/>
          <w:highlight w:val="none"/>
        </w:rPr>
        <w:t>或其授权代理人：</w:t>
      </w:r>
    </w:p>
    <w:p w14:paraId="16DF5B79">
      <w:pPr>
        <w:tabs>
          <w:tab w:val="center" w:pos="4576"/>
        </w:tabs>
        <w:spacing w:line="360" w:lineRule="auto"/>
        <w:ind w:left="386" w:right="283" w:hanging="386"/>
        <w:rPr>
          <w:rFonts w:hint="eastAsia" w:ascii="宋体" w:hAnsi="宋体"/>
          <w:color w:val="auto"/>
          <w:sz w:val="24"/>
          <w:szCs w:val="24"/>
          <w:highlight w:val="none"/>
        </w:rPr>
        <w:sectPr>
          <w:footerReference r:id="rId6" w:type="default"/>
          <w:pgSz w:w="11906" w:h="16838"/>
          <w:pgMar w:top="1440" w:right="1800" w:bottom="1440" w:left="1800" w:header="851" w:footer="992" w:gutter="0"/>
          <w:cols w:space="720" w:num="1"/>
          <w:docGrid w:linePitch="360" w:charSpace="0"/>
        </w:sectPr>
      </w:pPr>
      <w:r>
        <w:rPr>
          <w:rFonts w:hint="eastAsia" w:ascii="宋体" w:hAnsi="宋体" w:cs="Times New Roman"/>
          <w:color w:val="auto"/>
          <w:sz w:val="24"/>
          <w:szCs w:val="24"/>
          <w:highlight w:val="none"/>
        </w:rPr>
        <w:t xml:space="preserve">    </w:t>
      </w:r>
      <w:r>
        <w:rPr>
          <w:rFonts w:hint="eastAsia" w:ascii="宋体" w:hAnsi="宋体" w:cs="Times New Roman"/>
          <w:color w:val="auto"/>
          <w:sz w:val="24"/>
          <w:szCs w:val="24"/>
          <w:highlight w:val="none"/>
          <w:lang w:val="en-US" w:eastAsia="zh-CN"/>
        </w:rPr>
        <w:t>2026</w:t>
      </w:r>
      <w:r>
        <w:rPr>
          <w:rFonts w:hint="eastAsia" w:ascii="宋体" w:hAnsi="宋体" w:cs="Times New Roman"/>
          <w:color w:val="auto"/>
          <w:sz w:val="24"/>
          <w:szCs w:val="24"/>
          <w:highlight w:val="none"/>
        </w:rPr>
        <w:t>年    月    日</w:t>
      </w:r>
      <w:r>
        <w:rPr>
          <w:rFonts w:hint="eastAsia" w:ascii="宋体" w:hAnsi="宋体" w:cs="Times New Roman"/>
          <w:color w:val="auto"/>
          <w:sz w:val="24"/>
          <w:szCs w:val="24"/>
          <w:highlight w:val="none"/>
        </w:rPr>
        <w:tab/>
      </w:r>
      <w:r>
        <w:rPr>
          <w:rFonts w:hint="eastAsia" w:ascii="宋体" w:hAnsi="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cs="Times New Roman"/>
          <w:color w:val="auto"/>
          <w:sz w:val="24"/>
          <w:szCs w:val="24"/>
          <w:highlight w:val="none"/>
        </w:rPr>
        <w:t xml:space="preserve"> </w:t>
      </w:r>
      <w:r>
        <w:rPr>
          <w:rFonts w:hint="eastAsia" w:ascii="宋体" w:hAnsi="宋体" w:cs="Times New Roman"/>
          <w:color w:val="auto"/>
          <w:sz w:val="24"/>
          <w:szCs w:val="24"/>
          <w:highlight w:val="none"/>
          <w:lang w:val="en-US" w:eastAsia="zh-CN"/>
        </w:rPr>
        <w:t>2026</w:t>
      </w:r>
      <w:r>
        <w:rPr>
          <w:rFonts w:hint="eastAsia" w:ascii="宋体" w:hAnsi="宋体" w:cs="Times New Roman"/>
          <w:color w:val="auto"/>
          <w:sz w:val="24"/>
          <w:szCs w:val="24"/>
          <w:highlight w:val="none"/>
        </w:rPr>
        <w:t>年    月    日</w:t>
      </w:r>
    </w:p>
    <w:p w14:paraId="6C9B9FE4">
      <w:pPr>
        <w:tabs>
          <w:tab w:val="left" w:pos="6264"/>
        </w:tabs>
        <w:spacing w:line="560" w:lineRule="exact"/>
        <w:jc w:val="center"/>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安全服务合同</w:t>
      </w:r>
    </w:p>
    <w:p w14:paraId="47657180">
      <w:pPr>
        <w:spacing w:line="360" w:lineRule="auto"/>
        <w:jc w:val="left"/>
        <w:rPr>
          <w:rFonts w:hint="eastAsia" w:ascii="宋体" w:hAnsi="宋体" w:cs="Times New Roman"/>
          <w:color w:val="auto"/>
          <w:sz w:val="24"/>
          <w:szCs w:val="24"/>
          <w:highlight w:val="none"/>
        </w:rPr>
      </w:pPr>
    </w:p>
    <w:p w14:paraId="0A6C5802">
      <w:pPr>
        <w:spacing w:line="360" w:lineRule="auto"/>
        <w:jc w:val="lef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甲 方： </w:t>
      </w:r>
      <w:r>
        <w:rPr>
          <w:rFonts w:hint="eastAsia" w:ascii="宋体" w:hAnsi="宋体" w:cs="Times New Roman"/>
          <w:color w:val="auto"/>
          <w:sz w:val="24"/>
          <w:szCs w:val="24"/>
          <w:highlight w:val="none"/>
          <w:u w:val="single"/>
        </w:rPr>
        <w:t>江苏大丰港经济开发区管理委员会</w:t>
      </w:r>
      <w:r>
        <w:rPr>
          <w:rFonts w:hint="eastAsia" w:ascii="宋体" w:hAnsi="宋体" w:cs="Times New Roman"/>
          <w:color w:val="auto"/>
          <w:sz w:val="24"/>
          <w:szCs w:val="24"/>
          <w:highlight w:val="none"/>
        </w:rPr>
        <w:t xml:space="preserve"> </w:t>
      </w:r>
    </w:p>
    <w:p w14:paraId="2B2393FF">
      <w:pPr>
        <w:spacing w:line="360" w:lineRule="auto"/>
        <w:jc w:val="lef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乙 方： </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  </w:t>
      </w:r>
    </w:p>
    <w:p w14:paraId="34585571">
      <w:pPr>
        <w:pStyle w:val="5"/>
        <w:spacing w:line="360" w:lineRule="auto"/>
        <w:rPr>
          <w:rFonts w:ascii="宋体" w:hAnsi="Times New Roman"/>
          <w:color w:val="auto"/>
          <w:sz w:val="24"/>
          <w:szCs w:val="24"/>
          <w:highlight w:val="none"/>
        </w:rPr>
      </w:pPr>
    </w:p>
    <w:p w14:paraId="5BEE1334">
      <w:pPr>
        <w:keepNext w:val="0"/>
        <w:keepLines w:val="0"/>
        <w:pageBreakBefore w:val="0"/>
        <w:widowControl w:val="0"/>
        <w:kinsoku/>
        <w:wordWrap/>
        <w:overflowPunct/>
        <w:topLinePunct w:val="0"/>
        <w:autoSpaceDE/>
        <w:autoSpaceDN/>
        <w:bidi w:val="0"/>
        <w:adjustRightInd/>
        <w:snapToGrid/>
        <w:spacing w:line="50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为在</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服务合同的实施过程中创造安全、高效的实施环境，切实搞好本项目的安全管理工作，本项目甲方江苏大丰港经济开发区管理委员会 （以下简称“甲方”）与供应商</w:t>
      </w:r>
      <w:r>
        <w:rPr>
          <w:rFonts w:hint="eastAsia" w:ascii="宋体" w:hAnsi="宋体" w:cs="Times New Roman"/>
          <w:color w:val="auto"/>
          <w:sz w:val="24"/>
          <w:szCs w:val="24"/>
          <w:highlight w:val="none"/>
          <w:u w:val="single"/>
        </w:rPr>
        <w:t xml:space="preserve">                         </w:t>
      </w:r>
      <w:r>
        <w:rPr>
          <w:rFonts w:hint="eastAsia" w:ascii="宋体" w:hAnsi="宋体" w:cs="Times New Roman"/>
          <w:color w:val="auto"/>
          <w:sz w:val="24"/>
          <w:szCs w:val="24"/>
          <w:highlight w:val="none"/>
        </w:rPr>
        <w:t>（以下简称“乙方”）特此签订安全生产合同：</w:t>
      </w:r>
    </w:p>
    <w:p w14:paraId="5528A457">
      <w:pPr>
        <w:keepNext w:val="0"/>
        <w:keepLines w:val="0"/>
        <w:pageBreakBefore w:val="0"/>
        <w:widowControl w:val="0"/>
        <w:kinsoku/>
        <w:wordWrap/>
        <w:overflowPunct/>
        <w:topLinePunct w:val="0"/>
        <w:autoSpaceDE/>
        <w:autoSpaceDN/>
        <w:bidi w:val="0"/>
        <w:adjustRightInd/>
        <w:snapToGrid/>
        <w:spacing w:line="50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一、甲方职责</w:t>
      </w:r>
    </w:p>
    <w:p w14:paraId="12AEA615">
      <w:pPr>
        <w:keepNext w:val="0"/>
        <w:keepLines w:val="0"/>
        <w:pageBreakBefore w:val="0"/>
        <w:widowControl w:val="0"/>
        <w:kinsoku/>
        <w:wordWrap/>
        <w:overflowPunct/>
        <w:topLinePunct w:val="0"/>
        <w:autoSpaceDE/>
        <w:autoSpaceDN/>
        <w:bidi w:val="0"/>
        <w:adjustRightInd/>
        <w:snapToGrid/>
        <w:spacing w:line="50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1、严格遵守国家有关安全生产的法律、认真执行项目服务合同中的有关安全要求。</w:t>
      </w:r>
    </w:p>
    <w:p w14:paraId="45471D37">
      <w:pPr>
        <w:keepNext w:val="0"/>
        <w:keepLines w:val="0"/>
        <w:pageBreakBefore w:val="0"/>
        <w:widowControl w:val="0"/>
        <w:kinsoku/>
        <w:wordWrap/>
        <w:overflowPunct/>
        <w:topLinePunct w:val="0"/>
        <w:autoSpaceDE/>
        <w:autoSpaceDN/>
        <w:bidi w:val="0"/>
        <w:adjustRightInd/>
        <w:snapToGrid/>
        <w:spacing w:line="50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2、不得对乙方提出不符合项目安全生产法律、法规和强制性标准规定要求。</w:t>
      </w:r>
    </w:p>
    <w:p w14:paraId="00B8FF45">
      <w:pPr>
        <w:keepNext w:val="0"/>
        <w:keepLines w:val="0"/>
        <w:pageBreakBefore w:val="0"/>
        <w:widowControl w:val="0"/>
        <w:kinsoku/>
        <w:wordWrap/>
        <w:overflowPunct/>
        <w:topLinePunct w:val="0"/>
        <w:autoSpaceDE/>
        <w:autoSpaceDN/>
        <w:bidi w:val="0"/>
        <w:adjustRightInd/>
        <w:snapToGrid/>
        <w:spacing w:line="50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3、不得明示或暗示乙方购买、租赁、使用不符合安全项目踏勘或实施过程中要求的安全防护用具、机械设备、施工机具及配件。</w:t>
      </w:r>
    </w:p>
    <w:p w14:paraId="6E206193">
      <w:pPr>
        <w:keepNext w:val="0"/>
        <w:keepLines w:val="0"/>
        <w:pageBreakBefore w:val="0"/>
        <w:widowControl w:val="0"/>
        <w:kinsoku/>
        <w:wordWrap/>
        <w:overflowPunct/>
        <w:topLinePunct w:val="0"/>
        <w:autoSpaceDE/>
        <w:autoSpaceDN/>
        <w:bidi w:val="0"/>
        <w:adjustRightInd/>
        <w:snapToGrid/>
        <w:spacing w:line="50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二、乙方职责</w:t>
      </w:r>
    </w:p>
    <w:p w14:paraId="562FA425">
      <w:pPr>
        <w:keepNext w:val="0"/>
        <w:keepLines w:val="0"/>
        <w:pageBreakBefore w:val="0"/>
        <w:widowControl w:val="0"/>
        <w:kinsoku/>
        <w:wordWrap/>
        <w:overflowPunct/>
        <w:topLinePunct w:val="0"/>
        <w:autoSpaceDE/>
        <w:autoSpaceDN/>
        <w:bidi w:val="0"/>
        <w:adjustRightInd/>
        <w:snapToGrid/>
        <w:spacing w:line="50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1、乙方应遵守国家安全生产有关管理规定，严格按安全标准进行项目实施，采取一切必要的安全措施，消除事故隐患，确保项目服务过程中的安全，并对服务过程中发生的一切安全问题负责。</w:t>
      </w:r>
    </w:p>
    <w:p w14:paraId="3F8A0A00">
      <w:pPr>
        <w:keepNext w:val="0"/>
        <w:keepLines w:val="0"/>
        <w:pageBreakBefore w:val="0"/>
        <w:widowControl w:val="0"/>
        <w:kinsoku/>
        <w:wordWrap/>
        <w:overflowPunct/>
        <w:topLinePunct w:val="0"/>
        <w:autoSpaceDE/>
        <w:autoSpaceDN/>
        <w:bidi w:val="0"/>
        <w:adjustRightInd/>
        <w:snapToGrid/>
        <w:spacing w:line="50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2、坚持“安全第一、预防为主”和“管生产必须管安全”的原则，加强安全生产宣传教育，增强全员安全生产意识，建立健全各项安全生产的管理机构和安全生产管理制度。</w:t>
      </w:r>
    </w:p>
    <w:p w14:paraId="2AA9C7EB">
      <w:pPr>
        <w:keepNext w:val="0"/>
        <w:keepLines w:val="0"/>
        <w:pageBreakBefore w:val="0"/>
        <w:widowControl w:val="0"/>
        <w:kinsoku/>
        <w:wordWrap/>
        <w:overflowPunct/>
        <w:topLinePunct w:val="0"/>
        <w:autoSpaceDE/>
        <w:autoSpaceDN/>
        <w:bidi w:val="0"/>
        <w:adjustRightInd/>
        <w:snapToGrid/>
        <w:spacing w:line="50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3、乙方在任何时候都应采取各种合理的预防措施，防止其员工发生任何违法、违禁、暴力或妨碍治安的行为。</w:t>
      </w:r>
    </w:p>
    <w:p w14:paraId="0B03A910">
      <w:pPr>
        <w:keepNext w:val="0"/>
        <w:keepLines w:val="0"/>
        <w:pageBreakBefore w:val="0"/>
        <w:widowControl w:val="0"/>
        <w:kinsoku/>
        <w:wordWrap/>
        <w:overflowPunct/>
        <w:topLinePunct w:val="0"/>
        <w:autoSpaceDE/>
        <w:autoSpaceDN/>
        <w:bidi w:val="0"/>
        <w:adjustRightInd/>
        <w:snapToGrid/>
        <w:spacing w:line="50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3、乙方必须按照本项目特点，组织制定本本项目服务实施中的生产安全专项方案和事故应急救援预案；如果发生安全事故，应按照有关规定，及时上报有关部门，并坚持“三不放过”的原则，严肃处理相关责任。</w:t>
      </w:r>
    </w:p>
    <w:p w14:paraId="39B66BBA">
      <w:pPr>
        <w:keepNext w:val="0"/>
        <w:keepLines w:val="0"/>
        <w:pageBreakBefore w:val="0"/>
        <w:widowControl w:val="0"/>
        <w:kinsoku/>
        <w:wordWrap/>
        <w:overflowPunct/>
        <w:topLinePunct w:val="0"/>
        <w:autoSpaceDE/>
        <w:autoSpaceDN/>
        <w:bidi w:val="0"/>
        <w:adjustRightInd/>
        <w:snapToGrid/>
        <w:spacing w:line="50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三、违约责任</w:t>
      </w:r>
    </w:p>
    <w:p w14:paraId="5CB9B20D">
      <w:pPr>
        <w:keepNext w:val="0"/>
        <w:keepLines w:val="0"/>
        <w:pageBreakBefore w:val="0"/>
        <w:widowControl w:val="0"/>
        <w:kinsoku/>
        <w:wordWrap/>
        <w:overflowPunct/>
        <w:topLinePunct w:val="0"/>
        <w:autoSpaceDE/>
        <w:autoSpaceDN/>
        <w:bidi w:val="0"/>
        <w:adjustRightInd/>
        <w:snapToGrid/>
        <w:spacing w:line="50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1、乙方应对发生在本项目服务期限内的交通安全、安全事故（包括人员）负全部法律责任，并承担由此而发生的一切经济损失。</w:t>
      </w:r>
    </w:p>
    <w:p w14:paraId="5DCBC1D1">
      <w:pPr>
        <w:keepNext w:val="0"/>
        <w:keepLines w:val="0"/>
        <w:pageBreakBefore w:val="0"/>
        <w:widowControl w:val="0"/>
        <w:kinsoku/>
        <w:wordWrap/>
        <w:overflowPunct/>
        <w:topLinePunct w:val="0"/>
        <w:autoSpaceDE/>
        <w:autoSpaceDN/>
        <w:bidi w:val="0"/>
        <w:adjustRightInd/>
        <w:snapToGrid/>
        <w:spacing w:line="54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2、如乙方发生安全事故不及时妥善处理，引起纠纷或诉讼，甲方有权扣留其未付合同价款用于支付事故处理费用。</w:t>
      </w:r>
    </w:p>
    <w:p w14:paraId="30286906">
      <w:pPr>
        <w:keepNext w:val="0"/>
        <w:keepLines w:val="0"/>
        <w:pageBreakBefore w:val="0"/>
        <w:widowControl w:val="0"/>
        <w:kinsoku/>
        <w:wordWrap/>
        <w:overflowPunct/>
        <w:topLinePunct w:val="0"/>
        <w:autoSpaceDE/>
        <w:autoSpaceDN/>
        <w:bidi w:val="0"/>
        <w:adjustRightInd/>
        <w:snapToGrid/>
        <w:spacing w:line="540" w:lineRule="exact"/>
        <w:ind w:firstLine="420"/>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四、本合同由双方法定代表人／授权代理人签名与加盖公章后生效。</w:t>
      </w:r>
    </w:p>
    <w:p w14:paraId="77606C35">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    甲方：                                     乙方： </w:t>
      </w:r>
    </w:p>
    <w:p w14:paraId="06B66323">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    法定代表人／授权代理人：                  法定代表人／授权代理人：</w:t>
      </w:r>
    </w:p>
    <w:p w14:paraId="282FB99E">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hint="eastAsia" w:hAnsi="宋体" w:cs="宋体"/>
          <w:color w:val="auto"/>
          <w:sz w:val="24"/>
          <w:szCs w:val="24"/>
          <w:highlight w:val="none"/>
        </w:rPr>
        <w:sectPr>
          <w:footerReference r:id="rId7" w:type="default"/>
          <w:pgSz w:w="11906" w:h="16838"/>
          <w:pgMar w:top="1247" w:right="1385" w:bottom="1134" w:left="1281" w:header="851" w:footer="992" w:gutter="0"/>
          <w:cols w:space="720" w:num="1"/>
          <w:docGrid w:linePitch="360" w:charSpace="0"/>
        </w:sectPr>
      </w:pPr>
      <w:r>
        <w:rPr>
          <w:rFonts w:hint="eastAsia" w:ascii="宋体" w:hAnsi="宋体" w:cs="Times New Roman"/>
          <w:color w:val="auto"/>
          <w:sz w:val="24"/>
          <w:szCs w:val="24"/>
          <w:highlight w:val="none"/>
        </w:rPr>
        <w:t xml:space="preserve">    签字日期</w:t>
      </w:r>
      <w:r>
        <w:rPr>
          <w:rFonts w:hint="eastAsia" w:ascii="Times New Roman" w:hAnsi="宋体" w:cs="宋体"/>
          <w:color w:val="auto"/>
          <w:sz w:val="24"/>
          <w:szCs w:val="24"/>
          <w:highlight w:val="none"/>
        </w:rPr>
        <w:t xml:space="preserve">：   年   月   日 </w:t>
      </w:r>
      <w:r>
        <w:rPr>
          <w:rFonts w:hint="eastAsia" w:ascii="宋体" w:hAnsi="宋体" w:cs="Times New Roman"/>
          <w:color w:val="auto"/>
          <w:sz w:val="24"/>
          <w:szCs w:val="24"/>
          <w:highlight w:val="none"/>
        </w:rPr>
        <w:t xml:space="preserve">                签字日期</w:t>
      </w:r>
      <w:r>
        <w:rPr>
          <w:rFonts w:hint="eastAsia" w:ascii="Times New Roman" w:hAnsi="宋体" w:cs="宋体"/>
          <w:color w:val="auto"/>
          <w:sz w:val="24"/>
          <w:szCs w:val="24"/>
          <w:highlight w:val="none"/>
        </w:rPr>
        <w:t>：   年   月   日</w:t>
      </w:r>
    </w:p>
    <w:p w14:paraId="7165516C">
      <w:pPr>
        <w:jc w:val="center"/>
        <w:rPr>
          <w:rFonts w:hint="eastAsia" w:ascii="宋体" w:hAnsi="宋体" w:cs="Times New Roman"/>
          <w:color w:val="auto"/>
          <w:sz w:val="44"/>
          <w:szCs w:val="44"/>
          <w:highlight w:val="none"/>
        </w:rPr>
      </w:pPr>
      <w:r>
        <w:rPr>
          <w:rFonts w:ascii="宋体" w:hAnsi="宋体" w:cs="Times New Roman"/>
          <w:color w:val="auto"/>
          <w:sz w:val="44"/>
          <w:szCs w:val="44"/>
          <w:highlight w:val="none"/>
        </w:rPr>
        <w:t>政府采购合同履约验收书（参考格式）</w:t>
      </w:r>
    </w:p>
    <w:p w14:paraId="10AE6240">
      <w:pPr>
        <w:spacing w:line="560" w:lineRule="exact"/>
        <w:ind w:firstLine="600"/>
        <w:jc w:val="left"/>
        <w:rPr>
          <w:rFonts w:hint="eastAsia" w:ascii="宋体" w:hAnsi="宋体" w:cs="Times New Roman"/>
          <w:color w:val="auto"/>
          <w:szCs w:val="32"/>
          <w:highlight w:val="none"/>
        </w:rPr>
      </w:pPr>
      <w:r>
        <w:rPr>
          <w:rFonts w:ascii="宋体" w:hAnsi="宋体" w:cs="Times New Roman"/>
          <w:color w:val="auto"/>
          <w:szCs w:val="32"/>
          <w:highlight w:val="none"/>
        </w:rPr>
        <w:t>根据政府采购合同（编号：          ）的约定，我单位组织对</w:t>
      </w:r>
      <w:r>
        <w:rPr>
          <w:rFonts w:hint="eastAsia" w:ascii="宋体" w:hAnsi="宋体" w:cs="Times New Roman"/>
          <w:color w:val="auto"/>
          <w:szCs w:val="32"/>
          <w:highlight w:val="none"/>
          <w:u w:val="single"/>
        </w:rPr>
        <w:t xml:space="preserve">            </w:t>
      </w:r>
      <w:r>
        <w:rPr>
          <w:rFonts w:ascii="宋体" w:hAnsi="宋体" w:cs="Times New Roman"/>
          <w:color w:val="auto"/>
          <w:szCs w:val="32"/>
          <w:highlight w:val="none"/>
        </w:rPr>
        <w:t>项目中标（成交）供应商</w:t>
      </w:r>
      <w:r>
        <w:rPr>
          <w:rFonts w:ascii="宋体" w:hAnsi="宋体" w:cs="Times New Roman"/>
          <w:color w:val="auto"/>
          <w:szCs w:val="32"/>
          <w:highlight w:val="none"/>
          <w:u w:val="single"/>
        </w:rPr>
        <w:t>（公司名称）</w:t>
      </w:r>
      <w:r>
        <w:rPr>
          <w:rFonts w:ascii="宋体" w:hAnsi="宋体" w:cs="Times New Roman"/>
          <w:color w:val="auto"/>
          <w:szCs w:val="32"/>
          <w:highlight w:val="none"/>
        </w:rPr>
        <w:t>提供的货物（工程、服务）进行了履约验收，验收情况如下：</w:t>
      </w:r>
    </w:p>
    <w:tbl>
      <w:tblPr>
        <w:tblStyle w:val="9"/>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8"/>
        <w:gridCol w:w="3030"/>
        <w:gridCol w:w="1750"/>
        <w:gridCol w:w="2644"/>
      </w:tblGrid>
      <w:tr w14:paraId="52558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161AA3CF">
            <w:pPr>
              <w:widowControl w:val="0"/>
              <w:spacing w:line="360" w:lineRule="exact"/>
              <w:jc w:val="center"/>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项目名称</w:t>
            </w:r>
          </w:p>
        </w:tc>
        <w:tc>
          <w:tcPr>
            <w:tcW w:w="3030" w:type="dxa"/>
            <w:noWrap w:val="0"/>
            <w:vAlign w:val="center"/>
          </w:tcPr>
          <w:p w14:paraId="628E4245">
            <w:pPr>
              <w:widowControl w:val="0"/>
              <w:spacing w:line="360" w:lineRule="exact"/>
              <w:jc w:val="center"/>
              <w:rPr>
                <w:rFonts w:hint="eastAsia" w:ascii="宋体" w:hAnsi="宋体" w:eastAsia="Arial" w:cs="Times New Roman"/>
                <w:color w:val="auto"/>
                <w:sz w:val="21"/>
                <w:szCs w:val="32"/>
                <w:highlight w:val="none"/>
                <w:lang w:val="en-US" w:eastAsia="zh-CN" w:bidi="ar-SA"/>
              </w:rPr>
            </w:pPr>
          </w:p>
        </w:tc>
        <w:tc>
          <w:tcPr>
            <w:tcW w:w="1750" w:type="dxa"/>
            <w:noWrap w:val="0"/>
            <w:vAlign w:val="center"/>
          </w:tcPr>
          <w:p w14:paraId="5959AC43">
            <w:pPr>
              <w:widowControl w:val="0"/>
              <w:spacing w:line="360" w:lineRule="exact"/>
              <w:jc w:val="center"/>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项目地点</w:t>
            </w:r>
          </w:p>
        </w:tc>
        <w:tc>
          <w:tcPr>
            <w:tcW w:w="2644" w:type="dxa"/>
            <w:noWrap w:val="0"/>
            <w:vAlign w:val="center"/>
          </w:tcPr>
          <w:p w14:paraId="0D3D5550">
            <w:pPr>
              <w:widowControl w:val="0"/>
              <w:spacing w:line="360" w:lineRule="exact"/>
              <w:jc w:val="center"/>
              <w:rPr>
                <w:rFonts w:hint="eastAsia" w:ascii="宋体" w:hAnsi="宋体" w:eastAsia="Arial" w:cs="Times New Roman"/>
                <w:color w:val="auto"/>
                <w:sz w:val="21"/>
                <w:szCs w:val="32"/>
                <w:highlight w:val="none"/>
                <w:lang w:val="en-US" w:eastAsia="zh-CN" w:bidi="ar-SA"/>
              </w:rPr>
            </w:pPr>
          </w:p>
        </w:tc>
      </w:tr>
      <w:tr w14:paraId="3D47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5AD5DD34">
            <w:pPr>
              <w:widowControl w:val="0"/>
              <w:spacing w:line="360" w:lineRule="exact"/>
              <w:jc w:val="center"/>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预算金额</w:t>
            </w:r>
          </w:p>
        </w:tc>
        <w:tc>
          <w:tcPr>
            <w:tcW w:w="3030" w:type="dxa"/>
            <w:noWrap w:val="0"/>
            <w:vAlign w:val="center"/>
          </w:tcPr>
          <w:p w14:paraId="258496B5">
            <w:pPr>
              <w:widowControl w:val="0"/>
              <w:spacing w:line="360" w:lineRule="exact"/>
              <w:jc w:val="center"/>
              <w:rPr>
                <w:rFonts w:hint="eastAsia" w:ascii="宋体" w:hAnsi="宋体" w:eastAsia="Arial" w:cs="Times New Roman"/>
                <w:color w:val="auto"/>
                <w:sz w:val="21"/>
                <w:szCs w:val="32"/>
                <w:highlight w:val="none"/>
                <w:lang w:val="en-US" w:eastAsia="zh-CN" w:bidi="ar-SA"/>
              </w:rPr>
            </w:pPr>
          </w:p>
        </w:tc>
        <w:tc>
          <w:tcPr>
            <w:tcW w:w="1750" w:type="dxa"/>
            <w:noWrap w:val="0"/>
            <w:vAlign w:val="center"/>
          </w:tcPr>
          <w:p w14:paraId="3B4E6CE8">
            <w:pPr>
              <w:widowControl w:val="0"/>
              <w:spacing w:line="360" w:lineRule="exact"/>
              <w:jc w:val="center"/>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承接单位</w:t>
            </w:r>
          </w:p>
        </w:tc>
        <w:tc>
          <w:tcPr>
            <w:tcW w:w="2644" w:type="dxa"/>
            <w:noWrap w:val="0"/>
            <w:vAlign w:val="center"/>
          </w:tcPr>
          <w:p w14:paraId="0FA0E017">
            <w:pPr>
              <w:widowControl w:val="0"/>
              <w:spacing w:line="360" w:lineRule="exact"/>
              <w:jc w:val="left"/>
              <w:rPr>
                <w:rFonts w:hint="eastAsia" w:ascii="宋体" w:hAnsi="宋体" w:eastAsia="Arial" w:cs="Times New Roman"/>
                <w:color w:val="auto"/>
                <w:sz w:val="21"/>
                <w:szCs w:val="32"/>
                <w:highlight w:val="none"/>
                <w:lang w:val="en-US" w:eastAsia="zh-CN" w:bidi="ar-SA"/>
              </w:rPr>
            </w:pPr>
          </w:p>
        </w:tc>
      </w:tr>
      <w:tr w14:paraId="472AE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60ECE3D6">
            <w:pPr>
              <w:widowControl w:val="0"/>
              <w:spacing w:line="360" w:lineRule="exact"/>
              <w:jc w:val="center"/>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合同时间</w:t>
            </w:r>
          </w:p>
        </w:tc>
        <w:tc>
          <w:tcPr>
            <w:tcW w:w="3030" w:type="dxa"/>
            <w:noWrap w:val="0"/>
            <w:vAlign w:val="center"/>
          </w:tcPr>
          <w:p w14:paraId="5E577DD6">
            <w:pPr>
              <w:widowControl w:val="0"/>
              <w:spacing w:line="360" w:lineRule="exact"/>
              <w:jc w:val="center"/>
              <w:rPr>
                <w:rFonts w:hint="eastAsia" w:ascii="宋体" w:hAnsi="宋体" w:eastAsia="Arial" w:cs="Times New Roman"/>
                <w:color w:val="auto"/>
                <w:sz w:val="21"/>
                <w:szCs w:val="32"/>
                <w:highlight w:val="none"/>
                <w:lang w:val="en-US" w:eastAsia="zh-CN" w:bidi="ar-SA"/>
              </w:rPr>
            </w:pPr>
          </w:p>
        </w:tc>
        <w:tc>
          <w:tcPr>
            <w:tcW w:w="1750" w:type="dxa"/>
            <w:noWrap w:val="0"/>
            <w:vAlign w:val="center"/>
          </w:tcPr>
          <w:p w14:paraId="56585EB9">
            <w:pPr>
              <w:widowControl w:val="0"/>
              <w:spacing w:line="360" w:lineRule="exact"/>
              <w:jc w:val="center"/>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项目开始时间</w:t>
            </w:r>
          </w:p>
        </w:tc>
        <w:tc>
          <w:tcPr>
            <w:tcW w:w="2644" w:type="dxa"/>
            <w:noWrap w:val="0"/>
            <w:vAlign w:val="center"/>
          </w:tcPr>
          <w:p w14:paraId="39D31BF9">
            <w:pPr>
              <w:widowControl w:val="0"/>
              <w:spacing w:line="360" w:lineRule="exact"/>
              <w:jc w:val="center"/>
              <w:rPr>
                <w:rFonts w:hint="eastAsia" w:ascii="宋体" w:hAnsi="宋体" w:eastAsia="Arial" w:cs="Times New Roman"/>
                <w:color w:val="auto"/>
                <w:sz w:val="21"/>
                <w:szCs w:val="32"/>
                <w:highlight w:val="none"/>
                <w:lang w:val="en-US" w:eastAsia="zh-CN" w:bidi="ar-SA"/>
              </w:rPr>
            </w:pPr>
          </w:p>
        </w:tc>
      </w:tr>
      <w:tr w14:paraId="7731E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15D65ED4">
            <w:pPr>
              <w:widowControl w:val="0"/>
              <w:spacing w:line="360" w:lineRule="exact"/>
              <w:jc w:val="center"/>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项目结束时间</w:t>
            </w:r>
          </w:p>
        </w:tc>
        <w:tc>
          <w:tcPr>
            <w:tcW w:w="3030" w:type="dxa"/>
            <w:noWrap w:val="0"/>
            <w:vAlign w:val="center"/>
          </w:tcPr>
          <w:p w14:paraId="76C0F0EB">
            <w:pPr>
              <w:widowControl w:val="0"/>
              <w:spacing w:line="360" w:lineRule="exact"/>
              <w:jc w:val="center"/>
              <w:rPr>
                <w:rFonts w:hint="eastAsia" w:ascii="宋体" w:hAnsi="宋体" w:eastAsia="Arial" w:cs="Times New Roman"/>
                <w:color w:val="auto"/>
                <w:sz w:val="21"/>
                <w:szCs w:val="32"/>
                <w:highlight w:val="none"/>
                <w:lang w:val="en-US" w:eastAsia="zh-CN" w:bidi="ar-SA"/>
              </w:rPr>
            </w:pPr>
          </w:p>
        </w:tc>
        <w:tc>
          <w:tcPr>
            <w:tcW w:w="1750" w:type="dxa"/>
            <w:noWrap w:val="0"/>
            <w:vAlign w:val="center"/>
          </w:tcPr>
          <w:p w14:paraId="3E2CA0CC">
            <w:pPr>
              <w:widowControl w:val="0"/>
              <w:spacing w:line="360" w:lineRule="exact"/>
              <w:jc w:val="center"/>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项目联系人</w:t>
            </w:r>
          </w:p>
        </w:tc>
        <w:tc>
          <w:tcPr>
            <w:tcW w:w="2644" w:type="dxa"/>
            <w:noWrap w:val="0"/>
            <w:vAlign w:val="center"/>
          </w:tcPr>
          <w:p w14:paraId="37367345">
            <w:pPr>
              <w:widowControl w:val="0"/>
              <w:spacing w:line="360" w:lineRule="exact"/>
              <w:jc w:val="center"/>
              <w:rPr>
                <w:rFonts w:hint="eastAsia" w:ascii="宋体" w:hAnsi="宋体" w:eastAsia="Arial" w:cs="Times New Roman"/>
                <w:color w:val="auto"/>
                <w:sz w:val="21"/>
                <w:szCs w:val="32"/>
                <w:highlight w:val="none"/>
                <w:lang w:val="en-US" w:eastAsia="zh-CN" w:bidi="ar-SA"/>
              </w:rPr>
            </w:pPr>
          </w:p>
        </w:tc>
      </w:tr>
      <w:tr w14:paraId="65454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2" w:type="dxa"/>
            <w:gridSpan w:val="4"/>
            <w:noWrap w:val="0"/>
            <w:vAlign w:val="top"/>
          </w:tcPr>
          <w:p w14:paraId="78BE7D90">
            <w:pPr>
              <w:widowControl w:val="0"/>
              <w:jc w:val="center"/>
              <w:rPr>
                <w:rFonts w:hint="eastAsia" w:ascii="宋体" w:hAnsi="宋体" w:eastAsia="Arial" w:cs="Times New Roman"/>
                <w:b/>
                <w:bCs/>
                <w:color w:val="auto"/>
                <w:sz w:val="21"/>
                <w:szCs w:val="32"/>
                <w:highlight w:val="none"/>
                <w:lang w:val="en-US" w:eastAsia="zh-CN" w:bidi="ar-SA"/>
              </w:rPr>
            </w:pPr>
            <w:r>
              <w:rPr>
                <w:rFonts w:ascii="宋体" w:hAnsi="宋体" w:eastAsia="Arial" w:cs="Times New Roman"/>
                <w:b/>
                <w:bCs/>
                <w:color w:val="auto"/>
                <w:sz w:val="21"/>
                <w:szCs w:val="32"/>
                <w:highlight w:val="none"/>
                <w:lang w:val="en-US" w:eastAsia="zh-CN" w:bidi="ar-SA"/>
              </w:rPr>
              <w:t>验收情况和验收意见</w:t>
            </w:r>
          </w:p>
          <w:p w14:paraId="3C684183">
            <w:pPr>
              <w:widowControl w:val="0"/>
              <w:jc w:val="both"/>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（可另附）</w:t>
            </w:r>
          </w:p>
          <w:p w14:paraId="606FA03E">
            <w:pPr>
              <w:widowControl w:val="0"/>
              <w:jc w:val="both"/>
              <w:rPr>
                <w:rFonts w:hint="eastAsia" w:ascii="宋体" w:hAnsi="宋体" w:eastAsia="Arial" w:cs="Times New Roman"/>
                <w:color w:val="auto"/>
                <w:sz w:val="21"/>
                <w:szCs w:val="32"/>
                <w:highlight w:val="none"/>
                <w:lang w:val="en-US" w:eastAsia="zh-CN" w:bidi="ar-SA"/>
              </w:rPr>
            </w:pPr>
          </w:p>
          <w:p w14:paraId="407AD390">
            <w:pPr>
              <w:widowControl w:val="0"/>
              <w:jc w:val="both"/>
              <w:rPr>
                <w:rFonts w:hint="eastAsia" w:ascii="宋体" w:hAnsi="宋体" w:eastAsia="Arial" w:cs="Times New Roman"/>
                <w:color w:val="auto"/>
                <w:sz w:val="21"/>
                <w:szCs w:val="32"/>
                <w:highlight w:val="none"/>
                <w:lang w:val="en-US" w:eastAsia="zh-CN" w:bidi="ar-SA"/>
              </w:rPr>
            </w:pPr>
          </w:p>
          <w:p w14:paraId="1BCB6FDE">
            <w:pPr>
              <w:widowControl w:val="0"/>
              <w:jc w:val="both"/>
              <w:rPr>
                <w:rFonts w:hint="eastAsia" w:ascii="宋体" w:hAnsi="宋体" w:eastAsia="Arial" w:cs="Times New Roman"/>
                <w:color w:val="auto"/>
                <w:sz w:val="21"/>
                <w:szCs w:val="32"/>
                <w:highlight w:val="none"/>
                <w:lang w:val="en-US" w:eastAsia="zh-CN" w:bidi="ar-SA"/>
              </w:rPr>
            </w:pPr>
          </w:p>
          <w:p w14:paraId="45F73E1A">
            <w:pPr>
              <w:widowControl w:val="0"/>
              <w:ind w:firstLine="420"/>
              <w:jc w:val="both"/>
              <w:rPr>
                <w:rFonts w:hint="eastAsia" w:ascii="宋体" w:hAnsi="宋体" w:eastAsia="Arial" w:cs="Times New Roman"/>
                <w:color w:val="auto"/>
                <w:sz w:val="21"/>
                <w:szCs w:val="32"/>
                <w:highlight w:val="none"/>
                <w:lang w:val="en-US" w:eastAsia="zh-CN" w:bidi="ar-SA"/>
              </w:rPr>
            </w:pPr>
          </w:p>
        </w:tc>
      </w:tr>
      <w:tr w14:paraId="59200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32" w:type="dxa"/>
            <w:gridSpan w:val="4"/>
            <w:noWrap w:val="0"/>
            <w:vAlign w:val="top"/>
          </w:tcPr>
          <w:p w14:paraId="28D529CA">
            <w:pPr>
              <w:widowControl w:val="0"/>
              <w:jc w:val="left"/>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验收小组（签</w:t>
            </w:r>
            <w:r>
              <w:rPr>
                <w:rFonts w:hint="eastAsia" w:ascii="宋体" w:hAnsi="宋体" w:eastAsia="Arial" w:cs="Times New Roman"/>
                <w:color w:val="auto"/>
                <w:sz w:val="21"/>
                <w:szCs w:val="32"/>
                <w:highlight w:val="none"/>
                <w:lang w:val="en-US" w:eastAsia="zh-CN" w:bidi="ar-SA"/>
              </w:rPr>
              <w:t>名</w:t>
            </w:r>
            <w:r>
              <w:rPr>
                <w:rFonts w:ascii="宋体" w:hAnsi="宋体" w:eastAsia="Arial" w:cs="Times New Roman"/>
                <w:color w:val="auto"/>
                <w:sz w:val="21"/>
                <w:szCs w:val="32"/>
                <w:highlight w:val="none"/>
                <w:lang w:val="en-US" w:eastAsia="zh-CN" w:bidi="ar-SA"/>
              </w:rPr>
              <w:t>）：</w:t>
            </w:r>
          </w:p>
          <w:p w14:paraId="31C16938">
            <w:pPr>
              <w:widowControl w:val="0"/>
              <w:jc w:val="left"/>
              <w:rPr>
                <w:rFonts w:hint="eastAsia" w:ascii="宋体" w:hAnsi="宋体" w:eastAsia="Arial" w:cs="Times New Roman"/>
                <w:color w:val="auto"/>
                <w:sz w:val="21"/>
                <w:szCs w:val="32"/>
                <w:highlight w:val="none"/>
                <w:lang w:val="en-US" w:eastAsia="zh-CN" w:bidi="ar-SA"/>
              </w:rPr>
            </w:pPr>
          </w:p>
          <w:p w14:paraId="7067AD27">
            <w:pPr>
              <w:widowControl w:val="0"/>
              <w:jc w:val="left"/>
              <w:rPr>
                <w:rFonts w:hint="eastAsia" w:ascii="宋体" w:hAnsi="宋体" w:eastAsia="Arial" w:cs="Times New Roman"/>
                <w:color w:val="auto"/>
                <w:sz w:val="21"/>
                <w:szCs w:val="32"/>
                <w:highlight w:val="none"/>
                <w:lang w:val="en-US" w:eastAsia="zh-CN" w:bidi="ar-SA"/>
              </w:rPr>
            </w:pPr>
          </w:p>
          <w:p w14:paraId="6EE815D3">
            <w:pPr>
              <w:widowControl w:val="0"/>
              <w:jc w:val="left"/>
              <w:rPr>
                <w:rFonts w:hint="eastAsia" w:ascii="宋体" w:hAnsi="宋体" w:eastAsia="Arial" w:cs="Times New Roman"/>
                <w:color w:val="auto"/>
                <w:sz w:val="21"/>
                <w:szCs w:val="32"/>
                <w:highlight w:val="none"/>
                <w:lang w:val="en-US" w:eastAsia="zh-CN" w:bidi="ar-SA"/>
              </w:rPr>
            </w:pPr>
          </w:p>
          <w:p w14:paraId="15501567">
            <w:pPr>
              <w:widowControl w:val="0"/>
              <w:jc w:val="left"/>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br w:type="textWrapping"/>
            </w:r>
            <w:r>
              <w:rPr>
                <w:rFonts w:ascii="宋体" w:hAnsi="宋体" w:eastAsia="Arial" w:cs="Times New Roman"/>
                <w:color w:val="auto"/>
                <w:sz w:val="21"/>
                <w:szCs w:val="32"/>
                <w:highlight w:val="none"/>
                <w:lang w:val="en-US" w:eastAsia="zh-CN" w:bidi="ar-SA"/>
              </w:rPr>
              <w:t>　　　　　                              年    月    日</w:t>
            </w:r>
          </w:p>
        </w:tc>
      </w:tr>
      <w:tr w14:paraId="1EC39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32" w:type="dxa"/>
            <w:gridSpan w:val="4"/>
            <w:noWrap w:val="0"/>
            <w:vAlign w:val="top"/>
          </w:tcPr>
          <w:p w14:paraId="3C2B2127">
            <w:pPr>
              <w:widowControl w:val="0"/>
              <w:jc w:val="left"/>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供应商确认意见（签章）：</w:t>
            </w:r>
          </w:p>
          <w:p w14:paraId="12CAB959">
            <w:pPr>
              <w:widowControl w:val="0"/>
              <w:jc w:val="left"/>
              <w:rPr>
                <w:rFonts w:hint="eastAsia" w:ascii="宋体" w:hAnsi="宋体" w:eastAsia="Arial" w:cs="Times New Roman"/>
                <w:color w:val="auto"/>
                <w:sz w:val="21"/>
                <w:szCs w:val="32"/>
                <w:highlight w:val="none"/>
                <w:lang w:val="en-US" w:eastAsia="zh-CN" w:bidi="ar-SA"/>
              </w:rPr>
            </w:pPr>
          </w:p>
          <w:p w14:paraId="3A4E4D2F">
            <w:pPr>
              <w:widowControl w:val="0"/>
              <w:jc w:val="left"/>
              <w:rPr>
                <w:rFonts w:hint="eastAsia" w:ascii="宋体" w:hAnsi="宋体" w:eastAsia="Arial" w:cs="Times New Roman"/>
                <w:color w:val="auto"/>
                <w:sz w:val="21"/>
                <w:szCs w:val="32"/>
                <w:highlight w:val="none"/>
                <w:lang w:val="en-US" w:eastAsia="zh-CN" w:bidi="ar-SA"/>
              </w:rPr>
            </w:pPr>
          </w:p>
          <w:p w14:paraId="1B1137F4">
            <w:pPr>
              <w:widowControl w:val="0"/>
              <w:jc w:val="left"/>
              <w:rPr>
                <w:rFonts w:hint="eastAsia" w:ascii="宋体" w:hAnsi="宋体" w:eastAsia="Arial" w:cs="Times New Roman"/>
                <w:color w:val="auto"/>
                <w:sz w:val="21"/>
                <w:szCs w:val="32"/>
                <w:highlight w:val="none"/>
                <w:lang w:val="en-US" w:eastAsia="zh-CN" w:bidi="ar-SA"/>
              </w:rPr>
            </w:pPr>
          </w:p>
          <w:p w14:paraId="7A125D7E">
            <w:pPr>
              <w:widowControl w:val="0"/>
              <w:jc w:val="left"/>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br w:type="textWrapping"/>
            </w:r>
            <w:r>
              <w:rPr>
                <w:rFonts w:ascii="宋体" w:hAnsi="宋体" w:eastAsia="Arial" w:cs="Times New Roman"/>
                <w:color w:val="auto"/>
                <w:sz w:val="21"/>
                <w:szCs w:val="32"/>
                <w:highlight w:val="none"/>
                <w:lang w:val="en-US" w:eastAsia="zh-CN" w:bidi="ar-SA"/>
              </w:rPr>
              <w:t>　　　　　                              年    月    日</w:t>
            </w:r>
          </w:p>
        </w:tc>
      </w:tr>
      <w:tr w14:paraId="61BDE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9132" w:type="dxa"/>
            <w:gridSpan w:val="4"/>
            <w:noWrap w:val="0"/>
            <w:vAlign w:val="top"/>
          </w:tcPr>
          <w:p w14:paraId="62DC4240">
            <w:pPr>
              <w:widowControl w:val="0"/>
              <w:jc w:val="left"/>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采购人确认意见（签章）：</w:t>
            </w:r>
          </w:p>
          <w:p w14:paraId="1D979184">
            <w:pPr>
              <w:widowControl w:val="0"/>
              <w:jc w:val="left"/>
              <w:rPr>
                <w:rFonts w:hint="eastAsia" w:ascii="宋体" w:hAnsi="宋体" w:eastAsia="Arial" w:cs="Times New Roman"/>
                <w:color w:val="auto"/>
                <w:sz w:val="21"/>
                <w:szCs w:val="32"/>
                <w:highlight w:val="none"/>
                <w:lang w:val="en-US" w:eastAsia="zh-CN" w:bidi="ar-SA"/>
              </w:rPr>
            </w:pPr>
          </w:p>
          <w:p w14:paraId="2C0C38AE">
            <w:pPr>
              <w:widowControl w:val="0"/>
              <w:jc w:val="left"/>
              <w:rPr>
                <w:rFonts w:hint="eastAsia" w:ascii="宋体" w:hAnsi="宋体" w:eastAsia="Arial" w:cs="Times New Roman"/>
                <w:color w:val="auto"/>
                <w:sz w:val="21"/>
                <w:szCs w:val="32"/>
                <w:highlight w:val="none"/>
                <w:lang w:val="en-US" w:eastAsia="zh-CN" w:bidi="ar-SA"/>
              </w:rPr>
            </w:pPr>
          </w:p>
          <w:p w14:paraId="74BC2886">
            <w:pPr>
              <w:widowControl w:val="0"/>
              <w:jc w:val="left"/>
              <w:rPr>
                <w:rFonts w:hint="eastAsia" w:ascii="宋体" w:hAnsi="宋体" w:eastAsia="Arial" w:cs="Times New Roman"/>
                <w:color w:val="auto"/>
                <w:sz w:val="21"/>
                <w:szCs w:val="32"/>
                <w:highlight w:val="none"/>
                <w:lang w:val="en-US" w:eastAsia="zh-CN" w:bidi="ar-SA"/>
              </w:rPr>
            </w:pPr>
          </w:p>
          <w:p w14:paraId="36F073E8">
            <w:pPr>
              <w:widowControl w:val="0"/>
              <w:jc w:val="left"/>
              <w:rPr>
                <w:rFonts w:hint="eastAsia" w:ascii="宋体" w:hAnsi="宋体" w:eastAsia="Arial" w:cs="Times New Roman"/>
                <w:color w:val="auto"/>
                <w:sz w:val="21"/>
                <w:szCs w:val="32"/>
                <w:highlight w:val="none"/>
                <w:lang w:val="en-US" w:eastAsia="zh-CN" w:bidi="ar-SA"/>
              </w:rPr>
            </w:pPr>
            <w:r>
              <w:rPr>
                <w:rFonts w:ascii="宋体" w:hAnsi="宋体" w:eastAsia="Arial" w:cs="Times New Roman"/>
                <w:color w:val="auto"/>
                <w:sz w:val="21"/>
                <w:szCs w:val="32"/>
                <w:highlight w:val="none"/>
                <w:lang w:val="en-US" w:eastAsia="zh-CN" w:bidi="ar-SA"/>
              </w:rPr>
              <w:t>　　</w:t>
            </w:r>
            <w:r>
              <w:rPr>
                <w:rFonts w:ascii="宋体" w:hAnsi="宋体" w:eastAsia="Arial" w:cs="Times New Roman"/>
                <w:color w:val="auto"/>
                <w:sz w:val="21"/>
                <w:szCs w:val="32"/>
                <w:highlight w:val="none"/>
                <w:lang w:val="en-US" w:eastAsia="zh-CN" w:bidi="ar-SA"/>
              </w:rPr>
              <w:br w:type="textWrapping"/>
            </w:r>
            <w:r>
              <w:rPr>
                <w:rFonts w:ascii="宋体" w:hAnsi="宋体" w:eastAsia="Arial" w:cs="Times New Roman"/>
                <w:color w:val="auto"/>
                <w:sz w:val="21"/>
                <w:szCs w:val="32"/>
                <w:highlight w:val="none"/>
                <w:lang w:val="en-US" w:eastAsia="zh-CN" w:bidi="ar-SA"/>
              </w:rPr>
              <w:t>　　　　　                              年    月    日</w:t>
            </w:r>
          </w:p>
        </w:tc>
      </w:tr>
    </w:tbl>
    <w:p w14:paraId="03E364B4">
      <w:pPr>
        <w:spacing w:line="520" w:lineRule="exact"/>
        <w:jc w:val="center"/>
        <w:outlineLvl w:val="0"/>
        <w:rPr>
          <w:b/>
          <w:color w:val="auto"/>
          <w:sz w:val="44"/>
          <w:szCs w:val="44"/>
          <w:highlight w:val="none"/>
        </w:rPr>
        <w:sectPr>
          <w:footerReference r:id="rId8" w:type="default"/>
          <w:pgSz w:w="11906" w:h="16838"/>
          <w:pgMar w:top="1440" w:right="1587" w:bottom="1440" w:left="1587" w:header="851" w:footer="907" w:gutter="0"/>
          <w:cols w:space="720" w:num="1"/>
          <w:docGrid w:linePitch="360" w:charSpace="0"/>
        </w:sectPr>
      </w:pPr>
    </w:p>
    <w:p w14:paraId="0767AC9C">
      <w:pPr>
        <w:spacing w:line="520" w:lineRule="exact"/>
        <w:jc w:val="center"/>
        <w:outlineLvl w:val="0"/>
        <w:rPr>
          <w:rFonts w:hint="eastAsia" w:ascii="宋体" w:hAnsi="宋体" w:cs="宋体"/>
          <w:b/>
          <w:color w:val="auto"/>
          <w:sz w:val="72"/>
          <w:szCs w:val="72"/>
          <w:highlight w:val="none"/>
        </w:rPr>
      </w:pPr>
      <w:r>
        <w:rPr>
          <w:rFonts w:hint="eastAsia" w:ascii="Times New Roman" w:hAnsi="Times New Roman" w:cs="Times New Roman"/>
          <w:b/>
          <w:color w:val="auto"/>
          <w:sz w:val="44"/>
          <w:szCs w:val="44"/>
          <w:highlight w:val="none"/>
        </w:rPr>
        <w:t>第六章 投标文件及格式</w:t>
      </w:r>
      <w:bookmarkEnd w:id="178"/>
      <w:bookmarkEnd w:id="179"/>
      <w:bookmarkEnd w:id="180"/>
    </w:p>
    <w:p w14:paraId="4BB9D06B">
      <w:pPr>
        <w:pStyle w:val="7"/>
        <w:spacing w:beforeAutospacing="0" w:afterAutospacing="0"/>
        <w:jc w:val="center"/>
        <w:rPr>
          <w:rFonts w:hint="eastAsia"/>
          <w:b/>
          <w:color w:val="auto"/>
          <w:sz w:val="72"/>
          <w:szCs w:val="72"/>
          <w:highlight w:val="none"/>
        </w:rPr>
      </w:pPr>
    </w:p>
    <w:p w14:paraId="73719422">
      <w:pPr>
        <w:pStyle w:val="7"/>
        <w:spacing w:beforeAutospacing="0" w:afterAutospacing="0"/>
        <w:jc w:val="center"/>
        <w:rPr>
          <w:rFonts w:hint="eastAsia"/>
          <w:color w:val="auto"/>
          <w:highlight w:val="none"/>
        </w:rPr>
      </w:pPr>
      <w:r>
        <w:rPr>
          <w:rFonts w:hint="eastAsia"/>
          <w:b/>
          <w:color w:val="auto"/>
          <w:sz w:val="72"/>
          <w:szCs w:val="72"/>
          <w:highlight w:val="none"/>
        </w:rPr>
        <w:t>投  标  文  件</w:t>
      </w:r>
    </w:p>
    <w:p w14:paraId="49D7FA22">
      <w:pPr>
        <w:pStyle w:val="7"/>
        <w:spacing w:beforeAutospacing="0" w:afterAutospacing="0"/>
        <w:jc w:val="center"/>
        <w:rPr>
          <w:rFonts w:hint="eastAsia"/>
          <w:color w:val="auto"/>
          <w:highlight w:val="none"/>
        </w:rPr>
      </w:pPr>
      <w:r>
        <w:rPr>
          <w:color w:val="auto"/>
          <w:highlight w:val="none"/>
        </w:rPr>
        <w:t> </w:t>
      </w:r>
    </w:p>
    <w:p w14:paraId="22AEAAF7">
      <w:pPr>
        <w:pStyle w:val="7"/>
        <w:spacing w:beforeAutospacing="0" w:afterAutospacing="0"/>
        <w:jc w:val="center"/>
        <w:rPr>
          <w:rFonts w:hint="eastAsia"/>
          <w:color w:val="auto"/>
          <w:highlight w:val="none"/>
        </w:rPr>
      </w:pPr>
      <w:r>
        <w:rPr>
          <w:color w:val="auto"/>
          <w:highlight w:val="none"/>
        </w:rPr>
        <w:t> </w:t>
      </w:r>
    </w:p>
    <w:p w14:paraId="599362C2">
      <w:pPr>
        <w:pStyle w:val="7"/>
        <w:spacing w:beforeAutospacing="0" w:afterAutospacing="0"/>
        <w:jc w:val="center"/>
        <w:rPr>
          <w:rFonts w:hint="eastAsia"/>
          <w:color w:val="auto"/>
          <w:highlight w:val="none"/>
        </w:rPr>
      </w:pPr>
      <w:r>
        <w:rPr>
          <w:color w:val="auto"/>
          <w:highlight w:val="none"/>
        </w:rPr>
        <w:t> </w:t>
      </w:r>
    </w:p>
    <w:p w14:paraId="3542BB62">
      <w:pPr>
        <w:pStyle w:val="7"/>
        <w:spacing w:beforeAutospacing="0" w:afterAutospacing="0"/>
        <w:jc w:val="center"/>
        <w:rPr>
          <w:rFonts w:hint="eastAsia"/>
          <w:color w:val="auto"/>
          <w:highlight w:val="none"/>
        </w:rPr>
      </w:pPr>
      <w:r>
        <w:rPr>
          <w:color w:val="auto"/>
          <w:highlight w:val="none"/>
        </w:rPr>
        <w:t> </w:t>
      </w:r>
    </w:p>
    <w:p w14:paraId="3453C1EC">
      <w:pPr>
        <w:pStyle w:val="7"/>
        <w:spacing w:beforeAutospacing="0" w:afterAutospacing="0"/>
        <w:jc w:val="center"/>
        <w:rPr>
          <w:rFonts w:hint="eastAsia"/>
          <w:color w:val="auto"/>
          <w:highlight w:val="none"/>
        </w:rPr>
      </w:pPr>
      <w:r>
        <w:rPr>
          <w:color w:val="auto"/>
          <w:highlight w:val="none"/>
        </w:rPr>
        <w:t> </w:t>
      </w:r>
    </w:p>
    <w:p w14:paraId="26BFB7E7">
      <w:pPr>
        <w:pStyle w:val="7"/>
        <w:spacing w:beforeAutospacing="0" w:afterAutospacing="0"/>
        <w:ind w:firstLine="1084"/>
        <w:jc w:val="both"/>
        <w:rPr>
          <w:rFonts w:hint="eastAsia"/>
          <w:color w:val="auto"/>
          <w:highlight w:val="none"/>
        </w:rPr>
      </w:pPr>
      <w:r>
        <w:rPr>
          <w:rFonts w:hint="eastAsia"/>
          <w:b/>
          <w:color w:val="auto"/>
          <w:sz w:val="36"/>
          <w:szCs w:val="36"/>
          <w:highlight w:val="none"/>
        </w:rPr>
        <w:t>项目 名 称：</w:t>
      </w:r>
      <w:r>
        <w:rPr>
          <w:rFonts w:hint="eastAsia"/>
          <w:b/>
          <w:color w:val="auto"/>
          <w:sz w:val="36"/>
          <w:szCs w:val="36"/>
          <w:highlight w:val="none"/>
          <w:u w:val="single"/>
        </w:rPr>
        <w:t xml:space="preserve">               </w:t>
      </w:r>
    </w:p>
    <w:p w14:paraId="42F2A0E1">
      <w:pPr>
        <w:pStyle w:val="7"/>
        <w:spacing w:beforeAutospacing="0" w:afterAutospacing="0"/>
        <w:ind w:firstLine="1084"/>
        <w:jc w:val="both"/>
        <w:rPr>
          <w:rFonts w:hint="eastAsia"/>
          <w:color w:val="auto"/>
          <w:highlight w:val="none"/>
        </w:rPr>
      </w:pPr>
      <w:r>
        <w:rPr>
          <w:rFonts w:hint="eastAsia"/>
          <w:b/>
          <w:color w:val="auto"/>
          <w:sz w:val="36"/>
          <w:szCs w:val="36"/>
          <w:highlight w:val="none"/>
        </w:rPr>
        <w:t>项目 编 号：</w:t>
      </w:r>
      <w:r>
        <w:rPr>
          <w:rFonts w:hint="eastAsia"/>
          <w:b/>
          <w:color w:val="auto"/>
          <w:sz w:val="36"/>
          <w:szCs w:val="36"/>
          <w:highlight w:val="none"/>
          <w:u w:val="single"/>
        </w:rPr>
        <w:t xml:space="preserve">               </w:t>
      </w:r>
    </w:p>
    <w:p w14:paraId="71384713">
      <w:pPr>
        <w:pStyle w:val="7"/>
        <w:spacing w:beforeAutospacing="0" w:afterAutospacing="0"/>
        <w:jc w:val="both"/>
        <w:rPr>
          <w:rFonts w:hint="eastAsia"/>
          <w:color w:val="auto"/>
          <w:highlight w:val="none"/>
        </w:rPr>
      </w:pPr>
      <w:r>
        <w:rPr>
          <w:rFonts w:hint="eastAsia"/>
          <w:b/>
          <w:color w:val="auto"/>
          <w:sz w:val="36"/>
          <w:szCs w:val="36"/>
          <w:highlight w:val="none"/>
        </w:rPr>
        <w:t>   投标人名称 ：</w:t>
      </w:r>
      <w:r>
        <w:rPr>
          <w:rFonts w:hint="eastAsia"/>
          <w:b/>
          <w:color w:val="auto"/>
          <w:sz w:val="36"/>
          <w:szCs w:val="36"/>
          <w:highlight w:val="none"/>
          <w:u w:val="single"/>
        </w:rPr>
        <w:t xml:space="preserve">（加盖CA电子公章）        </w:t>
      </w:r>
    </w:p>
    <w:p w14:paraId="6FE22F69">
      <w:pPr>
        <w:pStyle w:val="7"/>
        <w:spacing w:beforeAutospacing="0" w:afterAutospacing="0"/>
        <w:jc w:val="both"/>
        <w:rPr>
          <w:rFonts w:hint="eastAsia"/>
          <w:color w:val="auto"/>
          <w:highlight w:val="none"/>
        </w:rPr>
      </w:pPr>
      <w:r>
        <w:rPr>
          <w:rFonts w:hint="eastAsia"/>
          <w:b/>
          <w:color w:val="auto"/>
          <w:sz w:val="36"/>
          <w:szCs w:val="36"/>
          <w:highlight w:val="none"/>
        </w:rPr>
        <w:t>   日   期 ：</w:t>
      </w:r>
      <w:r>
        <w:rPr>
          <w:rFonts w:hint="eastAsia"/>
          <w:b/>
          <w:color w:val="auto"/>
          <w:sz w:val="36"/>
          <w:szCs w:val="36"/>
          <w:highlight w:val="none"/>
          <w:u w:val="single"/>
        </w:rPr>
        <w:t>                     </w:t>
      </w:r>
    </w:p>
    <w:p w14:paraId="760AD773">
      <w:pPr>
        <w:spacing w:line="480" w:lineRule="exact"/>
        <w:jc w:val="center"/>
        <w:rPr>
          <w:rFonts w:hint="eastAsia" w:ascii="宋体" w:hAnsi="宋体" w:cs="Segoe UI"/>
          <w:b/>
          <w:bCs/>
          <w:color w:val="auto"/>
          <w:sz w:val="32"/>
          <w:szCs w:val="32"/>
          <w:highlight w:val="none"/>
        </w:rPr>
        <w:sectPr>
          <w:pgSz w:w="11906" w:h="16838"/>
          <w:pgMar w:top="1440" w:right="1587" w:bottom="1440" w:left="1587" w:header="851" w:footer="907" w:gutter="0"/>
          <w:cols w:space="720" w:num="1"/>
          <w:docGrid w:linePitch="360" w:charSpace="0"/>
        </w:sectPr>
      </w:pPr>
    </w:p>
    <w:p w14:paraId="101ABECD">
      <w:pPr>
        <w:pStyle w:val="7"/>
        <w:spacing w:beforeAutospacing="0" w:afterAutospacing="0" w:line="0" w:lineRule="atLeast"/>
        <w:jc w:val="center"/>
        <w:rPr>
          <w:rFonts w:hint="eastAsia"/>
          <w:color w:val="auto"/>
          <w:highlight w:val="none"/>
        </w:rPr>
      </w:pPr>
      <w:r>
        <w:rPr>
          <w:rFonts w:hint="eastAsia"/>
          <w:b/>
          <w:color w:val="auto"/>
          <w:sz w:val="32"/>
          <w:szCs w:val="32"/>
          <w:highlight w:val="none"/>
        </w:rPr>
        <w:t>投标文件目录</w:t>
      </w:r>
    </w:p>
    <w:p w14:paraId="68A0780C">
      <w:pPr>
        <w:pStyle w:val="7"/>
        <w:spacing w:beforeAutospacing="0" w:afterAutospacing="0" w:line="0" w:lineRule="atLeast"/>
        <w:jc w:val="center"/>
        <w:rPr>
          <w:rFonts w:hint="eastAsia"/>
          <w:color w:val="auto"/>
          <w:highlight w:val="none"/>
        </w:rPr>
      </w:pPr>
      <w:r>
        <w:rPr>
          <w:color w:val="auto"/>
          <w:highlight w:val="none"/>
        </w:rPr>
        <w:t> </w:t>
      </w:r>
    </w:p>
    <w:p w14:paraId="6F375C5F">
      <w:pPr>
        <w:pStyle w:val="7"/>
        <w:spacing w:beforeAutospacing="0" w:afterAutospacing="0" w:line="400" w:lineRule="exact"/>
        <w:ind w:left="480"/>
        <w:jc w:val="both"/>
        <w:rPr>
          <w:rFonts w:hint="eastAsia"/>
          <w:iCs/>
          <w:color w:val="auto"/>
          <w:highlight w:val="none"/>
        </w:rPr>
      </w:pPr>
      <w:r>
        <w:rPr>
          <w:rFonts w:hint="eastAsia"/>
          <w:iCs/>
          <w:color w:val="auto"/>
          <w:highlight w:val="none"/>
        </w:rPr>
        <w:t>一、法人或者其他组织的营业执照等证明文件，自然人的身份证明</w:t>
      </w:r>
    </w:p>
    <w:p w14:paraId="6361D247">
      <w:pPr>
        <w:pStyle w:val="7"/>
        <w:spacing w:beforeAutospacing="0" w:afterAutospacing="0" w:line="400" w:lineRule="exact"/>
        <w:ind w:left="480"/>
        <w:jc w:val="both"/>
        <w:rPr>
          <w:rFonts w:hint="eastAsia"/>
          <w:iCs/>
          <w:color w:val="auto"/>
          <w:highlight w:val="none"/>
        </w:rPr>
      </w:pPr>
      <w:r>
        <w:rPr>
          <w:rFonts w:hint="eastAsia"/>
          <w:iCs/>
          <w:color w:val="auto"/>
          <w:highlight w:val="none"/>
        </w:rPr>
        <w:t>二、</w:t>
      </w:r>
      <w:r>
        <w:rPr>
          <w:rFonts w:hint="eastAsia" w:ascii="宋体" w:hAnsi="宋体" w:cs="宋体"/>
          <w:color w:val="auto"/>
          <w:sz w:val="24"/>
          <w:szCs w:val="24"/>
          <w:highlight w:val="none"/>
          <w:lang w:val="en-US" w:eastAsia="zh-CN"/>
        </w:rPr>
        <w:t>上一年度</w:t>
      </w:r>
      <w:r>
        <w:rPr>
          <w:rFonts w:hint="eastAsia"/>
          <w:iCs/>
          <w:color w:val="auto"/>
          <w:highlight w:val="none"/>
        </w:rPr>
        <w:t>的财务</w:t>
      </w:r>
      <w:r>
        <w:rPr>
          <w:rFonts w:hint="eastAsia" w:eastAsia="宋体"/>
          <w:iCs/>
          <w:color w:val="auto"/>
          <w:highlight w:val="none"/>
          <w:lang w:val="en-US" w:eastAsia="zh-CN"/>
        </w:rPr>
        <w:t>报告</w:t>
      </w:r>
      <w:r>
        <w:rPr>
          <w:rFonts w:hint="eastAsia"/>
          <w:iCs/>
          <w:color w:val="auto"/>
          <w:highlight w:val="none"/>
        </w:rPr>
        <w:t>（至少提供资产负债表、</w:t>
      </w:r>
      <w:r>
        <w:rPr>
          <w:rFonts w:hint="eastAsia" w:eastAsia="宋体"/>
          <w:iCs/>
          <w:color w:val="auto"/>
          <w:highlight w:val="none"/>
          <w:lang w:val="en-US" w:eastAsia="zh-CN"/>
        </w:rPr>
        <w:t>业务活动表</w:t>
      </w:r>
      <w:r>
        <w:rPr>
          <w:rFonts w:hint="eastAsia"/>
          <w:iCs/>
          <w:color w:val="auto"/>
          <w:highlight w:val="none"/>
        </w:rPr>
        <w:t>、现金流量表，投标人成立不满一年无需提供）</w:t>
      </w:r>
    </w:p>
    <w:p w14:paraId="52D9AD95">
      <w:pPr>
        <w:pStyle w:val="7"/>
        <w:spacing w:beforeAutospacing="0" w:afterAutospacing="0" w:line="400" w:lineRule="exact"/>
        <w:ind w:left="480"/>
        <w:jc w:val="both"/>
        <w:rPr>
          <w:rFonts w:hint="eastAsia"/>
          <w:iCs/>
          <w:color w:val="auto"/>
          <w:highlight w:val="none"/>
        </w:rPr>
      </w:pPr>
      <w:r>
        <w:rPr>
          <w:rFonts w:hint="eastAsia"/>
          <w:iCs/>
          <w:color w:val="auto"/>
          <w:highlight w:val="non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773EB0F7">
      <w:pPr>
        <w:pStyle w:val="7"/>
        <w:spacing w:beforeAutospacing="0" w:afterAutospacing="0" w:line="400" w:lineRule="exact"/>
        <w:ind w:left="480"/>
        <w:jc w:val="both"/>
        <w:rPr>
          <w:rFonts w:hint="eastAsia"/>
          <w:iCs/>
          <w:color w:val="auto"/>
          <w:highlight w:val="none"/>
        </w:rPr>
      </w:pPr>
      <w:r>
        <w:rPr>
          <w:rFonts w:hint="eastAsia"/>
          <w:iCs/>
          <w:color w:val="auto"/>
          <w:highlight w:val="none"/>
        </w:rPr>
        <w:t>四、具备履行合同所必需的设备和专业技术能力的书面声明</w:t>
      </w:r>
    </w:p>
    <w:p w14:paraId="4AD0D788">
      <w:pPr>
        <w:pStyle w:val="7"/>
        <w:spacing w:beforeAutospacing="0" w:afterAutospacing="0" w:line="400" w:lineRule="exact"/>
        <w:ind w:left="480"/>
        <w:jc w:val="both"/>
        <w:rPr>
          <w:rFonts w:hint="eastAsia"/>
          <w:iCs/>
          <w:color w:val="auto"/>
          <w:highlight w:val="none"/>
        </w:rPr>
      </w:pPr>
      <w:r>
        <w:rPr>
          <w:rFonts w:hint="eastAsia"/>
          <w:iCs/>
          <w:color w:val="auto"/>
          <w:highlight w:val="none"/>
        </w:rPr>
        <w:t>五、参加政府采购活动前 3 年内在经营活动中没有重大违法记录的书面声明</w:t>
      </w:r>
    </w:p>
    <w:p w14:paraId="080073FF">
      <w:pPr>
        <w:pStyle w:val="7"/>
        <w:spacing w:beforeAutospacing="0" w:afterAutospacing="0" w:line="400" w:lineRule="exact"/>
        <w:ind w:left="480"/>
        <w:jc w:val="both"/>
        <w:rPr>
          <w:rFonts w:hint="eastAsia" w:eastAsia="宋体"/>
          <w:iCs/>
          <w:color w:val="auto"/>
          <w:highlight w:val="none"/>
          <w:lang w:val="en-US" w:eastAsia="zh-CN"/>
        </w:rPr>
      </w:pPr>
      <w:r>
        <w:rPr>
          <w:rFonts w:hint="eastAsia" w:eastAsia="宋体"/>
          <w:iCs/>
          <w:color w:val="auto"/>
          <w:highlight w:val="none"/>
          <w:lang w:val="en-US" w:eastAsia="zh-CN"/>
        </w:rPr>
        <w:t>六、符合招标公告</w:t>
      </w:r>
      <w:r>
        <w:rPr>
          <w:rFonts w:hint="eastAsia" w:ascii="宋体" w:hAnsi="宋体" w:eastAsia="Arial" w:cs="宋体"/>
          <w:iCs/>
          <w:color w:val="auto"/>
          <w:highlight w:val="none"/>
          <w:lang w:val="en-US" w:eastAsia="zh-CN"/>
        </w:rPr>
        <w:t>的</w:t>
      </w:r>
      <w:r>
        <w:rPr>
          <w:rFonts w:hint="eastAsia" w:ascii="宋体" w:hAnsi="宋体" w:eastAsia="Arial" w:cs="宋体"/>
          <w:iCs/>
          <w:color w:val="auto"/>
          <w:highlight w:val="none"/>
        </w:rPr>
        <w:t>特定资格要求的证明文件</w:t>
      </w:r>
    </w:p>
    <w:p w14:paraId="5CBEB0EF">
      <w:pPr>
        <w:pStyle w:val="7"/>
        <w:spacing w:beforeAutospacing="0" w:afterAutospacing="0" w:line="400" w:lineRule="exact"/>
        <w:ind w:left="480"/>
        <w:jc w:val="both"/>
        <w:rPr>
          <w:rFonts w:hint="eastAsia"/>
          <w:iCs/>
          <w:color w:val="auto"/>
          <w:highlight w:val="none"/>
        </w:rPr>
      </w:pPr>
      <w:r>
        <w:rPr>
          <w:rFonts w:hint="eastAsia"/>
          <w:iCs/>
          <w:color w:val="auto"/>
          <w:highlight w:val="none"/>
        </w:rPr>
        <w:t>七、法人授权书</w:t>
      </w:r>
    </w:p>
    <w:p w14:paraId="44991B41">
      <w:pPr>
        <w:pStyle w:val="7"/>
        <w:spacing w:beforeAutospacing="0" w:afterAutospacing="0" w:line="400" w:lineRule="exact"/>
        <w:ind w:left="480"/>
        <w:jc w:val="both"/>
        <w:rPr>
          <w:rFonts w:hint="eastAsia"/>
          <w:iCs/>
          <w:color w:val="auto"/>
          <w:highlight w:val="none"/>
        </w:rPr>
      </w:pPr>
      <w:r>
        <w:rPr>
          <w:rFonts w:hint="eastAsia"/>
          <w:iCs/>
          <w:color w:val="auto"/>
          <w:highlight w:val="none"/>
        </w:rPr>
        <w:t>八、投标函</w:t>
      </w:r>
    </w:p>
    <w:p w14:paraId="0E9B6538">
      <w:pPr>
        <w:pStyle w:val="7"/>
        <w:spacing w:beforeAutospacing="0" w:afterAutospacing="0" w:line="400" w:lineRule="exact"/>
        <w:ind w:left="480"/>
        <w:jc w:val="both"/>
        <w:rPr>
          <w:rFonts w:hint="eastAsia"/>
          <w:iCs/>
          <w:color w:val="auto"/>
          <w:highlight w:val="none"/>
        </w:rPr>
      </w:pPr>
      <w:r>
        <w:rPr>
          <w:rFonts w:hint="eastAsia"/>
          <w:iCs/>
          <w:color w:val="auto"/>
          <w:highlight w:val="none"/>
        </w:rPr>
        <w:t>九、小微企业声明函</w:t>
      </w:r>
    </w:p>
    <w:p w14:paraId="30990D14">
      <w:pPr>
        <w:pStyle w:val="7"/>
        <w:spacing w:beforeAutospacing="0" w:afterAutospacing="0" w:line="400" w:lineRule="exact"/>
        <w:ind w:left="480"/>
        <w:jc w:val="both"/>
        <w:rPr>
          <w:rFonts w:hint="eastAsia"/>
          <w:iCs/>
          <w:color w:val="auto"/>
          <w:highlight w:val="none"/>
        </w:rPr>
      </w:pPr>
      <w:r>
        <w:rPr>
          <w:rFonts w:hint="eastAsia"/>
          <w:iCs/>
          <w:color w:val="auto"/>
          <w:highlight w:val="none"/>
        </w:rPr>
        <w:t>十、残疾人福利性单位声明函（如有）</w:t>
      </w:r>
    </w:p>
    <w:p w14:paraId="118CCE6A">
      <w:pPr>
        <w:pStyle w:val="7"/>
        <w:spacing w:beforeAutospacing="0" w:afterAutospacing="0" w:line="400" w:lineRule="exact"/>
        <w:ind w:left="480"/>
        <w:jc w:val="both"/>
        <w:rPr>
          <w:rFonts w:hint="eastAsia" w:eastAsia="宋体"/>
          <w:iCs/>
          <w:color w:val="auto"/>
          <w:highlight w:val="none"/>
          <w:lang w:val="en-US" w:eastAsia="zh-CN"/>
        </w:rPr>
      </w:pPr>
      <w:r>
        <w:rPr>
          <w:rFonts w:hint="eastAsia" w:eastAsia="宋体"/>
          <w:iCs/>
          <w:color w:val="auto"/>
          <w:highlight w:val="none"/>
          <w:lang w:val="en-US" w:eastAsia="zh-CN"/>
        </w:rPr>
        <w:t>十一、</w:t>
      </w:r>
      <w:r>
        <w:rPr>
          <w:rFonts w:hint="eastAsia" w:ascii="宋体" w:hAnsi="宋体" w:eastAsia="宋体" w:cs="宋体"/>
          <w:iCs/>
          <w:highlight w:val="none"/>
        </w:rPr>
        <w:t>联合体协议（如有）</w:t>
      </w:r>
    </w:p>
    <w:p w14:paraId="556DDF3D">
      <w:pPr>
        <w:pStyle w:val="7"/>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eastAsia="宋体"/>
          <w:iCs/>
          <w:color w:val="auto"/>
          <w:highlight w:val="none"/>
          <w:lang w:val="en-US" w:eastAsia="zh-CN"/>
        </w:rPr>
        <w:t>二</w:t>
      </w:r>
      <w:r>
        <w:rPr>
          <w:rFonts w:hint="eastAsia"/>
          <w:iCs/>
          <w:color w:val="auto"/>
          <w:highlight w:val="none"/>
        </w:rPr>
        <w:t>、投标</w:t>
      </w:r>
      <w:r>
        <w:rPr>
          <w:rFonts w:hint="eastAsia" w:eastAsia="宋体"/>
          <w:iCs/>
          <w:color w:val="auto"/>
          <w:highlight w:val="none"/>
          <w:lang w:val="en-US" w:eastAsia="zh-CN"/>
        </w:rPr>
        <w:t>分项</w:t>
      </w:r>
      <w:r>
        <w:rPr>
          <w:rFonts w:hint="eastAsia"/>
          <w:iCs/>
          <w:color w:val="auto"/>
          <w:highlight w:val="none"/>
        </w:rPr>
        <w:t>报价表</w:t>
      </w:r>
    </w:p>
    <w:p w14:paraId="71C10BB8">
      <w:pPr>
        <w:widowControl w:val="0"/>
        <w:spacing w:beforeAutospacing="0" w:afterAutospacing="0" w:line="480" w:lineRule="exact"/>
        <w:ind w:firstLine="480"/>
        <w:jc w:val="both"/>
        <w:rPr>
          <w:rFonts w:hint="eastAsia" w:ascii="Times New Roman" w:hAnsi="Times New Roman" w:cs="Times New Roman"/>
          <w:iCs/>
          <w:color w:val="auto"/>
          <w:highlight w:val="none"/>
        </w:rPr>
      </w:pPr>
      <w:r>
        <w:rPr>
          <w:rFonts w:hint="eastAsia" w:ascii="宋体" w:hAnsi="宋体" w:eastAsia="宋体" w:cs="宋体"/>
          <w:iCs/>
          <w:sz w:val="24"/>
          <w:szCs w:val="24"/>
          <w:highlight w:val="none"/>
          <w:lang w:val="en-US" w:eastAsia="zh-CN"/>
        </w:rPr>
        <w:t>十三、</w:t>
      </w:r>
      <w:r>
        <w:rPr>
          <w:rFonts w:hint="eastAsia" w:ascii="宋体" w:hAnsi="宋体" w:eastAsia="宋体" w:cs="宋体"/>
          <w:iCs/>
          <w:sz w:val="24"/>
          <w:szCs w:val="24"/>
          <w:highlight w:val="none"/>
        </w:rPr>
        <w:t>技术要求响应及偏离表</w:t>
      </w:r>
    </w:p>
    <w:p w14:paraId="602D1617">
      <w:pPr>
        <w:pStyle w:val="7"/>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eastAsia="宋体"/>
          <w:iCs/>
          <w:color w:val="auto"/>
          <w:highlight w:val="none"/>
          <w:lang w:val="en-US" w:eastAsia="zh-CN"/>
        </w:rPr>
        <w:t>四</w:t>
      </w:r>
      <w:r>
        <w:rPr>
          <w:rFonts w:hint="eastAsia"/>
          <w:iCs/>
          <w:color w:val="auto"/>
          <w:highlight w:val="none"/>
        </w:rPr>
        <w:t>、商务要求响应及偏离表</w:t>
      </w:r>
    </w:p>
    <w:p w14:paraId="179157A9">
      <w:pPr>
        <w:pStyle w:val="7"/>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eastAsia="宋体"/>
          <w:iCs/>
          <w:color w:val="auto"/>
          <w:highlight w:val="none"/>
          <w:lang w:val="en-US" w:eastAsia="zh-CN"/>
        </w:rPr>
        <w:t>五</w:t>
      </w:r>
      <w:r>
        <w:rPr>
          <w:rFonts w:hint="eastAsia"/>
          <w:iCs/>
          <w:color w:val="auto"/>
          <w:highlight w:val="none"/>
        </w:rPr>
        <w:t>、开标一览表</w:t>
      </w:r>
    </w:p>
    <w:p w14:paraId="644A8CFF">
      <w:pPr>
        <w:pStyle w:val="7"/>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eastAsia="宋体"/>
          <w:iCs/>
          <w:color w:val="auto"/>
          <w:highlight w:val="none"/>
          <w:lang w:val="en-US" w:eastAsia="zh-CN"/>
        </w:rPr>
        <w:t>六</w:t>
      </w:r>
      <w:r>
        <w:rPr>
          <w:rFonts w:hint="eastAsia"/>
          <w:iCs/>
          <w:color w:val="auto"/>
          <w:highlight w:val="none"/>
        </w:rPr>
        <w:t>、技术方案、服务承诺、培训承诺等</w:t>
      </w:r>
    </w:p>
    <w:p w14:paraId="3418D869">
      <w:pPr>
        <w:pStyle w:val="7"/>
        <w:spacing w:beforeAutospacing="0" w:afterAutospacing="0" w:line="400" w:lineRule="exact"/>
        <w:ind w:left="480"/>
        <w:jc w:val="both"/>
        <w:rPr>
          <w:rFonts w:hint="eastAsia"/>
          <w:iCs/>
          <w:color w:val="auto"/>
          <w:highlight w:val="none"/>
        </w:rPr>
      </w:pPr>
      <w:r>
        <w:rPr>
          <w:rFonts w:hint="eastAsia"/>
          <w:iCs/>
          <w:color w:val="auto"/>
          <w:highlight w:val="none"/>
        </w:rPr>
        <w:t>十</w:t>
      </w:r>
      <w:r>
        <w:rPr>
          <w:rFonts w:hint="eastAsia" w:eastAsia="宋体"/>
          <w:iCs/>
          <w:color w:val="auto"/>
          <w:highlight w:val="none"/>
          <w:lang w:val="en-US" w:eastAsia="zh-CN"/>
        </w:rPr>
        <w:t>七</w:t>
      </w:r>
      <w:r>
        <w:rPr>
          <w:rFonts w:hint="eastAsia"/>
          <w:iCs/>
          <w:color w:val="auto"/>
          <w:highlight w:val="none"/>
        </w:rPr>
        <w:t>、盐城市政府采购事前信用承诺书</w:t>
      </w:r>
    </w:p>
    <w:p w14:paraId="391AD9A5">
      <w:pPr>
        <w:spacing w:line="480" w:lineRule="exact"/>
        <w:jc w:val="center"/>
        <w:rPr>
          <w:rFonts w:hint="eastAsia" w:ascii="宋体" w:hAnsi="宋体" w:cs="Segoe UI"/>
          <w:b/>
          <w:bCs/>
          <w:color w:val="auto"/>
          <w:sz w:val="32"/>
          <w:szCs w:val="32"/>
          <w:highlight w:val="none"/>
        </w:rPr>
      </w:pPr>
    </w:p>
    <w:p w14:paraId="680BCAB3">
      <w:pPr>
        <w:spacing w:line="480" w:lineRule="exact"/>
        <w:jc w:val="center"/>
        <w:rPr>
          <w:rFonts w:hint="eastAsia" w:ascii="宋体" w:hAnsi="宋体" w:cs="Segoe UI"/>
          <w:b/>
          <w:bCs/>
          <w:color w:val="auto"/>
          <w:sz w:val="32"/>
          <w:szCs w:val="32"/>
          <w:highlight w:val="none"/>
        </w:rPr>
      </w:pPr>
    </w:p>
    <w:p w14:paraId="5FA2A476">
      <w:pPr>
        <w:spacing w:line="480" w:lineRule="exact"/>
        <w:jc w:val="center"/>
        <w:rPr>
          <w:rFonts w:hint="eastAsia" w:ascii="宋体" w:hAnsi="宋体" w:cs="Segoe UI"/>
          <w:b/>
          <w:bCs/>
          <w:color w:val="auto"/>
          <w:sz w:val="32"/>
          <w:szCs w:val="32"/>
          <w:highlight w:val="none"/>
        </w:rPr>
      </w:pPr>
    </w:p>
    <w:p w14:paraId="4BABEBC8">
      <w:pPr>
        <w:spacing w:line="480" w:lineRule="exact"/>
        <w:jc w:val="center"/>
        <w:rPr>
          <w:rFonts w:hint="eastAsia" w:ascii="宋体" w:hAnsi="宋体" w:cs="Segoe UI"/>
          <w:b/>
          <w:bCs/>
          <w:color w:val="auto"/>
          <w:sz w:val="32"/>
          <w:szCs w:val="32"/>
          <w:highlight w:val="none"/>
        </w:rPr>
      </w:pPr>
    </w:p>
    <w:p w14:paraId="1676E422">
      <w:pPr>
        <w:spacing w:line="520" w:lineRule="exact"/>
        <w:jc w:val="center"/>
        <w:rPr>
          <w:rFonts w:hint="eastAsia" w:ascii="黑体" w:hAnsi="黑体" w:eastAsia="黑体" w:cs="黑体"/>
          <w:b/>
          <w:color w:val="auto"/>
          <w:sz w:val="36"/>
          <w:szCs w:val="36"/>
          <w:highlight w:val="none"/>
        </w:rPr>
      </w:pPr>
    </w:p>
    <w:p w14:paraId="00AFB251">
      <w:pPr>
        <w:pStyle w:val="7"/>
        <w:spacing w:beforeAutospacing="0" w:afterAutospacing="0" w:line="0" w:lineRule="atLeast"/>
        <w:ind w:firstLine="480"/>
        <w:jc w:val="center"/>
        <w:rPr>
          <w:rFonts w:hint="eastAsia" w:ascii="黑体" w:hAnsi="黑体" w:eastAsia="黑体" w:cs="黑体"/>
          <w:b/>
          <w:color w:val="auto"/>
          <w:sz w:val="36"/>
          <w:szCs w:val="36"/>
          <w:highlight w:val="none"/>
        </w:rPr>
      </w:pPr>
    </w:p>
    <w:p w14:paraId="1D0D79C9">
      <w:pPr>
        <w:pStyle w:val="7"/>
        <w:spacing w:beforeAutospacing="0" w:afterAutospacing="0" w:line="0" w:lineRule="atLeast"/>
        <w:ind w:firstLine="480"/>
        <w:jc w:val="center"/>
        <w:rPr>
          <w:rFonts w:hint="eastAsia" w:ascii="黑体" w:hAnsi="黑体" w:eastAsia="黑体" w:cs="黑体"/>
          <w:b/>
          <w:color w:val="auto"/>
          <w:sz w:val="36"/>
          <w:szCs w:val="36"/>
          <w:highlight w:val="none"/>
        </w:rPr>
      </w:pPr>
    </w:p>
    <w:p w14:paraId="2DA23E7E">
      <w:pPr>
        <w:pStyle w:val="7"/>
        <w:spacing w:beforeAutospacing="0" w:afterAutospacing="0" w:line="0" w:lineRule="atLeast"/>
        <w:ind w:firstLine="480"/>
        <w:jc w:val="center"/>
        <w:rPr>
          <w:rFonts w:hint="eastAsia" w:ascii="黑体" w:hAnsi="黑体" w:eastAsia="黑体" w:cs="黑体"/>
          <w:b/>
          <w:color w:val="auto"/>
          <w:sz w:val="36"/>
          <w:szCs w:val="36"/>
          <w:highlight w:val="none"/>
        </w:rPr>
      </w:pPr>
    </w:p>
    <w:p w14:paraId="7AAE4288">
      <w:pPr>
        <w:pStyle w:val="7"/>
        <w:spacing w:beforeAutospacing="0" w:afterAutospacing="0" w:line="0" w:lineRule="atLeast"/>
        <w:ind w:firstLine="48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（一）法人或者其他组织的营业执照等证明文件，自然人的身份证明</w:t>
      </w:r>
    </w:p>
    <w:p w14:paraId="4C8D7123">
      <w:pPr>
        <w:pStyle w:val="7"/>
        <w:spacing w:beforeAutospacing="0" w:afterAutospacing="0" w:line="0" w:lineRule="atLeast"/>
        <w:ind w:firstLine="480"/>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58D8EB8D">
      <w:pPr>
        <w:pStyle w:val="7"/>
        <w:spacing w:beforeAutospacing="0" w:afterAutospacing="0" w:line="0" w:lineRule="atLeast"/>
        <w:ind w:firstLine="480"/>
        <w:jc w:val="center"/>
        <w:rPr>
          <w:rFonts w:hint="eastAsia" w:ascii="黑体" w:hAnsi="黑体" w:eastAsia="黑体" w:cs="黑体"/>
          <w:b/>
          <w:color w:val="auto"/>
          <w:sz w:val="36"/>
          <w:szCs w:val="36"/>
          <w:highlight w:val="none"/>
          <w:lang w:val="en-US" w:eastAsia="zh-CN"/>
        </w:rPr>
        <w:sectPr>
          <w:pgSz w:w="11906" w:h="16838"/>
          <w:pgMar w:top="1440" w:right="1587" w:bottom="1440" w:left="1587" w:header="851" w:footer="907" w:gutter="0"/>
          <w:cols w:space="720" w:num="1"/>
          <w:docGrid w:linePitch="360" w:charSpace="0"/>
        </w:sectPr>
      </w:pPr>
      <w:r>
        <w:rPr>
          <w:rFonts w:hint="eastAsia" w:ascii="黑体" w:hAnsi="黑体" w:eastAsia="黑体" w:cs="黑体"/>
          <w:b/>
          <w:color w:val="auto"/>
          <w:sz w:val="36"/>
          <w:szCs w:val="36"/>
          <w:highlight w:val="none"/>
        </w:rPr>
        <w:t>（二）</w:t>
      </w:r>
      <w:r>
        <w:rPr>
          <w:rFonts w:hint="eastAsia" w:ascii="黑体" w:hAnsi="黑体" w:eastAsia="黑体" w:cs="黑体"/>
          <w:b/>
          <w:color w:val="auto"/>
          <w:sz w:val="36"/>
          <w:szCs w:val="36"/>
          <w:highlight w:val="none"/>
          <w:lang w:val="en-US" w:eastAsia="zh-CN"/>
        </w:rPr>
        <w:t>上一年度</w:t>
      </w:r>
      <w:r>
        <w:rPr>
          <w:rFonts w:hint="eastAsia" w:ascii="黑体" w:hAnsi="黑体" w:eastAsia="黑体" w:cs="黑体"/>
          <w:b/>
          <w:color w:val="auto"/>
          <w:sz w:val="36"/>
          <w:szCs w:val="36"/>
          <w:highlight w:val="none"/>
        </w:rPr>
        <w:t>的财务</w:t>
      </w:r>
      <w:r>
        <w:rPr>
          <w:rFonts w:hint="eastAsia" w:ascii="黑体" w:hAnsi="黑体" w:eastAsia="黑体" w:cs="黑体"/>
          <w:b/>
          <w:color w:val="auto"/>
          <w:sz w:val="36"/>
          <w:szCs w:val="36"/>
          <w:highlight w:val="none"/>
          <w:lang w:val="en-US" w:eastAsia="zh-CN"/>
        </w:rPr>
        <w:t>报告（至少提供资产负债表、利润表、现金流量表，投标人成立不满一年无需提供）</w:t>
      </w:r>
    </w:p>
    <w:p w14:paraId="18AE758D">
      <w:pPr>
        <w:pStyle w:val="7"/>
        <w:spacing w:beforeAutospacing="0" w:afterAutospacing="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（三）具备履行合同所必需的设备和专业技术能力的书面声明</w:t>
      </w:r>
    </w:p>
    <w:p w14:paraId="5F418D57">
      <w:pPr>
        <w:pStyle w:val="7"/>
        <w:spacing w:beforeAutospacing="0" w:afterAutospacing="0"/>
        <w:jc w:val="both"/>
        <w:rPr>
          <w:rFonts w:hint="eastAsia" w:ascii="黑体" w:hAnsi="黑体" w:eastAsia="黑体" w:cs="黑体"/>
          <w:b/>
          <w:color w:val="auto"/>
          <w:sz w:val="36"/>
          <w:szCs w:val="36"/>
          <w:highlight w:val="none"/>
        </w:rPr>
      </w:pPr>
    </w:p>
    <w:p w14:paraId="13587F29">
      <w:pPr>
        <w:pStyle w:val="7"/>
        <w:spacing w:beforeAutospacing="0" w:afterAutospacing="0"/>
        <w:jc w:val="both"/>
        <w:rPr>
          <w:rFonts w:hint="eastAsia" w:ascii="黑体" w:hAnsi="黑体" w:eastAsia="黑体" w:cs="黑体"/>
          <w:b/>
          <w:color w:val="auto"/>
          <w:sz w:val="36"/>
          <w:szCs w:val="36"/>
          <w:highlight w:val="none"/>
        </w:rPr>
      </w:pPr>
    </w:p>
    <w:p w14:paraId="50AB2633">
      <w:pPr>
        <w:widowControl w:val="0"/>
        <w:spacing w:beforeAutospacing="0" w:afterAutospacing="0" w:line="0" w:lineRule="atLeast"/>
        <w:ind w:firstLine="480"/>
        <w:jc w:val="both"/>
        <w:rPr>
          <w:rFonts w:hint="default" w:ascii="宋体" w:hAnsi="宋体" w:eastAsia="宋体" w:cs="Times New Roman"/>
          <w:sz w:val="24"/>
          <w:szCs w:val="24"/>
          <w:highlight w:val="none"/>
        </w:rPr>
      </w:pPr>
      <w:r>
        <w:rPr>
          <w:rFonts w:hint="eastAsia" w:ascii="宋体" w:hAnsi="宋体" w:eastAsia="宋体" w:cs="宋体"/>
          <w:sz w:val="24"/>
          <w:szCs w:val="24"/>
          <w:highlight w:val="none"/>
        </w:rPr>
        <w:t>我单位郑重声明：我单位具备履行本项采购合同所必需的设备和专业技术能力，为履行本项采购合同我公司具备如下主要设备和主要专业技术能力：</w:t>
      </w:r>
    </w:p>
    <w:p w14:paraId="32811B38">
      <w:pPr>
        <w:widowControl w:val="0"/>
        <w:spacing w:beforeAutospacing="0" w:afterAutospacing="0" w:line="0" w:lineRule="atLeast"/>
        <w:ind w:firstLine="480"/>
        <w:jc w:val="both"/>
        <w:rPr>
          <w:rFonts w:hint="default" w:ascii="宋体" w:hAnsi="宋体" w:eastAsia="宋体" w:cs="Times New Roman"/>
          <w:sz w:val="24"/>
          <w:szCs w:val="24"/>
          <w:highlight w:val="none"/>
        </w:rPr>
      </w:pPr>
      <w:r>
        <w:rPr>
          <w:rFonts w:hint="eastAsia" w:ascii="宋体" w:hAnsi="宋体" w:eastAsia="宋体" w:cs="宋体"/>
          <w:sz w:val="24"/>
          <w:szCs w:val="24"/>
          <w:highlight w:val="none"/>
        </w:rPr>
        <w:t>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6AEBF05">
      <w:pPr>
        <w:pStyle w:val="7"/>
        <w:spacing w:beforeAutospacing="0" w:afterAutospacing="0"/>
        <w:ind w:firstLine="480" w:firstLineChars="200"/>
        <w:jc w:val="both"/>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r>
        <w:rPr>
          <w:rFonts w:hint="eastAsia" w:ascii="宋体" w:hAnsi="宋体" w:eastAsia="宋体" w:cs="宋体"/>
          <w:sz w:val="24"/>
          <w:szCs w:val="24"/>
          <w:highlight w:val="none"/>
        </w:rPr>
        <w:t>主要专业技术能力有：</w:t>
      </w:r>
      <w:r>
        <w:rPr>
          <w:rFonts w:hint="eastAsia" w:ascii="宋体" w:hAnsi="宋体" w:eastAsia="宋体" w:cs="宋体"/>
          <w:sz w:val="24"/>
          <w:szCs w:val="24"/>
          <w:highlight w:val="none"/>
          <w:u w:val="single"/>
        </w:rPr>
        <w:t xml:space="preserve">   </w:t>
      </w:r>
    </w:p>
    <w:p w14:paraId="4346A461">
      <w:pPr>
        <w:pStyle w:val="7"/>
        <w:widowControl w:val="0"/>
        <w:spacing w:before="0" w:beforeAutospacing="0" w:after="0" w:afterAutospacing="0"/>
        <w:ind w:firstLine="640"/>
        <w:jc w:val="both"/>
        <w:rPr>
          <w:rFonts w:ascii="宋体" w:hAnsi="宋体" w:eastAsia="宋体" w:cs="Times New Roman"/>
          <w:highlight w:val="none"/>
        </w:rPr>
      </w:pPr>
      <w:r>
        <w:rPr>
          <w:rFonts w:hint="eastAsia" w:ascii="黑体" w:hAnsi="黑体" w:eastAsia="黑体" w:cs="黑体"/>
          <w:b/>
          <w:color w:val="auto"/>
          <w:sz w:val="36"/>
          <w:szCs w:val="36"/>
          <w:highlight w:val="none"/>
        </w:rPr>
        <w:t>（四）依法缴纳税收和社会保障资金的相关材料</w:t>
      </w:r>
    </w:p>
    <w:p w14:paraId="56A4725A">
      <w:pPr>
        <w:pStyle w:val="7"/>
        <w:spacing w:beforeAutospacing="0" w:afterAutospacing="0"/>
        <w:jc w:val="center"/>
        <w:rPr>
          <w:rFonts w:hint="eastAsia" w:ascii="黑体" w:hAnsi="黑体" w:eastAsia="黑体" w:cs="黑体"/>
          <w:b/>
          <w:color w:val="auto"/>
          <w:sz w:val="36"/>
          <w:szCs w:val="36"/>
          <w:highlight w:val="none"/>
        </w:rPr>
      </w:pPr>
    </w:p>
    <w:p w14:paraId="1FB64F1B">
      <w:pPr>
        <w:pStyle w:val="4"/>
        <w:spacing w:before="120" w:after="120" w:line="440" w:lineRule="exact"/>
        <w:jc w:val="center"/>
        <w:rPr>
          <w:rFonts w:hint="eastAsia" w:ascii="黑体" w:hAnsi="黑体" w:eastAsia="黑体" w:cs="黑体"/>
          <w:b/>
          <w:color w:val="auto"/>
          <w:sz w:val="36"/>
          <w:szCs w:val="36"/>
          <w:highlight w:val="none"/>
        </w:rPr>
      </w:pPr>
    </w:p>
    <w:p w14:paraId="48A307BE">
      <w:pPr>
        <w:pStyle w:val="4"/>
        <w:keepNext w:val="0"/>
        <w:keepLines w:val="0"/>
        <w:pageBreakBefore w:val="0"/>
        <w:widowControl w:val="0"/>
        <w:kinsoku/>
        <w:wordWrap/>
        <w:overflowPunct/>
        <w:topLinePunct w:val="0"/>
        <w:autoSpaceDE/>
        <w:autoSpaceDN/>
        <w:bidi w:val="0"/>
        <w:adjustRightInd/>
        <w:snapToGrid/>
        <w:spacing w:before="120" w:after="120" w:line="440" w:lineRule="exact"/>
        <w:ind w:firstLine="420" w:firstLineChars="200"/>
        <w:jc w:val="left"/>
        <w:textAlignment w:val="auto"/>
        <w:rPr>
          <w:rFonts w:hint="eastAsia" w:ascii="黑体" w:hAnsi="黑体" w:eastAsia="黑体" w:cs="黑体"/>
          <w:b/>
          <w:color w:val="auto"/>
          <w:sz w:val="36"/>
          <w:szCs w:val="36"/>
          <w:highlight w:val="none"/>
        </w:rPr>
      </w:pPr>
      <w:r>
        <w:rPr>
          <w:rFonts w:hint="eastAsia" w:ascii="宋体" w:hAnsi="宋体" w:eastAsia="宋体" w:cs="宋体"/>
          <w:highlight w:val="none"/>
        </w:rPr>
        <w:t>提供提交投标文件截止时间前一年内至少一个月依法缴纳税收及缴纳社会保障资金的证明材料。投标人依法享受缓缴、免缴税收、社会保障资金的提供证明材料</w:t>
      </w:r>
    </w:p>
    <w:p w14:paraId="37057819">
      <w:pPr>
        <w:pStyle w:val="4"/>
        <w:spacing w:before="120" w:after="120" w:line="440" w:lineRule="exact"/>
        <w:jc w:val="center"/>
        <w:rPr>
          <w:rFonts w:hint="eastAsia" w:ascii="黑体" w:hAnsi="黑体" w:eastAsia="黑体" w:cs="黑体"/>
          <w:b/>
          <w:color w:val="auto"/>
          <w:sz w:val="36"/>
          <w:szCs w:val="36"/>
          <w:highlight w:val="none"/>
        </w:rPr>
      </w:pPr>
    </w:p>
    <w:p w14:paraId="1160F54B">
      <w:pPr>
        <w:pStyle w:val="4"/>
        <w:spacing w:before="120" w:after="120" w:line="440" w:lineRule="exact"/>
        <w:jc w:val="center"/>
        <w:rPr>
          <w:rFonts w:hint="eastAsia" w:ascii="黑体" w:hAnsi="黑体" w:eastAsia="黑体" w:cs="黑体"/>
          <w:b/>
          <w:color w:val="auto"/>
          <w:sz w:val="36"/>
          <w:szCs w:val="36"/>
          <w:highlight w:val="none"/>
        </w:rPr>
      </w:pPr>
    </w:p>
    <w:p w14:paraId="4A1CAB45">
      <w:pPr>
        <w:pStyle w:val="4"/>
        <w:spacing w:before="120" w:after="120" w:line="440" w:lineRule="exact"/>
        <w:jc w:val="center"/>
        <w:rPr>
          <w:rFonts w:hint="eastAsia" w:ascii="黑体" w:hAnsi="黑体" w:eastAsia="黑体" w:cs="黑体"/>
          <w:b/>
          <w:color w:val="auto"/>
          <w:sz w:val="36"/>
          <w:szCs w:val="36"/>
          <w:highlight w:val="none"/>
        </w:rPr>
      </w:pPr>
    </w:p>
    <w:p w14:paraId="7BB43A57">
      <w:pPr>
        <w:pStyle w:val="4"/>
        <w:spacing w:before="120" w:after="120" w:line="440" w:lineRule="exact"/>
        <w:jc w:val="center"/>
        <w:rPr>
          <w:rFonts w:hint="eastAsia" w:ascii="黑体" w:hAnsi="黑体" w:eastAsia="黑体" w:cs="黑体"/>
          <w:b/>
          <w:color w:val="auto"/>
          <w:sz w:val="36"/>
          <w:szCs w:val="36"/>
          <w:highlight w:val="none"/>
        </w:rPr>
      </w:pPr>
    </w:p>
    <w:p w14:paraId="4091FAAE">
      <w:pPr>
        <w:pStyle w:val="4"/>
        <w:spacing w:before="120" w:after="120" w:line="440" w:lineRule="exact"/>
        <w:jc w:val="center"/>
        <w:rPr>
          <w:rFonts w:hint="eastAsia" w:ascii="黑体" w:hAnsi="黑体" w:eastAsia="黑体" w:cs="黑体"/>
          <w:b/>
          <w:color w:val="auto"/>
          <w:sz w:val="36"/>
          <w:szCs w:val="36"/>
          <w:highlight w:val="none"/>
        </w:rPr>
      </w:pPr>
    </w:p>
    <w:p w14:paraId="07CB6056">
      <w:pPr>
        <w:pStyle w:val="4"/>
        <w:spacing w:before="120" w:after="120" w:line="440" w:lineRule="exact"/>
        <w:jc w:val="center"/>
        <w:rPr>
          <w:rFonts w:hint="eastAsia" w:ascii="黑体" w:hAnsi="黑体" w:eastAsia="黑体" w:cs="黑体"/>
          <w:b/>
          <w:color w:val="auto"/>
          <w:sz w:val="36"/>
          <w:szCs w:val="36"/>
          <w:highlight w:val="none"/>
        </w:rPr>
      </w:pPr>
    </w:p>
    <w:p w14:paraId="2DC38264">
      <w:pPr>
        <w:pStyle w:val="4"/>
        <w:spacing w:before="120" w:after="120" w:line="440" w:lineRule="exact"/>
        <w:jc w:val="center"/>
        <w:rPr>
          <w:rFonts w:hint="eastAsia" w:ascii="黑体" w:hAnsi="黑体" w:eastAsia="黑体" w:cs="黑体"/>
          <w:b/>
          <w:color w:val="auto"/>
          <w:sz w:val="36"/>
          <w:szCs w:val="36"/>
          <w:highlight w:val="none"/>
        </w:rPr>
      </w:pPr>
    </w:p>
    <w:p w14:paraId="72921DE2">
      <w:pPr>
        <w:pStyle w:val="4"/>
        <w:spacing w:before="120" w:after="120" w:line="440" w:lineRule="exact"/>
        <w:jc w:val="center"/>
        <w:rPr>
          <w:rFonts w:hint="eastAsia" w:ascii="黑体" w:hAnsi="黑体" w:eastAsia="黑体" w:cs="黑体"/>
          <w:b/>
          <w:color w:val="auto"/>
          <w:sz w:val="36"/>
          <w:szCs w:val="36"/>
          <w:highlight w:val="none"/>
        </w:rPr>
      </w:pPr>
    </w:p>
    <w:p w14:paraId="15C736DB">
      <w:pPr>
        <w:pStyle w:val="4"/>
        <w:spacing w:before="120" w:after="120" w:line="440" w:lineRule="exact"/>
        <w:jc w:val="center"/>
        <w:rPr>
          <w:rFonts w:hint="eastAsia" w:ascii="黑体" w:hAnsi="黑体" w:eastAsia="黑体" w:cs="黑体"/>
          <w:b/>
          <w:color w:val="auto"/>
          <w:sz w:val="36"/>
          <w:szCs w:val="36"/>
          <w:highlight w:val="none"/>
        </w:rPr>
      </w:pPr>
    </w:p>
    <w:p w14:paraId="41A06D34">
      <w:pPr>
        <w:pStyle w:val="4"/>
        <w:spacing w:before="120" w:after="120" w:line="440" w:lineRule="exact"/>
        <w:jc w:val="center"/>
        <w:rPr>
          <w:rFonts w:hint="eastAsia" w:ascii="黑体" w:hAnsi="黑体" w:eastAsia="黑体" w:cs="黑体"/>
          <w:b/>
          <w:color w:val="auto"/>
          <w:sz w:val="36"/>
          <w:szCs w:val="36"/>
          <w:highlight w:val="none"/>
        </w:rPr>
      </w:pPr>
    </w:p>
    <w:p w14:paraId="1978C88E">
      <w:pPr>
        <w:pStyle w:val="4"/>
        <w:spacing w:before="120" w:after="120" w:line="440" w:lineRule="exact"/>
        <w:jc w:val="center"/>
        <w:rPr>
          <w:rFonts w:hint="eastAsia" w:ascii="黑体" w:hAnsi="黑体" w:eastAsia="黑体" w:cs="黑体"/>
          <w:b/>
          <w:color w:val="auto"/>
          <w:sz w:val="36"/>
          <w:szCs w:val="36"/>
          <w:highlight w:val="none"/>
        </w:rPr>
      </w:pPr>
    </w:p>
    <w:p w14:paraId="3DD8ACA9">
      <w:pPr>
        <w:pStyle w:val="4"/>
        <w:spacing w:before="120" w:after="120" w:line="440" w:lineRule="exact"/>
        <w:jc w:val="center"/>
        <w:rPr>
          <w:rFonts w:hint="eastAsia" w:ascii="黑体" w:hAnsi="黑体" w:eastAsia="黑体" w:cs="黑体"/>
          <w:b/>
          <w:color w:val="auto"/>
          <w:sz w:val="36"/>
          <w:szCs w:val="36"/>
          <w:highlight w:val="none"/>
        </w:rPr>
      </w:pPr>
    </w:p>
    <w:p w14:paraId="46629E00">
      <w:pPr>
        <w:pStyle w:val="4"/>
        <w:spacing w:before="120" w:after="120" w:line="440" w:lineRule="exact"/>
        <w:jc w:val="center"/>
        <w:rPr>
          <w:rFonts w:hint="eastAsia" w:ascii="黑体" w:hAnsi="黑体" w:eastAsia="黑体" w:cs="黑体"/>
          <w:b/>
          <w:color w:val="auto"/>
          <w:sz w:val="36"/>
          <w:szCs w:val="36"/>
          <w:highlight w:val="none"/>
        </w:rPr>
      </w:pPr>
    </w:p>
    <w:p w14:paraId="7A019509">
      <w:pPr>
        <w:pStyle w:val="4"/>
        <w:spacing w:before="120" w:after="120" w:line="440" w:lineRule="exact"/>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4010C256">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（五）参加政府采购活动前 3 年内在经营活动中没有重大违法记录的书面声明</w:t>
      </w:r>
    </w:p>
    <w:p w14:paraId="281B1016">
      <w:pPr>
        <w:spacing w:line="460" w:lineRule="exact"/>
        <w:rPr>
          <w:rFonts w:hint="eastAsia" w:ascii="宋体" w:hAnsi="宋体" w:cs="Times New Roman"/>
          <w:b/>
          <w:bCs/>
          <w:color w:val="auto"/>
          <w:sz w:val="44"/>
          <w:szCs w:val="44"/>
          <w:highlight w:val="none"/>
        </w:rPr>
      </w:pPr>
      <w:r>
        <w:rPr>
          <w:rFonts w:hint="eastAsia" w:ascii="宋体" w:hAnsi="宋体" w:cs="Times New Roman"/>
          <w:b/>
          <w:bCs/>
          <w:color w:val="auto"/>
          <w:sz w:val="24"/>
          <w:highlight w:val="none"/>
        </w:rPr>
        <w:t xml:space="preserve">                       </w:t>
      </w:r>
      <w:r>
        <w:rPr>
          <w:rFonts w:hint="eastAsia" w:ascii="宋体" w:hAnsi="宋体" w:cs="Times New Roman"/>
          <w:b/>
          <w:bCs/>
          <w:color w:val="auto"/>
          <w:sz w:val="44"/>
          <w:szCs w:val="44"/>
          <w:highlight w:val="none"/>
        </w:rPr>
        <w:t xml:space="preserve">   </w:t>
      </w:r>
    </w:p>
    <w:p w14:paraId="59A98BA5">
      <w:pPr>
        <w:spacing w:line="460" w:lineRule="exact"/>
        <w:rPr>
          <w:rFonts w:hint="eastAsia" w:ascii="宋体" w:hAnsi="宋体" w:cs="Times New Roman"/>
          <w:b/>
          <w:bCs/>
          <w:color w:val="auto"/>
          <w:sz w:val="44"/>
          <w:szCs w:val="44"/>
          <w:highlight w:val="none"/>
        </w:rPr>
      </w:pPr>
      <w:r>
        <w:rPr>
          <w:rFonts w:hint="eastAsia" w:ascii="宋体" w:hAnsi="宋体" w:cs="Times New Roman"/>
          <w:b/>
          <w:bCs/>
          <w:color w:val="auto"/>
          <w:sz w:val="44"/>
          <w:szCs w:val="44"/>
          <w:highlight w:val="none"/>
        </w:rPr>
        <w:t xml:space="preserve">                   声  明</w:t>
      </w:r>
    </w:p>
    <w:p w14:paraId="2A8259EF">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宋体" w:hAnsi="宋体" w:cs="Times New Roman"/>
          <w:bCs/>
          <w:color w:val="auto"/>
          <w:sz w:val="24"/>
          <w:highlight w:val="none"/>
        </w:rPr>
      </w:pPr>
      <w:r>
        <w:rPr>
          <w:rFonts w:hint="eastAsia" w:ascii="宋体" w:hAnsi="宋体" w:eastAsia="宋体" w:cs="宋体"/>
          <w:highlight w:val="none"/>
        </w:rPr>
        <w:t>我单位郑重声明：参加本次政府采购活动前 3 年内，我单位在经营活动中没有因违法经营受到刑事处罚或者责令停产停业、吊销许可证或者执照、较大数额罚款等行政处罚</w:t>
      </w:r>
    </w:p>
    <w:p w14:paraId="4C4B39D3">
      <w:pPr>
        <w:spacing w:line="460" w:lineRule="exact"/>
        <w:rPr>
          <w:rFonts w:hint="eastAsia" w:ascii="宋体" w:hAnsi="宋体" w:cs="Times New Roman"/>
          <w:bCs/>
          <w:color w:val="auto"/>
          <w:sz w:val="24"/>
          <w:highlight w:val="none"/>
        </w:rPr>
      </w:pPr>
      <w:r>
        <w:rPr>
          <w:rFonts w:hint="eastAsia" w:ascii="宋体" w:hAnsi="宋体" w:cs="Times New Roman"/>
          <w:bCs/>
          <w:color w:val="auto"/>
          <w:sz w:val="24"/>
          <w:highlight w:val="none"/>
        </w:rPr>
        <w:t xml:space="preserve">                                     </w:t>
      </w:r>
    </w:p>
    <w:p w14:paraId="197B37B2">
      <w:pPr>
        <w:spacing w:line="360" w:lineRule="auto"/>
        <w:ind w:left="1446" w:hanging="1446"/>
        <w:jc w:val="center"/>
        <w:rPr>
          <w:rFonts w:hint="eastAsia" w:ascii="宋体" w:hAnsi="宋体" w:cs="Times New Roman"/>
          <w:b/>
          <w:color w:val="auto"/>
          <w:sz w:val="36"/>
          <w:szCs w:val="36"/>
          <w:highlight w:val="none"/>
        </w:rPr>
      </w:pPr>
    </w:p>
    <w:p w14:paraId="08093294">
      <w:pPr>
        <w:spacing w:line="360" w:lineRule="auto"/>
        <w:ind w:left="1446" w:hanging="1446"/>
        <w:jc w:val="center"/>
        <w:rPr>
          <w:rFonts w:hint="eastAsia" w:ascii="宋体" w:hAnsi="宋体" w:cs="Times New Roman"/>
          <w:b/>
          <w:color w:val="auto"/>
          <w:sz w:val="36"/>
          <w:szCs w:val="36"/>
          <w:highlight w:val="none"/>
        </w:rPr>
      </w:pPr>
    </w:p>
    <w:p w14:paraId="65086D3D">
      <w:pPr>
        <w:spacing w:line="360" w:lineRule="auto"/>
        <w:ind w:left="1446" w:hanging="1446"/>
        <w:jc w:val="center"/>
        <w:rPr>
          <w:rFonts w:hint="eastAsia" w:ascii="宋体" w:hAnsi="宋体" w:cs="Times New Roman"/>
          <w:b/>
          <w:color w:val="auto"/>
          <w:sz w:val="36"/>
          <w:szCs w:val="36"/>
          <w:highlight w:val="none"/>
        </w:rPr>
      </w:pPr>
    </w:p>
    <w:p w14:paraId="0E36C047">
      <w:pPr>
        <w:pStyle w:val="8"/>
        <w:ind w:firstLine="361"/>
        <w:rPr>
          <w:rFonts w:hint="eastAsia" w:ascii="宋体" w:hAnsi="宋体" w:cs="Times New Roman"/>
          <w:b/>
          <w:color w:val="auto"/>
          <w:sz w:val="36"/>
          <w:szCs w:val="36"/>
          <w:highlight w:val="none"/>
        </w:rPr>
      </w:pPr>
    </w:p>
    <w:p w14:paraId="1614F135">
      <w:pPr>
        <w:rPr>
          <w:rFonts w:hint="eastAsia" w:ascii="宋体" w:hAnsi="宋体" w:cs="Times New Roman"/>
          <w:b/>
          <w:color w:val="auto"/>
          <w:sz w:val="36"/>
          <w:szCs w:val="36"/>
          <w:highlight w:val="none"/>
        </w:rPr>
      </w:pPr>
    </w:p>
    <w:p w14:paraId="18517C45">
      <w:pPr>
        <w:rPr>
          <w:rFonts w:hint="eastAsia" w:ascii="黑体" w:hAnsi="黑体" w:eastAsia="黑体" w:cs="黑体"/>
          <w:b/>
          <w:color w:val="auto"/>
          <w:sz w:val="36"/>
          <w:szCs w:val="36"/>
          <w:highlight w:val="none"/>
        </w:rPr>
      </w:pPr>
    </w:p>
    <w:p w14:paraId="3593EBA1">
      <w:pPr>
        <w:pStyle w:val="23"/>
        <w:rPr>
          <w:rFonts w:ascii="Times New Roman" w:hAnsi="Times New Roman" w:cs="Times New Roman"/>
          <w:color w:val="auto"/>
          <w:highlight w:val="none"/>
        </w:rPr>
      </w:pPr>
    </w:p>
    <w:p w14:paraId="48D72BAF">
      <w:pPr>
        <w:rPr>
          <w:rFonts w:ascii="Times New Roman" w:hAnsi="Times New Roman" w:cs="Times New Roman"/>
          <w:color w:val="auto"/>
          <w:highlight w:val="none"/>
        </w:rPr>
      </w:pPr>
    </w:p>
    <w:p w14:paraId="5603455F">
      <w:pPr>
        <w:pStyle w:val="23"/>
        <w:rPr>
          <w:rFonts w:ascii="Times New Roman" w:hAnsi="Times New Roman" w:cs="Times New Roman"/>
          <w:color w:val="auto"/>
          <w:highlight w:val="none"/>
        </w:rPr>
      </w:pPr>
    </w:p>
    <w:p w14:paraId="28B145FE">
      <w:pPr>
        <w:rPr>
          <w:rFonts w:ascii="Times New Roman" w:hAnsi="Times New Roman" w:cs="Times New Roman"/>
          <w:color w:val="auto"/>
          <w:highlight w:val="none"/>
        </w:rPr>
      </w:pPr>
    </w:p>
    <w:p w14:paraId="478C828E">
      <w:pPr>
        <w:pStyle w:val="23"/>
        <w:rPr>
          <w:rFonts w:ascii="Times New Roman" w:hAnsi="Times New Roman" w:cs="Times New Roman"/>
          <w:color w:val="auto"/>
          <w:highlight w:val="none"/>
        </w:rPr>
      </w:pPr>
    </w:p>
    <w:p w14:paraId="08254F95">
      <w:pPr>
        <w:rPr>
          <w:rFonts w:ascii="Times New Roman" w:hAnsi="Times New Roman" w:cs="Times New Roman"/>
          <w:color w:val="auto"/>
          <w:highlight w:val="none"/>
        </w:rPr>
      </w:pPr>
    </w:p>
    <w:p w14:paraId="71B00525">
      <w:pPr>
        <w:pStyle w:val="23"/>
        <w:rPr>
          <w:rFonts w:ascii="Times New Roman" w:hAnsi="Times New Roman" w:cs="Times New Roman"/>
          <w:color w:val="auto"/>
          <w:highlight w:val="none"/>
        </w:rPr>
      </w:pPr>
    </w:p>
    <w:p w14:paraId="0CEC491E">
      <w:pPr>
        <w:rPr>
          <w:rFonts w:ascii="Times New Roman" w:hAnsi="Times New Roman" w:cs="Times New Roman"/>
          <w:color w:val="auto"/>
          <w:highlight w:val="none"/>
        </w:rPr>
      </w:pPr>
    </w:p>
    <w:p w14:paraId="6371BDDF">
      <w:pPr>
        <w:pStyle w:val="23"/>
        <w:rPr>
          <w:rFonts w:ascii="Times New Roman" w:hAnsi="Times New Roman" w:cs="Times New Roman"/>
          <w:color w:val="auto"/>
          <w:highlight w:val="none"/>
        </w:rPr>
      </w:pPr>
    </w:p>
    <w:p w14:paraId="2B9F9105">
      <w:pPr>
        <w:rPr>
          <w:rFonts w:ascii="Times New Roman" w:hAnsi="Times New Roman" w:cs="Times New Roman"/>
          <w:color w:val="auto"/>
          <w:highlight w:val="none"/>
        </w:rPr>
      </w:pPr>
    </w:p>
    <w:p w14:paraId="4D7B3D03">
      <w:pPr>
        <w:pStyle w:val="23"/>
        <w:rPr>
          <w:rFonts w:ascii="Times New Roman" w:hAnsi="Times New Roman" w:cs="Times New Roman"/>
          <w:color w:val="auto"/>
          <w:highlight w:val="none"/>
        </w:rPr>
      </w:pPr>
    </w:p>
    <w:p w14:paraId="1DED8C64">
      <w:pPr>
        <w:rPr>
          <w:rFonts w:ascii="Times New Roman" w:hAnsi="Times New Roman" w:cs="Times New Roman"/>
          <w:color w:val="auto"/>
          <w:highlight w:val="none"/>
        </w:rPr>
      </w:pPr>
    </w:p>
    <w:p w14:paraId="5510DC73">
      <w:pPr>
        <w:pStyle w:val="23"/>
        <w:rPr>
          <w:rFonts w:ascii="Times New Roman" w:hAnsi="Times New Roman" w:cs="Times New Roman"/>
          <w:color w:val="auto"/>
          <w:highlight w:val="none"/>
        </w:rPr>
      </w:pPr>
    </w:p>
    <w:p w14:paraId="76CC044B">
      <w:pPr>
        <w:rPr>
          <w:rFonts w:ascii="Times New Roman" w:hAnsi="Times New Roman" w:cs="Times New Roman"/>
          <w:color w:val="auto"/>
          <w:highlight w:val="none"/>
        </w:rPr>
      </w:pPr>
    </w:p>
    <w:p w14:paraId="4C9A52DE">
      <w:pPr>
        <w:pStyle w:val="23"/>
        <w:rPr>
          <w:rFonts w:ascii="Times New Roman" w:hAnsi="Times New Roman" w:cs="Times New Roman"/>
          <w:color w:val="auto"/>
          <w:highlight w:val="none"/>
        </w:rPr>
      </w:pPr>
    </w:p>
    <w:p w14:paraId="680ED06C">
      <w:pPr>
        <w:rPr>
          <w:rFonts w:ascii="Times New Roman" w:hAnsi="Times New Roman" w:cs="Times New Roman"/>
          <w:color w:val="auto"/>
          <w:highlight w:val="none"/>
        </w:rPr>
      </w:pPr>
    </w:p>
    <w:p w14:paraId="0B3D0A5D">
      <w:pPr>
        <w:pStyle w:val="23"/>
        <w:rPr>
          <w:rFonts w:ascii="Times New Roman" w:hAnsi="Times New Roman" w:cs="Times New Roman"/>
          <w:color w:val="auto"/>
          <w:highlight w:val="none"/>
        </w:rPr>
      </w:pPr>
    </w:p>
    <w:p w14:paraId="7592B292">
      <w:pPr>
        <w:pStyle w:val="4"/>
        <w:spacing w:before="120" w:after="120" w:line="440" w:lineRule="exact"/>
        <w:rPr>
          <w:rFonts w:hint="eastAsia" w:hAnsi="宋体" w:cs="宋体"/>
          <w:b/>
          <w:color w:val="auto"/>
          <w:sz w:val="36"/>
          <w:szCs w:val="36"/>
          <w:highlight w:val="none"/>
        </w:rPr>
      </w:pPr>
    </w:p>
    <w:p w14:paraId="1925911C">
      <w:pPr>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0CDC72D4">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（六）特定资格要求的证明文件</w:t>
      </w:r>
    </w:p>
    <w:p w14:paraId="6AFD17C5">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21"/>
          <w:szCs w:val="21"/>
          <w:highlight w:val="none"/>
        </w:rPr>
        <w:t>如果本项目申请人的特定资格要求中要求提供的，必须提供</w:t>
      </w:r>
    </w:p>
    <w:p w14:paraId="63D71206">
      <w:pPr>
        <w:pStyle w:val="4"/>
        <w:spacing w:before="120" w:after="120" w:line="440" w:lineRule="exact"/>
        <w:jc w:val="center"/>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p>
    <w:p w14:paraId="55A2B504">
      <w:pPr>
        <w:pStyle w:val="7"/>
        <w:widowControl w:val="0"/>
        <w:spacing w:before="0" w:beforeAutospacing="0" w:after="0" w:afterAutospacing="0"/>
        <w:ind w:firstLine="640"/>
        <w:jc w:val="center"/>
        <w:rPr>
          <w:rFonts w:ascii="宋体" w:hAnsi="宋体" w:eastAsia="宋体" w:cs="Times New Roman"/>
          <w:highlight w:val="none"/>
        </w:rPr>
      </w:pPr>
      <w:r>
        <w:rPr>
          <w:rFonts w:hint="eastAsia" w:ascii="黑体" w:hAnsi="黑体" w:eastAsia="黑体" w:cs="黑体"/>
          <w:b/>
          <w:color w:val="auto"/>
          <w:sz w:val="36"/>
          <w:szCs w:val="36"/>
          <w:highlight w:val="none"/>
        </w:rPr>
        <w:t>（七）法人授权书</w:t>
      </w:r>
    </w:p>
    <w:p w14:paraId="1FA5A53F">
      <w:pPr>
        <w:spacing w:before="50" w:after="50"/>
        <w:jc w:val="center"/>
        <w:rPr>
          <w:rFonts w:hint="eastAsia" w:ascii="黑体" w:hAnsi="黑体" w:eastAsia="黑体" w:cs="黑体"/>
          <w:b/>
          <w:color w:val="auto"/>
          <w:sz w:val="36"/>
          <w:szCs w:val="36"/>
          <w:highlight w:val="none"/>
        </w:rPr>
      </w:pPr>
    </w:p>
    <w:p w14:paraId="766908C1">
      <w:pPr>
        <w:widowControl w:val="0"/>
        <w:tabs>
          <w:tab w:val="left" w:pos="360"/>
        </w:tabs>
        <w:spacing w:beforeAutospacing="0" w:afterAutospacing="0" w:line="480" w:lineRule="exact"/>
        <w:ind w:firstLine="480"/>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本授权书声明：____________（投标人名称）授权________________（被授权人的姓名）为我方就JSZC-</w:t>
      </w:r>
      <w:r>
        <w:rPr>
          <w:rFonts w:hint="default" w:ascii="宋体" w:hAnsi="宋体" w:eastAsia="宋体" w:cs="Times New Roman"/>
          <w:sz w:val="24"/>
          <w:szCs w:val="24"/>
          <w:highlight w:val="none"/>
          <w:u w:val="single"/>
        </w:rPr>
        <w:t xml:space="preserve">        </w:t>
      </w:r>
      <w:r>
        <w:rPr>
          <w:rFonts w:hint="default" w:ascii="宋体" w:hAnsi="宋体" w:eastAsia="宋体" w:cs="Times New Roman"/>
          <w:sz w:val="24"/>
          <w:szCs w:val="24"/>
          <w:highlight w:val="none"/>
        </w:rPr>
        <w:t>号项目采购活动的合法代理人，以本单位名义全权处理一切与该项目采购有关的事务。</w:t>
      </w:r>
    </w:p>
    <w:p w14:paraId="07B19FF0">
      <w:pPr>
        <w:widowControl w:val="0"/>
        <w:tabs>
          <w:tab w:val="left" w:pos="360"/>
        </w:tabs>
        <w:spacing w:beforeAutospacing="0" w:afterAutospacing="0" w:line="480" w:lineRule="exact"/>
        <w:ind w:firstLine="480"/>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本授权书于______年____月____日起生效，特此声明。</w:t>
      </w:r>
    </w:p>
    <w:p w14:paraId="7E649A6D">
      <w:pPr>
        <w:widowControl w:val="0"/>
        <w:tabs>
          <w:tab w:val="left" w:pos="360"/>
        </w:tabs>
        <w:spacing w:beforeAutospacing="0" w:afterAutospacing="0" w:line="480" w:lineRule="exact"/>
        <w:ind w:firstLine="480"/>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被授权人身份证号码：</w:t>
      </w:r>
      <w:r>
        <w:rPr>
          <w:rFonts w:hint="default" w:ascii="宋体" w:hAnsi="宋体" w:eastAsia="宋体" w:cs="Times New Roman"/>
          <w:sz w:val="24"/>
          <w:szCs w:val="24"/>
          <w:highlight w:val="none"/>
          <w:u w:val="single"/>
        </w:rPr>
        <w:t xml:space="preserve">                    </w:t>
      </w:r>
    </w:p>
    <w:p w14:paraId="6EE31713">
      <w:pPr>
        <w:widowControl w:val="0"/>
        <w:tabs>
          <w:tab w:val="left" w:pos="360"/>
        </w:tabs>
        <w:spacing w:beforeAutospacing="0" w:afterAutospacing="0" w:line="480" w:lineRule="exact"/>
        <w:ind w:firstLine="480"/>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被授权人联系电话：（手机）</w:t>
      </w:r>
      <w:r>
        <w:rPr>
          <w:rFonts w:hint="default" w:ascii="宋体" w:hAnsi="宋体" w:eastAsia="宋体" w:cs="Times New Roman"/>
          <w:sz w:val="24"/>
          <w:szCs w:val="24"/>
          <w:highlight w:val="none"/>
          <w:u w:val="single"/>
        </w:rPr>
        <w:t xml:space="preserve">                </w:t>
      </w:r>
    </w:p>
    <w:p w14:paraId="3C53967F">
      <w:pPr>
        <w:widowControl w:val="0"/>
        <w:tabs>
          <w:tab w:val="left" w:pos="360"/>
        </w:tabs>
        <w:spacing w:beforeAutospacing="0" w:afterAutospacing="0" w:line="480" w:lineRule="exact"/>
        <w:ind w:firstLine="480"/>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授权单位名称：</w:t>
      </w:r>
      <w:r>
        <w:rPr>
          <w:rFonts w:hint="default" w:ascii="宋体" w:hAnsi="宋体" w:eastAsia="宋体" w:cs="Times New Roman"/>
          <w:sz w:val="24"/>
          <w:szCs w:val="24"/>
          <w:highlight w:val="none"/>
          <w:u w:val="single"/>
        </w:rPr>
        <w:t>（加盖CA电子公章）</w:t>
      </w:r>
    </w:p>
    <w:p w14:paraId="7FF1F73B">
      <w:pPr>
        <w:widowControl w:val="0"/>
        <w:tabs>
          <w:tab w:val="left" w:pos="360"/>
        </w:tabs>
        <w:spacing w:beforeAutospacing="0" w:afterAutospacing="0" w:line="480" w:lineRule="exact"/>
        <w:ind w:firstLine="480"/>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单位地址：</w:t>
      </w:r>
      <w:r>
        <w:rPr>
          <w:rFonts w:hint="default" w:ascii="宋体" w:hAnsi="宋体" w:eastAsia="宋体" w:cs="Times New Roman"/>
          <w:sz w:val="24"/>
          <w:szCs w:val="24"/>
          <w:highlight w:val="none"/>
          <w:u w:val="single"/>
        </w:rPr>
        <w:t xml:space="preserve">                       </w:t>
      </w:r>
    </w:p>
    <w:p w14:paraId="36AEBDFC">
      <w:pPr>
        <w:widowControl w:val="0"/>
        <w:tabs>
          <w:tab w:val="left" w:pos="360"/>
        </w:tabs>
        <w:spacing w:beforeAutospacing="0" w:afterAutospacing="0" w:line="480" w:lineRule="exact"/>
        <w:ind w:firstLine="480"/>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日期：</w:t>
      </w:r>
      <w:r>
        <w:rPr>
          <w:rFonts w:hint="default" w:ascii="宋体" w:hAnsi="宋体" w:eastAsia="宋体" w:cs="Times New Roman"/>
          <w:sz w:val="24"/>
          <w:szCs w:val="24"/>
          <w:highlight w:val="none"/>
          <w:u w:val="single"/>
        </w:rPr>
        <w:t xml:space="preserve">                       </w:t>
      </w:r>
    </w:p>
    <w:p w14:paraId="03D43843">
      <w:pPr>
        <w:spacing w:before="50" w:after="5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br w:type="page" w:clear="all"/>
      </w:r>
      <w:r>
        <w:rPr>
          <w:rFonts w:hint="eastAsia" w:ascii="黑体" w:hAnsi="黑体" w:eastAsia="黑体" w:cs="黑体"/>
          <w:b/>
          <w:color w:val="auto"/>
          <w:sz w:val="36"/>
          <w:szCs w:val="36"/>
          <w:highlight w:val="none"/>
        </w:rPr>
        <w:t>（八）投标函</w:t>
      </w:r>
    </w:p>
    <w:p w14:paraId="57528AFE">
      <w:pPr>
        <w:pStyle w:val="7"/>
        <w:widowControl w:val="0"/>
        <w:spacing w:before="0" w:beforeAutospacing="0" w:after="0" w:afterAutospacing="0" w:line="0" w:lineRule="atLeast"/>
        <w:rPr>
          <w:rFonts w:hint="eastAsia" w:hAnsi="宋体"/>
          <w:color w:val="auto"/>
          <w:sz w:val="24"/>
          <w:highlight w:val="none"/>
        </w:rPr>
      </w:pPr>
    </w:p>
    <w:p w14:paraId="1FB351CE">
      <w:pPr>
        <w:pStyle w:val="7"/>
        <w:widowControl w:val="0"/>
        <w:spacing w:before="0" w:beforeAutospacing="0" w:after="0" w:afterAutospacing="0" w:line="0" w:lineRule="atLeast"/>
        <w:rPr>
          <w:rFonts w:ascii="宋体" w:hAnsi="宋体" w:eastAsia="宋体" w:cs="Times New Roman"/>
          <w:highlight w:val="none"/>
        </w:rPr>
      </w:pPr>
      <w:r>
        <w:rPr>
          <w:rFonts w:hint="eastAsia" w:ascii="宋体" w:hAnsi="宋体" w:eastAsia="宋体" w:cs="宋体"/>
          <w:highlight w:val="none"/>
        </w:rPr>
        <w:t>致：江苏大丰港经济开发区管理委员会</w:t>
      </w:r>
    </w:p>
    <w:p w14:paraId="1539012D">
      <w:pPr>
        <w:widowControl w:val="0"/>
        <w:spacing w:beforeAutospacing="0" w:afterAutospacing="0" w:line="500" w:lineRule="exact"/>
        <w:ind w:firstLine="48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根据贵方的JSZC-***</w:t>
      </w:r>
      <w:r>
        <w:rPr>
          <w:rFonts w:hint="eastAsia" w:ascii="宋体" w:hAnsi="宋体" w:eastAsia="宋体" w:cs="宋体"/>
          <w:sz w:val="21"/>
          <w:szCs w:val="36"/>
          <w:highlight w:val="none"/>
          <w:u w:val="single"/>
        </w:rPr>
        <w:t xml:space="preserve">            </w:t>
      </w:r>
      <w:r>
        <w:rPr>
          <w:rFonts w:hint="eastAsia" w:ascii="宋体" w:hAnsi="宋体" w:eastAsia="宋体" w:cs="宋体"/>
          <w:sz w:val="24"/>
          <w:szCs w:val="24"/>
          <w:highlight w:val="none"/>
        </w:rPr>
        <w:t>号招标文件，正式授权下述签字人_________________(姓名)代表我方______________（投标人的名称），全权处理本次项目投标的有关事宜。</w:t>
      </w:r>
    </w:p>
    <w:p w14:paraId="7FBAFA49">
      <w:pPr>
        <w:widowControl w:val="0"/>
        <w:spacing w:beforeAutospacing="0" w:afterAutospacing="0" w:line="500" w:lineRule="exact"/>
        <w:ind w:firstLine="48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据此函，兹宣布同意如下：</w:t>
      </w:r>
    </w:p>
    <w:p w14:paraId="79CA0282">
      <w:pPr>
        <w:widowControl w:val="0"/>
        <w:spacing w:beforeAutospacing="0" w:afterAutospacing="0" w:line="500" w:lineRule="exact"/>
        <w:ind w:firstLine="48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1.按招标文件规定的各项要求，向买方提供所需服务（包含与服务相关的货物）。</w:t>
      </w:r>
    </w:p>
    <w:p w14:paraId="5F869F7F">
      <w:pPr>
        <w:widowControl w:val="0"/>
        <w:spacing w:beforeAutospacing="0" w:afterAutospacing="0" w:line="500" w:lineRule="exact"/>
        <w:ind w:firstLine="48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2.我们完全理解贵方不一定将合同授予最低报价的投标人。</w:t>
      </w:r>
    </w:p>
    <w:p w14:paraId="36137E04">
      <w:pPr>
        <w:widowControl w:val="0"/>
        <w:spacing w:beforeAutospacing="0" w:afterAutospacing="0" w:line="500" w:lineRule="exact"/>
        <w:ind w:firstLine="48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3.我们已详细审核全部招标文件及其有效补充文件，我们知道必须放弃提出含糊不清或误解问题的权利。</w:t>
      </w:r>
    </w:p>
    <w:p w14:paraId="28736BF5">
      <w:pPr>
        <w:widowControl w:val="0"/>
        <w:spacing w:beforeAutospacing="0" w:afterAutospacing="0" w:line="500" w:lineRule="exact"/>
        <w:ind w:firstLine="48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4.我们同意从规定的开标日期起遵循本投标文件，并在规定的投标有效期期满之前均具有约束力。</w:t>
      </w:r>
    </w:p>
    <w:p w14:paraId="0730631A">
      <w:pPr>
        <w:widowControl w:val="0"/>
        <w:spacing w:beforeAutospacing="0" w:afterAutospacing="0" w:line="500" w:lineRule="exact"/>
        <w:ind w:firstLine="48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5.同意向贵方提供贵方可能另外要求的与投标有关的任何证据或资料，并保证我方已提供和将要提供的文件是真实的、准确的。</w:t>
      </w:r>
    </w:p>
    <w:p w14:paraId="0B94DD30">
      <w:pPr>
        <w:widowControl w:val="0"/>
        <w:spacing w:beforeAutospacing="0" w:afterAutospacing="0" w:line="500" w:lineRule="exact"/>
        <w:ind w:firstLine="48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6.一旦我方中标,我方将根据招标文件的规定，严格履行合同的责任和义务,并保证在招标文件规定的时间完成项目，交付买方验收、使用。</w:t>
      </w:r>
    </w:p>
    <w:p w14:paraId="36A5B182">
      <w:pPr>
        <w:widowControl w:val="0"/>
        <w:spacing w:beforeAutospacing="0" w:afterAutospacing="0" w:line="500" w:lineRule="exact"/>
        <w:ind w:firstLine="48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7.与本投标有关的正式通讯地址为：</w:t>
      </w:r>
    </w:p>
    <w:p w14:paraId="3BDC1DB6">
      <w:pPr>
        <w:widowControl w:val="0"/>
        <w:spacing w:beforeAutospacing="0" w:afterAutospacing="0" w:line="0" w:lineRule="atLeast"/>
        <w:jc w:val="left"/>
        <w:rPr>
          <w:rFonts w:hint="default" w:ascii="宋体" w:hAnsi="宋体" w:eastAsia="宋体" w:cs="宋体"/>
          <w:sz w:val="24"/>
          <w:szCs w:val="24"/>
          <w:highlight w:val="none"/>
        </w:rPr>
      </w:pPr>
    </w:p>
    <w:p w14:paraId="7BB176D8">
      <w:pPr>
        <w:widowControl w:val="0"/>
        <w:spacing w:beforeAutospacing="0" w:afterAutospacing="0" w:line="0" w:lineRule="atLeast"/>
        <w:jc w:val="left"/>
        <w:rPr>
          <w:rFonts w:hint="default" w:ascii="宋体" w:hAnsi="宋体" w:eastAsia="宋体" w:cs="宋体"/>
          <w:sz w:val="24"/>
          <w:szCs w:val="24"/>
          <w:highlight w:val="none"/>
        </w:rPr>
      </w:pPr>
    </w:p>
    <w:p w14:paraId="3516D453">
      <w:pPr>
        <w:widowControl w:val="0"/>
        <w:spacing w:beforeAutospacing="0" w:afterAutospacing="0" w:line="0" w:lineRule="atLeast"/>
        <w:jc w:val="left"/>
        <w:rPr>
          <w:rFonts w:hint="default" w:ascii="宋体" w:hAnsi="宋体" w:eastAsia="宋体" w:cs="宋体"/>
          <w:sz w:val="24"/>
          <w:szCs w:val="24"/>
          <w:highlight w:val="none"/>
        </w:rPr>
      </w:pPr>
    </w:p>
    <w:p w14:paraId="4888B87F">
      <w:pPr>
        <w:widowControl w:val="0"/>
        <w:spacing w:beforeAutospacing="0" w:afterAutospacing="0" w:line="0" w:lineRule="atLeast"/>
        <w:ind w:firstLine="241"/>
        <w:jc w:val="left"/>
        <w:rPr>
          <w:rFonts w:hint="default" w:ascii="宋体" w:hAnsi="宋体" w:eastAsia="宋体" w:cs="宋体"/>
          <w:b/>
          <w:sz w:val="24"/>
          <w:szCs w:val="24"/>
          <w:highlight w:val="none"/>
        </w:rPr>
      </w:pPr>
      <w:r>
        <w:rPr>
          <w:rFonts w:hint="eastAsia" w:ascii="宋体" w:hAnsi="宋体" w:eastAsia="宋体" w:cs="宋体"/>
          <w:b/>
          <w:sz w:val="24"/>
          <w:szCs w:val="24"/>
          <w:highlight w:val="none"/>
        </w:rPr>
        <w:t>法定代表人或授权代理人（签名或盖章）：</w:t>
      </w:r>
    </w:p>
    <w:p w14:paraId="124E6E0C">
      <w:pPr>
        <w:widowControl w:val="0"/>
        <w:spacing w:beforeAutospacing="0" w:afterAutospacing="0" w:line="0" w:lineRule="atLeast"/>
        <w:ind w:firstLine="241"/>
        <w:jc w:val="left"/>
        <w:rPr>
          <w:rFonts w:hint="default" w:ascii="宋体" w:hAnsi="宋体" w:eastAsia="宋体" w:cs="宋体"/>
          <w:b/>
          <w:sz w:val="24"/>
          <w:szCs w:val="24"/>
          <w:highlight w:val="none"/>
        </w:rPr>
      </w:pPr>
    </w:p>
    <w:p w14:paraId="2C959FCF">
      <w:pPr>
        <w:widowControl w:val="0"/>
        <w:tabs>
          <w:tab w:val="left" w:pos="360"/>
        </w:tabs>
        <w:spacing w:beforeAutospacing="0" w:afterAutospacing="0"/>
        <w:ind w:firstLine="241"/>
        <w:jc w:val="both"/>
        <w:rPr>
          <w:rFonts w:hint="default" w:ascii="宋体" w:hAnsi="宋体" w:eastAsia="宋体" w:cs="Times New Roman"/>
          <w:b/>
          <w:sz w:val="24"/>
          <w:szCs w:val="24"/>
          <w:highlight w:val="none"/>
        </w:rPr>
      </w:pPr>
      <w:r>
        <w:rPr>
          <w:rFonts w:hint="default" w:ascii="宋体" w:hAnsi="宋体" w:eastAsia="宋体" w:cs="Times New Roman"/>
          <w:b/>
          <w:sz w:val="24"/>
          <w:szCs w:val="24"/>
          <w:highlight w:val="none"/>
        </w:rPr>
        <w:t>授权单位名称：</w:t>
      </w:r>
      <w:r>
        <w:rPr>
          <w:rFonts w:hint="default" w:ascii="宋体" w:hAnsi="宋体" w:eastAsia="宋体" w:cs="Times New Roman"/>
          <w:b/>
          <w:sz w:val="24"/>
          <w:szCs w:val="24"/>
          <w:highlight w:val="none"/>
          <w:u w:val="single"/>
        </w:rPr>
        <w:t>（加盖CA电子公章）</w:t>
      </w:r>
    </w:p>
    <w:p w14:paraId="6BEE2CD6">
      <w:pPr>
        <w:widowControl w:val="0"/>
        <w:spacing w:beforeAutospacing="0" w:afterAutospacing="0" w:line="0" w:lineRule="atLeast"/>
        <w:jc w:val="left"/>
        <w:rPr>
          <w:rFonts w:hint="default" w:ascii="宋体" w:hAnsi="宋体" w:eastAsia="宋体" w:cs="宋体"/>
          <w:sz w:val="24"/>
          <w:szCs w:val="24"/>
          <w:highlight w:val="none"/>
        </w:rPr>
      </w:pPr>
    </w:p>
    <w:p w14:paraId="590CC011">
      <w:pPr>
        <w:widowControl w:val="0"/>
        <w:spacing w:beforeAutospacing="0" w:afterAutospacing="0" w:line="0" w:lineRule="atLeast"/>
        <w:ind w:firstLine="24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地          址：</w:t>
      </w:r>
    </w:p>
    <w:p w14:paraId="228619A2">
      <w:pPr>
        <w:widowControl w:val="0"/>
        <w:spacing w:beforeAutospacing="0" w:afterAutospacing="0" w:line="0" w:lineRule="atLeast"/>
        <w:ind w:firstLine="24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邮          编：</w:t>
      </w:r>
    </w:p>
    <w:p w14:paraId="0964A014">
      <w:pPr>
        <w:widowControl w:val="0"/>
        <w:spacing w:beforeAutospacing="0" w:afterAutospacing="0" w:line="0" w:lineRule="atLeast"/>
        <w:ind w:firstLine="24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电          话：</w:t>
      </w:r>
    </w:p>
    <w:p w14:paraId="6DE3AC01">
      <w:pPr>
        <w:widowControl w:val="0"/>
        <w:spacing w:beforeAutospacing="0" w:afterAutospacing="0" w:line="0" w:lineRule="atLeast"/>
        <w:ind w:firstLine="24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传          真：</w:t>
      </w:r>
    </w:p>
    <w:p w14:paraId="6780EDC7">
      <w:pPr>
        <w:widowControl w:val="0"/>
        <w:spacing w:beforeAutospacing="0" w:afterAutospacing="0" w:line="0" w:lineRule="atLeast"/>
        <w:ind w:firstLine="24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投标人开户行：</w:t>
      </w:r>
    </w:p>
    <w:p w14:paraId="7B92DAE9">
      <w:pPr>
        <w:widowControl w:val="0"/>
        <w:spacing w:beforeAutospacing="0" w:afterAutospacing="0" w:line="0" w:lineRule="atLeast"/>
        <w:ind w:firstLine="24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 xml:space="preserve">账          号： </w:t>
      </w:r>
    </w:p>
    <w:p w14:paraId="6EE3F656">
      <w:pPr>
        <w:widowControl w:val="0"/>
        <w:spacing w:beforeAutospacing="0" w:afterAutospacing="0" w:line="0" w:lineRule="atLeast"/>
        <w:ind w:firstLine="240"/>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日         期：________年____月____日</w:t>
      </w:r>
    </w:p>
    <w:p w14:paraId="56DF0108">
      <w:pPr>
        <w:widowControl w:val="0"/>
        <w:spacing w:beforeAutospacing="0" w:afterAutospacing="0" w:line="0" w:lineRule="atLeast"/>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p w14:paraId="16213302">
      <w:pPr>
        <w:spacing w:line="520" w:lineRule="exact"/>
        <w:jc w:val="center"/>
        <w:rPr>
          <w:rFonts w:ascii="Times New Roman" w:hAnsi="Times New Roman" w:cs="Times New Roman"/>
          <w:color w:val="auto"/>
          <w:highlight w:val="none"/>
        </w:rPr>
      </w:pPr>
    </w:p>
    <w:p w14:paraId="2EFAA563">
      <w:pPr>
        <w:pStyle w:val="23"/>
        <w:rPr>
          <w:rFonts w:ascii="Times New Roman" w:hAnsi="Times New Roman" w:cs="Times New Roman"/>
          <w:color w:val="auto"/>
          <w:highlight w:val="none"/>
        </w:rPr>
      </w:pPr>
    </w:p>
    <w:p w14:paraId="3A35DCEA">
      <w:pPr>
        <w:pStyle w:val="7"/>
        <w:widowControl w:val="0"/>
        <w:spacing w:before="0" w:beforeAutospacing="0" w:after="0" w:afterAutospacing="0" w:line="0" w:lineRule="atLeas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（九）中小企业声明函（服务）</w:t>
      </w:r>
      <w:r>
        <w:rPr>
          <w:rFonts w:hint="eastAsia" w:ascii="宋体" w:hAnsi="宋体" w:eastAsia="宋体" w:cs="黑体"/>
          <w:b/>
          <w:sz w:val="32"/>
          <w:szCs w:val="32"/>
          <w:highlight w:val="none"/>
        </w:rPr>
        <w:t>（分包号：**）</w:t>
      </w:r>
    </w:p>
    <w:p w14:paraId="604520E8">
      <w:pPr>
        <w:spacing w:line="560" w:lineRule="exact"/>
        <w:rPr>
          <w:rFonts w:hint="eastAsia" w:ascii="宋体" w:hAnsi="宋体" w:cs="Times New Roman"/>
          <w:b/>
          <w:bCs/>
          <w:color w:val="auto"/>
          <w:sz w:val="28"/>
          <w:szCs w:val="28"/>
          <w:highlight w:val="none"/>
        </w:rPr>
      </w:pPr>
    </w:p>
    <w:p w14:paraId="2B2FFFE9">
      <w:pPr>
        <w:spacing w:line="500" w:lineRule="exact"/>
        <w:ind w:firstLine="480"/>
        <w:rPr>
          <w:rFonts w:ascii="宋体" w:hAnsi="宋体" w:eastAsia="宋体" w:cs="Times New Roman"/>
          <w:sz w:val="24"/>
          <w:szCs w:val="21"/>
          <w:highlight w:val="none"/>
        </w:rPr>
      </w:pPr>
      <w:r>
        <w:rPr>
          <w:rFonts w:hint="eastAsia" w:ascii="宋体" w:hAnsi="宋体" w:eastAsia="宋体" w:cs="Times New Roman"/>
          <w:sz w:val="24"/>
          <w:szCs w:val="21"/>
          <w:highlight w:val="none"/>
        </w:rPr>
        <w:t>本公司（联合体）郑重声明，根据《政府采购促进中小企业发展管理办法》（财库﹝</w:t>
      </w:r>
      <w:r>
        <w:rPr>
          <w:rFonts w:ascii="宋体" w:hAnsi="宋体" w:eastAsia="宋体" w:cs="Times New Roman"/>
          <w:sz w:val="24"/>
          <w:szCs w:val="21"/>
          <w:highlight w:val="none"/>
        </w:rPr>
        <w:t>2020</w:t>
      </w:r>
      <w:r>
        <w:rPr>
          <w:rFonts w:hint="eastAsia" w:ascii="宋体" w:hAnsi="宋体" w:eastAsia="宋体" w:cs="Times New Roman"/>
          <w:sz w:val="24"/>
          <w:szCs w:val="21"/>
          <w:highlight w:val="none"/>
        </w:rPr>
        <w:t>﹞</w:t>
      </w:r>
      <w:r>
        <w:rPr>
          <w:rFonts w:ascii="宋体" w:hAnsi="宋体" w:eastAsia="宋体" w:cs="Times New Roman"/>
          <w:sz w:val="24"/>
          <w:szCs w:val="21"/>
          <w:highlight w:val="none"/>
        </w:rPr>
        <w:t xml:space="preserve">46 </w:t>
      </w:r>
      <w:r>
        <w:rPr>
          <w:rFonts w:hint="eastAsia" w:ascii="宋体" w:hAnsi="宋体" w:eastAsia="宋体" w:cs="Times New Roman"/>
          <w:sz w:val="24"/>
          <w:szCs w:val="21"/>
          <w:highlight w:val="none"/>
        </w:rPr>
        <w:t>号）的规定，本公司（联合体）参加盐城市大丰区公共资源交易中心组织的</w:t>
      </w:r>
      <w:r>
        <w:rPr>
          <w:rFonts w:hint="eastAsia" w:ascii="宋体" w:hAnsi="宋体" w:eastAsia="宋体" w:cs="Times New Roman"/>
          <w:i/>
          <w:iCs/>
          <w:sz w:val="24"/>
          <w:szCs w:val="21"/>
          <w:highlight w:val="none"/>
          <w:u w:val="single"/>
        </w:rPr>
        <w:t>（单位名称）</w:t>
      </w:r>
      <w:r>
        <w:rPr>
          <w:rFonts w:hint="eastAsia" w:ascii="宋体" w:hAnsi="宋体" w:eastAsia="宋体" w:cs="Times New Roman"/>
          <w:sz w:val="24"/>
          <w:szCs w:val="20"/>
          <w:highlight w:val="none"/>
        </w:rPr>
        <w:t>，</w:t>
      </w:r>
      <w:r>
        <w:rPr>
          <w:rFonts w:hint="eastAsia" w:ascii="宋体" w:hAnsi="宋体" w:eastAsia="宋体" w:cs="Times New Roman"/>
          <w:sz w:val="24"/>
          <w:szCs w:val="21"/>
          <w:highlight w:val="none"/>
        </w:rPr>
        <w:t>采购编号为的</w:t>
      </w:r>
      <w:r>
        <w:rPr>
          <w:rFonts w:hint="eastAsia" w:ascii="宋体" w:hAnsi="宋体" w:eastAsia="宋体" w:cs="Times New Roman"/>
          <w:i/>
          <w:iCs/>
          <w:sz w:val="24"/>
          <w:szCs w:val="21"/>
          <w:highlight w:val="none"/>
          <w:u w:val="single"/>
        </w:rPr>
        <w:t>（项目名称）</w:t>
      </w:r>
      <w:r>
        <w:rPr>
          <w:rFonts w:hint="eastAsia" w:ascii="宋体" w:hAnsi="宋体" w:eastAsia="宋体" w:cs="Times New Roman"/>
          <w:sz w:val="24"/>
          <w:szCs w:val="21"/>
          <w:highlight w:val="none"/>
        </w:rPr>
        <w:t>的采购活动，服务全部由符合政策要求的中小企业承接。相关企业（含联合体中的中小企业、签订分包意向协议的中小企业）的具体情况如下：</w:t>
      </w:r>
    </w:p>
    <w:p w14:paraId="4123C970">
      <w:pPr>
        <w:spacing w:line="500" w:lineRule="exact"/>
        <w:ind w:firstLine="480"/>
        <w:rPr>
          <w:rFonts w:ascii="宋体" w:hAnsi="宋体" w:eastAsia="宋体" w:cs="Times New Roman"/>
          <w:sz w:val="24"/>
          <w:szCs w:val="21"/>
          <w:highlight w:val="none"/>
        </w:rPr>
      </w:pPr>
      <w:r>
        <w:rPr>
          <w:rFonts w:hint="eastAsia" w:ascii="宋体" w:hAnsi="宋体" w:eastAsia="宋体" w:cs="Times New Roman"/>
          <w:iCs/>
          <w:sz w:val="24"/>
          <w:szCs w:val="21"/>
          <w:highlight w:val="none"/>
        </w:rPr>
        <w:t>1、</w:t>
      </w:r>
      <w:r>
        <w:rPr>
          <w:rFonts w:hint="eastAsia" w:ascii="宋体" w:hAnsi="宋体" w:eastAsia="宋体" w:cs="Times New Roman"/>
          <w:i/>
          <w:iCs/>
          <w:sz w:val="24"/>
          <w:szCs w:val="21"/>
          <w:highlight w:val="none"/>
          <w:u w:val="single"/>
        </w:rPr>
        <w:t>（标的名称）</w:t>
      </w:r>
      <w:r>
        <w:rPr>
          <w:rFonts w:hint="eastAsia" w:ascii="宋体" w:hAnsi="宋体" w:eastAsia="宋体" w:cs="Times New Roman"/>
          <w:sz w:val="24"/>
          <w:szCs w:val="21"/>
          <w:highlight w:val="none"/>
        </w:rPr>
        <w:t>，属于</w:t>
      </w:r>
      <w:r>
        <w:rPr>
          <w:rFonts w:hint="eastAsia" w:ascii="宋体" w:hAnsi="宋体" w:eastAsia="宋体" w:cs="Times New Roman"/>
          <w:sz w:val="24"/>
          <w:szCs w:val="21"/>
          <w:highlight w:val="none"/>
          <w:u w:val="single"/>
        </w:rPr>
        <w:t xml:space="preserve"> 其他未列明行业 </w:t>
      </w:r>
      <w:r>
        <w:rPr>
          <w:rFonts w:hint="eastAsia" w:ascii="宋体" w:hAnsi="宋体" w:eastAsia="宋体" w:cs="Times New Roman"/>
          <w:sz w:val="24"/>
          <w:szCs w:val="21"/>
          <w:highlight w:val="none"/>
        </w:rPr>
        <w:t>；承建（承接）企业为</w:t>
      </w:r>
      <w:r>
        <w:rPr>
          <w:rFonts w:hint="eastAsia" w:ascii="宋体" w:hAnsi="宋体" w:eastAsia="宋体" w:cs="Times New Roman"/>
          <w:i/>
          <w:iCs/>
          <w:sz w:val="24"/>
          <w:szCs w:val="21"/>
          <w:highlight w:val="none"/>
          <w:u w:val="single"/>
        </w:rPr>
        <w:t>（企业名称）</w:t>
      </w:r>
      <w:r>
        <w:rPr>
          <w:rFonts w:hint="eastAsia" w:ascii="宋体" w:hAnsi="宋体" w:eastAsia="宋体" w:cs="Times New Roman"/>
          <w:sz w:val="24"/>
          <w:szCs w:val="21"/>
          <w:highlight w:val="none"/>
        </w:rPr>
        <w:t>，从业人员人，营业收入为万元，资产总额为万元，属于（</w:t>
      </w:r>
      <w:r>
        <w:rPr>
          <w:rFonts w:hint="eastAsia" w:ascii="宋体" w:hAnsi="宋体" w:eastAsia="宋体" w:cs="Times New Roman"/>
          <w:i/>
          <w:iCs/>
          <w:sz w:val="24"/>
          <w:szCs w:val="21"/>
          <w:highlight w:val="none"/>
          <w:u w:val="single"/>
        </w:rPr>
        <w:t>中型企业、小型企业、微型企业</w:t>
      </w:r>
      <w:r>
        <w:rPr>
          <w:rFonts w:hint="eastAsia" w:ascii="宋体" w:hAnsi="宋体" w:eastAsia="宋体" w:cs="Times New Roman"/>
          <w:sz w:val="24"/>
          <w:szCs w:val="21"/>
          <w:highlight w:val="none"/>
        </w:rPr>
        <w:t>）；</w:t>
      </w:r>
    </w:p>
    <w:p w14:paraId="0379D1C1">
      <w:pPr>
        <w:spacing w:line="500" w:lineRule="exact"/>
        <w:ind w:firstLine="480"/>
        <w:rPr>
          <w:rFonts w:ascii="宋体" w:hAnsi="宋体" w:eastAsia="宋体" w:cs="Times New Roman"/>
          <w:sz w:val="24"/>
          <w:szCs w:val="21"/>
          <w:highlight w:val="none"/>
        </w:rPr>
      </w:pPr>
      <w:r>
        <w:rPr>
          <w:rFonts w:hint="eastAsia" w:ascii="宋体" w:hAnsi="宋体" w:eastAsia="宋体" w:cs="Times New Roman"/>
          <w:iCs/>
          <w:sz w:val="24"/>
          <w:szCs w:val="21"/>
          <w:highlight w:val="none"/>
        </w:rPr>
        <w:t>2、</w:t>
      </w:r>
      <w:r>
        <w:rPr>
          <w:rFonts w:hint="eastAsia" w:ascii="宋体" w:hAnsi="宋体" w:eastAsia="宋体" w:cs="Times New Roman"/>
          <w:i/>
          <w:iCs/>
          <w:sz w:val="24"/>
          <w:szCs w:val="21"/>
          <w:highlight w:val="none"/>
          <w:u w:val="single"/>
        </w:rPr>
        <w:t>（标的名称）</w:t>
      </w:r>
      <w:r>
        <w:rPr>
          <w:rFonts w:hint="eastAsia" w:ascii="宋体" w:hAnsi="宋体" w:eastAsia="宋体" w:cs="Times New Roman"/>
          <w:sz w:val="24"/>
          <w:szCs w:val="21"/>
          <w:highlight w:val="none"/>
        </w:rPr>
        <w:t>，属于</w:t>
      </w:r>
      <w:r>
        <w:rPr>
          <w:rFonts w:hint="eastAsia" w:ascii="宋体" w:hAnsi="宋体" w:eastAsia="宋体" w:cs="Times New Roman"/>
          <w:sz w:val="24"/>
          <w:szCs w:val="21"/>
          <w:highlight w:val="none"/>
          <w:u w:val="single"/>
        </w:rPr>
        <w:t xml:space="preserve"> 其他未列明行业 </w:t>
      </w:r>
      <w:r>
        <w:rPr>
          <w:rFonts w:hint="eastAsia" w:ascii="宋体" w:hAnsi="宋体" w:eastAsia="宋体" w:cs="Times New Roman"/>
          <w:sz w:val="24"/>
          <w:szCs w:val="21"/>
          <w:highlight w:val="none"/>
        </w:rPr>
        <w:t>；承建（承接）企业为</w:t>
      </w:r>
      <w:r>
        <w:rPr>
          <w:rFonts w:hint="eastAsia" w:ascii="宋体" w:hAnsi="宋体" w:eastAsia="宋体" w:cs="Times New Roman"/>
          <w:i/>
          <w:iCs/>
          <w:sz w:val="24"/>
          <w:szCs w:val="21"/>
          <w:highlight w:val="none"/>
          <w:u w:val="single"/>
        </w:rPr>
        <w:t>（企业名称）</w:t>
      </w:r>
      <w:r>
        <w:rPr>
          <w:rFonts w:hint="eastAsia" w:ascii="宋体" w:hAnsi="宋体" w:eastAsia="宋体" w:cs="Times New Roman"/>
          <w:sz w:val="24"/>
          <w:szCs w:val="21"/>
          <w:highlight w:val="none"/>
        </w:rPr>
        <w:t>，从业人员人，营业收入为万元，资产总额为万元，属于</w:t>
      </w:r>
      <w:r>
        <w:rPr>
          <w:rFonts w:hint="eastAsia" w:ascii="宋体" w:hAnsi="宋体" w:eastAsia="宋体" w:cs="Times New Roman"/>
          <w:i/>
          <w:iCs/>
          <w:sz w:val="24"/>
          <w:szCs w:val="21"/>
          <w:highlight w:val="none"/>
          <w:u w:val="single"/>
        </w:rPr>
        <w:t>（中型企业、小型企业、微型企业）</w:t>
      </w:r>
      <w:r>
        <w:rPr>
          <w:rFonts w:hint="eastAsia" w:ascii="宋体" w:hAnsi="宋体" w:eastAsia="宋体" w:cs="Times New Roman"/>
          <w:sz w:val="24"/>
          <w:szCs w:val="21"/>
          <w:highlight w:val="none"/>
        </w:rPr>
        <w:t>；</w:t>
      </w:r>
    </w:p>
    <w:p w14:paraId="55F9F889">
      <w:pPr>
        <w:spacing w:line="500" w:lineRule="exact"/>
        <w:ind w:firstLine="480"/>
        <w:rPr>
          <w:rFonts w:ascii="宋体" w:hAnsi="宋体" w:eastAsia="宋体" w:cs="Times New Roman"/>
          <w:sz w:val="24"/>
          <w:szCs w:val="21"/>
          <w:highlight w:val="none"/>
        </w:rPr>
      </w:pPr>
      <w:r>
        <w:rPr>
          <w:rFonts w:hint="eastAsia" w:ascii="宋体" w:hAnsi="宋体" w:eastAsia="宋体" w:cs="Times New Roman"/>
          <w:sz w:val="24"/>
          <w:szCs w:val="21"/>
          <w:highlight w:val="none"/>
        </w:rPr>
        <w:t>……</w:t>
      </w:r>
    </w:p>
    <w:p w14:paraId="276EB303">
      <w:pPr>
        <w:spacing w:line="500" w:lineRule="exact"/>
        <w:ind w:firstLine="480"/>
        <w:rPr>
          <w:rFonts w:ascii="宋体" w:hAnsi="宋体" w:eastAsia="宋体" w:cs="Times New Roman"/>
          <w:sz w:val="24"/>
          <w:szCs w:val="21"/>
          <w:highlight w:val="none"/>
        </w:rPr>
      </w:pPr>
      <w:r>
        <w:rPr>
          <w:rFonts w:hint="eastAsia" w:ascii="宋体" w:hAnsi="宋体" w:eastAsia="宋体" w:cs="Times New Roman"/>
          <w:sz w:val="24"/>
          <w:szCs w:val="21"/>
          <w:highlight w:val="none"/>
        </w:rPr>
        <w:t>以上企业，不属于大企业的分支机构，不存在控股股东为大企业的情形，也不存在与大企业的负责人为同一人的情形。</w:t>
      </w:r>
    </w:p>
    <w:p w14:paraId="361FD7BE">
      <w:pPr>
        <w:spacing w:line="500" w:lineRule="exact"/>
        <w:ind w:firstLine="480"/>
        <w:rPr>
          <w:rFonts w:ascii="宋体" w:hAnsi="宋体" w:eastAsia="宋体" w:cs="Times New Roman"/>
          <w:sz w:val="24"/>
          <w:szCs w:val="21"/>
          <w:highlight w:val="none"/>
        </w:rPr>
      </w:pPr>
      <w:r>
        <w:rPr>
          <w:rFonts w:hint="eastAsia" w:ascii="宋体" w:hAnsi="宋体" w:eastAsia="宋体" w:cs="Times New Roman"/>
          <w:sz w:val="24"/>
          <w:szCs w:val="21"/>
          <w:highlight w:val="none"/>
        </w:rPr>
        <w:t>本企业对上述声明内容的真实性负责。如有虚假，将依法承担相应责任。</w:t>
      </w:r>
    </w:p>
    <w:p w14:paraId="511D469C">
      <w:pPr>
        <w:widowControl/>
        <w:spacing w:before="100" w:beforeAutospacing="1" w:after="100" w:afterAutospacing="1" w:line="0" w:lineRule="atLeast"/>
        <w:ind w:right="720"/>
        <w:rPr>
          <w:rFonts w:ascii="宋体" w:hAnsi="宋体" w:eastAsia="宋体" w:cs="宋体"/>
          <w:sz w:val="24"/>
          <w:szCs w:val="24"/>
          <w:highlight w:val="none"/>
        </w:rPr>
      </w:pPr>
      <w:r>
        <w:rPr>
          <w:rFonts w:ascii="宋体" w:hAnsi="宋体" w:eastAsia="宋体" w:cs="宋体"/>
          <w:sz w:val="24"/>
          <w:szCs w:val="24"/>
          <w:highlight w:val="none"/>
        </w:rPr>
        <w:t> </w:t>
      </w:r>
    </w:p>
    <w:p w14:paraId="12084AB0">
      <w:pPr>
        <w:widowControl/>
        <w:spacing w:before="100" w:beforeAutospacing="1" w:after="100" w:afterAutospacing="1" w:line="0" w:lineRule="atLeast"/>
        <w:ind w:right="180" w:firstLine="360"/>
        <w:jc w:val="right"/>
        <w:rPr>
          <w:rFonts w:ascii="宋体" w:hAnsi="宋体" w:eastAsia="宋体" w:cs="宋体"/>
          <w:sz w:val="24"/>
          <w:szCs w:val="24"/>
          <w:highlight w:val="none"/>
        </w:rPr>
      </w:pPr>
      <w:r>
        <w:rPr>
          <w:rFonts w:hint="eastAsia" w:ascii="宋体" w:hAnsi="宋体" w:eastAsia="宋体" w:cs="宋体"/>
          <w:sz w:val="24"/>
          <w:szCs w:val="24"/>
          <w:highlight w:val="none"/>
        </w:rPr>
        <w:t>企业名称（加盖CA电子公章）：</w:t>
      </w:r>
    </w:p>
    <w:p w14:paraId="790CC905">
      <w:pPr>
        <w:widowControl/>
        <w:spacing w:before="100" w:beforeAutospacing="1" w:after="100" w:afterAutospacing="1" w:line="0" w:lineRule="atLeast"/>
        <w:ind w:right="480" w:firstLine="5400"/>
        <w:rPr>
          <w:rFonts w:ascii="宋体" w:hAnsi="宋体" w:eastAsia="宋体" w:cs="宋体"/>
          <w:sz w:val="24"/>
          <w:szCs w:val="24"/>
          <w:highlight w:val="none"/>
        </w:rPr>
      </w:pPr>
      <w:r>
        <w:rPr>
          <w:rFonts w:hint="eastAsia" w:ascii="宋体" w:hAnsi="宋体" w:eastAsia="宋体" w:cs="宋体"/>
          <w:sz w:val="24"/>
          <w:szCs w:val="24"/>
          <w:highlight w:val="none"/>
        </w:rPr>
        <w:t>日  期：</w:t>
      </w:r>
    </w:p>
    <w:p w14:paraId="182756F5">
      <w:pPr>
        <w:widowControl/>
        <w:spacing w:before="100" w:beforeAutospacing="1" w:after="100" w:afterAutospacing="1" w:line="0" w:lineRule="atLeast"/>
        <w:ind w:firstLine="240"/>
        <w:rPr>
          <w:rFonts w:ascii="宋体" w:hAnsi="宋体" w:eastAsia="宋体" w:cs="宋体"/>
          <w:sz w:val="24"/>
          <w:szCs w:val="24"/>
          <w:highlight w:val="none"/>
        </w:rPr>
      </w:pPr>
      <w:r>
        <w:rPr>
          <w:rFonts w:ascii="宋体" w:hAnsi="宋体" w:eastAsia="宋体" w:cs="宋体"/>
          <w:sz w:val="24"/>
          <w:szCs w:val="24"/>
          <w:highlight w:val="none"/>
        </w:rPr>
        <w:t> </w:t>
      </w:r>
      <w:r>
        <w:rPr>
          <w:rFonts w:hint="eastAsia" w:ascii="宋体" w:hAnsi="宋体" w:eastAsia="宋体" w:cs="宋体"/>
          <w:sz w:val="24"/>
          <w:szCs w:val="24"/>
          <w:highlight w:val="none"/>
        </w:rPr>
        <w:t>备注1：从业人员、营业收入、资产总额填报上一年度数据，无上一年度数据的新成立企业可不填报。</w:t>
      </w:r>
    </w:p>
    <w:p w14:paraId="0774F091">
      <w:pPr>
        <w:widowControl/>
        <w:spacing w:before="100" w:beforeAutospacing="1" w:after="100" w:afterAutospacing="1" w:line="48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备注2：供应商如不提供此声明函，价格将不做相应扣除（如项目全面面向中小企业，则资格审查不通过）。</w:t>
      </w:r>
    </w:p>
    <w:p w14:paraId="06A8588F">
      <w:pPr>
        <w:jc w:val="center"/>
        <w:rPr>
          <w:rFonts w:hint="eastAsia" w:ascii="宋体" w:hAnsi="宋体" w:cs="宋体"/>
          <w:b/>
          <w:color w:val="auto"/>
          <w:sz w:val="36"/>
          <w:szCs w:val="36"/>
          <w:highlight w:val="none"/>
        </w:rPr>
      </w:pPr>
    </w:p>
    <w:p w14:paraId="7C245B49">
      <w:pPr>
        <w:pageBreakBefore/>
        <w:widowControl/>
        <w:spacing w:line="50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（十）残疾人福利性单位声明函（如有）</w:t>
      </w:r>
    </w:p>
    <w:p w14:paraId="14EF1D13">
      <w:pPr>
        <w:spacing w:line="588" w:lineRule="exact"/>
        <w:rPr>
          <w:rFonts w:ascii="仿宋_GB2312" w:hAnsi="Times New Roman" w:eastAsia="仿宋_GB2312" w:cs="Times New Roman"/>
          <w:b/>
          <w:color w:val="auto"/>
          <w:spacing w:val="6"/>
          <w:sz w:val="30"/>
          <w:szCs w:val="30"/>
          <w:highlight w:val="none"/>
        </w:rPr>
      </w:pPr>
    </w:p>
    <w:p w14:paraId="4A03170F">
      <w:pPr>
        <w:spacing w:line="520" w:lineRule="exact"/>
        <w:ind w:firstLine="480"/>
        <w:rPr>
          <w:rFonts w:ascii="Calibri" w:hAnsi="Calibri" w:eastAsia="宋体" w:cs="Times New Roman"/>
          <w:sz w:val="24"/>
          <w:szCs w:val="24"/>
          <w:highlight w:val="none"/>
        </w:rPr>
      </w:pPr>
      <w:r>
        <w:rPr>
          <w:rFonts w:hint="eastAsia" w:ascii="宋体" w:hAnsi="宋体" w:eastAsia="宋体" w:cs="宋体"/>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项目（分包号：**）采购活动由本单位提供服务。</w:t>
      </w:r>
    </w:p>
    <w:p w14:paraId="370B56ED">
      <w:pPr>
        <w:widowControl w:val="0"/>
        <w:spacing w:beforeAutospacing="0" w:afterAutospacing="0" w:line="520" w:lineRule="exact"/>
        <w:ind w:firstLine="560"/>
        <w:jc w:val="both"/>
        <w:rPr>
          <w:rFonts w:hint="default" w:ascii="宋体" w:hAnsi="宋体" w:eastAsia="宋体" w:cs="Times New Roman"/>
          <w:sz w:val="28"/>
          <w:szCs w:val="28"/>
          <w:highlight w:val="none"/>
        </w:rPr>
      </w:pPr>
      <w:r>
        <w:rPr>
          <w:rFonts w:hint="eastAsia" w:ascii="宋体" w:hAnsi="宋体" w:eastAsia="宋体" w:cs="宋体"/>
          <w:sz w:val="28"/>
          <w:szCs w:val="28"/>
          <w:highlight w:val="none"/>
        </w:rPr>
        <w:t>本单位对上述声明的真实性负责。如有虚假，将依法承担相应责任。</w:t>
      </w:r>
      <w:r>
        <w:rPr>
          <w:rFonts w:hint="default" w:ascii="宋体" w:hAnsi="宋体" w:eastAsia="宋体" w:cs="Times New Roman"/>
          <w:sz w:val="28"/>
          <w:szCs w:val="28"/>
          <w:highlight w:val="none"/>
        </w:rPr>
        <w:t> </w:t>
      </w:r>
    </w:p>
    <w:p w14:paraId="28453F0B">
      <w:pPr>
        <w:widowControl w:val="0"/>
        <w:spacing w:beforeAutospacing="0" w:afterAutospacing="0" w:line="520" w:lineRule="exact"/>
        <w:jc w:val="both"/>
        <w:rPr>
          <w:rFonts w:hint="default" w:ascii="宋体" w:hAnsi="宋体" w:eastAsia="宋体" w:cs="Times New Roman"/>
          <w:sz w:val="24"/>
          <w:szCs w:val="24"/>
          <w:highlight w:val="none"/>
        </w:rPr>
      </w:pPr>
      <w:r>
        <w:rPr>
          <w:rFonts w:hint="eastAsia" w:ascii="宋体" w:hAnsi="宋体" w:eastAsia="宋体" w:cs="宋体"/>
          <w:sz w:val="24"/>
          <w:szCs w:val="24"/>
          <w:highlight w:val="none"/>
        </w:rPr>
        <w:t>备注：1、供应商如不提供此声明函，价格将不做相应扣除（如项目全面面向中小企业，则资格审查不通过）。2、中标供应商为残疾人福利单位的，此声明函将随中标结果同时公告，接受社会监督</w:t>
      </w:r>
    </w:p>
    <w:p w14:paraId="62F271E8">
      <w:pPr>
        <w:widowControl w:val="0"/>
        <w:spacing w:beforeAutospacing="0" w:afterAutospacing="0" w:line="0" w:lineRule="atLeast"/>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p w14:paraId="01E02E4B">
      <w:pPr>
        <w:widowControl w:val="0"/>
        <w:tabs>
          <w:tab w:val="left" w:pos="4864"/>
        </w:tabs>
        <w:spacing w:beforeAutospacing="0" w:afterAutospacing="0" w:line="0" w:lineRule="atLeast"/>
        <w:ind w:firstLine="600"/>
        <w:jc w:val="center"/>
        <w:rPr>
          <w:rFonts w:hint="default" w:ascii="宋体" w:hAnsi="宋体" w:eastAsia="宋体" w:cs="宋体"/>
          <w:sz w:val="24"/>
          <w:szCs w:val="24"/>
          <w:highlight w:val="none"/>
        </w:rPr>
      </w:pPr>
      <w:r>
        <w:rPr>
          <w:rFonts w:hint="default" w:ascii="宋体" w:hAnsi="宋体" w:eastAsia="宋体" w:cs="仿宋_GB2312"/>
          <w:sz w:val="30"/>
          <w:szCs w:val="30"/>
          <w:highlight w:val="none"/>
        </w:rPr>
        <w:t xml:space="preserve">             </w:t>
      </w:r>
      <w:r>
        <w:rPr>
          <w:rFonts w:hint="eastAsia" w:ascii="宋体" w:hAnsi="宋体" w:eastAsia="宋体" w:cs="宋体"/>
          <w:sz w:val="24"/>
          <w:szCs w:val="24"/>
          <w:highlight w:val="none"/>
        </w:rPr>
        <w:t xml:space="preserve">          </w:t>
      </w:r>
    </w:p>
    <w:p w14:paraId="23B4F51E">
      <w:pPr>
        <w:widowControl w:val="0"/>
        <w:tabs>
          <w:tab w:val="left" w:pos="4864"/>
        </w:tabs>
        <w:spacing w:beforeAutospacing="0" w:afterAutospacing="0" w:line="0" w:lineRule="atLeast"/>
        <w:jc w:val="center"/>
        <w:rPr>
          <w:rFonts w:hint="default" w:ascii="宋体" w:hAnsi="宋体" w:eastAsia="宋体" w:cs="宋体"/>
          <w:sz w:val="24"/>
          <w:szCs w:val="24"/>
          <w:highlight w:val="none"/>
        </w:rPr>
      </w:pPr>
    </w:p>
    <w:p w14:paraId="08379496">
      <w:pPr>
        <w:widowControl w:val="0"/>
        <w:tabs>
          <w:tab w:val="left" w:pos="4864"/>
        </w:tabs>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供应商全称（加盖CA电子公章）：</w:t>
      </w:r>
    </w:p>
    <w:p w14:paraId="271A8644">
      <w:pPr>
        <w:widowControl w:val="0"/>
        <w:tabs>
          <w:tab w:val="left" w:pos="4864"/>
        </w:tabs>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   日  期：</w:t>
      </w:r>
    </w:p>
    <w:p w14:paraId="33ACB375">
      <w:pPr>
        <w:spacing w:line="588" w:lineRule="exact"/>
        <w:ind w:right="286" w:firstLine="504"/>
        <w:jc w:val="right"/>
        <w:rPr>
          <w:rFonts w:hint="eastAsia" w:ascii="宋体" w:hAnsi="宋体" w:cs="宋体"/>
          <w:color w:val="auto"/>
          <w:spacing w:val="6"/>
          <w:sz w:val="24"/>
          <w:highlight w:val="none"/>
        </w:rPr>
      </w:pPr>
    </w:p>
    <w:p w14:paraId="4C0C459F">
      <w:pPr>
        <w:rPr>
          <w:rFonts w:ascii="Times New Roman" w:hAnsi="Times New Roman" w:cs="Times New Roman"/>
          <w:color w:val="auto"/>
          <w:highlight w:val="none"/>
        </w:rPr>
      </w:pPr>
    </w:p>
    <w:p w14:paraId="1D3FC26B">
      <w:pPr>
        <w:spacing w:line="480" w:lineRule="exact"/>
        <w:ind w:firstLine="723"/>
        <w:rPr>
          <w:rFonts w:hint="eastAsia" w:ascii="宋体" w:hAnsi="宋体" w:cs="宋体"/>
          <w:b/>
          <w:color w:val="auto"/>
          <w:sz w:val="36"/>
          <w:szCs w:val="36"/>
          <w:highlight w:val="none"/>
        </w:rPr>
      </w:pPr>
    </w:p>
    <w:p w14:paraId="123953DA">
      <w:pPr>
        <w:pStyle w:val="7"/>
        <w:widowControl w:val="0"/>
        <w:spacing w:before="0" w:beforeAutospacing="0" w:after="0" w:afterAutospacing="0" w:line="0" w:lineRule="atLeast"/>
        <w:ind w:firstLine="643"/>
        <w:jc w:val="center"/>
        <w:rPr>
          <w:rFonts w:ascii="宋体" w:hAnsi="宋体" w:eastAsia="宋体" w:cs="Times New Roman"/>
          <w:highlight w:val="none"/>
        </w:rPr>
      </w:pPr>
      <w:r>
        <w:rPr>
          <w:rFonts w:hint="eastAsia" w:ascii="宋体" w:hAnsi="宋体" w:cs="宋体"/>
          <w:b/>
          <w:color w:val="auto"/>
          <w:sz w:val="32"/>
          <w:szCs w:val="32"/>
          <w:highlight w:val="none"/>
        </w:rPr>
        <w:br w:type="page" w:clear="all"/>
      </w:r>
      <w:r>
        <w:rPr>
          <w:rFonts w:hint="eastAsia" w:ascii="宋体" w:hAnsi="宋体" w:eastAsia="宋体" w:cs="黑体"/>
          <w:b/>
          <w:sz w:val="32"/>
          <w:szCs w:val="32"/>
          <w:highlight w:val="none"/>
        </w:rPr>
        <w:t>十一、联合体协议（如有，参考格式）（分包号：**）</w:t>
      </w:r>
    </w:p>
    <w:p w14:paraId="31CBB991">
      <w:pPr>
        <w:widowControl w:val="0"/>
        <w:spacing w:beforeAutospacing="0" w:afterAutospacing="0" w:line="480" w:lineRule="exact"/>
        <w:jc w:val="both"/>
        <w:rPr>
          <w:rFonts w:hint="default" w:ascii="宋体" w:hAnsi="宋体" w:eastAsia="宋体" w:cs="Times New Roman"/>
          <w:sz w:val="24"/>
          <w:szCs w:val="24"/>
          <w:highlight w:val="none"/>
        </w:rPr>
      </w:pPr>
      <w:r>
        <w:rPr>
          <w:rFonts w:hint="eastAsia" w:ascii="宋体" w:hAnsi="宋体" w:eastAsia="宋体" w:cs="宋体"/>
          <w:sz w:val="24"/>
          <w:szCs w:val="24"/>
          <w:highlight w:val="none"/>
        </w:rPr>
        <w:t>（联合体中各供应商全称）在此达成以下协议：</w:t>
      </w:r>
    </w:p>
    <w:p w14:paraId="2077360C">
      <w:pPr>
        <w:widowControl w:val="0"/>
        <w:spacing w:beforeAutospacing="0" w:afterAutospacing="0" w:line="480" w:lineRule="exact"/>
        <w:ind w:firstLine="480"/>
        <w:jc w:val="both"/>
        <w:rPr>
          <w:rFonts w:hint="default" w:ascii="宋体" w:hAnsi="宋体" w:eastAsia="宋体" w:cs="Times New Roman"/>
          <w:sz w:val="24"/>
          <w:szCs w:val="24"/>
          <w:highlight w:val="none"/>
        </w:rPr>
      </w:pPr>
      <w:r>
        <w:rPr>
          <w:rFonts w:hint="eastAsia" w:ascii="宋体" w:hAnsi="宋体" w:eastAsia="宋体" w:cs="宋体"/>
          <w:sz w:val="24"/>
          <w:szCs w:val="24"/>
          <w:highlight w:val="none"/>
        </w:rPr>
        <w:t>1、我们</w:t>
      </w:r>
      <w:r>
        <w:rPr>
          <w:rFonts w:hint="eastAsia" w:ascii="宋体" w:hAnsi="宋体" w:eastAsia="宋体" w:cs="宋体"/>
          <w:sz w:val="24"/>
          <w:szCs w:val="24"/>
          <w:highlight w:val="none"/>
          <w:u w:val="single"/>
        </w:rPr>
        <w:t xml:space="preserve"> （供应商1），（供应商2） ，……</w:t>
      </w:r>
      <w:r>
        <w:rPr>
          <w:rFonts w:hint="eastAsia" w:ascii="宋体" w:hAnsi="宋体" w:eastAsia="宋体" w:cs="宋体"/>
          <w:sz w:val="24"/>
          <w:szCs w:val="24"/>
          <w:highlight w:val="none"/>
        </w:rPr>
        <w:t>自愿组成联合体，参加采购编号为</w:t>
      </w:r>
      <w:r>
        <w:rPr>
          <w:rFonts w:hint="eastAsia" w:ascii="宋体" w:hAnsi="宋体" w:eastAsia="宋体" w:cs="宋体"/>
          <w:sz w:val="24"/>
          <w:szCs w:val="24"/>
          <w:highlight w:val="none"/>
          <w:u w:val="single"/>
        </w:rPr>
        <w:t>（编号全称），（项目全称）</w:t>
      </w:r>
      <w:r>
        <w:rPr>
          <w:rFonts w:hint="eastAsia" w:ascii="宋体" w:hAnsi="宋体" w:eastAsia="宋体" w:cs="宋体"/>
          <w:sz w:val="24"/>
          <w:szCs w:val="24"/>
          <w:highlight w:val="none"/>
        </w:rPr>
        <w:t>项目（分包号：**）的政府采购活动，我联合体指定</w:t>
      </w:r>
      <w:r>
        <w:rPr>
          <w:rFonts w:hint="eastAsia" w:ascii="宋体" w:hAnsi="宋体" w:eastAsia="宋体" w:cs="宋体"/>
          <w:sz w:val="24"/>
          <w:szCs w:val="24"/>
          <w:highlight w:val="none"/>
          <w:u w:val="single"/>
        </w:rPr>
        <w:t>（供应商*）</w:t>
      </w:r>
      <w:r>
        <w:rPr>
          <w:rFonts w:hint="eastAsia" w:ascii="宋体" w:hAnsi="宋体" w:eastAsia="宋体" w:cs="宋体"/>
          <w:sz w:val="24"/>
          <w:szCs w:val="24"/>
          <w:highlight w:val="none"/>
        </w:rPr>
        <w:t>为牵头单位（牵头单位必须为联合体成员）。</w:t>
      </w:r>
    </w:p>
    <w:p w14:paraId="7BFE3FC0">
      <w:pPr>
        <w:widowControl w:val="0"/>
        <w:spacing w:beforeAutospacing="0" w:afterAutospacing="0" w:line="480" w:lineRule="exact"/>
        <w:ind w:firstLine="480"/>
        <w:jc w:val="both"/>
        <w:rPr>
          <w:rFonts w:hint="default" w:ascii="宋体" w:hAnsi="宋体" w:eastAsia="宋体" w:cs="Times New Roman"/>
          <w:sz w:val="24"/>
          <w:szCs w:val="24"/>
          <w:highlight w:val="none"/>
        </w:rPr>
      </w:pPr>
      <w:r>
        <w:rPr>
          <w:rFonts w:hint="eastAsia" w:ascii="宋体" w:hAnsi="宋体" w:eastAsia="宋体" w:cs="宋体"/>
          <w:sz w:val="24"/>
          <w:szCs w:val="24"/>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432C039F">
      <w:pPr>
        <w:widowControl w:val="0"/>
        <w:spacing w:beforeAutospacing="0" w:afterAutospacing="0" w:line="480" w:lineRule="exact"/>
        <w:ind w:firstLine="480"/>
        <w:jc w:val="both"/>
        <w:rPr>
          <w:rFonts w:hint="default" w:ascii="宋体" w:hAnsi="宋体" w:eastAsia="宋体" w:cs="Times New Roman"/>
          <w:sz w:val="24"/>
          <w:szCs w:val="24"/>
          <w:highlight w:val="none"/>
        </w:rPr>
      </w:pPr>
      <w:r>
        <w:rPr>
          <w:rFonts w:hint="eastAsia" w:ascii="宋体" w:hAnsi="宋体" w:eastAsia="宋体" w:cs="宋体"/>
          <w:sz w:val="24"/>
          <w:szCs w:val="24"/>
          <w:highlight w:val="none"/>
        </w:rPr>
        <w:t>3、其中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（小型、微型企业/残疾人福利性单位/监狱企业全称）为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（小型、微型企业/残疾人福利性单位/监狱企业）企业，且我们约定该公司/单位所承担的合同金额将占本项目合同总金额的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2B2922C">
      <w:pPr>
        <w:widowControl w:val="0"/>
        <w:spacing w:beforeAutospacing="0" w:afterAutospacing="0" w:line="480" w:lineRule="exact"/>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p w14:paraId="72C231E5">
      <w:pPr>
        <w:widowControl w:val="0"/>
        <w:spacing w:beforeAutospacing="0" w:afterAutospacing="0" w:line="480" w:lineRule="exact"/>
        <w:jc w:val="both"/>
        <w:rPr>
          <w:rFonts w:hint="default" w:ascii="宋体" w:hAnsi="宋体" w:eastAsia="宋体" w:cs="Times New Roman"/>
          <w:sz w:val="24"/>
          <w:szCs w:val="24"/>
          <w:highlight w:val="none"/>
        </w:rPr>
      </w:pPr>
      <w:r>
        <w:rPr>
          <w:rFonts w:hint="eastAsia" w:ascii="宋体" w:hAnsi="宋体" w:eastAsia="宋体" w:cs="宋体"/>
          <w:sz w:val="24"/>
          <w:szCs w:val="24"/>
          <w:highlight w:val="none"/>
        </w:rPr>
        <w:t>备注：本招标文件中要求加盖CA电子签章的地方，仅需加盖牵头单位的CA电子签章。</w:t>
      </w:r>
    </w:p>
    <w:p w14:paraId="4227DDB2">
      <w:pPr>
        <w:widowControl w:val="0"/>
        <w:spacing w:beforeAutospacing="0" w:afterAutospacing="0" w:line="0" w:lineRule="atLeast"/>
        <w:jc w:val="both"/>
        <w:rPr>
          <w:rFonts w:hint="default" w:ascii="宋体" w:hAnsi="宋体" w:eastAsia="宋体" w:cs="Times New Roman"/>
          <w:sz w:val="24"/>
          <w:szCs w:val="24"/>
          <w:highlight w:val="none"/>
        </w:rPr>
      </w:pPr>
      <w:r>
        <w:rPr>
          <w:rFonts w:hint="eastAsia" w:ascii="宋体" w:hAnsi="宋体" w:eastAsia="宋体" w:cs="宋体"/>
          <w:sz w:val="24"/>
          <w:szCs w:val="24"/>
          <w:highlight w:val="none"/>
        </w:rPr>
        <w:t xml:space="preserve">                                          </w:t>
      </w:r>
    </w:p>
    <w:p w14:paraId="02B65A2D">
      <w:pPr>
        <w:widowControl w:val="0"/>
        <w:spacing w:beforeAutospacing="0" w:afterAutospacing="0" w:line="0" w:lineRule="atLeast"/>
        <w:jc w:val="right"/>
        <w:rPr>
          <w:rFonts w:hint="default" w:ascii="宋体" w:hAnsi="宋体" w:eastAsia="宋体" w:cs="Times New Roman"/>
          <w:sz w:val="24"/>
          <w:szCs w:val="24"/>
          <w:highlight w:val="none"/>
        </w:rPr>
      </w:pPr>
      <w:r>
        <w:rPr>
          <w:rFonts w:hint="eastAsia" w:ascii="宋体" w:hAnsi="宋体" w:eastAsia="宋体" w:cs="宋体"/>
          <w:sz w:val="24"/>
          <w:szCs w:val="24"/>
          <w:highlight w:val="none"/>
        </w:rPr>
        <w:t xml:space="preserve">联合体中各供应商全称（公章）：     </w:t>
      </w:r>
    </w:p>
    <w:p w14:paraId="34BECD57">
      <w:pPr>
        <w:widowControl w:val="0"/>
        <w:spacing w:beforeAutospacing="0" w:afterAutospacing="0" w:line="0" w:lineRule="atLeast"/>
        <w:jc w:val="right"/>
        <w:rPr>
          <w:rFonts w:hint="default" w:ascii="宋体" w:hAnsi="宋体" w:eastAsia="宋体" w:cs="Times New Roman"/>
          <w:sz w:val="24"/>
          <w:szCs w:val="24"/>
          <w:highlight w:val="none"/>
        </w:rPr>
      </w:pPr>
      <w:r>
        <w:rPr>
          <w:rFonts w:hint="eastAsia" w:ascii="宋体" w:hAnsi="宋体" w:eastAsia="宋体" w:cs="宋体"/>
          <w:sz w:val="24"/>
          <w:szCs w:val="24"/>
          <w:highlight w:val="none"/>
        </w:rPr>
        <w:t>                                        日期：</w:t>
      </w:r>
    </w:p>
    <w:p w14:paraId="780A0AA5">
      <w:pPr>
        <w:widowControl/>
        <w:spacing w:line="500" w:lineRule="exact"/>
        <w:jc w:val="center"/>
        <w:rPr>
          <w:rFonts w:hint="eastAsia" w:ascii="宋体" w:hAnsi="宋体" w:cs="宋体"/>
          <w:b/>
          <w:color w:val="auto"/>
          <w:sz w:val="32"/>
          <w:szCs w:val="32"/>
          <w:highlight w:val="none"/>
        </w:rPr>
        <w:sectPr>
          <w:pgSz w:w="11906" w:h="16838"/>
          <w:pgMar w:top="1440" w:right="1587" w:bottom="1440" w:left="1587" w:header="851" w:footer="907" w:gutter="0"/>
          <w:cols w:space="720" w:num="1"/>
          <w:docGrid w:linePitch="360" w:charSpace="0"/>
        </w:sectPr>
      </w:pPr>
    </w:p>
    <w:p w14:paraId="18BC2DBF">
      <w:pPr>
        <w:widowControl/>
        <w:spacing w:line="50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二</w:t>
      </w:r>
      <w:r>
        <w:rPr>
          <w:rFonts w:hint="eastAsia" w:ascii="黑体" w:hAnsi="黑体" w:eastAsia="黑体" w:cs="黑体"/>
          <w:b/>
          <w:color w:val="auto"/>
          <w:sz w:val="36"/>
          <w:szCs w:val="36"/>
          <w:highlight w:val="none"/>
        </w:rPr>
        <w:t>）投标</w:t>
      </w:r>
      <w:r>
        <w:rPr>
          <w:rFonts w:hint="eastAsia" w:ascii="黑体" w:hAnsi="黑体" w:eastAsia="黑体" w:cs="黑体"/>
          <w:b/>
          <w:color w:val="auto"/>
          <w:sz w:val="36"/>
          <w:szCs w:val="36"/>
          <w:highlight w:val="none"/>
          <w:lang w:val="en-US" w:eastAsia="zh-CN"/>
        </w:rPr>
        <w:t>分项</w:t>
      </w:r>
      <w:r>
        <w:rPr>
          <w:rFonts w:hint="eastAsia" w:ascii="黑体" w:hAnsi="黑体" w:eastAsia="黑体" w:cs="黑体"/>
          <w:b/>
          <w:color w:val="auto"/>
          <w:sz w:val="36"/>
          <w:szCs w:val="36"/>
          <w:highlight w:val="none"/>
        </w:rPr>
        <w:t>报价表</w:t>
      </w:r>
      <w:r>
        <w:rPr>
          <w:rFonts w:hint="eastAsia" w:ascii="宋体" w:hAnsi="宋体" w:cs="Angsana New"/>
          <w:color w:val="auto"/>
          <w:sz w:val="24"/>
          <w:highlight w:val="none"/>
          <w:lang w:bidi="th-TH"/>
        </w:rPr>
        <w:t xml:space="preserve">  </w:t>
      </w:r>
      <w:r>
        <w:rPr>
          <w:rFonts w:hint="eastAsia" w:ascii="宋体" w:hAnsi="宋体" w:eastAsia="宋体" w:cs="黑体"/>
          <w:b/>
          <w:sz w:val="32"/>
          <w:szCs w:val="32"/>
          <w:highlight w:val="none"/>
        </w:rPr>
        <w:t>（分包号：***）</w:t>
      </w:r>
    </w:p>
    <w:p w14:paraId="08294B4E">
      <w:pPr>
        <w:spacing w:line="400" w:lineRule="exact"/>
        <w:rPr>
          <w:rFonts w:hint="default" w:ascii="宋体" w:hAnsi="宋体" w:eastAsia="宋体" w:cs="Times New Roman"/>
          <w:sz w:val="24"/>
          <w:szCs w:val="24"/>
          <w:highlight w:val="none"/>
        </w:rPr>
      </w:pPr>
      <w:r>
        <w:rPr>
          <w:rFonts w:hint="eastAsia" w:ascii="宋体" w:hAnsi="宋体" w:cs="Angsana New"/>
          <w:color w:val="auto"/>
          <w:sz w:val="24"/>
          <w:highlight w:val="none"/>
          <w:lang w:bidi="th-TH"/>
        </w:rPr>
        <w:t xml:space="preserve">                                            </w:t>
      </w:r>
    </w:p>
    <w:tbl>
      <w:tblPr>
        <w:tblStyle w:val="9"/>
        <w:tblW w:w="960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268"/>
        <w:gridCol w:w="1559"/>
        <w:gridCol w:w="1276"/>
        <w:gridCol w:w="1275"/>
        <w:gridCol w:w="2250"/>
      </w:tblGrid>
      <w:tr w14:paraId="5C80F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CellSpacing w:w="0" w:type="dxa"/>
        </w:trPr>
        <w:tc>
          <w:tcPr>
            <w:tcW w:w="978" w:type="dxa"/>
            <w:vMerge w:val="restart"/>
            <w:noWrap w:val="0"/>
            <w:vAlign w:val="center"/>
          </w:tcPr>
          <w:p w14:paraId="3D476F4B">
            <w:pPr>
              <w:widowControl w:val="0"/>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序号</w:t>
            </w:r>
          </w:p>
        </w:tc>
        <w:tc>
          <w:tcPr>
            <w:tcW w:w="2268" w:type="dxa"/>
            <w:noWrap w:val="0"/>
            <w:vAlign w:val="center"/>
          </w:tcPr>
          <w:p w14:paraId="3A923297">
            <w:pPr>
              <w:widowControl w:val="0"/>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1</w:t>
            </w:r>
          </w:p>
        </w:tc>
        <w:tc>
          <w:tcPr>
            <w:tcW w:w="1559" w:type="dxa"/>
            <w:noWrap w:val="0"/>
            <w:vAlign w:val="center"/>
          </w:tcPr>
          <w:p w14:paraId="7248A3AC">
            <w:pPr>
              <w:widowControl w:val="0"/>
              <w:spacing w:beforeAutospacing="0" w:afterAutospacing="0" w:line="0" w:lineRule="atLeast"/>
              <w:jc w:val="center"/>
              <w:rPr>
                <w:rFonts w:hint="default" w:ascii="宋体" w:hAnsi="宋体" w:eastAsia="宋体" w:cs="Times New Roman"/>
                <w:sz w:val="24"/>
                <w:szCs w:val="24"/>
                <w:highlight w:val="none"/>
              </w:rPr>
            </w:pPr>
            <w:r>
              <w:rPr>
                <w:rFonts w:hint="default" w:ascii="宋体" w:hAnsi="宋体" w:eastAsia="宋体" w:cs="宋体"/>
                <w:sz w:val="24"/>
                <w:szCs w:val="24"/>
                <w:highlight w:val="none"/>
              </w:rPr>
              <w:t>2</w:t>
            </w:r>
          </w:p>
        </w:tc>
        <w:tc>
          <w:tcPr>
            <w:tcW w:w="1276" w:type="dxa"/>
            <w:noWrap w:val="0"/>
            <w:vAlign w:val="center"/>
          </w:tcPr>
          <w:p w14:paraId="2CA8CE1F">
            <w:pPr>
              <w:widowControl w:val="0"/>
              <w:spacing w:beforeAutospacing="0" w:afterAutospacing="0" w:line="0" w:lineRule="atLeast"/>
              <w:jc w:val="center"/>
              <w:rPr>
                <w:rFonts w:hint="default" w:ascii="宋体" w:hAnsi="宋体" w:eastAsia="宋体" w:cs="Times New Roman"/>
                <w:sz w:val="24"/>
                <w:szCs w:val="24"/>
                <w:highlight w:val="none"/>
              </w:rPr>
            </w:pPr>
            <w:r>
              <w:rPr>
                <w:rFonts w:hint="default" w:ascii="宋体" w:hAnsi="宋体" w:eastAsia="宋体" w:cs="宋体"/>
                <w:sz w:val="24"/>
                <w:szCs w:val="24"/>
                <w:highlight w:val="none"/>
              </w:rPr>
              <w:t>3</w:t>
            </w:r>
          </w:p>
        </w:tc>
        <w:tc>
          <w:tcPr>
            <w:tcW w:w="1275" w:type="dxa"/>
            <w:noWrap w:val="0"/>
            <w:vAlign w:val="center"/>
          </w:tcPr>
          <w:p w14:paraId="7C5D497B">
            <w:pPr>
              <w:widowControl w:val="0"/>
              <w:spacing w:beforeAutospacing="0" w:afterAutospacing="0" w:line="0" w:lineRule="atLeast"/>
              <w:jc w:val="center"/>
              <w:rPr>
                <w:rFonts w:hint="default" w:ascii="宋体" w:hAnsi="宋体" w:eastAsia="宋体" w:cs="Times New Roman"/>
                <w:sz w:val="24"/>
                <w:szCs w:val="24"/>
                <w:highlight w:val="none"/>
              </w:rPr>
            </w:pPr>
            <w:r>
              <w:rPr>
                <w:rFonts w:hint="default" w:ascii="宋体" w:hAnsi="宋体" w:eastAsia="宋体" w:cs="宋体"/>
                <w:sz w:val="24"/>
                <w:szCs w:val="24"/>
                <w:highlight w:val="none"/>
              </w:rPr>
              <w:t>4</w:t>
            </w:r>
          </w:p>
        </w:tc>
        <w:tc>
          <w:tcPr>
            <w:tcW w:w="2250" w:type="dxa"/>
            <w:noWrap w:val="0"/>
            <w:vAlign w:val="center"/>
          </w:tcPr>
          <w:p w14:paraId="09B71B6C">
            <w:pPr>
              <w:widowControl w:val="0"/>
              <w:spacing w:beforeAutospacing="0" w:afterAutospacing="0" w:line="0" w:lineRule="atLeast"/>
              <w:jc w:val="center"/>
              <w:rPr>
                <w:rFonts w:hint="default" w:ascii="宋体" w:hAnsi="宋体" w:eastAsia="宋体" w:cs="Times New Roman"/>
                <w:sz w:val="24"/>
                <w:szCs w:val="24"/>
                <w:highlight w:val="none"/>
              </w:rPr>
            </w:pPr>
            <w:r>
              <w:rPr>
                <w:rFonts w:hint="default" w:ascii="宋体" w:hAnsi="宋体" w:eastAsia="宋体" w:cs="宋体"/>
                <w:sz w:val="24"/>
                <w:szCs w:val="24"/>
                <w:highlight w:val="none"/>
              </w:rPr>
              <w:t>5</w:t>
            </w:r>
          </w:p>
        </w:tc>
      </w:tr>
      <w:tr w14:paraId="0DB5A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blCellSpacing w:w="0" w:type="dxa"/>
        </w:trPr>
        <w:tc>
          <w:tcPr>
            <w:tcW w:w="978" w:type="dxa"/>
            <w:vMerge w:val="continue"/>
            <w:noWrap w:val="0"/>
            <w:vAlign w:val="center"/>
          </w:tcPr>
          <w:p w14:paraId="23356274">
            <w:pPr>
              <w:widowControl w:val="0"/>
              <w:spacing w:beforeAutospacing="0" w:afterAutospacing="0" w:line="0" w:lineRule="atLeast"/>
              <w:jc w:val="center"/>
              <w:rPr>
                <w:rFonts w:hint="default" w:ascii="宋体" w:hAnsi="宋体" w:eastAsia="宋体" w:cs="Times New Roman"/>
                <w:sz w:val="24"/>
                <w:szCs w:val="24"/>
                <w:highlight w:val="none"/>
              </w:rPr>
            </w:pPr>
          </w:p>
        </w:tc>
        <w:tc>
          <w:tcPr>
            <w:tcW w:w="2268" w:type="dxa"/>
            <w:noWrap w:val="0"/>
            <w:vAlign w:val="center"/>
          </w:tcPr>
          <w:p w14:paraId="6C17E7EC">
            <w:pPr>
              <w:widowControl w:val="0"/>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分项名称</w:t>
            </w:r>
          </w:p>
        </w:tc>
        <w:tc>
          <w:tcPr>
            <w:tcW w:w="1559" w:type="dxa"/>
            <w:noWrap w:val="0"/>
            <w:vAlign w:val="center"/>
          </w:tcPr>
          <w:p w14:paraId="09839F1A">
            <w:pPr>
              <w:widowControl w:val="0"/>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分项单位</w:t>
            </w:r>
          </w:p>
        </w:tc>
        <w:tc>
          <w:tcPr>
            <w:tcW w:w="1276" w:type="dxa"/>
            <w:noWrap w:val="0"/>
            <w:vAlign w:val="center"/>
          </w:tcPr>
          <w:p w14:paraId="3F72319D">
            <w:pPr>
              <w:widowControl w:val="0"/>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数量</w:t>
            </w:r>
          </w:p>
        </w:tc>
        <w:tc>
          <w:tcPr>
            <w:tcW w:w="1275" w:type="dxa"/>
            <w:noWrap w:val="0"/>
            <w:vAlign w:val="center"/>
          </w:tcPr>
          <w:p w14:paraId="6895753D">
            <w:pPr>
              <w:widowControl w:val="0"/>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分项单价</w:t>
            </w:r>
          </w:p>
        </w:tc>
        <w:tc>
          <w:tcPr>
            <w:tcW w:w="2250" w:type="dxa"/>
            <w:noWrap w:val="0"/>
            <w:vAlign w:val="center"/>
          </w:tcPr>
          <w:p w14:paraId="57F0B1C0">
            <w:pPr>
              <w:widowControl w:val="0"/>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总价</w:t>
            </w:r>
          </w:p>
        </w:tc>
      </w:tr>
      <w:tr w14:paraId="1EE3B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blCellSpacing w:w="0" w:type="dxa"/>
        </w:trPr>
        <w:tc>
          <w:tcPr>
            <w:tcW w:w="978" w:type="dxa"/>
            <w:noWrap w:val="0"/>
            <w:vAlign w:val="center"/>
          </w:tcPr>
          <w:p w14:paraId="3C56C7A6">
            <w:pPr>
              <w:widowControl w:val="0"/>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1</w:t>
            </w:r>
          </w:p>
        </w:tc>
        <w:tc>
          <w:tcPr>
            <w:tcW w:w="2268" w:type="dxa"/>
            <w:noWrap w:val="0"/>
            <w:vAlign w:val="center"/>
          </w:tcPr>
          <w:p w14:paraId="59AF0B0B">
            <w:pPr>
              <w:widowControl w:val="0"/>
              <w:spacing w:beforeAutospacing="0" w:afterAutospacing="0" w:line="0" w:lineRule="atLeast"/>
              <w:jc w:val="center"/>
              <w:rPr>
                <w:rFonts w:hint="default" w:ascii="宋体" w:hAnsi="宋体" w:eastAsia="宋体" w:cs="Times New Roman"/>
                <w:sz w:val="24"/>
                <w:szCs w:val="24"/>
                <w:highlight w:val="none"/>
              </w:rPr>
            </w:pPr>
          </w:p>
        </w:tc>
        <w:tc>
          <w:tcPr>
            <w:tcW w:w="1559" w:type="dxa"/>
            <w:noWrap w:val="0"/>
            <w:vAlign w:val="center"/>
          </w:tcPr>
          <w:p w14:paraId="3AFFEDD9">
            <w:pPr>
              <w:widowControl w:val="0"/>
              <w:spacing w:beforeAutospacing="0" w:afterAutospacing="0" w:line="0" w:lineRule="atLeast"/>
              <w:jc w:val="center"/>
              <w:rPr>
                <w:rFonts w:hint="default" w:ascii="宋体" w:hAnsi="宋体" w:eastAsia="宋体" w:cs="Times New Roman"/>
                <w:sz w:val="24"/>
                <w:szCs w:val="24"/>
                <w:highlight w:val="none"/>
              </w:rPr>
            </w:pPr>
          </w:p>
        </w:tc>
        <w:tc>
          <w:tcPr>
            <w:tcW w:w="1276" w:type="dxa"/>
            <w:noWrap w:val="0"/>
            <w:vAlign w:val="center"/>
          </w:tcPr>
          <w:p w14:paraId="7D861431">
            <w:pPr>
              <w:widowControl w:val="0"/>
              <w:spacing w:beforeAutospacing="0" w:afterAutospacing="0" w:line="0" w:lineRule="atLeast"/>
              <w:jc w:val="both"/>
              <w:rPr>
                <w:rFonts w:hint="default" w:ascii="宋体" w:hAnsi="宋体" w:eastAsia="宋体" w:cs="Times New Roman"/>
                <w:sz w:val="24"/>
                <w:szCs w:val="24"/>
                <w:highlight w:val="none"/>
              </w:rPr>
            </w:pPr>
          </w:p>
        </w:tc>
        <w:tc>
          <w:tcPr>
            <w:tcW w:w="1275" w:type="dxa"/>
            <w:noWrap w:val="0"/>
            <w:vAlign w:val="center"/>
          </w:tcPr>
          <w:p w14:paraId="7BD054B1">
            <w:pPr>
              <w:widowControl w:val="0"/>
              <w:spacing w:beforeAutospacing="0" w:afterAutospacing="0" w:line="0" w:lineRule="atLeast"/>
              <w:jc w:val="both"/>
              <w:rPr>
                <w:rFonts w:hint="default" w:ascii="宋体" w:hAnsi="宋体" w:eastAsia="宋体" w:cs="Times New Roman"/>
                <w:sz w:val="24"/>
                <w:szCs w:val="24"/>
                <w:highlight w:val="none"/>
              </w:rPr>
            </w:pPr>
          </w:p>
        </w:tc>
        <w:tc>
          <w:tcPr>
            <w:tcW w:w="2250" w:type="dxa"/>
            <w:noWrap w:val="0"/>
            <w:vAlign w:val="center"/>
          </w:tcPr>
          <w:p w14:paraId="6573CBEC">
            <w:pPr>
              <w:widowControl w:val="0"/>
              <w:spacing w:beforeAutospacing="0" w:afterAutospacing="0" w:line="0" w:lineRule="atLeast"/>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1556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blCellSpacing w:w="0" w:type="dxa"/>
        </w:trPr>
        <w:tc>
          <w:tcPr>
            <w:tcW w:w="978" w:type="dxa"/>
            <w:noWrap w:val="0"/>
            <w:vAlign w:val="center"/>
          </w:tcPr>
          <w:p w14:paraId="0DD720F9">
            <w:pPr>
              <w:widowControl w:val="0"/>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2</w:t>
            </w:r>
          </w:p>
        </w:tc>
        <w:tc>
          <w:tcPr>
            <w:tcW w:w="2268" w:type="dxa"/>
            <w:noWrap w:val="0"/>
            <w:vAlign w:val="center"/>
          </w:tcPr>
          <w:p w14:paraId="53F45371">
            <w:pPr>
              <w:widowControl w:val="0"/>
              <w:spacing w:beforeAutospacing="0" w:afterAutospacing="0" w:line="0" w:lineRule="atLeast"/>
              <w:jc w:val="center"/>
              <w:rPr>
                <w:rFonts w:hint="default" w:ascii="宋体" w:hAnsi="宋体" w:eastAsia="宋体" w:cs="Times New Roman"/>
                <w:sz w:val="24"/>
                <w:szCs w:val="24"/>
                <w:highlight w:val="none"/>
              </w:rPr>
            </w:pPr>
          </w:p>
        </w:tc>
        <w:tc>
          <w:tcPr>
            <w:tcW w:w="1559" w:type="dxa"/>
            <w:noWrap w:val="0"/>
            <w:vAlign w:val="center"/>
          </w:tcPr>
          <w:p w14:paraId="5527D797">
            <w:pPr>
              <w:widowControl w:val="0"/>
              <w:spacing w:beforeAutospacing="0" w:afterAutospacing="0" w:line="0" w:lineRule="atLeast"/>
              <w:jc w:val="center"/>
              <w:rPr>
                <w:rFonts w:hint="default" w:ascii="宋体" w:hAnsi="宋体" w:eastAsia="宋体" w:cs="Times New Roman"/>
                <w:sz w:val="24"/>
                <w:szCs w:val="24"/>
                <w:highlight w:val="none"/>
              </w:rPr>
            </w:pPr>
          </w:p>
        </w:tc>
        <w:tc>
          <w:tcPr>
            <w:tcW w:w="1276" w:type="dxa"/>
            <w:noWrap w:val="0"/>
            <w:vAlign w:val="center"/>
          </w:tcPr>
          <w:p w14:paraId="1629F3E4">
            <w:pPr>
              <w:widowControl w:val="0"/>
              <w:spacing w:beforeAutospacing="0" w:afterAutospacing="0" w:line="0" w:lineRule="atLeast"/>
              <w:jc w:val="both"/>
              <w:rPr>
                <w:rFonts w:hint="default" w:ascii="宋体" w:hAnsi="宋体" w:eastAsia="宋体" w:cs="Times New Roman"/>
                <w:sz w:val="24"/>
                <w:szCs w:val="24"/>
                <w:highlight w:val="none"/>
              </w:rPr>
            </w:pPr>
          </w:p>
        </w:tc>
        <w:tc>
          <w:tcPr>
            <w:tcW w:w="1275" w:type="dxa"/>
            <w:noWrap w:val="0"/>
            <w:vAlign w:val="center"/>
          </w:tcPr>
          <w:p w14:paraId="58C3C57A">
            <w:pPr>
              <w:widowControl w:val="0"/>
              <w:spacing w:beforeAutospacing="0" w:afterAutospacing="0" w:line="0" w:lineRule="atLeast"/>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250" w:type="dxa"/>
            <w:noWrap w:val="0"/>
            <w:vAlign w:val="center"/>
          </w:tcPr>
          <w:p w14:paraId="742D90AB">
            <w:pPr>
              <w:widowControl w:val="0"/>
              <w:spacing w:beforeAutospacing="0" w:afterAutospacing="0" w:line="0" w:lineRule="atLeast"/>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7DDE2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978" w:type="dxa"/>
            <w:noWrap w:val="0"/>
            <w:vAlign w:val="center"/>
          </w:tcPr>
          <w:p w14:paraId="75BC354D">
            <w:pPr>
              <w:widowControl w:val="0"/>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3</w:t>
            </w:r>
          </w:p>
        </w:tc>
        <w:tc>
          <w:tcPr>
            <w:tcW w:w="2268" w:type="dxa"/>
            <w:noWrap w:val="0"/>
            <w:vAlign w:val="center"/>
          </w:tcPr>
          <w:p w14:paraId="7A54DD81">
            <w:pPr>
              <w:widowControl w:val="0"/>
              <w:spacing w:beforeAutospacing="0" w:afterAutospacing="0" w:line="0" w:lineRule="atLeast"/>
              <w:jc w:val="center"/>
              <w:rPr>
                <w:rFonts w:hint="default" w:ascii="宋体" w:hAnsi="宋体" w:eastAsia="宋体" w:cs="Times New Roman"/>
                <w:sz w:val="24"/>
                <w:szCs w:val="24"/>
                <w:highlight w:val="none"/>
              </w:rPr>
            </w:pPr>
          </w:p>
        </w:tc>
        <w:tc>
          <w:tcPr>
            <w:tcW w:w="1559" w:type="dxa"/>
            <w:noWrap w:val="0"/>
            <w:vAlign w:val="center"/>
          </w:tcPr>
          <w:p w14:paraId="1E72FCEC">
            <w:pPr>
              <w:widowControl w:val="0"/>
              <w:spacing w:beforeAutospacing="0" w:afterAutospacing="0" w:line="0" w:lineRule="atLeast"/>
              <w:jc w:val="both"/>
              <w:rPr>
                <w:rFonts w:hint="default" w:ascii="宋体" w:hAnsi="宋体" w:eastAsia="宋体" w:cs="Times New Roman"/>
                <w:sz w:val="24"/>
                <w:szCs w:val="24"/>
                <w:highlight w:val="none"/>
              </w:rPr>
            </w:pPr>
          </w:p>
        </w:tc>
        <w:tc>
          <w:tcPr>
            <w:tcW w:w="1276" w:type="dxa"/>
            <w:noWrap w:val="0"/>
            <w:vAlign w:val="center"/>
          </w:tcPr>
          <w:p w14:paraId="02876AD9">
            <w:pPr>
              <w:widowControl w:val="0"/>
              <w:spacing w:beforeAutospacing="0" w:afterAutospacing="0" w:line="0" w:lineRule="atLeast"/>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75" w:type="dxa"/>
            <w:noWrap w:val="0"/>
            <w:vAlign w:val="center"/>
          </w:tcPr>
          <w:p w14:paraId="4EEFD107">
            <w:pPr>
              <w:widowControl w:val="0"/>
              <w:spacing w:beforeAutospacing="0" w:afterAutospacing="0" w:line="0" w:lineRule="atLeast"/>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250" w:type="dxa"/>
            <w:noWrap w:val="0"/>
            <w:vAlign w:val="center"/>
          </w:tcPr>
          <w:p w14:paraId="1BE25329">
            <w:pPr>
              <w:widowControl w:val="0"/>
              <w:spacing w:beforeAutospacing="0" w:afterAutospacing="0" w:line="0" w:lineRule="atLeast"/>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67453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CellSpacing w:w="0" w:type="dxa"/>
        </w:trPr>
        <w:tc>
          <w:tcPr>
            <w:tcW w:w="978" w:type="dxa"/>
            <w:noWrap w:val="0"/>
            <w:vAlign w:val="center"/>
          </w:tcPr>
          <w:p w14:paraId="7B74316D">
            <w:pPr>
              <w:widowControl w:val="0"/>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w:t>
            </w:r>
          </w:p>
        </w:tc>
        <w:tc>
          <w:tcPr>
            <w:tcW w:w="2268" w:type="dxa"/>
            <w:noWrap w:val="0"/>
            <w:vAlign w:val="center"/>
          </w:tcPr>
          <w:p w14:paraId="74ECDD8C">
            <w:pPr>
              <w:widowControl w:val="0"/>
              <w:spacing w:beforeAutospacing="0" w:afterAutospacing="0" w:line="0" w:lineRule="atLeast"/>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w:t>
            </w:r>
          </w:p>
        </w:tc>
        <w:tc>
          <w:tcPr>
            <w:tcW w:w="1559" w:type="dxa"/>
            <w:noWrap w:val="0"/>
            <w:vAlign w:val="center"/>
          </w:tcPr>
          <w:p w14:paraId="50517A18">
            <w:pPr>
              <w:widowControl w:val="0"/>
              <w:spacing w:beforeAutospacing="0" w:afterAutospacing="0" w:line="0" w:lineRule="atLeast"/>
              <w:jc w:val="both"/>
              <w:rPr>
                <w:rFonts w:hint="default" w:ascii="宋体" w:hAnsi="宋体" w:eastAsia="宋体" w:cs="Times New Roman"/>
                <w:sz w:val="24"/>
                <w:szCs w:val="24"/>
                <w:highlight w:val="none"/>
              </w:rPr>
            </w:pPr>
          </w:p>
        </w:tc>
        <w:tc>
          <w:tcPr>
            <w:tcW w:w="1276" w:type="dxa"/>
            <w:noWrap w:val="0"/>
            <w:vAlign w:val="center"/>
          </w:tcPr>
          <w:p w14:paraId="75E09E16">
            <w:pPr>
              <w:widowControl w:val="0"/>
              <w:spacing w:beforeAutospacing="0" w:afterAutospacing="0" w:line="0" w:lineRule="atLeast"/>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75" w:type="dxa"/>
            <w:noWrap w:val="0"/>
            <w:vAlign w:val="center"/>
          </w:tcPr>
          <w:p w14:paraId="4588CE52">
            <w:pPr>
              <w:widowControl w:val="0"/>
              <w:spacing w:beforeAutospacing="0" w:afterAutospacing="0" w:line="0" w:lineRule="atLeast"/>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250" w:type="dxa"/>
            <w:noWrap w:val="0"/>
            <w:vAlign w:val="center"/>
          </w:tcPr>
          <w:p w14:paraId="36C306FF">
            <w:pPr>
              <w:widowControl w:val="0"/>
              <w:spacing w:beforeAutospacing="0" w:afterAutospacing="0" w:line="0" w:lineRule="atLeast"/>
              <w:jc w:val="both"/>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bl>
    <w:p w14:paraId="0593C1D7">
      <w:pPr>
        <w:spacing w:line="480" w:lineRule="exact"/>
        <w:jc w:val="center"/>
        <w:rPr>
          <w:rFonts w:hint="eastAsia" w:ascii="宋体" w:hAnsi="宋体" w:cs="Arial"/>
          <w:b/>
          <w:bCs/>
          <w:color w:val="auto"/>
          <w:sz w:val="36"/>
          <w:szCs w:val="36"/>
          <w:highlight w:val="none"/>
        </w:rPr>
      </w:pPr>
    </w:p>
    <w:p w14:paraId="14066C1D">
      <w:pPr>
        <w:pStyle w:val="23"/>
        <w:rPr>
          <w:rFonts w:ascii="Times New Roman" w:hAnsi="Times New Roman" w:cs="Times New Roman"/>
          <w:color w:val="auto"/>
          <w:highlight w:val="none"/>
        </w:rPr>
      </w:pPr>
    </w:p>
    <w:p w14:paraId="5B2F78BA">
      <w:pPr>
        <w:rPr>
          <w:rFonts w:ascii="Times New Roman" w:hAnsi="Times New Roman" w:cs="Times New Roman"/>
          <w:color w:val="auto"/>
          <w:highlight w:val="none"/>
        </w:rPr>
      </w:pPr>
    </w:p>
    <w:p w14:paraId="045335CF">
      <w:pPr>
        <w:pStyle w:val="23"/>
        <w:rPr>
          <w:rFonts w:ascii="Times New Roman" w:hAnsi="Times New Roman" w:cs="Times New Roman"/>
          <w:color w:val="auto"/>
          <w:highlight w:val="none"/>
        </w:rPr>
      </w:pPr>
    </w:p>
    <w:p w14:paraId="26DBC391">
      <w:pPr>
        <w:rPr>
          <w:rFonts w:ascii="Times New Roman" w:hAnsi="Times New Roman" w:cs="Times New Roman"/>
          <w:color w:val="auto"/>
          <w:highlight w:val="none"/>
        </w:rPr>
      </w:pPr>
    </w:p>
    <w:p w14:paraId="2C37CAC7">
      <w:pPr>
        <w:pStyle w:val="23"/>
        <w:rPr>
          <w:rFonts w:ascii="Times New Roman" w:hAnsi="Times New Roman" w:cs="Times New Roman"/>
          <w:color w:val="auto"/>
          <w:highlight w:val="none"/>
        </w:rPr>
      </w:pPr>
    </w:p>
    <w:p w14:paraId="3D4BCD34">
      <w:pPr>
        <w:pStyle w:val="23"/>
        <w:rPr>
          <w:rFonts w:ascii="Times New Roman" w:hAnsi="Times New Roman" w:cs="Times New Roman"/>
          <w:color w:val="auto"/>
          <w:highlight w:val="none"/>
        </w:rPr>
      </w:pPr>
    </w:p>
    <w:p w14:paraId="7CE16190">
      <w:pPr>
        <w:rPr>
          <w:rFonts w:ascii="Times New Roman" w:hAnsi="Times New Roman" w:cs="Times New Roman"/>
          <w:color w:val="auto"/>
          <w:highlight w:val="none"/>
        </w:rPr>
      </w:pPr>
    </w:p>
    <w:p w14:paraId="3F9288B8">
      <w:pPr>
        <w:pStyle w:val="23"/>
        <w:rPr>
          <w:rFonts w:ascii="Times New Roman" w:hAnsi="Times New Roman" w:cs="Times New Roman"/>
          <w:color w:val="auto"/>
          <w:highlight w:val="none"/>
        </w:rPr>
      </w:pPr>
    </w:p>
    <w:p w14:paraId="38A36EA4">
      <w:pPr>
        <w:pStyle w:val="7"/>
        <w:spacing w:beforeAutospacing="0" w:afterAutospacing="0"/>
        <w:jc w:val="center"/>
        <w:rPr>
          <w:rFonts w:hint="eastAsia" w:cs="Arial"/>
          <w:b/>
          <w:bCs/>
          <w:color w:val="auto"/>
          <w:sz w:val="36"/>
          <w:szCs w:val="36"/>
          <w:highlight w:val="none"/>
        </w:rPr>
      </w:pPr>
    </w:p>
    <w:p w14:paraId="2090D741">
      <w:pPr>
        <w:pStyle w:val="7"/>
        <w:spacing w:beforeAutospacing="0" w:afterAutospacing="0"/>
        <w:jc w:val="center"/>
        <w:rPr>
          <w:rFonts w:hint="eastAsia" w:eastAsia="黑体" w:cs="Arial"/>
          <w:b/>
          <w:bCs/>
          <w:color w:val="auto"/>
          <w:sz w:val="36"/>
          <w:szCs w:val="36"/>
          <w:highlight w:val="none"/>
        </w:rPr>
        <w:sectPr>
          <w:pgSz w:w="11906" w:h="16838"/>
          <w:pgMar w:top="1440" w:right="1587" w:bottom="1440" w:left="1587" w:header="851" w:footer="907" w:gutter="0"/>
          <w:cols w:space="720" w:num="1"/>
          <w:docGrid w:linePitch="360" w:charSpace="0"/>
        </w:sectPr>
      </w:pPr>
    </w:p>
    <w:p w14:paraId="71FDE465">
      <w:pPr>
        <w:widowControl/>
        <w:numPr>
          <w:ilvl w:val="0"/>
          <w:numId w:val="0"/>
        </w:numPr>
        <w:spacing w:line="500" w:lineRule="exact"/>
        <w:jc w:val="center"/>
        <w:rPr>
          <w:rFonts w:hint="default" w:ascii="黑体" w:hAnsi="黑体" w:eastAsia="黑体" w:cs="黑体"/>
          <w:b/>
          <w:color w:val="auto"/>
          <w:sz w:val="36"/>
          <w:szCs w:val="36"/>
          <w:highlight w:val="none"/>
        </w:rPr>
      </w:pPr>
      <w:r>
        <w:rPr>
          <w:rFonts w:hint="eastAsia" w:ascii="黑体" w:hAnsi="黑体" w:eastAsia="黑体" w:cs="黑体"/>
          <w:b/>
          <w:color w:val="auto"/>
          <w:sz w:val="36"/>
          <w:szCs w:val="36"/>
          <w:highlight w:val="none"/>
          <w:lang w:eastAsia="zh-CN"/>
        </w:rPr>
        <w:t>（</w:t>
      </w:r>
      <w:r>
        <w:rPr>
          <w:rFonts w:hint="eastAsia" w:ascii="黑体" w:hAnsi="黑体" w:eastAsia="黑体" w:cs="黑体"/>
          <w:b/>
          <w:color w:val="auto"/>
          <w:sz w:val="36"/>
          <w:szCs w:val="36"/>
          <w:highlight w:val="none"/>
          <w:lang w:val="en-US" w:eastAsia="zh-CN"/>
        </w:rPr>
        <w:t>十三</w:t>
      </w:r>
      <w:r>
        <w:rPr>
          <w:rFonts w:hint="eastAsia" w:ascii="黑体" w:hAnsi="黑体" w:eastAsia="黑体" w:cs="黑体"/>
          <w:b/>
          <w:color w:val="auto"/>
          <w:sz w:val="36"/>
          <w:szCs w:val="36"/>
          <w:highlight w:val="none"/>
          <w:lang w:eastAsia="zh-CN"/>
        </w:rPr>
        <w:t>）</w:t>
      </w:r>
      <w:r>
        <w:rPr>
          <w:rFonts w:hint="eastAsia" w:ascii="黑体" w:hAnsi="黑体" w:eastAsia="黑体" w:cs="黑体"/>
          <w:b/>
          <w:color w:val="auto"/>
          <w:sz w:val="36"/>
          <w:szCs w:val="36"/>
          <w:highlight w:val="none"/>
        </w:rPr>
        <w:t>技术要求响应及偏离表</w:t>
      </w:r>
      <w:r>
        <w:rPr>
          <w:rFonts w:hint="eastAsia" w:ascii="宋体" w:hAnsi="宋体" w:eastAsia="宋体" w:cs="黑体"/>
          <w:b/>
          <w:sz w:val="32"/>
          <w:szCs w:val="32"/>
          <w:highlight w:val="none"/>
        </w:rPr>
        <w:t>（分包号：**）</w:t>
      </w:r>
    </w:p>
    <w:tbl>
      <w:tblPr>
        <w:tblStyle w:val="9"/>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3026"/>
        <w:gridCol w:w="2608"/>
        <w:gridCol w:w="1247"/>
        <w:gridCol w:w="2328"/>
      </w:tblGrid>
      <w:tr w14:paraId="68A76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trPr>
        <w:tc>
          <w:tcPr>
            <w:tcW w:w="538" w:type="dxa"/>
            <w:noWrap w:val="0"/>
            <w:vAlign w:val="center"/>
          </w:tcPr>
          <w:p w14:paraId="056BD1E2">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序号</w:t>
            </w:r>
          </w:p>
        </w:tc>
        <w:tc>
          <w:tcPr>
            <w:tcW w:w="3026" w:type="dxa"/>
            <w:noWrap w:val="0"/>
            <w:vAlign w:val="center"/>
          </w:tcPr>
          <w:p w14:paraId="332A34BE">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招标文件要求</w:t>
            </w:r>
          </w:p>
        </w:tc>
        <w:tc>
          <w:tcPr>
            <w:tcW w:w="2608" w:type="dxa"/>
            <w:noWrap w:val="0"/>
            <w:vAlign w:val="center"/>
          </w:tcPr>
          <w:p w14:paraId="32A74B58">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投标响应情况</w:t>
            </w:r>
          </w:p>
        </w:tc>
        <w:tc>
          <w:tcPr>
            <w:tcW w:w="1247" w:type="dxa"/>
            <w:noWrap w:val="0"/>
            <w:vAlign w:val="center"/>
          </w:tcPr>
          <w:p w14:paraId="2368A73F">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超出、符合或偏离</w:t>
            </w:r>
          </w:p>
        </w:tc>
        <w:tc>
          <w:tcPr>
            <w:tcW w:w="2328" w:type="dxa"/>
            <w:noWrap w:val="0"/>
            <w:vAlign w:val="center"/>
          </w:tcPr>
          <w:p w14:paraId="2E72C4BA">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证明</w:t>
            </w:r>
          </w:p>
          <w:p w14:paraId="034B54FF">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材料</w:t>
            </w:r>
          </w:p>
        </w:tc>
      </w:tr>
      <w:tr w14:paraId="23528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53C3BC64">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1964E7E8">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2BC3A82C">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71C2A0FA">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0F771E45">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5E1A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05284B09">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083B78CE">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01B1E533">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5A4D560C">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0195B8D7">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3C07A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4A9BB64A">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7EEAA007">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0B80AC12">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59A8376F">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20712F97">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2A44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56C2C0F2">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0CC41DED">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76142F9E">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6BBCBA53">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360514B3">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09C0B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6C62D932">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74C6F455">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061D5D65">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4B2BD9B7">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3BCE79B9">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1F95A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5AA17955">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30C2E905">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25BD07E4">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5F84699E">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204D8D78">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69488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6058C620">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786CFB68">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2A003029">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2D43B9F4">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3AB57317">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443C0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0E644762">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30265B3F">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w:t>
            </w:r>
          </w:p>
        </w:tc>
        <w:tc>
          <w:tcPr>
            <w:tcW w:w="2608" w:type="dxa"/>
            <w:noWrap w:val="0"/>
            <w:vAlign w:val="center"/>
          </w:tcPr>
          <w:p w14:paraId="7FA427A6">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419546C9">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3BD216F2">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bl>
    <w:p w14:paraId="3959703B">
      <w:pPr>
        <w:widowControl/>
        <w:spacing w:before="100" w:beforeAutospacing="1" w:after="100" w:afterAutospacing="1"/>
        <w:rPr>
          <w:rFonts w:ascii="等线" w:hAnsi="等线" w:eastAsia="等线" w:cs="Times New Roman"/>
          <w:sz w:val="24"/>
          <w:szCs w:val="24"/>
          <w:highlight w:val="none"/>
        </w:rPr>
      </w:pPr>
      <w:r>
        <w:rPr>
          <w:rFonts w:hint="eastAsia" w:ascii="宋体" w:hAnsi="宋体" w:eastAsia="宋体" w:cs="宋体"/>
          <w:sz w:val="24"/>
          <w:szCs w:val="24"/>
          <w:highlight w:val="none"/>
        </w:rPr>
        <w:t>注：如投标人将此表空白，视为投标人无任何偏离。如有偏离，请在此表中应答为“正/负偏离”并说明偏离情况。</w:t>
      </w:r>
    </w:p>
    <w:p w14:paraId="2D2BCC28">
      <w:pPr>
        <w:pStyle w:val="7"/>
        <w:widowControl w:val="0"/>
        <w:spacing w:before="0" w:beforeAutospacing="0" w:after="0" w:afterAutospacing="0"/>
        <w:ind w:firstLine="643"/>
        <w:jc w:val="center"/>
        <w:rPr>
          <w:rFonts w:hint="eastAsia" w:eastAsia="黑体" w:cs="Arial"/>
          <w:b/>
          <w:bCs/>
          <w:color w:val="auto"/>
          <w:sz w:val="36"/>
          <w:szCs w:val="36"/>
          <w:highlight w:val="none"/>
        </w:rPr>
      </w:pPr>
    </w:p>
    <w:p w14:paraId="64500697">
      <w:pPr>
        <w:pStyle w:val="7"/>
        <w:widowControl w:val="0"/>
        <w:spacing w:before="0" w:beforeAutospacing="0" w:after="0" w:afterAutospacing="0"/>
        <w:ind w:firstLine="643"/>
        <w:jc w:val="center"/>
        <w:rPr>
          <w:rFonts w:hint="eastAsia" w:eastAsia="黑体" w:cs="Arial"/>
          <w:b/>
          <w:bCs/>
          <w:color w:val="auto"/>
          <w:sz w:val="36"/>
          <w:szCs w:val="36"/>
          <w:highlight w:val="none"/>
        </w:rPr>
      </w:pPr>
    </w:p>
    <w:p w14:paraId="73A8CF95">
      <w:pPr>
        <w:pStyle w:val="7"/>
        <w:widowControl w:val="0"/>
        <w:spacing w:before="0" w:beforeAutospacing="0" w:after="0" w:afterAutospacing="0"/>
        <w:ind w:firstLine="643"/>
        <w:jc w:val="center"/>
        <w:rPr>
          <w:rFonts w:hint="eastAsia" w:eastAsia="黑体" w:cs="Arial"/>
          <w:b/>
          <w:bCs/>
          <w:color w:val="auto"/>
          <w:sz w:val="36"/>
          <w:szCs w:val="36"/>
          <w:highlight w:val="none"/>
        </w:rPr>
      </w:pPr>
    </w:p>
    <w:p w14:paraId="2867D249">
      <w:pPr>
        <w:pStyle w:val="7"/>
        <w:widowControl w:val="0"/>
        <w:spacing w:before="0" w:beforeAutospacing="0" w:after="0" w:afterAutospacing="0"/>
        <w:ind w:firstLine="643"/>
        <w:jc w:val="center"/>
        <w:rPr>
          <w:rFonts w:hint="eastAsia" w:eastAsia="黑体" w:cs="Arial"/>
          <w:b/>
          <w:bCs/>
          <w:color w:val="auto"/>
          <w:sz w:val="36"/>
          <w:szCs w:val="36"/>
          <w:highlight w:val="none"/>
        </w:rPr>
      </w:pPr>
    </w:p>
    <w:p w14:paraId="30B5E448">
      <w:pPr>
        <w:pStyle w:val="7"/>
        <w:widowControl w:val="0"/>
        <w:spacing w:before="0" w:beforeAutospacing="0" w:after="0" w:afterAutospacing="0"/>
        <w:ind w:firstLine="643"/>
        <w:jc w:val="center"/>
        <w:rPr>
          <w:rFonts w:hint="eastAsia" w:eastAsia="黑体" w:cs="Arial"/>
          <w:b/>
          <w:bCs/>
          <w:color w:val="auto"/>
          <w:sz w:val="36"/>
          <w:szCs w:val="36"/>
          <w:highlight w:val="none"/>
        </w:rPr>
      </w:pPr>
    </w:p>
    <w:p w14:paraId="5C4F3C22">
      <w:pPr>
        <w:pStyle w:val="7"/>
        <w:widowControl w:val="0"/>
        <w:spacing w:before="0" w:beforeAutospacing="0" w:after="0" w:afterAutospacing="0"/>
        <w:ind w:firstLine="643"/>
        <w:jc w:val="center"/>
        <w:rPr>
          <w:rFonts w:hint="eastAsia" w:eastAsia="黑体" w:cs="Arial"/>
          <w:b/>
          <w:bCs/>
          <w:color w:val="auto"/>
          <w:sz w:val="36"/>
          <w:szCs w:val="36"/>
          <w:highlight w:val="none"/>
        </w:rPr>
      </w:pPr>
    </w:p>
    <w:p w14:paraId="28C393AA">
      <w:pPr>
        <w:pStyle w:val="7"/>
        <w:widowControl w:val="0"/>
        <w:spacing w:before="0" w:beforeAutospacing="0" w:after="0" w:afterAutospacing="0"/>
        <w:ind w:firstLine="643"/>
        <w:jc w:val="center"/>
        <w:rPr>
          <w:rFonts w:hint="eastAsia" w:eastAsia="黑体" w:cs="Arial"/>
          <w:b/>
          <w:bCs/>
          <w:color w:val="auto"/>
          <w:sz w:val="36"/>
          <w:szCs w:val="36"/>
          <w:highlight w:val="none"/>
        </w:rPr>
      </w:pPr>
    </w:p>
    <w:p w14:paraId="7CB380A8">
      <w:pPr>
        <w:pStyle w:val="7"/>
        <w:widowControl w:val="0"/>
        <w:spacing w:before="0" w:beforeAutospacing="0" w:after="0" w:afterAutospacing="0"/>
        <w:ind w:firstLine="643"/>
        <w:jc w:val="center"/>
        <w:rPr>
          <w:rFonts w:hint="eastAsia" w:eastAsia="黑体" w:cs="Arial"/>
          <w:b/>
          <w:bCs/>
          <w:color w:val="auto"/>
          <w:sz w:val="36"/>
          <w:szCs w:val="36"/>
          <w:highlight w:val="none"/>
        </w:rPr>
      </w:pPr>
    </w:p>
    <w:p w14:paraId="5AA4EE41">
      <w:pPr>
        <w:pStyle w:val="7"/>
        <w:widowControl w:val="0"/>
        <w:spacing w:before="0" w:beforeAutospacing="0" w:after="0" w:afterAutospacing="0"/>
        <w:ind w:firstLine="643"/>
        <w:jc w:val="center"/>
        <w:rPr>
          <w:rFonts w:hint="eastAsia" w:eastAsia="黑体" w:cs="Arial"/>
          <w:b/>
          <w:bCs/>
          <w:color w:val="auto"/>
          <w:sz w:val="36"/>
          <w:szCs w:val="36"/>
          <w:highlight w:val="none"/>
        </w:rPr>
      </w:pPr>
    </w:p>
    <w:p w14:paraId="14F8AF1D">
      <w:pPr>
        <w:pStyle w:val="7"/>
        <w:widowControl w:val="0"/>
        <w:spacing w:before="0" w:beforeAutospacing="0" w:after="0" w:afterAutospacing="0"/>
        <w:ind w:firstLine="643"/>
        <w:jc w:val="center"/>
        <w:rPr>
          <w:rFonts w:hint="eastAsia" w:eastAsia="黑体" w:cs="Arial"/>
          <w:b/>
          <w:bCs/>
          <w:color w:val="auto"/>
          <w:sz w:val="36"/>
          <w:szCs w:val="36"/>
          <w:highlight w:val="none"/>
        </w:rPr>
      </w:pPr>
    </w:p>
    <w:p w14:paraId="084E7DF0">
      <w:pPr>
        <w:pStyle w:val="7"/>
        <w:widowControl w:val="0"/>
        <w:spacing w:before="0" w:beforeAutospacing="0" w:after="0" w:afterAutospacing="0"/>
        <w:ind w:firstLine="643"/>
        <w:jc w:val="center"/>
        <w:rPr>
          <w:rFonts w:hint="eastAsia" w:eastAsia="黑体" w:cs="Arial"/>
          <w:b/>
          <w:bCs/>
          <w:color w:val="auto"/>
          <w:sz w:val="36"/>
          <w:szCs w:val="36"/>
          <w:highlight w:val="none"/>
        </w:rPr>
      </w:pPr>
    </w:p>
    <w:p w14:paraId="2688C65C">
      <w:pPr>
        <w:pStyle w:val="7"/>
        <w:widowControl w:val="0"/>
        <w:spacing w:before="0" w:beforeAutospacing="0" w:after="0" w:afterAutospacing="0"/>
        <w:jc w:val="both"/>
        <w:rPr>
          <w:rFonts w:hint="eastAsia" w:eastAsia="黑体" w:cs="Arial"/>
          <w:b/>
          <w:bCs/>
          <w:color w:val="auto"/>
          <w:sz w:val="36"/>
          <w:szCs w:val="36"/>
          <w:highlight w:val="none"/>
        </w:rPr>
      </w:pPr>
    </w:p>
    <w:p w14:paraId="6322100E">
      <w:pPr>
        <w:pStyle w:val="7"/>
        <w:widowControl w:val="0"/>
        <w:spacing w:before="0" w:beforeAutospacing="0" w:after="0" w:afterAutospacing="0"/>
        <w:ind w:firstLine="643"/>
        <w:jc w:val="center"/>
        <w:rPr>
          <w:rFonts w:hint="eastAsia" w:eastAsia="黑体" w:cs="Arial"/>
          <w:b/>
          <w:bCs/>
          <w:color w:val="auto"/>
          <w:sz w:val="36"/>
          <w:szCs w:val="36"/>
          <w:highlight w:val="none"/>
        </w:rPr>
      </w:pPr>
      <w:r>
        <w:rPr>
          <w:rFonts w:hint="eastAsia" w:eastAsia="黑体" w:cs="Arial"/>
          <w:b/>
          <w:bCs/>
          <w:color w:val="auto"/>
          <w:sz w:val="36"/>
          <w:szCs w:val="36"/>
          <w:highlight w:val="none"/>
        </w:rPr>
        <w:t>（十</w:t>
      </w:r>
      <w:r>
        <w:rPr>
          <w:rFonts w:hint="eastAsia" w:eastAsia="黑体" w:cs="Arial"/>
          <w:b/>
          <w:bCs/>
          <w:color w:val="auto"/>
          <w:sz w:val="36"/>
          <w:szCs w:val="36"/>
          <w:highlight w:val="none"/>
          <w:lang w:val="en-US" w:eastAsia="zh-CN"/>
        </w:rPr>
        <w:t>四</w:t>
      </w:r>
      <w:r>
        <w:rPr>
          <w:rFonts w:hint="eastAsia" w:eastAsia="黑体" w:cs="Arial"/>
          <w:b/>
          <w:bCs/>
          <w:color w:val="auto"/>
          <w:sz w:val="36"/>
          <w:szCs w:val="36"/>
          <w:highlight w:val="none"/>
        </w:rPr>
        <w:t>）商务要求响应及偏离表</w:t>
      </w:r>
      <w:r>
        <w:rPr>
          <w:rFonts w:hint="eastAsia" w:ascii="宋体" w:hAnsi="宋体" w:eastAsia="宋体" w:cs="黑体"/>
          <w:b/>
          <w:sz w:val="32"/>
          <w:szCs w:val="32"/>
          <w:highlight w:val="none"/>
        </w:rPr>
        <w:t>（分包号：**）</w:t>
      </w:r>
    </w:p>
    <w:tbl>
      <w:tblPr>
        <w:tblStyle w:val="9"/>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3026"/>
        <w:gridCol w:w="2608"/>
        <w:gridCol w:w="1247"/>
        <w:gridCol w:w="2328"/>
      </w:tblGrid>
      <w:tr w14:paraId="2DA50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trPr>
        <w:tc>
          <w:tcPr>
            <w:tcW w:w="538" w:type="dxa"/>
            <w:noWrap w:val="0"/>
            <w:vAlign w:val="center"/>
          </w:tcPr>
          <w:p w14:paraId="049F80BB">
            <w:pPr>
              <w:widowControl w:val="0"/>
              <w:spacing w:beforeAutospacing="0" w:afterAutospacing="0"/>
              <w:jc w:val="center"/>
              <w:rPr>
                <w:rFonts w:hint="default" w:ascii="宋体" w:hAnsi="宋体" w:eastAsia="宋体" w:cs="Times New Roman"/>
                <w:sz w:val="24"/>
                <w:szCs w:val="24"/>
                <w:highlight w:val="none"/>
              </w:rPr>
            </w:pPr>
            <w:bookmarkStart w:id="181" w:name="_Hlt26671372"/>
            <w:bookmarkStart w:id="182" w:name="_Hlt26609391"/>
            <w:bookmarkStart w:id="183" w:name="_Hlt24879081"/>
            <w:bookmarkStart w:id="184" w:name="_Hlt26955064"/>
            <w:bookmarkStart w:id="185" w:name="_Hlt26782999"/>
            <w:bookmarkStart w:id="186" w:name="_Hlt26580838"/>
            <w:bookmarkStart w:id="187" w:name="_Hlt26671343"/>
            <w:bookmarkStart w:id="188" w:name="_Hlt26955056"/>
            <w:r>
              <w:rPr>
                <w:rFonts w:hint="eastAsia" w:ascii="宋体" w:hAnsi="宋体" w:eastAsia="宋体" w:cs="宋体"/>
                <w:sz w:val="24"/>
                <w:szCs w:val="24"/>
                <w:highlight w:val="none"/>
              </w:rPr>
              <w:t>序号</w:t>
            </w:r>
            <w:bookmarkEnd w:id="181"/>
            <w:bookmarkEnd w:id="182"/>
            <w:bookmarkEnd w:id="183"/>
            <w:bookmarkEnd w:id="184"/>
            <w:bookmarkEnd w:id="185"/>
            <w:bookmarkEnd w:id="186"/>
            <w:bookmarkEnd w:id="187"/>
            <w:bookmarkEnd w:id="188"/>
          </w:p>
        </w:tc>
        <w:tc>
          <w:tcPr>
            <w:tcW w:w="3026" w:type="dxa"/>
            <w:noWrap w:val="0"/>
            <w:vAlign w:val="center"/>
          </w:tcPr>
          <w:p w14:paraId="1E991428">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招标文件要求</w:t>
            </w:r>
          </w:p>
        </w:tc>
        <w:tc>
          <w:tcPr>
            <w:tcW w:w="2608" w:type="dxa"/>
            <w:noWrap w:val="0"/>
            <w:vAlign w:val="center"/>
          </w:tcPr>
          <w:p w14:paraId="02962330">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投标响应情况</w:t>
            </w:r>
          </w:p>
        </w:tc>
        <w:tc>
          <w:tcPr>
            <w:tcW w:w="1247" w:type="dxa"/>
            <w:noWrap w:val="0"/>
            <w:vAlign w:val="center"/>
          </w:tcPr>
          <w:p w14:paraId="2866C4F8">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超出、符合或偏离</w:t>
            </w:r>
          </w:p>
        </w:tc>
        <w:tc>
          <w:tcPr>
            <w:tcW w:w="2328" w:type="dxa"/>
            <w:noWrap w:val="0"/>
            <w:vAlign w:val="center"/>
          </w:tcPr>
          <w:p w14:paraId="4B1EC92D">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证明</w:t>
            </w:r>
          </w:p>
          <w:p w14:paraId="682E5CC5">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材料</w:t>
            </w:r>
          </w:p>
        </w:tc>
      </w:tr>
      <w:tr w14:paraId="0346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63972AC5">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4685FC6A">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1009E228">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60FCEB8E">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61F4A1EF">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3FD0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78DFBA30">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5AF9F2FA">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5A6E947A">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307B35DD">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5DA980AC">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369C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7B23562E">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2FE915DC">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18C2847E">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208BF94A">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7B6D9196">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06732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0256F9E5">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12F6ACCD">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78740EDE">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5AFE9520">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400D378F">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50EC7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65E59213">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0768A3BC">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4AF52590">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25B1259C">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676EEF0B">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40D68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1C7A01C5">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34818A82">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044C2E37">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6B406C14">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308C079F">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40F2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38DCC25E">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246D4B68">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608" w:type="dxa"/>
            <w:noWrap w:val="0"/>
            <w:vAlign w:val="center"/>
          </w:tcPr>
          <w:p w14:paraId="7B3B35C0">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17D2A668">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679609AF">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r w14:paraId="1B66D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3C638D89">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3026" w:type="dxa"/>
            <w:noWrap w:val="0"/>
            <w:vAlign w:val="center"/>
          </w:tcPr>
          <w:p w14:paraId="18BBE533">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w:t>
            </w:r>
          </w:p>
        </w:tc>
        <w:tc>
          <w:tcPr>
            <w:tcW w:w="2608" w:type="dxa"/>
            <w:noWrap w:val="0"/>
            <w:vAlign w:val="center"/>
          </w:tcPr>
          <w:p w14:paraId="5112AA1C">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1247" w:type="dxa"/>
            <w:noWrap w:val="0"/>
            <w:vAlign w:val="center"/>
          </w:tcPr>
          <w:p w14:paraId="08A8DAB7">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c>
          <w:tcPr>
            <w:tcW w:w="2328" w:type="dxa"/>
            <w:noWrap w:val="0"/>
            <w:vAlign w:val="center"/>
          </w:tcPr>
          <w:p w14:paraId="7617A09E">
            <w:pPr>
              <w:widowControl w:val="0"/>
              <w:spacing w:beforeAutospacing="0" w:afterAutospacing="0"/>
              <w:jc w:val="center"/>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w:t>
            </w:r>
          </w:p>
        </w:tc>
      </w:tr>
    </w:tbl>
    <w:p w14:paraId="19C7D23C">
      <w:pPr>
        <w:rPr>
          <w:rFonts w:hint="eastAsia" w:ascii="宋体" w:hAnsi="宋体" w:cs="Times New Roman"/>
          <w:color w:val="auto"/>
          <w:sz w:val="24"/>
          <w:szCs w:val="24"/>
          <w:highlight w:val="none"/>
        </w:rPr>
      </w:pPr>
    </w:p>
    <w:p w14:paraId="1F58E55D">
      <w:pPr>
        <w:widowControl/>
        <w:spacing w:before="100" w:beforeAutospacing="1" w:after="100" w:afterAutospacing="1"/>
        <w:rPr>
          <w:rFonts w:ascii="等线" w:hAnsi="等线" w:eastAsia="等线" w:cs="Times New Roman"/>
          <w:sz w:val="24"/>
          <w:szCs w:val="24"/>
          <w:highlight w:val="none"/>
        </w:rPr>
      </w:pPr>
      <w:r>
        <w:rPr>
          <w:rFonts w:hint="eastAsia" w:ascii="宋体" w:hAnsi="宋体" w:eastAsia="宋体" w:cs="宋体"/>
          <w:sz w:val="24"/>
          <w:szCs w:val="24"/>
          <w:highlight w:val="none"/>
        </w:rPr>
        <w:t>注：如投标人将此表空白，视为投标人无任何偏离。如有偏离，请在此表中应答为“正/负偏离”并说明偏离情况。</w:t>
      </w:r>
    </w:p>
    <w:p w14:paraId="14020AB9">
      <w:pPr>
        <w:pStyle w:val="7"/>
        <w:spacing w:beforeAutospacing="0" w:afterAutospacing="0"/>
        <w:jc w:val="center"/>
        <w:rPr>
          <w:rFonts w:hint="eastAsia" w:ascii="黑体" w:eastAsia="黑体" w:cs="黑体"/>
          <w:b/>
          <w:color w:val="auto"/>
          <w:sz w:val="32"/>
          <w:szCs w:val="32"/>
          <w:highlight w:val="none"/>
        </w:rPr>
      </w:pPr>
    </w:p>
    <w:p w14:paraId="755AA422">
      <w:pPr>
        <w:pStyle w:val="7"/>
        <w:spacing w:beforeAutospacing="0" w:afterAutospacing="0"/>
        <w:jc w:val="center"/>
        <w:rPr>
          <w:rFonts w:hint="eastAsia" w:ascii="黑体" w:eastAsia="黑体" w:cs="黑体"/>
          <w:b/>
          <w:color w:val="auto"/>
          <w:sz w:val="32"/>
          <w:szCs w:val="32"/>
          <w:highlight w:val="none"/>
        </w:rPr>
      </w:pPr>
    </w:p>
    <w:p w14:paraId="3F91C728">
      <w:pPr>
        <w:pStyle w:val="7"/>
        <w:spacing w:beforeAutospacing="0" w:afterAutospacing="0"/>
        <w:jc w:val="center"/>
        <w:rPr>
          <w:rFonts w:hint="eastAsia" w:ascii="黑体" w:eastAsia="黑体" w:cs="黑体"/>
          <w:b/>
          <w:color w:val="auto"/>
          <w:sz w:val="32"/>
          <w:szCs w:val="32"/>
          <w:highlight w:val="none"/>
        </w:rPr>
      </w:pPr>
    </w:p>
    <w:p w14:paraId="71958F88">
      <w:pPr>
        <w:pStyle w:val="7"/>
        <w:spacing w:beforeAutospacing="0" w:afterAutospacing="0"/>
        <w:jc w:val="center"/>
        <w:rPr>
          <w:rFonts w:hint="eastAsia" w:ascii="黑体" w:eastAsia="黑体" w:cs="黑体"/>
          <w:b/>
          <w:color w:val="auto"/>
          <w:sz w:val="32"/>
          <w:szCs w:val="32"/>
          <w:highlight w:val="none"/>
        </w:rPr>
      </w:pPr>
    </w:p>
    <w:p w14:paraId="08803D25">
      <w:pPr>
        <w:pStyle w:val="7"/>
        <w:spacing w:beforeAutospacing="0" w:afterAutospacing="0"/>
        <w:jc w:val="center"/>
        <w:rPr>
          <w:rFonts w:hint="eastAsia" w:ascii="黑体" w:eastAsia="黑体" w:cs="黑体"/>
          <w:b/>
          <w:color w:val="auto"/>
          <w:sz w:val="32"/>
          <w:szCs w:val="32"/>
          <w:highlight w:val="none"/>
        </w:rPr>
      </w:pPr>
    </w:p>
    <w:p w14:paraId="1E5240B7">
      <w:pPr>
        <w:pStyle w:val="7"/>
        <w:spacing w:beforeAutospacing="0" w:afterAutospacing="0"/>
        <w:jc w:val="center"/>
        <w:rPr>
          <w:rFonts w:hint="eastAsia" w:ascii="黑体" w:eastAsia="黑体" w:cs="黑体"/>
          <w:b/>
          <w:color w:val="auto"/>
          <w:sz w:val="32"/>
          <w:szCs w:val="32"/>
          <w:highlight w:val="none"/>
        </w:rPr>
      </w:pPr>
    </w:p>
    <w:p w14:paraId="682CB898">
      <w:pPr>
        <w:pStyle w:val="7"/>
        <w:spacing w:beforeAutospacing="0" w:afterAutospacing="0"/>
        <w:jc w:val="center"/>
        <w:rPr>
          <w:rFonts w:hint="eastAsia" w:ascii="黑体" w:eastAsia="黑体" w:cs="黑体"/>
          <w:b/>
          <w:color w:val="auto"/>
          <w:sz w:val="32"/>
          <w:szCs w:val="32"/>
          <w:highlight w:val="none"/>
        </w:rPr>
      </w:pPr>
    </w:p>
    <w:p w14:paraId="78BE243D">
      <w:pPr>
        <w:pStyle w:val="7"/>
        <w:spacing w:beforeAutospacing="0" w:afterAutospacing="0"/>
        <w:jc w:val="center"/>
        <w:rPr>
          <w:rFonts w:hint="eastAsia" w:ascii="黑体" w:eastAsia="黑体" w:cs="黑体"/>
          <w:b/>
          <w:color w:val="auto"/>
          <w:sz w:val="32"/>
          <w:szCs w:val="32"/>
          <w:highlight w:val="none"/>
        </w:rPr>
      </w:pPr>
    </w:p>
    <w:p w14:paraId="5A164FEA">
      <w:pPr>
        <w:pStyle w:val="7"/>
        <w:spacing w:beforeAutospacing="0" w:afterAutospacing="0"/>
        <w:jc w:val="center"/>
        <w:rPr>
          <w:rFonts w:hint="eastAsia" w:ascii="黑体" w:eastAsia="黑体" w:cs="黑体"/>
          <w:b/>
          <w:color w:val="auto"/>
          <w:sz w:val="32"/>
          <w:szCs w:val="32"/>
          <w:highlight w:val="none"/>
        </w:rPr>
      </w:pPr>
    </w:p>
    <w:p w14:paraId="64B0871A">
      <w:pPr>
        <w:pStyle w:val="7"/>
        <w:spacing w:beforeAutospacing="0" w:afterAutospacing="0"/>
        <w:jc w:val="center"/>
        <w:rPr>
          <w:rFonts w:hint="eastAsia" w:ascii="黑体" w:eastAsia="黑体" w:cs="黑体"/>
          <w:b/>
          <w:color w:val="auto"/>
          <w:sz w:val="32"/>
          <w:szCs w:val="32"/>
          <w:highlight w:val="none"/>
        </w:rPr>
      </w:pPr>
    </w:p>
    <w:p w14:paraId="57D67132">
      <w:pPr>
        <w:pStyle w:val="7"/>
        <w:spacing w:beforeAutospacing="0" w:afterAutospacing="0"/>
        <w:jc w:val="center"/>
        <w:rPr>
          <w:rFonts w:hint="eastAsia" w:ascii="黑体" w:eastAsia="黑体" w:cs="黑体"/>
          <w:b/>
          <w:color w:val="auto"/>
          <w:sz w:val="32"/>
          <w:szCs w:val="32"/>
          <w:highlight w:val="none"/>
        </w:rPr>
      </w:pPr>
    </w:p>
    <w:p w14:paraId="3BF6FEF5">
      <w:pPr>
        <w:pStyle w:val="7"/>
        <w:spacing w:beforeAutospacing="0" w:afterAutospacing="0"/>
        <w:jc w:val="center"/>
        <w:rPr>
          <w:rFonts w:hint="eastAsia" w:ascii="黑体" w:eastAsia="黑体" w:cs="黑体"/>
          <w:b/>
          <w:color w:val="auto"/>
          <w:sz w:val="32"/>
          <w:szCs w:val="32"/>
          <w:highlight w:val="none"/>
        </w:rPr>
      </w:pPr>
    </w:p>
    <w:p w14:paraId="7CB77229">
      <w:pPr>
        <w:pStyle w:val="7"/>
        <w:spacing w:beforeAutospacing="0" w:afterAutospacing="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t>（十</w:t>
      </w:r>
      <w:r>
        <w:rPr>
          <w:rFonts w:hint="eastAsia" w:ascii="黑体" w:eastAsia="黑体" w:cs="黑体"/>
          <w:b/>
          <w:color w:val="auto"/>
          <w:sz w:val="32"/>
          <w:szCs w:val="32"/>
          <w:highlight w:val="none"/>
          <w:lang w:val="en-US" w:eastAsia="zh-CN"/>
        </w:rPr>
        <w:t>五</w:t>
      </w:r>
      <w:r>
        <w:rPr>
          <w:rFonts w:hint="eastAsia" w:ascii="黑体" w:eastAsia="黑体" w:cs="黑体"/>
          <w:b/>
          <w:color w:val="auto"/>
          <w:sz w:val="32"/>
          <w:szCs w:val="32"/>
          <w:highlight w:val="none"/>
        </w:rPr>
        <w:t>）开标一览表</w:t>
      </w:r>
    </w:p>
    <w:p w14:paraId="7D16AC37">
      <w:pPr>
        <w:spacing w:line="480" w:lineRule="exact"/>
        <w:jc w:val="left"/>
        <w:rPr>
          <w:rFonts w:hint="eastAsia" w:ascii="宋体" w:hAnsi="宋体" w:cs="Segoe UI"/>
          <w:color w:val="auto"/>
          <w:sz w:val="27"/>
          <w:szCs w:val="27"/>
          <w:highlight w:val="none"/>
        </w:rPr>
      </w:pPr>
    </w:p>
    <w:p w14:paraId="15CBAFD1">
      <w:pPr>
        <w:widowControl w:val="0"/>
        <w:spacing w:beforeAutospacing="0" w:afterAutospacing="0"/>
        <w:jc w:val="both"/>
        <w:rPr>
          <w:rFonts w:hint="default" w:ascii="宋体" w:hAnsi="宋体" w:eastAsia="宋体" w:cs="Times New Roman"/>
          <w:sz w:val="24"/>
          <w:szCs w:val="24"/>
          <w:highlight w:val="none"/>
        </w:rPr>
      </w:pPr>
      <w:r>
        <w:rPr>
          <w:rFonts w:hint="eastAsia" w:ascii="宋体" w:hAnsi="宋体" w:eastAsia="宋体" w:cs="宋体"/>
          <w:sz w:val="24"/>
          <w:szCs w:val="24"/>
          <w:highlight w:val="none"/>
        </w:rPr>
        <w:t>投标人全称（加盖CA电子签章）：</w:t>
      </w:r>
    </w:p>
    <w:p w14:paraId="7A8E3F74">
      <w:pPr>
        <w:widowControl w:val="0"/>
        <w:spacing w:beforeAutospacing="0" w:afterAutospacing="0"/>
        <w:jc w:val="both"/>
        <w:rPr>
          <w:rFonts w:hint="default" w:ascii="宋体" w:hAnsi="宋体" w:eastAsia="宋体" w:cs="Times New Roman"/>
          <w:sz w:val="24"/>
          <w:szCs w:val="24"/>
          <w:highlight w:val="none"/>
        </w:rPr>
      </w:pPr>
      <w:r>
        <w:rPr>
          <w:rFonts w:hint="eastAsia" w:ascii="宋体" w:hAnsi="宋体" w:eastAsia="宋体" w:cs="宋体"/>
          <w:sz w:val="24"/>
          <w:szCs w:val="24"/>
          <w:highlight w:val="none"/>
        </w:rPr>
        <w:t>项目名称：</w:t>
      </w:r>
    </w:p>
    <w:p w14:paraId="24D4018E">
      <w:pPr>
        <w:widowControl w:val="0"/>
        <w:spacing w:beforeAutospacing="0" w:afterAutospacing="0"/>
        <w:jc w:val="both"/>
        <w:rPr>
          <w:rFonts w:hint="default" w:ascii="宋体" w:hAnsi="宋体" w:eastAsia="宋体" w:cs="宋体"/>
          <w:sz w:val="24"/>
          <w:szCs w:val="24"/>
          <w:highlight w:val="none"/>
        </w:rPr>
      </w:pPr>
      <w:r>
        <w:rPr>
          <w:rFonts w:hint="eastAsia" w:ascii="宋体" w:hAnsi="宋体" w:eastAsia="宋体" w:cs="宋体"/>
          <w:sz w:val="24"/>
          <w:szCs w:val="24"/>
          <w:highlight w:val="none"/>
        </w:rPr>
        <w:t>项目编号：</w:t>
      </w:r>
    </w:p>
    <w:tbl>
      <w:tblPr>
        <w:tblStyle w:val="9"/>
        <w:tblW w:w="9639" w:type="dxa"/>
        <w:tblCellSpacing w:w="0" w:type="dxa"/>
        <w:tblInd w:w="118" w:type="dxa"/>
        <w:tblLayout w:type="fixed"/>
        <w:tblCellMar>
          <w:top w:w="0" w:type="dxa"/>
          <w:left w:w="108" w:type="dxa"/>
          <w:bottom w:w="0" w:type="dxa"/>
          <w:right w:w="108" w:type="dxa"/>
        </w:tblCellMar>
      </w:tblPr>
      <w:tblGrid>
        <w:gridCol w:w="9639"/>
      </w:tblGrid>
      <w:tr w14:paraId="7884FDD6">
        <w:tblPrEx>
          <w:tblCellMar>
            <w:top w:w="0" w:type="dxa"/>
            <w:left w:w="108" w:type="dxa"/>
            <w:bottom w:w="0" w:type="dxa"/>
            <w:right w:w="108" w:type="dxa"/>
          </w:tblCellMar>
        </w:tblPrEx>
        <w:trPr>
          <w:trHeight w:val="725" w:hRule="atLeast"/>
          <w:tblCellSpacing w:w="0" w:type="dxa"/>
        </w:trPr>
        <w:tc>
          <w:tcPr>
            <w:tcW w:w="9639" w:type="dxa"/>
            <w:tcBorders>
              <w:top w:val="single" w:color="000000" w:sz="4" w:space="0"/>
              <w:left w:val="single" w:color="000000" w:sz="4" w:space="0"/>
              <w:bottom w:val="single" w:color="000000" w:sz="4" w:space="0"/>
              <w:right w:val="single" w:color="000000" w:sz="4" w:space="0"/>
            </w:tcBorders>
            <w:noWrap w:val="0"/>
            <w:vAlign w:val="center"/>
          </w:tcPr>
          <w:p w14:paraId="5D8E26F3">
            <w:pPr>
              <w:widowControl w:val="0"/>
              <w:spacing w:beforeAutospacing="0" w:afterAutospacing="0"/>
              <w:jc w:val="center"/>
              <w:rPr>
                <w:rFonts w:hint="default" w:ascii="宋体" w:hAnsi="宋体" w:eastAsia="宋体" w:cs="Times New Roman"/>
                <w:sz w:val="24"/>
                <w:szCs w:val="24"/>
                <w:highlight w:val="none"/>
              </w:rPr>
            </w:pPr>
            <w:r>
              <w:rPr>
                <w:rFonts w:hint="eastAsia" w:ascii="宋体" w:hAnsi="宋体" w:eastAsia="宋体" w:cs="宋体"/>
                <w:sz w:val="24"/>
                <w:szCs w:val="24"/>
                <w:highlight w:val="none"/>
              </w:rPr>
              <w:t>投标总价</w:t>
            </w:r>
          </w:p>
        </w:tc>
      </w:tr>
      <w:tr w14:paraId="7A41AC25">
        <w:tblPrEx>
          <w:tblCellMar>
            <w:top w:w="0" w:type="dxa"/>
            <w:left w:w="108" w:type="dxa"/>
            <w:bottom w:w="0" w:type="dxa"/>
            <w:right w:w="108" w:type="dxa"/>
          </w:tblCellMar>
        </w:tblPrEx>
        <w:trPr>
          <w:trHeight w:val="612" w:hRule="atLeast"/>
          <w:tblCellSpacing w:w="0" w:type="dxa"/>
        </w:trPr>
        <w:tc>
          <w:tcPr>
            <w:tcW w:w="9639" w:type="dxa"/>
            <w:tcBorders>
              <w:top w:val="single" w:color="000000" w:sz="4" w:space="0"/>
              <w:left w:val="single" w:color="000000" w:sz="4" w:space="0"/>
              <w:bottom w:val="single" w:color="000000" w:sz="4" w:space="0"/>
              <w:right w:val="single" w:color="000000" w:sz="4" w:space="0"/>
            </w:tcBorders>
            <w:noWrap w:val="0"/>
            <w:vAlign w:val="center"/>
          </w:tcPr>
          <w:p w14:paraId="794E40B0">
            <w:pPr>
              <w:widowControl w:val="0"/>
              <w:spacing w:beforeAutospacing="0" w:afterAutospacing="0" w:line="0" w:lineRule="atLeast"/>
              <w:jc w:val="left"/>
              <w:rPr>
                <w:rFonts w:hint="default" w:ascii="宋体" w:hAnsi="宋体" w:eastAsia="宋体" w:cs="宋体"/>
                <w:sz w:val="24"/>
                <w:szCs w:val="24"/>
                <w:highlight w:val="none"/>
              </w:rPr>
            </w:pPr>
            <w:r>
              <w:rPr>
                <w:rFonts w:hint="eastAsia" w:ascii="宋体" w:hAnsi="宋体" w:eastAsia="宋体" w:cs="宋体"/>
                <w:sz w:val="24"/>
                <w:szCs w:val="24"/>
                <w:highlight w:val="none"/>
              </w:rPr>
              <w:t>大写：</w:t>
            </w:r>
          </w:p>
        </w:tc>
      </w:tr>
      <w:tr w14:paraId="37D2093E">
        <w:tblPrEx>
          <w:tblCellMar>
            <w:top w:w="0" w:type="dxa"/>
            <w:left w:w="108" w:type="dxa"/>
            <w:bottom w:w="0" w:type="dxa"/>
            <w:right w:w="108" w:type="dxa"/>
          </w:tblCellMar>
        </w:tblPrEx>
        <w:trPr>
          <w:trHeight w:val="612" w:hRule="atLeast"/>
          <w:tblCellSpacing w:w="0" w:type="dxa"/>
        </w:trPr>
        <w:tc>
          <w:tcPr>
            <w:tcW w:w="9639" w:type="dxa"/>
            <w:tcBorders>
              <w:top w:val="single" w:color="000000" w:sz="4" w:space="0"/>
              <w:left w:val="single" w:color="000000" w:sz="4" w:space="0"/>
              <w:bottom w:val="single" w:color="000000" w:sz="4" w:space="0"/>
              <w:right w:val="single" w:color="000000" w:sz="4" w:space="0"/>
            </w:tcBorders>
            <w:noWrap w:val="0"/>
            <w:vAlign w:val="center"/>
          </w:tcPr>
          <w:p w14:paraId="323C4D26">
            <w:pPr>
              <w:widowControl w:val="0"/>
              <w:spacing w:beforeAutospacing="0" w:afterAutospacing="0" w:line="0" w:lineRule="atLeast"/>
              <w:jc w:val="left"/>
              <w:rPr>
                <w:rFonts w:hint="default" w:ascii="宋体" w:hAnsi="宋体" w:eastAsia="宋体" w:cs="Times New Roman"/>
                <w:sz w:val="24"/>
                <w:szCs w:val="24"/>
                <w:highlight w:val="none"/>
              </w:rPr>
            </w:pPr>
            <w:r>
              <w:rPr>
                <w:rFonts w:hint="eastAsia" w:ascii="宋体" w:hAnsi="宋体" w:eastAsia="宋体" w:cs="宋体"/>
                <w:sz w:val="24"/>
                <w:szCs w:val="24"/>
                <w:highlight w:val="none"/>
              </w:rPr>
              <w:t>小写：                         （人民币：元）</w:t>
            </w:r>
          </w:p>
        </w:tc>
      </w:tr>
    </w:tbl>
    <w:p w14:paraId="3644E470">
      <w:pPr>
        <w:widowControl/>
        <w:spacing w:before="100" w:beforeAutospacing="1" w:after="100" w:afterAutospacing="1"/>
        <w:jc w:val="left"/>
        <w:rPr>
          <w:rFonts w:hint="eastAsia" w:ascii="宋体" w:hAnsi="宋体" w:cs="Segoe UI"/>
          <w:color w:val="auto"/>
          <w:sz w:val="27"/>
          <w:szCs w:val="27"/>
          <w:highlight w:val="none"/>
        </w:rPr>
      </w:pPr>
    </w:p>
    <w:p w14:paraId="1F144C6C">
      <w:pPr>
        <w:spacing w:before="50" w:after="50"/>
        <w:jc w:val="both"/>
        <w:rPr>
          <w:rFonts w:hint="eastAsia" w:ascii="黑体" w:hAnsi="黑体" w:eastAsia="黑体" w:cs="黑体"/>
          <w:b/>
          <w:color w:val="auto"/>
          <w:sz w:val="36"/>
          <w:szCs w:val="36"/>
          <w:highlight w:val="none"/>
        </w:rPr>
        <w:sectPr>
          <w:pgSz w:w="11906" w:h="16838"/>
          <w:pgMar w:top="1440" w:right="1587" w:bottom="1440" w:left="1587" w:header="851" w:footer="907" w:gutter="0"/>
          <w:cols w:space="720" w:num="1"/>
          <w:docGrid w:linePitch="360" w:charSpace="0"/>
        </w:sectPr>
      </w:pPr>
      <w:r>
        <w:rPr>
          <w:rFonts w:hint="eastAsia" w:ascii="宋体" w:hAnsi="宋体" w:eastAsia="宋体" w:cs="宋体"/>
          <w:highlight w:val="none"/>
        </w:rPr>
        <w:t xml:space="preserve">日期：  </w:t>
      </w: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6FDD19A4">
      <w:pPr>
        <w:spacing w:before="50" w:after="5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六</w:t>
      </w:r>
      <w:r>
        <w:rPr>
          <w:rFonts w:hint="eastAsia" w:ascii="黑体" w:hAnsi="黑体" w:eastAsia="黑体" w:cs="黑体"/>
          <w:b/>
          <w:color w:val="auto"/>
          <w:sz w:val="36"/>
          <w:szCs w:val="36"/>
          <w:highlight w:val="none"/>
        </w:rPr>
        <w:t>）技术方案、服务承诺、培训承诺等</w:t>
      </w:r>
    </w:p>
    <w:p w14:paraId="74399777">
      <w:pPr>
        <w:pStyle w:val="7"/>
        <w:spacing w:beforeAutospacing="0" w:afterAutospacing="0"/>
        <w:jc w:val="center"/>
        <w:rPr>
          <w:rFonts w:hint="eastAsia" w:ascii="黑体" w:eastAsia="黑体" w:cs="黑体"/>
          <w:b/>
          <w:color w:val="auto"/>
          <w:sz w:val="32"/>
          <w:szCs w:val="32"/>
          <w:highlight w:val="none"/>
        </w:rPr>
        <w:sectPr>
          <w:pgSz w:w="11906" w:h="16838"/>
          <w:pgMar w:top="1440" w:right="1587" w:bottom="1440" w:left="1587" w:header="851" w:footer="907" w:gutter="0"/>
          <w:cols w:space="720" w:num="1"/>
          <w:docGrid w:linePitch="360" w:charSpace="0"/>
        </w:sectPr>
      </w:pPr>
    </w:p>
    <w:p w14:paraId="22EF74C1">
      <w:pPr>
        <w:spacing w:before="50" w:after="50"/>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（十</w:t>
      </w:r>
      <w:r>
        <w:rPr>
          <w:rFonts w:hint="eastAsia" w:ascii="黑体" w:hAnsi="黑体" w:eastAsia="黑体" w:cs="黑体"/>
          <w:b/>
          <w:color w:val="auto"/>
          <w:sz w:val="36"/>
          <w:szCs w:val="36"/>
          <w:highlight w:val="none"/>
          <w:lang w:val="en-US" w:eastAsia="zh-CN"/>
        </w:rPr>
        <w:t>七</w:t>
      </w:r>
      <w:r>
        <w:rPr>
          <w:rFonts w:hint="eastAsia" w:ascii="黑体" w:hAnsi="黑体" w:eastAsia="黑体" w:cs="黑体"/>
          <w:b/>
          <w:color w:val="auto"/>
          <w:sz w:val="36"/>
          <w:szCs w:val="36"/>
          <w:highlight w:val="none"/>
        </w:rPr>
        <w:t>）盐城市政府采购事前信用承诺书</w:t>
      </w:r>
    </w:p>
    <w:p w14:paraId="35A231AD">
      <w:pPr>
        <w:spacing w:line="480" w:lineRule="exact"/>
        <w:ind w:firstLine="480"/>
        <w:rPr>
          <w:rFonts w:ascii="宋体" w:hAnsi="宋体" w:eastAsia="宋体" w:cs="仿宋"/>
          <w:sz w:val="24"/>
          <w:szCs w:val="24"/>
          <w:highlight w:val="none"/>
          <w:u w:val="single"/>
        </w:rPr>
      </w:pPr>
      <w:r>
        <w:rPr>
          <w:rFonts w:hint="eastAsia" w:ascii="宋体" w:hAnsi="宋体" w:eastAsia="宋体" w:cs="仿宋"/>
          <w:sz w:val="24"/>
          <w:szCs w:val="24"/>
          <w:highlight w:val="none"/>
        </w:rPr>
        <w:t>为营造公开、公平、公正、诚实守信的政府招标采购交易环境，树立诚信守法的供应商形象，本单位参加政府招标采购项目</w:t>
      </w:r>
      <w:r>
        <w:rPr>
          <w:rFonts w:hint="eastAsia" w:ascii="宋体" w:hAnsi="宋体" w:eastAsia="宋体" w:cs="仿宋"/>
          <w:sz w:val="24"/>
          <w:szCs w:val="24"/>
          <w:highlight w:val="none"/>
          <w:u w:val="single"/>
        </w:rPr>
        <w:t xml:space="preserve">：                                       </w:t>
      </w:r>
    </w:p>
    <w:p w14:paraId="65C7B1DD">
      <w:pPr>
        <w:spacing w:line="480" w:lineRule="exact"/>
        <w:ind w:firstLine="480"/>
        <w:rPr>
          <w:rFonts w:ascii="宋体" w:hAnsi="宋体" w:eastAsia="宋体" w:cs="仿宋"/>
          <w:sz w:val="24"/>
          <w:szCs w:val="24"/>
          <w:highlight w:val="none"/>
        </w:rPr>
      </w:pPr>
      <w:r>
        <w:rPr>
          <w:rFonts w:hint="eastAsia" w:ascii="宋体" w:hAnsi="宋体" w:eastAsia="宋体" w:cs="仿宋"/>
          <w:sz w:val="24"/>
          <w:szCs w:val="24"/>
          <w:highlight w:val="none"/>
        </w:rPr>
        <w:t>的招标采购活动，本人代表本单位作出以下承诺：</w:t>
      </w:r>
    </w:p>
    <w:p w14:paraId="6D969139">
      <w:pPr>
        <w:spacing w:line="480" w:lineRule="exact"/>
        <w:ind w:firstLine="480"/>
        <w:rPr>
          <w:rFonts w:ascii="宋体" w:hAnsi="宋体" w:eastAsia="宋体" w:cs="仿宋"/>
          <w:sz w:val="24"/>
          <w:szCs w:val="24"/>
          <w:highlight w:val="none"/>
        </w:rPr>
      </w:pPr>
      <w:r>
        <w:rPr>
          <w:rFonts w:hint="eastAsia" w:ascii="宋体" w:hAnsi="宋体" w:eastAsia="宋体" w:cs="仿宋"/>
          <w:sz w:val="24"/>
          <w:szCs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0BB6C66">
      <w:pPr>
        <w:spacing w:line="480" w:lineRule="exact"/>
        <w:ind w:firstLine="480"/>
        <w:rPr>
          <w:rFonts w:ascii="宋体" w:hAnsi="宋体" w:eastAsia="宋体" w:cs="仿宋"/>
          <w:sz w:val="24"/>
          <w:szCs w:val="24"/>
          <w:highlight w:val="none"/>
        </w:rPr>
      </w:pPr>
      <w:r>
        <w:rPr>
          <w:rFonts w:hint="eastAsia" w:ascii="宋体" w:hAnsi="宋体" w:eastAsia="宋体" w:cs="仿宋"/>
          <w:sz w:val="24"/>
          <w:szCs w:val="24"/>
          <w:highlight w:val="none"/>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2029CCC1">
      <w:pPr>
        <w:spacing w:line="480" w:lineRule="exact"/>
        <w:ind w:firstLine="480"/>
        <w:rPr>
          <w:rFonts w:ascii="宋体" w:hAnsi="宋体" w:eastAsia="宋体" w:cs="仿宋"/>
          <w:sz w:val="24"/>
          <w:szCs w:val="24"/>
          <w:highlight w:val="none"/>
        </w:rPr>
      </w:pPr>
      <w:r>
        <w:rPr>
          <w:rFonts w:hint="eastAsia" w:ascii="宋体" w:hAnsi="宋体" w:eastAsia="宋体" w:cs="仿宋"/>
          <w:sz w:val="24"/>
          <w:szCs w:val="24"/>
          <w:highlight w:val="none"/>
        </w:rPr>
        <w:t xml:space="preserve">（三）严格依照国家和省、市关于政府招标采购的法律、法规、规章、规范性文件，参加政府招标采购的投标活动；积极履行社会责任，促进廉政建设； </w:t>
      </w:r>
    </w:p>
    <w:p w14:paraId="786D9C5C">
      <w:pPr>
        <w:spacing w:line="480" w:lineRule="exact"/>
        <w:ind w:firstLine="480"/>
        <w:rPr>
          <w:rFonts w:ascii="宋体" w:hAnsi="宋体" w:eastAsia="宋体" w:cs="仿宋"/>
          <w:sz w:val="24"/>
          <w:szCs w:val="24"/>
          <w:highlight w:val="none"/>
        </w:rPr>
      </w:pPr>
      <w:r>
        <w:rPr>
          <w:rFonts w:hint="eastAsia" w:ascii="宋体" w:hAnsi="宋体" w:eastAsia="宋体" w:cs="仿宋"/>
          <w:sz w:val="24"/>
          <w:szCs w:val="24"/>
          <w:highlight w:val="none"/>
        </w:rPr>
        <w:t>   （四）严格遵守即时信息公示规定，及时维护和更新盐城市政府采购网、苏采云交易平台中与本单位相关的信息；</w:t>
      </w:r>
    </w:p>
    <w:p w14:paraId="2185BAB7">
      <w:pPr>
        <w:spacing w:line="480" w:lineRule="exact"/>
        <w:ind w:firstLine="480"/>
        <w:rPr>
          <w:rFonts w:ascii="宋体" w:hAnsi="宋体" w:eastAsia="宋体" w:cs="仿宋"/>
          <w:sz w:val="24"/>
          <w:szCs w:val="24"/>
          <w:highlight w:val="none"/>
        </w:rPr>
      </w:pPr>
      <w:r>
        <w:rPr>
          <w:rFonts w:hint="eastAsia" w:ascii="宋体" w:hAnsi="宋体" w:eastAsia="宋体" w:cs="仿宋"/>
          <w:sz w:val="24"/>
          <w:szCs w:val="24"/>
          <w:highlight w:val="none"/>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3697B1AC">
      <w:pPr>
        <w:spacing w:line="480" w:lineRule="exact"/>
        <w:ind w:firstLine="480"/>
        <w:rPr>
          <w:rFonts w:ascii="宋体" w:hAnsi="宋体" w:eastAsia="宋体" w:cs="仿宋"/>
          <w:sz w:val="24"/>
          <w:szCs w:val="24"/>
          <w:highlight w:val="none"/>
        </w:rPr>
      </w:pPr>
      <w:r>
        <w:rPr>
          <w:rFonts w:hint="eastAsia" w:ascii="宋体" w:hAnsi="宋体" w:eastAsia="宋体" w:cs="仿宋"/>
          <w:sz w:val="24"/>
          <w:szCs w:val="24"/>
          <w:highlight w:val="none"/>
        </w:rPr>
        <w:t>（六）自觉接受政府、行业组织、社会公众、新闻舆论的监督；</w:t>
      </w:r>
    </w:p>
    <w:p w14:paraId="6C774135">
      <w:pPr>
        <w:spacing w:line="480" w:lineRule="exact"/>
        <w:ind w:firstLine="480"/>
        <w:rPr>
          <w:rFonts w:ascii="宋体" w:hAnsi="宋体" w:eastAsia="宋体" w:cs="仿宋"/>
          <w:sz w:val="24"/>
          <w:szCs w:val="24"/>
          <w:highlight w:val="none"/>
        </w:rPr>
      </w:pPr>
      <w:r>
        <w:rPr>
          <w:rFonts w:hint="eastAsia" w:ascii="宋体" w:hAnsi="宋体" w:eastAsia="宋体" w:cs="仿宋"/>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01FE2C0">
      <w:pPr>
        <w:spacing w:line="480" w:lineRule="exact"/>
        <w:ind w:firstLine="480"/>
        <w:rPr>
          <w:rFonts w:ascii="宋体" w:hAnsi="宋体" w:eastAsia="宋体" w:cs="仿宋"/>
          <w:sz w:val="24"/>
          <w:szCs w:val="24"/>
          <w:highlight w:val="none"/>
        </w:rPr>
      </w:pPr>
      <w:r>
        <w:rPr>
          <w:rFonts w:hint="eastAsia" w:ascii="宋体" w:hAnsi="宋体" w:eastAsia="宋体" w:cs="仿宋"/>
          <w:sz w:val="24"/>
          <w:szCs w:val="24"/>
          <w:highlight w:val="none"/>
        </w:rPr>
        <w:t>（八）本人已认真阅读了上述承诺，并向本单位员工作了宣传教育。</w:t>
      </w:r>
    </w:p>
    <w:p w14:paraId="18AAF66E">
      <w:pPr>
        <w:spacing w:line="340" w:lineRule="exact"/>
        <w:rPr>
          <w:rFonts w:ascii="宋体" w:hAnsi="宋体" w:eastAsia="宋体" w:cs="仿宋"/>
          <w:sz w:val="24"/>
          <w:szCs w:val="24"/>
          <w:highlight w:val="none"/>
        </w:rPr>
      </w:pPr>
    </w:p>
    <w:p w14:paraId="7E0D2F41">
      <w:pPr>
        <w:spacing w:line="340" w:lineRule="exact"/>
        <w:rPr>
          <w:rFonts w:ascii="宋体" w:hAnsi="宋体" w:eastAsia="宋体" w:cs="仿宋"/>
          <w:sz w:val="24"/>
          <w:szCs w:val="24"/>
          <w:highlight w:val="none"/>
        </w:rPr>
      </w:pPr>
    </w:p>
    <w:p w14:paraId="02D3DD0C">
      <w:pPr>
        <w:spacing w:line="340" w:lineRule="exact"/>
        <w:ind w:firstLine="480"/>
        <w:rPr>
          <w:rFonts w:ascii="宋体" w:hAnsi="宋体" w:eastAsia="宋体" w:cs="仿宋"/>
          <w:sz w:val="24"/>
          <w:szCs w:val="24"/>
          <w:highlight w:val="none"/>
        </w:rPr>
      </w:pPr>
      <w:r>
        <w:rPr>
          <w:rFonts w:hint="eastAsia" w:ascii="宋体" w:hAnsi="宋体" w:eastAsia="宋体" w:cs="仿宋"/>
          <w:sz w:val="24"/>
          <w:szCs w:val="24"/>
          <w:highlight w:val="none"/>
        </w:rPr>
        <w:t>法定代表人签名或盖章：           单位名称（盖章）：</w:t>
      </w:r>
    </w:p>
    <w:p w14:paraId="4B7A93E0">
      <w:pPr>
        <w:spacing w:line="340" w:lineRule="exact"/>
        <w:rPr>
          <w:rFonts w:ascii="宋体" w:hAnsi="宋体" w:eastAsia="宋体" w:cs="仿宋"/>
          <w:sz w:val="24"/>
          <w:szCs w:val="24"/>
          <w:highlight w:val="none"/>
        </w:rPr>
      </w:pPr>
    </w:p>
    <w:p w14:paraId="043CA6A7">
      <w:pPr>
        <w:widowControl w:val="0"/>
        <w:spacing w:beforeAutospacing="0" w:afterAutospacing="0"/>
        <w:ind w:left="-206" w:firstLine="546"/>
        <w:jc w:val="center"/>
        <w:rPr>
          <w:rFonts w:hint="eastAsia" w:ascii="宋体" w:hAnsi="宋体" w:eastAsia="宋体" w:cs="宋体"/>
          <w:b/>
          <w:sz w:val="32"/>
          <w:szCs w:val="32"/>
          <w:highlight w:val="none"/>
          <w:lang w:val="en-US" w:eastAsia="zh-CN" w:bidi="ar-SA"/>
        </w:rPr>
      </w:pPr>
      <w:r>
        <w:rPr>
          <w:rFonts w:hint="eastAsia" w:ascii="宋体" w:hAnsi="宋体" w:eastAsia="宋体" w:cs="仿宋"/>
          <w:sz w:val="24"/>
          <w:szCs w:val="24"/>
          <w:highlight w:val="none"/>
        </w:rPr>
        <w:t>年    月    日</w:t>
      </w:r>
    </w:p>
    <w:p w14:paraId="261AA283">
      <w:pPr>
        <w:widowControl w:val="0"/>
        <w:spacing w:beforeAutospacing="0" w:afterAutospacing="0"/>
        <w:ind w:left="-206" w:firstLine="546"/>
        <w:jc w:val="center"/>
        <w:rPr>
          <w:rFonts w:hint="eastAsia" w:ascii="宋体" w:hAnsi="宋体" w:eastAsia="宋体" w:cs="宋体"/>
          <w:b/>
          <w:sz w:val="32"/>
          <w:szCs w:val="32"/>
          <w:highlight w:val="none"/>
          <w:lang w:val="en-US" w:eastAsia="zh-CN" w:bidi="ar-SA"/>
        </w:rPr>
      </w:pPr>
    </w:p>
    <w:p w14:paraId="620E0B54">
      <w:pPr>
        <w:widowControl w:val="0"/>
        <w:spacing w:beforeAutospacing="0" w:afterAutospacing="0"/>
        <w:ind w:left="-206" w:firstLine="546"/>
        <w:jc w:val="center"/>
        <w:rPr>
          <w:rFonts w:hint="eastAsia" w:ascii="宋体" w:hAnsi="宋体" w:eastAsia="宋体" w:cs="宋体"/>
          <w:b/>
          <w:sz w:val="32"/>
          <w:szCs w:val="32"/>
          <w:highlight w:val="none"/>
          <w:lang w:val="en-US" w:eastAsia="zh-CN" w:bidi="ar-SA"/>
        </w:rPr>
      </w:pPr>
    </w:p>
    <w:p w14:paraId="7AFE3294">
      <w:pPr>
        <w:widowControl w:val="0"/>
        <w:spacing w:beforeAutospacing="0" w:afterAutospacing="0"/>
        <w:ind w:left="-206" w:firstLine="546"/>
        <w:jc w:val="center"/>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质疑函范本</w:t>
      </w:r>
    </w:p>
    <w:p w14:paraId="46EC12C6">
      <w:pPr>
        <w:widowControl w:val="0"/>
        <w:spacing w:before="290"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一、质疑供应商基本信息</w:t>
      </w:r>
    </w:p>
    <w:p w14:paraId="6C017F56">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质疑供应商：</w:t>
      </w:r>
      <w:r>
        <w:rPr>
          <w:rFonts w:hint="eastAsia" w:ascii="宋体" w:hAnsi="宋体" w:eastAsia="宋体" w:cs="宋体"/>
          <w:sz w:val="24"/>
          <w:szCs w:val="24"/>
          <w:highlight w:val="none"/>
          <w:u w:val="single"/>
          <w:lang w:val="en-US" w:eastAsia="zh-CN" w:bidi="ar-SA"/>
        </w:rPr>
        <w:t>                    </w:t>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 </w:t>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 xml:space="preserve">       </w:t>
      </w:r>
    </w:p>
    <w:p w14:paraId="3E6DB7BD">
      <w:pPr>
        <w:widowControl w:val="0"/>
        <w:spacing w:beforeAutospacing="0" w:afterAutospacing="0" w:line="360" w:lineRule="auto"/>
        <w:ind w:left="-206"/>
        <w:jc w:val="both"/>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地址：</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      </w:t>
      </w:r>
    </w:p>
    <w:p w14:paraId="4C2BEC48">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邮编：</w:t>
      </w:r>
      <w:r>
        <w:rPr>
          <w:rFonts w:hint="eastAsia" w:ascii="宋体" w:hAnsi="宋体" w:eastAsia="宋体" w:cs="宋体"/>
          <w:sz w:val="24"/>
          <w:szCs w:val="24"/>
          <w:highlight w:val="none"/>
          <w:u w:val="single"/>
          <w:lang w:val="en-US" w:eastAsia="zh-CN" w:bidi="ar-SA"/>
        </w:rPr>
        <w:t>                       </w:t>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 xml:space="preserve">        </w:t>
      </w:r>
    </w:p>
    <w:p w14:paraId="516AA4E0">
      <w:pPr>
        <w:widowControl w:val="0"/>
        <w:spacing w:beforeAutospacing="0" w:afterAutospacing="0" w:line="360" w:lineRule="auto"/>
        <w:ind w:left="-206"/>
        <w:jc w:val="both"/>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联系人：</w:t>
      </w:r>
      <w:r>
        <w:rPr>
          <w:rFonts w:hint="eastAsia" w:ascii="宋体" w:hAnsi="宋体" w:eastAsia="宋体" w:cs="宋体"/>
          <w:sz w:val="24"/>
          <w:szCs w:val="24"/>
          <w:highlight w:val="none"/>
          <w:u w:val="single"/>
          <w:lang w:val="en-US" w:eastAsia="zh-CN" w:bidi="ar-SA"/>
        </w:rPr>
        <w:t>               </w:t>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 xml:space="preserve">       </w:t>
      </w:r>
    </w:p>
    <w:p w14:paraId="054F2CFA">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联系电话：</w:t>
      </w:r>
      <w:r>
        <w:rPr>
          <w:rFonts w:hint="eastAsia" w:ascii="宋体" w:hAnsi="宋体" w:eastAsia="宋体" w:cs="宋体"/>
          <w:sz w:val="24"/>
          <w:szCs w:val="24"/>
          <w:highlight w:val="none"/>
          <w:u w:val="single"/>
          <w:lang w:val="en-US" w:eastAsia="zh-CN" w:bidi="ar-SA"/>
        </w:rPr>
        <w:t xml:space="preserve">                                           </w:t>
      </w:r>
    </w:p>
    <w:p w14:paraId="2ABF99D0">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授权代表：</w:t>
      </w:r>
      <w:r>
        <w:rPr>
          <w:rFonts w:hint="eastAsia" w:ascii="宋体" w:hAnsi="宋体" w:eastAsia="宋体" w:cs="宋体"/>
          <w:sz w:val="24"/>
          <w:szCs w:val="24"/>
          <w:highlight w:val="none"/>
          <w:u w:val="single"/>
          <w:lang w:val="en-US" w:eastAsia="zh-CN" w:bidi="ar-SA"/>
        </w:rPr>
        <w:t>                 </w:t>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 xml:space="preserve">        </w:t>
      </w:r>
    </w:p>
    <w:p w14:paraId="4D36092E">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联系电话：</w:t>
      </w:r>
      <w:r>
        <w:rPr>
          <w:rFonts w:hint="eastAsia" w:ascii="宋体" w:hAnsi="宋体" w:eastAsia="宋体" w:cs="宋体"/>
          <w:sz w:val="24"/>
          <w:szCs w:val="24"/>
          <w:highlight w:val="none"/>
          <w:u w:val="single"/>
          <w:lang w:val="en-US" w:eastAsia="zh-CN" w:bidi="ar-SA"/>
        </w:rPr>
        <w:t>                  </w:t>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 xml:space="preserve">     </w:t>
      </w:r>
    </w:p>
    <w:p w14:paraId="74FCC547">
      <w:pPr>
        <w:widowControl w:val="0"/>
        <w:spacing w:beforeAutospacing="0" w:afterAutospacing="0" w:line="360" w:lineRule="auto"/>
        <w:ind w:left="-206"/>
        <w:jc w:val="both"/>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地址： </w:t>
      </w:r>
      <w:r>
        <w:rPr>
          <w:rFonts w:hint="eastAsia" w:ascii="宋体" w:hAnsi="宋体" w:eastAsia="宋体" w:cs="宋体"/>
          <w:sz w:val="24"/>
          <w:szCs w:val="24"/>
          <w:highlight w:val="none"/>
          <w:u w:val="single"/>
          <w:lang w:val="en-US" w:eastAsia="zh-CN" w:bidi="ar-SA"/>
        </w:rPr>
        <w:t>                  </w:t>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 xml:space="preserve">        </w:t>
      </w:r>
    </w:p>
    <w:p w14:paraId="49DF98B0">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邮编：</w:t>
      </w:r>
      <w:r>
        <w:rPr>
          <w:rFonts w:hint="eastAsia" w:ascii="宋体" w:hAnsi="宋体" w:eastAsia="宋体" w:cs="宋体"/>
          <w:sz w:val="24"/>
          <w:szCs w:val="24"/>
          <w:highlight w:val="none"/>
          <w:u w:val="single"/>
          <w:lang w:val="en-US" w:eastAsia="zh-CN" w:bidi="ar-SA"/>
        </w:rPr>
        <w:t xml:space="preserve">                                </w:t>
      </w:r>
    </w:p>
    <w:p w14:paraId="5667D7A5">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二、质疑项目基本情况</w:t>
      </w:r>
    </w:p>
    <w:p w14:paraId="6AC1DEEE">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质疑项目的名称：</w:t>
      </w:r>
      <w:r>
        <w:rPr>
          <w:rFonts w:hint="eastAsia" w:ascii="宋体" w:hAnsi="宋体" w:eastAsia="宋体" w:cs="宋体"/>
          <w:sz w:val="24"/>
          <w:szCs w:val="24"/>
          <w:highlight w:val="none"/>
          <w:u w:val="single"/>
          <w:lang w:val="en-US" w:eastAsia="zh-CN" w:bidi="ar-SA"/>
        </w:rPr>
        <w:t xml:space="preserve">                            </w:t>
      </w:r>
    </w:p>
    <w:p w14:paraId="6CE1512C">
      <w:pPr>
        <w:widowControl w:val="0"/>
        <w:spacing w:beforeAutospacing="0" w:afterAutospacing="0" w:line="360" w:lineRule="auto"/>
        <w:ind w:left="-206"/>
        <w:jc w:val="both"/>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质疑项目的编号：</w:t>
      </w:r>
      <w:r>
        <w:rPr>
          <w:rFonts w:hint="eastAsia" w:ascii="宋体" w:hAnsi="宋体" w:eastAsia="宋体" w:cs="宋体"/>
          <w:sz w:val="24"/>
          <w:szCs w:val="24"/>
          <w:highlight w:val="none"/>
          <w:u w:val="single"/>
          <w:lang w:val="en-US" w:eastAsia="zh-CN" w:bidi="ar-SA"/>
        </w:rPr>
        <w:t xml:space="preserve">                          </w:t>
      </w:r>
    </w:p>
    <w:p w14:paraId="546FEBCD">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包号：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 xml:space="preserve">    </w:t>
      </w:r>
    </w:p>
    <w:p w14:paraId="6F0EDF9E">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采购人名称：</w:t>
      </w:r>
      <w:r>
        <w:rPr>
          <w:rFonts w:hint="eastAsia" w:ascii="宋体" w:hAnsi="宋体" w:eastAsia="宋体" w:cs="宋体"/>
          <w:sz w:val="24"/>
          <w:szCs w:val="24"/>
          <w:highlight w:val="none"/>
          <w:u w:val="single"/>
          <w:lang w:val="en-US" w:eastAsia="zh-CN" w:bidi="ar-SA"/>
        </w:rPr>
        <w:t xml:space="preserve">                            </w:t>
      </w:r>
    </w:p>
    <w:p w14:paraId="4CEAABEB">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采购文件获取日期：</w:t>
      </w:r>
      <w:r>
        <w:rPr>
          <w:rFonts w:hint="eastAsia" w:ascii="宋体" w:hAnsi="宋体" w:eastAsia="宋体" w:cs="宋体"/>
          <w:sz w:val="24"/>
          <w:szCs w:val="24"/>
          <w:highlight w:val="none"/>
          <w:u w:val="single"/>
          <w:lang w:val="en-US" w:eastAsia="zh-CN" w:bidi="ar-SA"/>
        </w:rPr>
        <w:t xml:space="preserve">                             </w:t>
      </w:r>
    </w:p>
    <w:p w14:paraId="7E2F3666">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三、质疑事项具体内容</w:t>
      </w:r>
    </w:p>
    <w:p w14:paraId="7224F014">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质疑事项1：</w:t>
      </w:r>
      <w:r>
        <w:rPr>
          <w:rFonts w:hint="eastAsia" w:ascii="宋体" w:hAnsi="宋体" w:eastAsia="宋体" w:cs="宋体"/>
          <w:sz w:val="24"/>
          <w:szCs w:val="24"/>
          <w:highlight w:val="none"/>
          <w:u w:val="single"/>
          <w:lang w:val="en-US" w:eastAsia="zh-CN" w:bidi="ar-SA"/>
        </w:rPr>
        <w:t xml:space="preserve">                             </w:t>
      </w:r>
    </w:p>
    <w:p w14:paraId="1AD32EC3">
      <w:pPr>
        <w:widowControl w:val="0"/>
        <w:spacing w:beforeAutospacing="0" w:afterAutospacing="0" w:line="360" w:lineRule="auto"/>
        <w:ind w:left="-206"/>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事实依据：</w:t>
      </w:r>
      <w:r>
        <w:rPr>
          <w:rFonts w:hint="eastAsia" w:ascii="宋体" w:hAnsi="宋体" w:eastAsia="宋体" w:cs="宋体"/>
          <w:sz w:val="24"/>
          <w:szCs w:val="24"/>
          <w:highlight w:val="none"/>
          <w:u w:val="single"/>
          <w:lang w:val="en-US" w:eastAsia="zh-CN" w:bidi="ar-SA"/>
        </w:rPr>
        <w:t xml:space="preserve">                                                   </w:t>
      </w:r>
    </w:p>
    <w:p w14:paraId="3BD9E890">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法律依据：</w:t>
      </w:r>
      <w:r>
        <w:rPr>
          <w:rFonts w:hint="eastAsia" w:ascii="宋体" w:hAnsi="宋体" w:eastAsia="宋体" w:cs="宋体"/>
          <w:sz w:val="24"/>
          <w:szCs w:val="24"/>
          <w:highlight w:val="none"/>
          <w:u w:val="single"/>
          <w:lang w:val="en-US" w:eastAsia="zh-CN" w:bidi="ar-SA"/>
        </w:rPr>
        <w:t xml:space="preserve">                                                    </w:t>
      </w:r>
    </w:p>
    <w:p w14:paraId="38EA9C8B">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质疑事项2</w:t>
      </w:r>
    </w:p>
    <w:p w14:paraId="3035BD2E">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w:t>
      </w:r>
    </w:p>
    <w:p w14:paraId="7093909F">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四、与质疑事项相关的质疑请求</w:t>
      </w:r>
    </w:p>
    <w:p w14:paraId="75DCF476">
      <w:pPr>
        <w:widowControl w:val="0"/>
        <w:spacing w:beforeAutospacing="0" w:afterAutospacing="0" w:line="360" w:lineRule="auto"/>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请求：</w:t>
      </w:r>
      <w:r>
        <w:rPr>
          <w:rFonts w:hint="eastAsia" w:ascii="宋体" w:hAnsi="宋体" w:eastAsia="宋体" w:cs="宋体"/>
          <w:sz w:val="24"/>
          <w:szCs w:val="24"/>
          <w:highlight w:val="none"/>
          <w:u w:val="single"/>
          <w:lang w:val="en-US" w:eastAsia="zh-CN" w:bidi="ar-SA"/>
        </w:rPr>
        <w:t xml:space="preserve">                                                          </w:t>
      </w:r>
    </w:p>
    <w:p w14:paraId="0C7D6228">
      <w:pPr>
        <w:widowControl w:val="0"/>
        <w:spacing w:beforeAutospacing="0" w:afterAutospacing="0"/>
        <w:ind w:left="-206"/>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签字(签章)：                 公章：               日期：    </w:t>
      </w:r>
    </w:p>
    <w:p w14:paraId="5D658F66">
      <w:pPr>
        <w:widowControl w:val="0"/>
        <w:spacing w:beforeAutospacing="0" w:afterAutospacing="0" w:line="0" w:lineRule="atLeast"/>
        <w:ind w:left="-206" w:firstLine="410"/>
        <w:jc w:val="both"/>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质疑函制作说明：</w:t>
      </w:r>
    </w:p>
    <w:p w14:paraId="5FB1F68D">
      <w:pPr>
        <w:widowControl/>
        <w:spacing w:beforeAutospacing="0" w:afterAutospacing="0" w:line="0" w:lineRule="atLeast"/>
        <w:ind w:left="-206" w:firstLine="408"/>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1.供应商提出质疑时，应提交质疑函和必要的证明材料。</w:t>
      </w:r>
    </w:p>
    <w:p w14:paraId="6B4AAEBF">
      <w:pPr>
        <w:widowControl/>
        <w:spacing w:beforeAutospacing="0" w:afterAutospacing="0" w:line="0" w:lineRule="atLeast"/>
        <w:ind w:left="-206" w:firstLine="408"/>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EE1E037">
      <w:pPr>
        <w:widowControl/>
        <w:spacing w:beforeAutospacing="0" w:afterAutospacing="0" w:line="0" w:lineRule="atLeast"/>
        <w:ind w:left="-206" w:firstLine="408"/>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3.质疑供应商若对项目的某一分包进行质疑，质疑函中应列明具体分包号。</w:t>
      </w:r>
    </w:p>
    <w:p w14:paraId="0C07EBBA">
      <w:pPr>
        <w:widowControl/>
        <w:spacing w:beforeAutospacing="0" w:afterAutospacing="0" w:line="0" w:lineRule="atLeast"/>
        <w:ind w:left="-206" w:firstLine="408"/>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4.质疑函的质疑事项应具体、明确，并有必要的事实依据和法律依据。</w:t>
      </w:r>
    </w:p>
    <w:p w14:paraId="2BB138E7">
      <w:pPr>
        <w:widowControl/>
        <w:spacing w:beforeAutospacing="0" w:afterAutospacing="0" w:line="0" w:lineRule="atLeast"/>
        <w:ind w:left="-206" w:firstLine="408"/>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5.质疑函的质疑请求应与质疑事项相关。</w:t>
      </w:r>
    </w:p>
    <w:p w14:paraId="583E6D1A">
      <w:pPr>
        <w:widowControl/>
        <w:spacing w:beforeAutospacing="0" w:afterAutospacing="0" w:line="0" w:lineRule="atLeast"/>
        <w:ind w:left="-206" w:firstLine="408"/>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6.质疑供应商为自然人的，质疑函应由本人签字；质疑供应商为法人或者其他组织的，质疑函应由法定代表人、主要负责人，或者其授权代表签字或者盖章，并加盖公章。</w:t>
      </w:r>
    </w:p>
    <w:p w14:paraId="41818217">
      <w:pPr>
        <w:widowControl/>
        <w:spacing w:line="500" w:lineRule="exact"/>
        <w:jc w:val="center"/>
        <w:rPr>
          <w:rFonts w:hint="eastAsia" w:ascii="宋体" w:hAnsi="宋体" w:cs="Times New Roman"/>
          <w:color w:val="auto"/>
          <w:sz w:val="24"/>
          <w:szCs w:val="24"/>
          <w:highlight w:val="none"/>
        </w:rPr>
      </w:pPr>
    </w:p>
    <w:p w14:paraId="1C92399F">
      <w:pPr>
        <w:rPr>
          <w:rFonts w:ascii="Times New Roman" w:hAnsi="Times New Roman" w:cs="Times New Roman"/>
          <w:color w:val="auto"/>
          <w:highlight w:val="none"/>
        </w:rPr>
      </w:pPr>
    </w:p>
    <w:p w14:paraId="4AB7A542">
      <w:pPr>
        <w:widowControl w:val="0"/>
        <w:spacing w:before="100" w:beforeAutospacing="1" w:after="100" w:afterAutospacing="1"/>
        <w:ind w:left="0" w:leftChars="0" w:firstLine="0" w:firstLineChars="0"/>
        <w:jc w:val="both"/>
        <w:rPr>
          <w:rFonts w:hint="eastAsia" w:ascii="仿宋_GB2312" w:hAnsi="仿宋_GB2312" w:eastAsia="仿宋_GB2312" w:cs="仿宋_GB2312"/>
          <w:b/>
          <w:bCs/>
          <w:color w:val="auto"/>
          <w:position w:val="-10"/>
          <w:sz w:val="36"/>
          <w:szCs w:val="22"/>
          <w:highlight w:val="none"/>
          <w:lang w:eastAsia="zh-CN"/>
        </w:rPr>
      </w:pPr>
    </w:p>
    <w:p w14:paraId="79D014B8">
      <w:bookmarkStart w:id="189" w:name="_GoBack"/>
      <w:bookmarkEnd w:id="189"/>
    </w:p>
    <w:sectPr>
      <w:headerReference r:id="rId9" w:type="default"/>
      <w:footerReference r:id="rId10" w:type="default"/>
      <w:pgSz w:w="11906" w:h="16838"/>
      <w:pgMar w:top="1440" w:right="1587" w:bottom="1440" w:left="1587"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Angsana New">
    <w:altName w:val="Noto Sans SC Thin"/>
    <w:panose1 w:val="02020603050405020304"/>
    <w:charset w:val="00"/>
    <w:family w:val="auto"/>
    <w:pitch w:val="default"/>
    <w:sig w:usb0="00000000" w:usb1="00000000" w:usb2="00000000" w:usb3="00000000" w:csb0="00040001" w:csb1="00000000"/>
  </w:font>
  <w:font w:name="Noto Sans SC Thin">
    <w:panose1 w:val="020B0200000000000000"/>
    <w:charset w:val="86"/>
    <w:family w:val="auto"/>
    <w:pitch w:val="default"/>
    <w:sig w:usb0="20000083" w:usb1="2ADF3C10" w:usb2="00000016" w:usb3="00000000" w:csb0="60060107"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15BC6">
    <w:pPr>
      <w:pStyle w:val="23"/>
      <w:rPr>
        <w:rFonts w:ascii="Times New Roman" w:hAnsi="Times New Roman" w:cs="Times New Roman"/>
        <w:b/>
        <w:i/>
      </w:rPr>
    </w:pPr>
    <w:r>
      <w:rPr>
        <w:rFonts w:ascii="Times New Roman" w:hAnsi="Times New Roman" w:cs="Times New Roman"/>
        <w:sz w:val="20"/>
      </w:rPr>
      <mc:AlternateContent>
        <mc:Choice Requires="wps">
          <w:drawing>
            <wp:anchor distT="0" distB="0" distL="114300" distR="114300" simplePos="0" relativeHeight="251662336" behindDoc="0" locked="0" layoutInCell="1" allowOverlap="1">
              <wp:simplePos x="0" y="0"/>
              <wp:positionH relativeFrom="margin">
                <wp:posOffset>2792730</wp:posOffset>
              </wp:positionH>
              <wp:positionV relativeFrom="paragraph">
                <wp:posOffset>-40640</wp:posOffset>
              </wp:positionV>
              <wp:extent cx="190500" cy="21907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90500" cy="219075"/>
                      </a:xfrm>
                      <a:prstGeom prst="rect">
                        <a:avLst/>
                      </a:prstGeom>
                      <a:noFill/>
                      <a:ln w="6350">
                        <a:noFill/>
                      </a:ln>
                    </wps:spPr>
                    <wps:txbx>
                      <w:txbxContent>
                        <w:p w14:paraId="1547D788">
                          <w:pPr>
                            <w:pStyle w:val="23"/>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txbxContent>
                    </wps:txbx>
                    <wps:bodyPr lIns="0" tIns="0" rIns="0" bIns="0" upright="1"/>
                  </wps:wsp>
                </a:graphicData>
              </a:graphic>
            </wp:anchor>
          </w:drawing>
        </mc:Choice>
        <mc:Fallback>
          <w:pict>
            <v:shape id="_x0000_s1026" o:spid="_x0000_s1026" o:spt="202" type="#_x0000_t202" style="position:absolute;left:0pt;margin-left:219.9pt;margin-top:-3.2pt;height:17.25pt;width:15pt;mso-position-horizontal-relative:margin;z-index:251662336;mso-width-relative:page;mso-height-relative:page;" filled="f" stroked="f" coordsize="21600,21600" o:gfxdata="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HtJbRXYAAAACQEAAA8AAAAAAAAAAQAgAAAAIgAAAGRycy9kb3ducmV2Lnht&#10;bFBLAQIUABQAAAAIAIdO4kAFIcGTwAEAAHoDAAAOAAAAAAAAAAEAIAAAACcBAABkcnMvZTJvRG9j&#10;LnhtbFBLBQYAAAAABgAGAFkBAABZBQAAAAA=&#10;">
              <v:fill on="f" focussize="0,0"/>
              <v:stroke on="f" weight="0.5pt"/>
              <v:imagedata o:title=""/>
              <o:lock v:ext="edit" aspectratio="f"/>
              <v:textbox inset="0mm,0mm,0mm,0mm">
                <w:txbxContent>
                  <w:p w14:paraId="1547D788">
                    <w:pPr>
                      <w:pStyle w:val="23"/>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A24CF">
    <w:pPr>
      <w:pStyle w:val="23"/>
      <w:framePr w:wrap="around" w:vAnchor="text" w:hAnchor="margin" w:xAlign="center" w:y="1"/>
      <w:rPr>
        <w:rStyle w:val="13"/>
        <w:rFonts w:ascii="Times New Roman" w:hAnsi="Times New Roman" w:cs="Times New Roman"/>
      </w:rPr>
    </w:pPr>
    <w:r>
      <w:rPr>
        <w:rFonts w:ascii="Times New Roman" w:hAnsi="Times New Roman" w:cs="Times New Roman"/>
      </w:rPr>
      <w:fldChar w:fldCharType="begin"/>
    </w:r>
    <w:r>
      <w:rPr>
        <w:rStyle w:val="13"/>
        <w:rFonts w:ascii="Times New Roman" w:hAnsi="Times New Roman" w:cs="Times New Roman"/>
        <w:sz w:val="21"/>
        <w:szCs w:val="21"/>
      </w:rPr>
      <w:instrText xml:space="preserve">PAGE  </w:instrText>
    </w:r>
    <w:r>
      <w:rPr>
        <w:rFonts w:ascii="Times New Roman" w:hAnsi="Times New Roman" w:cs="Times New Roman"/>
      </w:rPr>
      <w:fldChar w:fldCharType="separate"/>
    </w:r>
    <w:r>
      <w:rPr>
        <w:rStyle w:val="13"/>
        <w:rFonts w:ascii="Times New Roman" w:hAnsi="Times New Roman" w:cs="Times New Roman"/>
        <w:sz w:val="21"/>
        <w:szCs w:val="21"/>
      </w:rPr>
      <w:t>1</w:t>
    </w:r>
    <w:r>
      <w:rPr>
        <w:rFonts w:ascii="Times New Roman" w:hAnsi="Times New Roman" w:cs="Times New Roman"/>
      </w:rPr>
      <w:fldChar w:fldCharType="end"/>
    </w:r>
  </w:p>
  <w:p w14:paraId="57B050C6">
    <w:pPr>
      <w:pStyle w:val="23"/>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99654">
    <w:pPr>
      <w:pStyle w:val="23"/>
      <w:jc w:val="center"/>
      <w:rPr>
        <w:rFonts w:ascii="Times New Roman" w:hAnsi="Times New Roman" w:cs="Times New Roman"/>
        <w:b/>
        <w:i/>
      </w:rPr>
    </w:pPr>
    <w:r>
      <w:rPr>
        <w:rFonts w:ascii="Times New Roman" w:hAnsi="Times New Roman" w:cs="Times New Roman"/>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2F291AC8">
                          <w:pPr>
                            <w:pStyle w:val="23"/>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24</w:t>
                          </w:r>
                          <w:r>
                            <w:rPr>
                              <w:rFonts w:ascii="Times New Roman" w:hAnsi="Times New Roman" w:cs="Times New Roma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BR10KNzgEAAJcDAAAOAAAAAAAAAAEAIAAAAB8BAABkcnMv&#10;ZTJvRG9jLnhtbFBLBQYAAAAABgAGAFkBAABfBQAAAAA=&#10;">
              <v:fill on="f" focussize="0,0"/>
              <v:stroke on="f"/>
              <v:imagedata o:title=""/>
              <o:lock v:ext="edit" aspectratio="f"/>
              <v:textbox inset="0mm,0mm,0mm,0mm" style="mso-fit-shape-to-text:t;">
                <w:txbxContent>
                  <w:p w14:paraId="2F291AC8">
                    <w:pPr>
                      <w:pStyle w:val="23"/>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24</w:t>
                    </w:r>
                    <w:r>
                      <w:rPr>
                        <w:rFonts w:ascii="Times New Roman" w:hAnsi="Times New Roman" w:cs="Times New Roman"/>
                      </w:rPr>
                      <w:fldChar w:fldCharType="end"/>
                    </w:r>
                  </w:p>
                </w:txbxContent>
              </v:textbox>
            </v:shape>
          </w:pict>
        </mc:Fallback>
      </mc:AlternateContent>
    </w:r>
    <w:r>
      <w:rPr>
        <w:rFonts w:ascii="Times New Roman" w:hAnsi="Times New Roman" w:cs="Times New Roman"/>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DF4ED">
    <w:pPr>
      <w:pStyle w:val="23"/>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4DAD53F">
                          <w:pPr>
                            <w:pStyle w:val="23"/>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29</w:t>
                          </w:r>
                          <w:r>
                            <w:rPr>
                              <w:rFonts w:ascii="Times New Roman" w:hAnsi="Times New Roman" w:cs="Times New Roman"/>
                            </w:rPr>
                            <w:fldChar w:fldCharType="end"/>
                          </w:r>
                          <w:r>
                            <w:rPr>
                              <w:rFonts w:ascii="Times New Roman" w:hAnsi="Times New Roman" w:cs="Times New Roman"/>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B1NShz0QEAAKIDAAAOAAAAAAAAAAEAIAAAAB8BAABk&#10;cnMvZTJvRG9jLnhtbFBLBQYAAAAABgAGAFkBAABiBQAAAAA=&#10;">
              <v:fill on="f" focussize="0,0"/>
              <v:stroke on="f" weight="0.5pt"/>
              <v:imagedata o:title=""/>
              <o:lock v:ext="edit" aspectratio="f"/>
              <v:textbox inset="0mm,0mm,0mm,0mm" style="mso-fit-shape-to-text:t;">
                <w:txbxContent>
                  <w:p w14:paraId="24DAD53F">
                    <w:pPr>
                      <w:pStyle w:val="23"/>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29</w:t>
                    </w:r>
                    <w:r>
                      <w:rPr>
                        <w:rFonts w:ascii="Times New Roman" w:hAnsi="Times New Roman" w:cs="Times New Roman"/>
                      </w:rPr>
                      <w:fldChar w:fldCharType="end"/>
                    </w:r>
                    <w:r>
                      <w:rPr>
                        <w:rFonts w:ascii="Times New Roman" w:hAnsi="Times New Roman" w:cs="Times New Roman"/>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96A9A">
    <w:pPr>
      <w:pStyle w:val="23"/>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3A03761">
                          <w:pPr>
                            <w:pStyle w:val="23"/>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29</w:t>
                          </w:r>
                          <w:r>
                            <w:rPr>
                              <w:rFonts w:ascii="Times New Roman" w:hAnsi="Times New Roman" w:cs="Times New Roman"/>
                            </w:rPr>
                            <w:fldChar w:fldCharType="end"/>
                          </w:r>
                          <w:r>
                            <w:rPr>
                              <w:rFonts w:ascii="Times New Roman" w:hAnsi="Times New Roman" w:cs="Times New Roman"/>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3a36J9IBAACiAwAADgAAAAAAAAABACAAAAAfAQAA&#10;ZHJzL2Uyb0RvYy54bWxQSwUGAAAAAAYABgBZAQAAYwUAAAAA&#10;">
              <v:fill on="f" focussize="0,0"/>
              <v:stroke on="f" weight="0.5pt"/>
              <v:imagedata o:title=""/>
              <o:lock v:ext="edit" aspectratio="f"/>
              <v:textbox inset="0mm,0mm,0mm,0mm" style="mso-fit-shape-to-text:t;">
                <w:txbxContent>
                  <w:p w14:paraId="73A03761">
                    <w:pPr>
                      <w:pStyle w:val="23"/>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29</w:t>
                    </w:r>
                    <w:r>
                      <w:rPr>
                        <w:rFonts w:ascii="Times New Roman" w:hAnsi="Times New Roman" w:cs="Times New Roman"/>
                      </w:rPr>
                      <w:fldChar w:fldCharType="end"/>
                    </w:r>
                    <w:r>
                      <w:rPr>
                        <w:rFonts w:ascii="Times New Roman" w:hAnsi="Times New Roman" w:cs="Times New Roman"/>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5143D">
    <w:pPr>
      <w:widowControl w:val="0"/>
      <w:jc w:val="left"/>
      <w:rPr>
        <w:rFonts w:hint="default" w:ascii="Times New Roman" w:hAnsi="Times New Roman" w:eastAsia="Arial" w:cs="Times New Roman"/>
        <w:sz w:val="18"/>
        <w:szCs w:val="18"/>
        <w:lang w:eastAsia="zh-CN"/>
      </w:rPr>
    </w:pPr>
    <w:r>
      <w:rPr>
        <w:rFonts w:hint="default" w:ascii="Times New Roman" w:hAnsi="Times New Roman" w:eastAsia="Arial" w:cs="Times New Roman"/>
        <w:sz w:val="18"/>
        <w:szCs w:val="18"/>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4E1407B">
                          <w:pPr>
                            <w:widowControl w:val="0"/>
                            <w:jc w:val="left"/>
                            <w:rPr>
                              <w:rFonts w:hint="default" w:ascii="Times New Roman" w:hAnsi="Times New Roman" w:eastAsia="Arial" w:cs="Times New Roman"/>
                              <w:sz w:val="18"/>
                              <w:szCs w:val="18"/>
                              <w:lang w:eastAsia="zh-CN"/>
                            </w:rPr>
                          </w:pPr>
                          <w:r>
                            <w:rPr>
                              <w:rFonts w:hint="default" w:ascii="Times New Roman" w:hAnsi="Times New Roman" w:eastAsia="Arial" w:cs="Times New Roman"/>
                              <w:sz w:val="18"/>
                              <w:szCs w:val="18"/>
                              <w:lang w:eastAsia="zh-CN"/>
                            </w:rPr>
                            <w:t xml:space="preserve">— </w:t>
                          </w:r>
                          <w:r>
                            <w:rPr>
                              <w:rFonts w:hint="default" w:ascii="Times New Roman" w:hAnsi="Times New Roman" w:eastAsia="Arial" w:cs="Times New Roman"/>
                              <w:sz w:val="18"/>
                              <w:szCs w:val="18"/>
                              <w:lang w:eastAsia="zh-CN"/>
                            </w:rPr>
                            <w:fldChar w:fldCharType="begin"/>
                          </w:r>
                          <w:r>
                            <w:rPr>
                              <w:rFonts w:hint="default" w:ascii="Times New Roman" w:hAnsi="Times New Roman" w:eastAsia="Arial" w:cs="Times New Roman"/>
                              <w:sz w:val="18"/>
                              <w:szCs w:val="18"/>
                              <w:lang w:eastAsia="zh-CN"/>
                            </w:rPr>
                            <w:instrText xml:space="preserve"> PAGE  \* MERGEFORMAT </w:instrText>
                          </w:r>
                          <w:r>
                            <w:rPr>
                              <w:rFonts w:hint="default" w:ascii="Times New Roman" w:hAnsi="Times New Roman" w:eastAsia="Arial" w:cs="Times New Roman"/>
                              <w:sz w:val="18"/>
                              <w:szCs w:val="18"/>
                              <w:lang w:eastAsia="zh-CN"/>
                            </w:rPr>
                            <w:fldChar w:fldCharType="separate"/>
                          </w:r>
                          <w:r>
                            <w:rPr>
                              <w:rFonts w:hint="default" w:ascii="Times New Roman" w:hAnsi="Times New Roman" w:eastAsia="Arial" w:cs="Times New Roman"/>
                              <w:sz w:val="18"/>
                              <w:szCs w:val="18"/>
                              <w:lang w:eastAsia="zh-CN"/>
                            </w:rPr>
                            <w:t>29</w:t>
                          </w:r>
                          <w:r>
                            <w:rPr>
                              <w:rFonts w:hint="default" w:ascii="Times New Roman" w:hAnsi="Times New Roman" w:eastAsia="Arial" w:cs="Times New Roman"/>
                              <w:sz w:val="18"/>
                              <w:szCs w:val="18"/>
                              <w:lang w:eastAsia="zh-CN"/>
                            </w:rPr>
                            <w:fldChar w:fldCharType="end"/>
                          </w:r>
                          <w:r>
                            <w:rPr>
                              <w:rFonts w:hint="default" w:ascii="Times New Roman" w:hAnsi="Times New Roman" w:eastAsia="Arial" w:cs="Times New Roman"/>
                              <w:sz w:val="18"/>
                              <w:szCs w:val="18"/>
                              <w:lang w:eastAsia="zh-CN"/>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GtbO3dIBAACkAwAADgAAAAAAAAABACAAAAAfAQAA&#10;ZHJzL2Uyb0RvYy54bWxQSwUGAAAAAAYABgBZAQAAYwUAAAAA&#10;">
              <v:fill on="f" focussize="0,0"/>
              <v:stroke on="f" weight="0.5pt"/>
              <v:imagedata o:title=""/>
              <o:lock v:ext="edit" aspectratio="f"/>
              <v:textbox inset="0mm,0mm,0mm,0mm" style="mso-fit-shape-to-text:t;">
                <w:txbxContent>
                  <w:p w14:paraId="04E1407B">
                    <w:pPr>
                      <w:widowControl w:val="0"/>
                      <w:jc w:val="left"/>
                      <w:rPr>
                        <w:rFonts w:hint="default" w:ascii="Times New Roman" w:hAnsi="Times New Roman" w:eastAsia="Arial" w:cs="Times New Roman"/>
                        <w:sz w:val="18"/>
                        <w:szCs w:val="18"/>
                        <w:lang w:eastAsia="zh-CN"/>
                      </w:rPr>
                    </w:pPr>
                    <w:r>
                      <w:rPr>
                        <w:rFonts w:hint="default" w:ascii="Times New Roman" w:hAnsi="Times New Roman" w:eastAsia="Arial" w:cs="Times New Roman"/>
                        <w:sz w:val="18"/>
                        <w:szCs w:val="18"/>
                        <w:lang w:eastAsia="zh-CN"/>
                      </w:rPr>
                      <w:t xml:space="preserve">— </w:t>
                    </w:r>
                    <w:r>
                      <w:rPr>
                        <w:rFonts w:hint="default" w:ascii="Times New Roman" w:hAnsi="Times New Roman" w:eastAsia="Arial" w:cs="Times New Roman"/>
                        <w:sz w:val="18"/>
                        <w:szCs w:val="18"/>
                        <w:lang w:eastAsia="zh-CN"/>
                      </w:rPr>
                      <w:fldChar w:fldCharType="begin"/>
                    </w:r>
                    <w:r>
                      <w:rPr>
                        <w:rFonts w:hint="default" w:ascii="Times New Roman" w:hAnsi="Times New Roman" w:eastAsia="Arial" w:cs="Times New Roman"/>
                        <w:sz w:val="18"/>
                        <w:szCs w:val="18"/>
                        <w:lang w:eastAsia="zh-CN"/>
                      </w:rPr>
                      <w:instrText xml:space="preserve"> PAGE  \* MERGEFORMAT </w:instrText>
                    </w:r>
                    <w:r>
                      <w:rPr>
                        <w:rFonts w:hint="default" w:ascii="Times New Roman" w:hAnsi="Times New Roman" w:eastAsia="Arial" w:cs="Times New Roman"/>
                        <w:sz w:val="18"/>
                        <w:szCs w:val="18"/>
                        <w:lang w:eastAsia="zh-CN"/>
                      </w:rPr>
                      <w:fldChar w:fldCharType="separate"/>
                    </w:r>
                    <w:r>
                      <w:rPr>
                        <w:rFonts w:hint="default" w:ascii="Times New Roman" w:hAnsi="Times New Roman" w:eastAsia="Arial" w:cs="Times New Roman"/>
                        <w:sz w:val="18"/>
                        <w:szCs w:val="18"/>
                        <w:lang w:eastAsia="zh-CN"/>
                      </w:rPr>
                      <w:t>29</w:t>
                    </w:r>
                    <w:r>
                      <w:rPr>
                        <w:rFonts w:hint="default" w:ascii="Times New Roman" w:hAnsi="Times New Roman" w:eastAsia="Arial" w:cs="Times New Roman"/>
                        <w:sz w:val="18"/>
                        <w:szCs w:val="18"/>
                        <w:lang w:eastAsia="zh-CN"/>
                      </w:rPr>
                      <w:fldChar w:fldCharType="end"/>
                    </w:r>
                    <w:r>
                      <w:rPr>
                        <w:rFonts w:hint="default" w:ascii="Times New Roman" w:hAnsi="Times New Roman" w:eastAsia="Arial" w:cs="Times New Roman"/>
                        <w:sz w:val="18"/>
                        <w:szCs w:val="18"/>
                        <w:lang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F6447">
    <w:pPr>
      <w:pStyle w:val="24"/>
      <w:pBdr>
        <w:bottom w:val="none" w:color="auto" w:sz="0" w:space="0"/>
      </w:pBdr>
      <w:jc w:val="both"/>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8EB03">
    <w:pPr>
      <w:widowControl w:val="0"/>
      <w:pBdr>
        <w:bottom w:val="none" w:color="auto" w:sz="0" w:space="0"/>
      </w:pBdr>
      <w:jc w:val="both"/>
      <w:rPr>
        <w:rFonts w:hint="default" w:ascii="Times New Roman" w:hAnsi="Times New Roman" w:eastAsia="Arial" w:cs="Times New Roman"/>
        <w:sz w:val="18"/>
        <w:szCs w:val="18"/>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5477FC"/>
    <w:multiLevelType w:val="multilevel"/>
    <w:tmpl w:val="215477FC"/>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3E042B"/>
    <w:rsid w:val="03E800AD"/>
    <w:rsid w:val="14D73588"/>
    <w:rsid w:val="16DC78F0"/>
    <w:rsid w:val="40352F46"/>
    <w:rsid w:val="44885C01"/>
    <w:rsid w:val="47FE172A"/>
    <w:rsid w:val="55D8252B"/>
    <w:rsid w:val="793E04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Arial" w:cs="Times New Roman"/>
      <w:sz w:val="21"/>
      <w:szCs w:val="21"/>
      <w:lang w:eastAsia="zh-CN"/>
    </w:rPr>
  </w:style>
  <w:style w:type="character" w:default="1" w:styleId="11">
    <w:name w:val="Default Paragraph Font"/>
    <w:autoRedefine/>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w:next w:val="1"/>
    <w:qFormat/>
    <w:uiPriority w:val="0"/>
    <w:pPr>
      <w:widowControl w:val="0"/>
      <w:jc w:val="both"/>
    </w:pPr>
    <w:rPr>
      <w:rFonts w:hint="default" w:ascii="楷体_GB2312" w:hAnsi="Arial" w:eastAsia="楷体_GB2312" w:cs="Times New Roman"/>
      <w:sz w:val="28"/>
      <w:szCs w:val="28"/>
      <w:lang w:eastAsia="zh-CN"/>
    </w:rPr>
  </w:style>
  <w:style w:type="paragraph" w:styleId="3">
    <w:name w:val="index 4"/>
    <w:next w:val="1"/>
    <w:unhideWhenUsed/>
    <w:qFormat/>
    <w:uiPriority w:val="99"/>
    <w:pPr>
      <w:widowControl w:val="0"/>
      <w:spacing w:before="100" w:beforeAutospacing="1" w:after="100" w:afterAutospacing="1"/>
      <w:ind w:left="600"/>
      <w:jc w:val="both"/>
    </w:pPr>
    <w:rPr>
      <w:rFonts w:hint="default" w:ascii="宋体" w:hAnsi="Times New Roman" w:eastAsia="Arial" w:cs="Times New Roman"/>
      <w:b/>
      <w:bCs/>
      <w:position w:val="-10"/>
      <w:sz w:val="24"/>
      <w:szCs w:val="22"/>
      <w:lang w:eastAsia="zh-CN"/>
    </w:rPr>
  </w:style>
  <w:style w:type="paragraph" w:styleId="4">
    <w:name w:val="Plain Text"/>
    <w:qFormat/>
    <w:uiPriority w:val="99"/>
    <w:pPr>
      <w:widowControl w:val="0"/>
      <w:jc w:val="both"/>
    </w:pPr>
    <w:rPr>
      <w:rFonts w:hint="default" w:ascii="宋体" w:hAnsi="Courier New" w:eastAsia="Arial" w:cs="Times New Roman"/>
      <w:sz w:val="21"/>
      <w:szCs w:val="21"/>
      <w:lang w:eastAsia="zh-CN"/>
    </w:rPr>
  </w:style>
  <w:style w:type="paragraph" w:styleId="5">
    <w:name w:val="Body Text Indent 2"/>
    <w:qFormat/>
    <w:uiPriority w:val="0"/>
    <w:pPr>
      <w:widowControl w:val="0"/>
      <w:ind w:left="630" w:firstLine="645"/>
      <w:jc w:val="both"/>
    </w:pPr>
    <w:rPr>
      <w:rFonts w:hint="default" w:ascii="Arial" w:hAnsi="Arial" w:eastAsia="仿宋_GB2312" w:cs="Arial"/>
      <w:sz w:val="32"/>
      <w:szCs w:val="32"/>
      <w:lang w:eastAsia="zh-CN"/>
    </w:rPr>
  </w:style>
  <w:style w:type="paragraph" w:styleId="6">
    <w:name w:val="toc 1"/>
    <w:next w:val="1"/>
    <w:semiHidden/>
    <w:qFormat/>
    <w:uiPriority w:val="0"/>
    <w:pPr>
      <w:widowControl w:val="0"/>
      <w:tabs>
        <w:tab w:val="right" w:leader="dot" w:pos="8720"/>
      </w:tabs>
      <w:spacing w:before="120" w:after="120" w:line="400" w:lineRule="exact"/>
      <w:jc w:val="left"/>
    </w:pPr>
    <w:rPr>
      <w:rFonts w:hint="default" w:ascii="宋体" w:hAnsi="宋体" w:eastAsia="Arial" w:cs="Times New Roman"/>
      <w:caps/>
      <w:sz w:val="24"/>
      <w:szCs w:val="24"/>
      <w:lang w:eastAsia="zh-CN"/>
    </w:rPr>
  </w:style>
  <w:style w:type="paragraph" w:styleId="7">
    <w:name w:val="Normal (Web)"/>
    <w:qFormat/>
    <w:uiPriority w:val="0"/>
    <w:pPr>
      <w:widowControl/>
      <w:spacing w:before="100" w:beforeAutospacing="1" w:after="100" w:afterAutospacing="1"/>
      <w:jc w:val="left"/>
    </w:pPr>
    <w:rPr>
      <w:rFonts w:hint="default" w:ascii="宋体" w:hAnsi="宋体" w:eastAsia="Arial" w:cs="宋体"/>
      <w:sz w:val="24"/>
      <w:szCs w:val="24"/>
      <w:lang w:eastAsia="zh-CN"/>
    </w:rPr>
  </w:style>
  <w:style w:type="paragraph" w:styleId="8">
    <w:name w:val="Body Text First Indent"/>
    <w:qFormat/>
    <w:uiPriority w:val="0"/>
    <w:pPr>
      <w:widowControl w:val="0"/>
      <w:spacing w:line="360" w:lineRule="auto"/>
      <w:ind w:firstLine="200"/>
      <w:jc w:val="both"/>
    </w:pPr>
    <w:rPr>
      <w:rFonts w:hint="default" w:ascii="仿宋_GB2312" w:hAnsi="Times New Roman" w:eastAsia="仿宋_GB2312" w:cs="Times New Roman"/>
      <w:sz w:val="30"/>
      <w:szCs w:val="30"/>
      <w:lang w:eastAsia="zh-CN"/>
    </w:rPr>
  </w:style>
  <w:style w:type="table" w:styleId="1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2">
    <w:name w:val="Strong"/>
    <w:qFormat/>
    <w:uiPriority w:val="0"/>
    <w:rPr>
      <w:b/>
      <w:bCs/>
    </w:rPr>
  </w:style>
  <w:style w:type="character" w:styleId="13">
    <w:name w:val="page number"/>
    <w:qFormat/>
    <w:uiPriority w:val="0"/>
  </w:style>
  <w:style w:type="paragraph" w:customStyle="1" w:styleId="14">
    <w:name w:val="Heading 1"/>
    <w:next w:val="1"/>
    <w:qFormat/>
    <w:uiPriority w:val="0"/>
    <w:pPr>
      <w:keepNext/>
      <w:widowControl w:val="0"/>
      <w:jc w:val="center"/>
      <w:outlineLvl w:val="0"/>
    </w:pPr>
    <w:rPr>
      <w:rFonts w:hint="default" w:ascii="楷体_GB2312" w:hAnsi="Times New Roman" w:eastAsia="楷体_GB2312" w:cs="Times New Roman"/>
      <w:sz w:val="28"/>
      <w:szCs w:val="28"/>
      <w:lang w:eastAsia="zh-CN"/>
    </w:rPr>
  </w:style>
  <w:style w:type="paragraph" w:customStyle="1" w:styleId="15">
    <w:name w:val="Heading 2"/>
    <w:next w:val="1"/>
    <w:qFormat/>
    <w:uiPriority w:val="0"/>
    <w:pPr>
      <w:keepNext/>
      <w:keepLines/>
      <w:widowControl w:val="0"/>
      <w:spacing w:before="260" w:after="260" w:line="416" w:lineRule="auto"/>
      <w:jc w:val="center"/>
      <w:outlineLvl w:val="1"/>
    </w:pPr>
    <w:rPr>
      <w:rFonts w:hint="default" w:ascii="Arial" w:hAnsi="Arial" w:eastAsia="幼圆" w:cs="Arial"/>
      <w:b/>
      <w:bCs/>
      <w:sz w:val="44"/>
      <w:szCs w:val="44"/>
      <w:lang w:eastAsia="zh-CN"/>
    </w:rPr>
  </w:style>
  <w:style w:type="paragraph" w:customStyle="1" w:styleId="16">
    <w:name w:val="标题 31"/>
    <w:next w:val="17"/>
    <w:qFormat/>
    <w:uiPriority w:val="0"/>
    <w:pPr>
      <w:keepNext/>
      <w:keepLines/>
      <w:widowControl w:val="0"/>
      <w:spacing w:before="260" w:after="260" w:line="416" w:lineRule="auto"/>
      <w:jc w:val="both"/>
      <w:outlineLvl w:val="2"/>
    </w:pPr>
    <w:rPr>
      <w:rFonts w:hint="default" w:ascii="Times New Roman" w:hAnsi="Times New Roman" w:eastAsia="Arial" w:cs="Times New Roman"/>
      <w:b/>
      <w:bCs/>
      <w:sz w:val="32"/>
      <w:szCs w:val="32"/>
      <w:lang w:eastAsia="zh-CN"/>
    </w:rPr>
  </w:style>
  <w:style w:type="paragraph" w:customStyle="1" w:styleId="17">
    <w:name w:val="正文缩进1"/>
    <w:qFormat/>
    <w:uiPriority w:val="0"/>
    <w:pPr>
      <w:widowControl w:val="0"/>
      <w:ind w:firstLine="420"/>
      <w:jc w:val="both"/>
    </w:pPr>
    <w:rPr>
      <w:rFonts w:hint="default" w:ascii="Times New Roman" w:hAnsi="Times New Roman" w:eastAsia="Arial" w:cs="Times New Roman"/>
      <w:sz w:val="21"/>
      <w:szCs w:val="21"/>
      <w:lang w:eastAsia="zh-CN"/>
    </w:rPr>
  </w:style>
  <w:style w:type="paragraph" w:customStyle="1" w:styleId="18">
    <w:name w:val="标题 41"/>
    <w:next w:val="17"/>
    <w:qFormat/>
    <w:uiPriority w:val="9"/>
    <w:pPr>
      <w:keepNext/>
      <w:keepLines/>
      <w:widowControl w:val="0"/>
      <w:spacing w:before="280" w:after="290" w:line="374" w:lineRule="auto"/>
      <w:jc w:val="both"/>
      <w:outlineLvl w:val="3"/>
    </w:pPr>
    <w:rPr>
      <w:rFonts w:hint="default" w:ascii="Arial" w:hAnsi="Arial" w:eastAsia="黑体" w:cs="Arial"/>
      <w:b/>
      <w:bCs/>
      <w:sz w:val="28"/>
      <w:szCs w:val="28"/>
      <w:lang w:eastAsia="zh-CN"/>
    </w:rPr>
  </w:style>
  <w:style w:type="paragraph" w:customStyle="1" w:styleId="19">
    <w:name w:val="无间隔1"/>
    <w:qFormat/>
    <w:uiPriority w:val="99"/>
    <w:pPr>
      <w:widowControl w:val="0"/>
      <w:jc w:val="both"/>
    </w:pPr>
    <w:rPr>
      <w:rFonts w:hint="default" w:ascii="Times New Roman" w:hAnsi="Times New Roman" w:eastAsia="Arial" w:cs="Times New Roman"/>
      <w:sz w:val="21"/>
      <w:szCs w:val="21"/>
      <w:lang w:eastAsia="zh-CN"/>
    </w:rPr>
  </w:style>
  <w:style w:type="character" w:customStyle="1" w:styleId="20">
    <w:name w:val="NormalCharacter"/>
    <w:qFormat/>
    <w:uiPriority w:val="0"/>
    <w:rPr>
      <w:rFonts w:ascii="Times New Roman" w:hAnsi="Times New Roman" w:eastAsia="宋体"/>
    </w:rPr>
  </w:style>
  <w:style w:type="paragraph" w:customStyle="1" w:styleId="21">
    <w:name w:val="Default"/>
    <w:qFormat/>
    <w:uiPriority w:val="0"/>
    <w:pPr>
      <w:widowControl w:val="0"/>
      <w:jc w:val="left"/>
    </w:pPr>
    <w:rPr>
      <w:rFonts w:hint="default" w:ascii="宋体" w:hAnsi="Calibri" w:eastAsia="Arial" w:cs="宋体"/>
      <w:color w:val="000000"/>
      <w:sz w:val="24"/>
      <w:szCs w:val="21"/>
      <w:lang w:eastAsia="zh-CN"/>
    </w:rPr>
  </w:style>
  <w:style w:type="paragraph" w:customStyle="1" w:styleId="22">
    <w:name w:val="TOC 71"/>
    <w:next w:val="1"/>
    <w:qFormat/>
    <w:uiPriority w:val="0"/>
    <w:pPr>
      <w:ind w:left="2550"/>
      <w:jc w:val="both"/>
    </w:pPr>
    <w:rPr>
      <w:rFonts w:hint="default" w:ascii="Times New Roman" w:hAnsi="Times New Roman" w:eastAsia="Arial" w:cs="Times New Roman"/>
      <w:sz w:val="21"/>
      <w:szCs w:val="22"/>
      <w:lang w:eastAsia="zh-CN"/>
    </w:rPr>
  </w:style>
  <w:style w:type="paragraph" w:customStyle="1" w:styleId="23">
    <w:name w:val="Footer"/>
    <w:qFormat/>
    <w:uiPriority w:val="0"/>
    <w:pPr>
      <w:widowControl w:val="0"/>
      <w:tabs>
        <w:tab w:val="center" w:pos="4153"/>
        <w:tab w:val="right" w:pos="8306"/>
      </w:tabs>
      <w:jc w:val="left"/>
    </w:pPr>
    <w:rPr>
      <w:rFonts w:hint="default" w:ascii="Times New Roman" w:hAnsi="Times New Roman" w:eastAsia="Arial" w:cs="Times New Roman"/>
      <w:sz w:val="18"/>
      <w:szCs w:val="18"/>
      <w:lang w:eastAsia="zh-CN"/>
    </w:rPr>
  </w:style>
  <w:style w:type="paragraph" w:customStyle="1" w:styleId="24">
    <w:name w:val="Header"/>
    <w:qFormat/>
    <w:uiPriority w:val="0"/>
    <w:pPr>
      <w:widowControl w:val="0"/>
      <w:pBdr>
        <w:bottom w:val="single" w:color="auto" w:sz="6" w:space="1"/>
      </w:pBdr>
      <w:tabs>
        <w:tab w:val="center" w:pos="4153"/>
        <w:tab w:val="right" w:pos="8306"/>
      </w:tabs>
      <w:jc w:val="center"/>
    </w:pPr>
    <w:rPr>
      <w:rFonts w:hint="default" w:ascii="Times New Roman" w:hAnsi="Times New Roman" w:eastAsia="Arial" w:cs="Times New Roman"/>
      <w:sz w:val="18"/>
      <w:szCs w:val="18"/>
      <w:lang w:eastAsia="zh-CN"/>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2067</Words>
  <Characters>2311</Characters>
  <Lines>0</Lines>
  <Paragraphs>0</Paragraphs>
  <TotalTime>45</TotalTime>
  <ScaleCrop>false</ScaleCrop>
  <LinksUpToDate>false</LinksUpToDate>
  <CharactersWithSpaces>2379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2026-07-09T09:26:00Z</dcterms:created>
  <dc:creator>是易烊千玺本人！</dc:creator>
  <cp:lastModifiedBy>是易烊千玺本人！</cp:lastModifiedBy>
  <dcterms:modified xsi:type="dcterms:W3CDTF">2026-07-10T05:58:16Z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27235AD3EE914069833666388CF2109E_11</vt:lpwstr>
  </property>
  <property fmtid="{D5CDD505-2E9C-101B-9397-08002B2CF9AE}" pid="4" name="KSOTemplateDocerSaveRecord">
    <vt:lpwstr>eyJoZGlkIjoiODY4NDI1ZTIyODczMDNiZDViOGZhMTA0NzRmMjgyOWQiLCJ1c2VySWQiOiI2NjA4ODUxMjAifQ==</vt:lpwstr>
  </property>
</Properties>
</file>