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eastAsia="宋体" w:cs="宋体"/>
          <w:sz w:val="32"/>
          <w:highlight w:val="none"/>
          <w:lang w:eastAsia="zh-CN"/>
        </w:rPr>
      </w:pPr>
      <w:r>
        <w:rPr>
          <w:rFonts w:hint="eastAsia" w:ascii="宋体" w:hAnsi="宋体" w:eastAsia="宋体" w:cs="宋体"/>
          <w:sz w:val="32"/>
          <w:highlight w:val="none"/>
          <w:lang w:eastAsia="zh-CN"/>
        </w:rPr>
      </w:r>
      <w:r/>
    </w:p>
    <w:p>
      <w:pPr>
        <w:jc w:val="center"/>
        <w:widowControl w:val="off"/>
        <w:rPr>
          <w:rFonts w:hint="eastAsia" w:ascii="宋体" w:hAnsi="宋体" w:eastAsia="宋体" w:cs="宋体"/>
          <w:b/>
          <w:color w:val="auto"/>
          <w:spacing w:val="76"/>
          <w:sz w:val="156"/>
          <w:szCs w:val="24"/>
          <w:highlight w:val="none"/>
          <w:lang w:val="en-US" w:eastAsia="zh-CN" w:bidi="ar-SA"/>
        </w:rPr>
      </w:pPr>
      <w:r>
        <w:rPr>
          <w:rFonts w:hint="eastAsia" w:ascii="宋体" w:hAnsi="宋体" w:eastAsia="宋体" w:cs="宋体"/>
          <w:b/>
          <w:color w:val="auto"/>
          <w:spacing w:val="76"/>
          <w:sz w:val="156"/>
          <w:szCs w:val="24"/>
          <w:highlight w:val="none"/>
          <w:lang w:val="en-US" w:eastAsia="zh-CN" w:bidi="ar-SA"/>
        </w:rPr>
      </w:r>
      <w:r/>
    </w:p>
    <w:p>
      <w:pPr>
        <w:jc w:val="center"/>
        <w:widowControl w:val="off"/>
        <w:rPr>
          <w:rFonts w:hint="default" w:ascii="宋体" w:hAnsi="宋体" w:eastAsia="宋体" w:cs="Times New Roman"/>
          <w:spacing w:val="76"/>
          <w:sz w:val="144"/>
          <w:szCs w:val="24"/>
          <w:highlight w:val="none"/>
          <w:lang w:val="en-US" w:eastAsia="zh-CN" w:bidi="ar-SA"/>
        </w:rPr>
      </w:pPr>
      <w:r>
        <w:rPr>
          <w:rFonts w:hint="eastAsia" w:ascii="宋体" w:hAnsi="宋体" w:eastAsia="宋体" w:cs="宋体"/>
          <w:b/>
          <w:color w:val="auto"/>
          <w:spacing w:val="76"/>
          <w:sz w:val="156"/>
          <w:szCs w:val="24"/>
          <w:highlight w:val="none"/>
          <w:lang w:val="en-US" w:eastAsia="zh-CN" w:bidi="ar-SA"/>
        </w:rPr>
        <w:t xml:space="preserve">招标文件</w:t>
      </w:r>
      <w:r/>
    </w:p>
    <w:p>
      <w:pPr>
        <w:ind w:firstLine="2100"/>
        <w:jc w:val="both"/>
        <w:widowControl w:val="off"/>
        <w:rPr>
          <w:rFonts w:hint="default" w:ascii="宋体" w:hAnsi="宋体" w:eastAsia="宋体" w:cs="Times New Roman"/>
          <w:color w:val="000000"/>
          <w:sz w:val="30"/>
          <w:szCs w:val="30"/>
          <w:highlight w:val="none"/>
          <w:lang w:val="en-US" w:eastAsia="zh-CN" w:bidi="ar-SA"/>
        </w:rPr>
      </w:pPr>
      <w:r>
        <w:rPr>
          <w:rFonts w:hint="default" w:ascii="宋体" w:hAnsi="宋体" w:eastAsia="宋体" w:cs="Times New Roman"/>
          <w:color w:val="000000"/>
          <w:sz w:val="30"/>
          <w:szCs w:val="30"/>
          <w:highlight w:val="none"/>
          <w:lang w:val="en-US" w:eastAsia="zh-CN" w:bidi="ar-SA"/>
        </w:rPr>
      </w:r>
      <w:r/>
    </w:p>
    <w:p>
      <w:pPr>
        <w:jc w:val="left"/>
        <w:widowControl w:val="off"/>
        <w:rPr>
          <w:rFonts w:hint="default" w:ascii="宋体" w:hAnsi="宋体" w:eastAsia="Times New Roman" w:cs="Times New Roman"/>
          <w:color w:val="000000"/>
          <w:sz w:val="30"/>
          <w:szCs w:val="30"/>
          <w:highlight w:val="none"/>
          <w:lang w:val="en-US" w:eastAsia="zh-CN" w:bidi="ar-SA"/>
        </w:rPr>
      </w:pPr>
      <w:r>
        <w:rPr>
          <w:rFonts w:hint="default" w:ascii="宋体" w:hAnsi="宋体" w:eastAsia="Times New Roman" w:cs="Times New Roman"/>
          <w:color w:val="000000"/>
          <w:sz w:val="30"/>
          <w:szCs w:val="30"/>
          <w:highlight w:val="none"/>
          <w:lang w:val="en-US" w:eastAsia="zh-CN" w:bidi="ar-SA"/>
        </w:rPr>
      </w:r>
      <w:r/>
    </w:p>
    <w:p>
      <w:pPr>
        <w:ind w:left="798"/>
        <w:jc w:val="left"/>
        <w:widowControl w:val="off"/>
        <w:rPr>
          <w:rFonts w:hint="default" w:ascii="宋体" w:hAnsi="宋体" w:eastAsia="宋体" w:cs="Times New Roman"/>
          <w:color w:val="000000"/>
          <w:sz w:val="30"/>
          <w:szCs w:val="30"/>
          <w:highlight w:val="none"/>
          <w:lang w:val="en-US" w:eastAsia="zh-CN" w:bidi="ar-SA"/>
        </w:rPr>
      </w:pPr>
      <w:r>
        <w:rPr>
          <w:rFonts w:hint="default" w:ascii="宋体" w:hAnsi="宋体" w:eastAsia="宋体" w:cs="Times New Roman"/>
          <w:color w:val="000000"/>
          <w:sz w:val="30"/>
          <w:szCs w:val="30"/>
          <w:highlight w:val="none"/>
          <w:lang w:val="en-US" w:eastAsia="zh-CN" w:bidi="ar-SA"/>
        </w:rPr>
      </w:r>
      <w:r/>
    </w:p>
    <w:p>
      <w:pPr>
        <w:jc w:val="both"/>
        <w:widowControl w:val="off"/>
        <w:rPr>
          <w:rFonts w:hint="default" w:ascii="宋体" w:hAnsi="宋体" w:eastAsia="宋体" w:cs="Times New Roman"/>
          <w:color w:val="000000"/>
          <w:sz w:val="30"/>
          <w:szCs w:val="30"/>
          <w:highlight w:val="none"/>
          <w:lang w:val="en-US" w:eastAsia="zh-CN" w:bidi="ar-SA"/>
        </w:rPr>
      </w:pPr>
      <w:r>
        <w:rPr>
          <w:rFonts w:hint="default" w:ascii="宋体" w:hAnsi="宋体" w:eastAsia="宋体" w:cs="Times New Roman"/>
          <w:color w:val="000000"/>
          <w:sz w:val="30"/>
          <w:szCs w:val="30"/>
          <w:highlight w:val="none"/>
          <w:lang w:val="en-US" w:eastAsia="zh-CN" w:bidi="ar-SA"/>
        </w:rPr>
      </w:r>
      <w:r/>
    </w:p>
    <w:p>
      <w:pPr>
        <w:ind w:left="0" w:firstLine="0"/>
        <w:jc w:val="left"/>
        <w:widowControl w:val="off"/>
        <w:rPr>
          <w:rFonts w:hint="default" w:ascii="宋体" w:hAnsi="宋体" w:eastAsia="宋体" w:cs="Times New Roman"/>
          <w:color w:val="000000"/>
          <w:sz w:val="30"/>
          <w:szCs w:val="30"/>
          <w:highlight w:val="none"/>
          <w:lang w:val="en-US" w:eastAsia="zh-CN" w:bidi="ar-SA"/>
        </w:rPr>
      </w:pPr>
      <w:r>
        <w:rPr>
          <w:rFonts w:hint="default" w:ascii="宋体" w:hAnsi="宋体" w:eastAsia="宋体" w:cs="Times New Roman"/>
          <w:color w:val="000000"/>
          <w:sz w:val="30"/>
          <w:szCs w:val="30"/>
          <w:highlight w:val="none"/>
          <w:lang w:val="en-US" w:eastAsia="zh-CN" w:bidi="ar-SA"/>
        </w:rPr>
      </w:r>
      <w:r/>
    </w:p>
    <w:p>
      <w:pPr>
        <w:jc w:val="both"/>
        <w:widowControl w:val="off"/>
        <w:rPr>
          <w:rFonts w:hint="default" w:ascii="宋体" w:hAnsi="宋体" w:eastAsia="宋体" w:cs="Times New Roman"/>
          <w:color w:val="000000"/>
          <w:sz w:val="30"/>
          <w:szCs w:val="30"/>
          <w:highlight w:val="none"/>
          <w:lang w:val="en-US" w:eastAsia="zh-CN" w:bidi="ar-SA"/>
        </w:rPr>
      </w:pPr>
      <w:r>
        <w:rPr>
          <w:rFonts w:hint="default" w:ascii="宋体" w:hAnsi="宋体" w:eastAsia="宋体" w:cs="Times New Roman"/>
          <w:color w:val="000000"/>
          <w:sz w:val="30"/>
          <w:szCs w:val="30"/>
          <w:highlight w:val="none"/>
          <w:lang w:val="en-US" w:eastAsia="zh-CN" w:bidi="ar-SA"/>
        </w:rPr>
      </w:r>
      <w:r/>
    </w:p>
    <w:p>
      <w:pPr>
        <w:jc w:val="left"/>
        <w:widowControl w:val="off"/>
        <w:rPr>
          <w:rFonts w:hint="default" w:ascii="宋体" w:hAnsi="Times New Roman" w:eastAsia="Times New Roman" w:cs="Times New Roman"/>
          <w:sz w:val="18"/>
          <w:szCs w:val="18"/>
          <w:highlight w:val="none"/>
          <w:lang w:val="en-US" w:eastAsia="zh-CN" w:bidi="ar-SA"/>
        </w:rPr>
      </w:pPr>
      <w:r>
        <w:rPr>
          <w:rFonts w:hint="default" w:ascii="宋体" w:hAnsi="Times New Roman" w:eastAsia="Times New Roman" w:cs="Times New Roman"/>
          <w:sz w:val="18"/>
          <w:szCs w:val="18"/>
          <w:highlight w:val="none"/>
          <w:lang w:val="en-US" w:eastAsia="zh-CN" w:bidi="ar-SA"/>
        </w:rPr>
      </w:r>
      <w:r/>
    </w:p>
    <w:p>
      <w:pPr>
        <w:ind w:firstLine="2100"/>
        <w:jc w:val="both"/>
        <w:spacing w:line="360" w:lineRule="auto"/>
        <w:widowControl w:val="off"/>
        <w:rPr>
          <w:rFonts w:hint="default" w:ascii="宋体" w:hAnsi="宋体" w:eastAsia="宋体" w:cs="Times New Roman"/>
          <w:sz w:val="30"/>
          <w:szCs w:val="30"/>
          <w:highlight w:val="none"/>
          <w:lang w:val="en-US" w:eastAsia="zh-CN" w:bidi="ar-SA"/>
        </w:rPr>
      </w:pPr>
      <w:r>
        <w:rPr>
          <w:rFonts w:hint="default" w:ascii="宋体" w:hAnsi="宋体" w:eastAsia="宋体" w:cs="Times New Roman"/>
          <w:sz w:val="30"/>
          <w:szCs w:val="30"/>
          <w:highlight w:val="none"/>
          <w:lang w:val="en-US" w:eastAsia="zh-CN" w:bidi="ar-SA"/>
        </w:rPr>
      </w:r>
      <w:r/>
    </w:p>
    <w:p>
      <w:pPr>
        <w:ind w:firstLine="1200"/>
        <w:jc w:val="both"/>
        <w:spacing w:line="360" w:lineRule="auto"/>
        <w:widowControl w:val="off"/>
        <w:rPr>
          <w:rFonts w:hint="eastAsia" w:ascii="宋体" w:hAnsi="宋体" w:eastAsia="宋体" w:cs="Times New Roman"/>
          <w:color w:val="auto"/>
          <w:sz w:val="30"/>
          <w:szCs w:val="30"/>
          <w:highlight w:val="none"/>
          <w:lang w:val="en-US" w:eastAsia="zh-CN" w:bidi="ar-SA"/>
        </w:rPr>
      </w:pPr>
      <w:r/>
      <w:bookmarkStart w:id="0" w:name="OLE_LINK2"/>
      <w:r>
        <w:rPr>
          <w:rFonts w:hint="eastAsia" w:ascii="宋体" w:hAnsi="宋体" w:eastAsia="宋体" w:cs="Times New Roman"/>
          <w:color w:val="auto"/>
          <w:sz w:val="30"/>
          <w:szCs w:val="30"/>
          <w:highlight w:val="none"/>
          <w:lang w:val="en-US" w:eastAsia="zh-CN" w:bidi="ar-SA"/>
        </w:rPr>
        <w:t xml:space="preserve">项目名称：</w:t>
      </w:r>
      <w:bookmarkEnd w:id="0"/>
      <w:r>
        <w:rPr>
          <w:rFonts w:hint="eastAsia" w:ascii="宋体" w:hAnsi="宋体" w:eastAsia="宋体" w:cs="Times New Roman"/>
          <w:color w:val="auto"/>
          <w:sz w:val="30"/>
          <w:szCs w:val="30"/>
          <w:highlight w:val="none"/>
          <w:lang w:val="en-US" w:eastAsia="zh-CN" w:bidi="ar-SA"/>
        </w:rPr>
        <w:t xml:space="preserve">徐州市公安局数据中心维保项目</w:t>
      </w:r>
      <w:r/>
    </w:p>
    <w:p>
      <w:pPr>
        <w:ind w:firstLine="1200"/>
        <w:jc w:val="both"/>
        <w:spacing w:line="360" w:lineRule="auto"/>
        <w:widowControl w:val="off"/>
        <w:rPr>
          <w:rFonts w:hint="eastAsia" w:ascii="宋体" w:hAnsi="宋体" w:eastAsia="宋体" w:cs="Times New Roman"/>
          <w:color w:val="auto"/>
          <w:sz w:val="30"/>
          <w:szCs w:val="30"/>
          <w:highlight w:val="none"/>
          <w:lang w:val="en-US" w:eastAsia="zh-CN" w:bidi="ar-SA"/>
        </w:rPr>
      </w:pPr>
      <w:r>
        <w:rPr>
          <w:rFonts w:hint="eastAsia" w:ascii="宋体" w:hAnsi="宋体" w:eastAsia="宋体" w:cs="Times New Roman"/>
          <w:color w:val="auto"/>
          <w:sz w:val="30"/>
          <w:szCs w:val="30"/>
          <w:highlight w:val="none"/>
          <w:lang w:val="en-US" w:eastAsia="zh-CN" w:bidi="ar-SA"/>
        </w:rPr>
        <w:t xml:space="preserve">项目编号：</w:t>
      </w:r>
      <w:r>
        <w:rPr>
          <w:rFonts w:hint="eastAsia" w:ascii="宋体" w:hAnsi="宋体" w:cs="Times New Roman"/>
          <w:color w:val="auto"/>
          <w:sz w:val="30"/>
          <w:szCs w:val="30"/>
          <w:highlight w:val="none"/>
          <w:lang w:val="en-US" w:eastAsia="zh-CN" w:bidi="ar-SA"/>
        </w:rPr>
        <w:t xml:space="preserve">JSZC-320300-JSDZ-G2026-0058</w:t>
      </w:r>
      <w:r/>
    </w:p>
    <w:p>
      <w:pPr>
        <w:ind w:firstLine="1200"/>
        <w:jc w:val="both"/>
        <w:spacing w:line="360" w:lineRule="auto"/>
        <w:widowControl w:val="off"/>
        <w:rPr>
          <w:rFonts w:hint="eastAsia" w:ascii="宋体" w:hAnsi="宋体" w:eastAsia="宋体" w:cs="Times New Roman"/>
          <w:sz w:val="30"/>
          <w:szCs w:val="30"/>
          <w:highlight w:val="none"/>
          <w:lang w:val="en-US" w:eastAsia="zh-CN" w:bidi="ar-SA"/>
        </w:rPr>
      </w:pPr>
      <w:r>
        <w:rPr>
          <w:rFonts w:hint="default" w:ascii="宋体" w:hAnsi="宋体" w:eastAsia="宋体" w:cs="Times New Roman"/>
          <w:sz w:val="30"/>
          <w:szCs w:val="30"/>
          <w:highlight w:val="none"/>
          <w:lang w:val="en-US" w:eastAsia="zh-CN" w:bidi="ar-SA"/>
        </w:rPr>
        <w:t xml:space="preserve">采 购 人：</w:t>
      </w:r>
      <w:r>
        <w:rPr>
          <w:rFonts w:hint="eastAsia" w:ascii="宋体" w:hAnsi="宋体" w:eastAsia="宋体" w:cs="Times New Roman"/>
          <w:sz w:val="30"/>
          <w:szCs w:val="30"/>
          <w:highlight w:val="none"/>
          <w:lang w:val="en-US" w:eastAsia="zh-CN" w:bidi="ar-SA"/>
        </w:rPr>
        <w:t xml:space="preserve">徐州市公安局</w:t>
      </w:r>
      <w:r/>
    </w:p>
    <w:p>
      <w:pPr>
        <w:jc w:val="center"/>
        <w:spacing w:line="360" w:lineRule="auto"/>
        <w:rPr>
          <w:rFonts w:hint="eastAsia" w:ascii="宋体" w:hAnsi="宋体" w:cs="宋体"/>
          <w:sz w:val="30"/>
          <w:szCs w:val="30"/>
          <w:highlight w:val="none"/>
        </w:rPr>
      </w:pPr>
      <w:r>
        <w:rPr>
          <w:rFonts w:hint="eastAsia" w:ascii="宋体" w:hAnsi="宋体" w:cs="宋体"/>
          <w:sz w:val="30"/>
          <w:szCs w:val="30"/>
          <w:highlight w:val="none"/>
        </w:rPr>
      </w:r>
      <w:r/>
    </w:p>
    <w:p>
      <w:pPr>
        <w:pStyle w:val="716"/>
        <w:rPr>
          <w:rFonts w:hint="eastAsia" w:ascii="宋体" w:hAnsi="宋体" w:cs="宋体"/>
          <w:sz w:val="30"/>
          <w:szCs w:val="30"/>
          <w:highlight w:val="none"/>
        </w:rPr>
      </w:pPr>
      <w:r>
        <w:rPr>
          <w:rFonts w:hint="eastAsia" w:ascii="宋体" w:hAnsi="宋体" w:cs="宋体"/>
          <w:sz w:val="30"/>
          <w:szCs w:val="30"/>
          <w:highlight w:val="none"/>
        </w:rPr>
      </w:r>
      <w:r/>
    </w:p>
    <w:p>
      <w:pPr>
        <w:pStyle w:val="716"/>
        <w:rPr>
          <w:rFonts w:hint="eastAsia" w:ascii="宋体" w:hAnsi="宋体" w:cs="宋体"/>
          <w:sz w:val="30"/>
          <w:szCs w:val="30"/>
          <w:highlight w:val="none"/>
        </w:rPr>
      </w:pPr>
      <w:r>
        <w:rPr>
          <w:rFonts w:hint="eastAsia" w:ascii="宋体" w:hAnsi="宋体" w:cs="宋体"/>
          <w:sz w:val="30"/>
          <w:szCs w:val="30"/>
          <w:highlight w:val="none"/>
        </w:rPr>
      </w:r>
      <w:r/>
    </w:p>
    <w:p>
      <w:pPr>
        <w:pStyle w:val="716"/>
        <w:rPr>
          <w:rFonts w:hint="eastAsia" w:ascii="宋体" w:hAnsi="宋体" w:cs="宋体"/>
          <w:sz w:val="30"/>
          <w:szCs w:val="30"/>
          <w:highlight w:val="none"/>
        </w:rPr>
      </w:pPr>
      <w:r>
        <w:rPr>
          <w:rFonts w:hint="eastAsia" w:ascii="宋体" w:hAnsi="宋体" w:cs="宋体"/>
          <w:sz w:val="30"/>
          <w:szCs w:val="30"/>
          <w:highlight w:val="none"/>
        </w:rPr>
      </w:r>
      <w:r/>
    </w:p>
    <w:p>
      <w:pPr>
        <w:pStyle w:val="716"/>
        <w:rPr>
          <w:rFonts w:hint="eastAsia" w:ascii="宋体" w:hAnsi="宋体" w:cs="宋体"/>
          <w:sz w:val="30"/>
          <w:szCs w:val="30"/>
          <w:highlight w:val="none"/>
        </w:rPr>
      </w:pPr>
      <w:r>
        <w:rPr>
          <w:rFonts w:hint="eastAsia" w:ascii="宋体" w:hAnsi="宋体" w:cs="宋体"/>
          <w:sz w:val="30"/>
          <w:szCs w:val="30"/>
          <w:highlight w:val="none"/>
        </w:rPr>
      </w:r>
      <w:r/>
    </w:p>
    <w:p>
      <w:pPr>
        <w:pStyle w:val="716"/>
        <w:rPr>
          <w:rFonts w:hint="eastAsia" w:ascii="宋体" w:hAnsi="宋体" w:cs="宋体"/>
          <w:sz w:val="30"/>
          <w:szCs w:val="30"/>
          <w:highlight w:val="none"/>
        </w:rPr>
      </w:pPr>
      <w:r>
        <w:rPr>
          <w:rFonts w:hint="eastAsia" w:ascii="宋体" w:hAnsi="宋体" w:cs="宋体"/>
          <w:sz w:val="30"/>
          <w:szCs w:val="30"/>
          <w:highlight w:val="none"/>
        </w:rPr>
      </w:r>
      <w:r/>
    </w:p>
    <w:p>
      <w:pPr>
        <w:jc w:val="center"/>
        <w:spacing w:line="360" w:lineRule="auto"/>
        <w:rPr>
          <w:rFonts w:hint="eastAsia" w:ascii="宋体" w:hAnsi="宋体" w:eastAsia="宋体" w:cs="宋体"/>
          <w:sz w:val="30"/>
          <w:szCs w:val="30"/>
          <w:highlight w:val="none"/>
          <w:lang w:eastAsia="zh-CN"/>
        </w:rPr>
      </w:pPr>
      <w:r>
        <w:rPr>
          <w:rFonts w:hint="eastAsia" w:ascii="宋体" w:hAnsi="宋体" w:cs="宋体"/>
          <w:sz w:val="30"/>
          <w:szCs w:val="30"/>
          <w:highlight w:val="none"/>
        </w:rPr>
        <w:t xml:space="preserve">采购代理机构：</w:t>
      </w:r>
      <w:r>
        <w:rPr>
          <w:rFonts w:hint="eastAsia" w:ascii="宋体" w:hAnsi="宋体" w:cs="宋体"/>
          <w:sz w:val="30"/>
          <w:szCs w:val="30"/>
          <w:highlight w:val="none"/>
          <w:lang w:eastAsia="zh-CN"/>
        </w:rPr>
        <w:t xml:space="preserve">大洲设计咨询集团有限公司</w:t>
      </w:r>
      <w:r/>
    </w:p>
    <w:p>
      <w:pPr>
        <w:pStyle w:val="888"/>
        <w:ind w:firstLine="0"/>
        <w:jc w:val="cente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二〇二六年</w:t>
      </w:r>
      <w:r>
        <w:rPr>
          <w:rFonts w:hint="eastAsia" w:ascii="宋体" w:hAnsi="宋体" w:cs="宋体"/>
          <w:sz w:val="30"/>
          <w:szCs w:val="30"/>
          <w:highlight w:val="none"/>
          <w:lang w:val="en-US" w:eastAsia="zh-CN"/>
        </w:rPr>
        <w:t xml:space="preserve">七</w:t>
      </w:r>
      <w:r>
        <w:rPr>
          <w:rFonts w:hint="eastAsia" w:ascii="宋体" w:hAnsi="宋体" w:cs="宋体"/>
          <w:sz w:val="30"/>
          <w:szCs w:val="30"/>
          <w:highlight w:val="none"/>
        </w:rPr>
        <w:t xml:space="preserve">月</w:t>
      </w:r>
      <w:r/>
    </w:p>
    <w:p>
      <w:pPr>
        <w:jc w:val="center"/>
        <w:widowControl/>
        <w:rPr>
          <w:rFonts w:hint="eastAsia" w:ascii="宋体" w:hAnsi="宋体" w:cs="宋体"/>
          <w:b/>
          <w:sz w:val="44"/>
          <w:highlight w:val="none"/>
        </w:rPr>
        <w:sectPr>
          <w:headerReference w:type="default" r:id="rId9"/>
          <w:footnotePr/>
          <w:endnotePr/>
          <w:type w:val="nextPage"/>
          <w:pgSz w:w="11906" w:h="16838" w:orient="portrait"/>
          <w:pgMar w:top="851" w:right="1702" w:bottom="851" w:left="1804" w:header="851" w:footer="992" w:gutter="0"/>
          <w:pgNumType w:start="1"/>
          <w:cols w:num="1" w:sep="0" w:space="1701" w:equalWidth="1"/>
          <w:docGrid w:linePitch="360"/>
        </w:sectPr>
      </w:pPr>
      <w:r>
        <w:rPr>
          <w:rFonts w:hint="eastAsia" w:ascii="宋体" w:hAnsi="宋体" w:cs="宋体"/>
          <w:b/>
          <w:sz w:val="44"/>
          <w:highlight w:val="none"/>
        </w:rPr>
      </w:r>
      <w:r/>
    </w:p>
    <w:p>
      <w:pPr>
        <w:jc w:val="center"/>
        <w:widowControl/>
        <w:rPr>
          <w:rFonts w:hint="eastAsia" w:ascii="宋体" w:hAnsi="宋体" w:cs="宋体"/>
          <w:b/>
          <w:sz w:val="44"/>
          <w:highlight w:val="none"/>
        </w:rPr>
      </w:pPr>
      <w:r>
        <w:rPr>
          <w:rFonts w:hint="eastAsia" w:ascii="宋体" w:hAnsi="宋体" w:cs="宋体"/>
          <w:b/>
          <w:sz w:val="44"/>
          <w:highlight w:val="none"/>
        </w:rPr>
        <w:t xml:space="preserve">目录</w:t>
      </w:r>
      <w:r/>
    </w:p>
    <w:p>
      <w:pPr>
        <w:jc w:val="center"/>
        <w:spacing w:line="520" w:lineRule="exact"/>
        <w:rPr>
          <w:rFonts w:hint="eastAsia" w:ascii="宋体" w:hAnsi="宋体" w:cs="宋体"/>
          <w:b/>
          <w:sz w:val="44"/>
          <w:szCs w:val="44"/>
          <w:highlight w:val="none"/>
        </w:rPr>
      </w:pPr>
      <w:r/>
      <w:bookmarkStart w:id="1" w:name="_Toc522790130"/>
      <w:r/>
      <w:r/>
    </w:p>
    <w:p>
      <w:pPr>
        <w:pStyle w:val="903"/>
        <w:tabs>
          <w:tab w:val="right" w:pos="8400" w:leader="dot"/>
        </w:tabs>
        <w:rPr>
          <w:rFonts w:hint="eastAsia" w:ascii="宋体" w:hAnsi="宋体" w:cs="宋体"/>
          <w:sz w:val="28"/>
          <w:szCs w:val="28"/>
          <w:highlight w:val="none"/>
        </w:rPr>
      </w:pPr>
      <w:r>
        <w:rPr>
          <w:rFonts w:hint="eastAsia" w:ascii="宋体" w:hAnsi="宋体" w:cs="宋体"/>
          <w:b/>
          <w:sz w:val="28"/>
          <w:szCs w:val="28"/>
          <w:highlight w:val="none"/>
        </w:rPr>
        <w:fldChar w:fldCharType="begin"/>
      </w:r>
      <w:r>
        <w:rPr>
          <w:rFonts w:hint="eastAsia" w:ascii="宋体" w:hAnsi="宋体" w:cs="宋体"/>
          <w:b/>
          <w:sz w:val="28"/>
          <w:szCs w:val="28"/>
          <w:highlight w:val="none"/>
        </w:rPr>
        <w:instrText xml:space="preserve"> TOC \o "1-3" \h \z \u </w:instrText>
      </w:r>
      <w:r>
        <w:rPr>
          <w:rFonts w:hint="eastAsia" w:ascii="宋体" w:hAnsi="宋体" w:cs="宋体"/>
          <w:b/>
          <w:sz w:val="28"/>
          <w:szCs w:val="28"/>
          <w:highlight w:val="none"/>
        </w:rPr>
        <w:fldChar w:fldCharType="separate"/>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HYPERLINK \l _Toc9829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第一章</w:t>
      </w:r>
      <w:r>
        <w:rPr>
          <w:rFonts w:hint="eastAsia" w:ascii="宋体" w:hAnsi="宋体" w:cs="宋体"/>
          <w:sz w:val="28"/>
          <w:szCs w:val="28"/>
          <w:highlight w:val="none"/>
          <w:lang w:val="en-US" w:eastAsia="zh-CN"/>
        </w:rPr>
        <w:t xml:space="preserve"> </w:t>
      </w:r>
      <w:r>
        <w:rPr>
          <w:rFonts w:hint="eastAsia" w:ascii="宋体" w:hAnsi="宋体" w:cs="宋体"/>
          <w:sz w:val="28"/>
          <w:szCs w:val="28"/>
          <w:highlight w:val="none"/>
        </w:rPr>
        <w:t xml:space="preserve">投标邀请</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_Toc9829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2</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r/>
    </w:p>
    <w:p>
      <w:pPr>
        <w:pStyle w:val="903"/>
        <w:tabs>
          <w:tab w:val="right" w:pos="8400" w:leader="dot"/>
        </w:tabs>
        <w:rPr>
          <w:rFonts w:hint="eastAsia" w:ascii="宋体" w:hAnsi="宋体" w:cs="宋体"/>
          <w:sz w:val="28"/>
          <w:szCs w:val="28"/>
          <w:highlight w:val="none"/>
        </w:rPr>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HYPERLINK \l _Toc28608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第二章</w:t>
      </w:r>
      <w:r>
        <w:rPr>
          <w:rFonts w:hint="eastAsia" w:ascii="宋体" w:hAnsi="宋体" w:cs="宋体"/>
          <w:sz w:val="28"/>
          <w:szCs w:val="28"/>
          <w:highlight w:val="none"/>
          <w:lang w:val="en-US" w:eastAsia="zh-CN"/>
        </w:rPr>
        <w:t xml:space="preserve"> </w:t>
      </w:r>
      <w:r>
        <w:rPr>
          <w:rFonts w:hint="eastAsia" w:ascii="宋体" w:hAnsi="宋体" w:cs="宋体"/>
          <w:sz w:val="28"/>
          <w:szCs w:val="28"/>
          <w:highlight w:val="none"/>
        </w:rPr>
        <w:t xml:space="preserve">投标人须知</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_Toc28608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4</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r/>
    </w:p>
    <w:p>
      <w:pPr>
        <w:pStyle w:val="903"/>
        <w:tabs>
          <w:tab w:val="right" w:pos="8400" w:leader="dot"/>
        </w:tabs>
        <w:rPr>
          <w:rFonts w:hint="eastAsia" w:ascii="宋体" w:hAnsi="宋体" w:cs="宋体"/>
          <w:sz w:val="28"/>
          <w:szCs w:val="28"/>
          <w:highlight w:val="none"/>
        </w:rPr>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HYPERLINK \l _Toc5487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第三章</w:t>
      </w:r>
      <w:r>
        <w:rPr>
          <w:rFonts w:hint="eastAsia" w:ascii="宋体" w:hAnsi="宋体" w:cs="宋体"/>
          <w:sz w:val="28"/>
          <w:szCs w:val="28"/>
          <w:highlight w:val="none"/>
          <w:lang w:val="en-US" w:eastAsia="zh-CN"/>
        </w:rPr>
        <w:t xml:space="preserve"> </w:t>
      </w:r>
      <w:r>
        <w:rPr>
          <w:rFonts w:hint="eastAsia" w:ascii="宋体" w:hAnsi="宋体" w:cs="宋体"/>
          <w:sz w:val="28"/>
          <w:szCs w:val="28"/>
          <w:highlight w:val="none"/>
        </w:rPr>
        <w:t xml:space="preserve">投标资料表</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_Toc5487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16</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r/>
    </w:p>
    <w:p>
      <w:pPr>
        <w:pStyle w:val="903"/>
        <w:tabs>
          <w:tab w:val="right" w:pos="8400" w:leader="dot"/>
        </w:tabs>
        <w:rPr>
          <w:rFonts w:hint="eastAsia" w:ascii="宋体" w:hAnsi="宋体" w:cs="宋体"/>
          <w:sz w:val="28"/>
          <w:szCs w:val="28"/>
          <w:highlight w:val="none"/>
        </w:rPr>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HYPERLINK \l _Toc3982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第四章</w:t>
      </w:r>
      <w:r>
        <w:rPr>
          <w:rFonts w:hint="eastAsia" w:ascii="宋体" w:hAnsi="宋体" w:cs="宋体"/>
          <w:sz w:val="28"/>
          <w:szCs w:val="28"/>
          <w:highlight w:val="none"/>
          <w:lang w:val="en-US" w:eastAsia="zh-CN"/>
        </w:rPr>
        <w:t xml:space="preserve"> </w:t>
      </w:r>
      <w:r>
        <w:rPr>
          <w:rFonts w:hint="eastAsia" w:ascii="宋体" w:hAnsi="宋体" w:cs="宋体"/>
          <w:sz w:val="28"/>
          <w:szCs w:val="28"/>
          <w:highlight w:val="none"/>
        </w:rPr>
        <w:t xml:space="preserve">评标标准</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_Toc3982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25</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r/>
    </w:p>
    <w:p>
      <w:pPr>
        <w:pStyle w:val="903"/>
        <w:tabs>
          <w:tab w:val="right" w:pos="8400" w:leader="dot"/>
        </w:tabs>
        <w:rPr>
          <w:rFonts w:hint="eastAsia" w:ascii="宋体" w:hAnsi="宋体" w:eastAsia="宋体" w:cs="宋体"/>
          <w:sz w:val="28"/>
          <w:szCs w:val="28"/>
          <w:highlight w:val="none"/>
          <w:lang w:val="en-US" w:eastAsia="zh-CN"/>
        </w:rPr>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HYPERLINK \l _Toc20062 </w:instrText>
      </w:r>
      <w:r>
        <w:rPr>
          <w:rFonts w:hint="eastAsia" w:ascii="宋体" w:hAnsi="宋体" w:cs="宋体"/>
          <w:sz w:val="28"/>
          <w:szCs w:val="28"/>
          <w:highlight w:val="none"/>
        </w:rPr>
        <w:fldChar w:fldCharType="separate"/>
      </w:r>
      <w:r>
        <w:rPr>
          <w:rFonts w:hint="eastAsia" w:ascii="宋体" w:hAnsi="宋体" w:cs="宋体"/>
          <w:bCs/>
          <w:sz w:val="28"/>
          <w:szCs w:val="28"/>
          <w:highlight w:val="none"/>
        </w:rPr>
        <w:t xml:space="preserve">第五章</w:t>
      </w:r>
      <w:r>
        <w:rPr>
          <w:rFonts w:hint="eastAsia" w:ascii="宋体" w:hAnsi="宋体" w:cs="宋体"/>
          <w:bCs/>
          <w:sz w:val="28"/>
          <w:szCs w:val="28"/>
          <w:highlight w:val="none"/>
          <w:lang w:val="en-US" w:eastAsia="zh-CN"/>
        </w:rPr>
        <w:t xml:space="preserve"> </w:t>
      </w:r>
      <w:r>
        <w:rPr>
          <w:rFonts w:hint="eastAsia" w:ascii="宋体" w:hAnsi="宋体" w:cs="宋体"/>
          <w:bCs/>
          <w:sz w:val="28"/>
          <w:szCs w:val="28"/>
          <w:highlight w:val="none"/>
        </w:rPr>
        <w:t xml:space="preserve">拟签订的合同文本</w:t>
      </w:r>
      <w:r>
        <w:rPr>
          <w:rFonts w:hint="eastAsia" w:ascii="宋体" w:hAnsi="宋体" w:cs="宋体"/>
          <w:sz w:val="28"/>
          <w:szCs w:val="28"/>
          <w:highlight w:val="none"/>
        </w:rPr>
        <w:tab/>
      </w:r>
      <w:r>
        <w:rPr>
          <w:rFonts w:hint="eastAsia" w:ascii="宋体" w:hAnsi="宋体" w:cs="宋体"/>
          <w:sz w:val="28"/>
          <w:szCs w:val="28"/>
          <w:highlight w:val="none"/>
          <w:lang w:val="en-US" w:eastAsia="zh-CN"/>
        </w:rPr>
        <w:t xml:space="preserve">2</w:t>
      </w:r>
      <w:r>
        <w:rPr>
          <w:rFonts w:hint="eastAsia" w:ascii="宋体" w:hAnsi="宋体" w:cs="宋体"/>
          <w:sz w:val="28"/>
          <w:szCs w:val="28"/>
          <w:highlight w:val="none"/>
        </w:rPr>
        <w:fldChar w:fldCharType="end"/>
      </w:r>
      <w:r>
        <w:rPr>
          <w:rFonts w:hint="eastAsia" w:ascii="宋体" w:hAnsi="宋体" w:cs="宋体"/>
          <w:sz w:val="28"/>
          <w:szCs w:val="28"/>
          <w:highlight w:val="none"/>
          <w:lang w:val="en-US" w:eastAsia="zh-CN"/>
        </w:rPr>
        <w:t xml:space="preserve">8</w:t>
      </w:r>
      <w:r/>
    </w:p>
    <w:p>
      <w:pPr>
        <w:pStyle w:val="903"/>
        <w:tabs>
          <w:tab w:val="right" w:pos="8400" w:leader="dot"/>
        </w:tabs>
        <w:rPr>
          <w:rFonts w:hint="eastAsia" w:ascii="宋体" w:hAnsi="宋体" w:eastAsia="宋体" w:cs="宋体"/>
          <w:sz w:val="28"/>
          <w:szCs w:val="28"/>
          <w:highlight w:val="none"/>
          <w:lang w:val="en-US" w:eastAsia="zh-CN"/>
        </w:rPr>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HYPERLINK \l _Toc32344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第六章</w:t>
      </w:r>
      <w:r>
        <w:rPr>
          <w:rFonts w:hint="eastAsia" w:ascii="宋体" w:hAnsi="宋体" w:cs="宋体"/>
          <w:sz w:val="28"/>
          <w:szCs w:val="28"/>
          <w:highlight w:val="none"/>
          <w:lang w:val="en-US" w:eastAsia="zh-CN"/>
        </w:rPr>
        <w:t xml:space="preserve"> </w:t>
      </w:r>
      <w:r>
        <w:rPr>
          <w:rFonts w:hint="eastAsia" w:ascii="宋体" w:hAnsi="宋体" w:cs="宋体"/>
          <w:sz w:val="28"/>
          <w:szCs w:val="28"/>
          <w:highlight w:val="none"/>
        </w:rPr>
        <w:t xml:space="preserve">采购需求</w:t>
      </w:r>
      <w:r>
        <w:rPr>
          <w:rFonts w:hint="eastAsia" w:ascii="宋体" w:hAnsi="宋体" w:cs="宋体"/>
          <w:sz w:val="28"/>
          <w:szCs w:val="28"/>
          <w:highlight w:val="none"/>
        </w:rPr>
        <w:tab/>
      </w:r>
      <w:r>
        <w:rPr>
          <w:rFonts w:hint="eastAsia" w:ascii="宋体" w:hAnsi="宋体" w:cs="宋体"/>
          <w:sz w:val="28"/>
          <w:szCs w:val="28"/>
          <w:highlight w:val="none"/>
          <w:lang w:val="en-US" w:eastAsia="zh-CN"/>
        </w:rPr>
        <w:t xml:space="preserve">4</w:t>
      </w:r>
      <w:r>
        <w:rPr>
          <w:rFonts w:hint="eastAsia" w:ascii="宋体" w:hAnsi="宋体" w:cs="宋体"/>
          <w:sz w:val="28"/>
          <w:szCs w:val="28"/>
          <w:highlight w:val="none"/>
        </w:rPr>
        <w:fldChar w:fldCharType="end"/>
      </w:r>
      <w:r>
        <w:rPr>
          <w:rFonts w:hint="eastAsia" w:ascii="宋体" w:hAnsi="宋体" w:cs="宋体"/>
          <w:sz w:val="28"/>
          <w:szCs w:val="28"/>
          <w:highlight w:val="none"/>
          <w:lang w:val="en-US" w:eastAsia="zh-CN"/>
        </w:rPr>
        <w:t xml:space="preserve">0</w:t>
      </w:r>
      <w:r/>
    </w:p>
    <w:p>
      <w:pPr>
        <w:pStyle w:val="903"/>
        <w:tabs>
          <w:tab w:val="right" w:pos="8400" w:leader="dot"/>
        </w:tabs>
        <w:rPr>
          <w:rFonts w:hint="eastAsia" w:ascii="宋体" w:hAnsi="宋体" w:eastAsia="宋体" w:cs="宋体"/>
          <w:sz w:val="28"/>
          <w:szCs w:val="28"/>
          <w:highlight w:val="none"/>
          <w:lang w:val="en-US" w:eastAsia="zh-CN"/>
        </w:rPr>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HYPERLINK \l _Toc3418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第七章</w:t>
      </w:r>
      <w:r>
        <w:rPr>
          <w:rFonts w:hint="eastAsia" w:ascii="宋体" w:hAnsi="宋体" w:cs="宋体"/>
          <w:sz w:val="28"/>
          <w:szCs w:val="28"/>
          <w:highlight w:val="none"/>
          <w:lang w:val="en-US" w:eastAsia="zh-CN"/>
        </w:rPr>
        <w:t xml:space="preserve"> </w:t>
      </w:r>
      <w:r>
        <w:rPr>
          <w:rFonts w:hint="eastAsia" w:ascii="宋体" w:hAnsi="宋体" w:cs="宋体"/>
          <w:sz w:val="28"/>
          <w:szCs w:val="28"/>
          <w:highlight w:val="none"/>
        </w:rPr>
        <w:t xml:space="preserve">投标文件相关格式</w:t>
      </w:r>
      <w:r>
        <w:rPr>
          <w:rFonts w:hint="eastAsia" w:ascii="宋体" w:hAnsi="宋体" w:cs="宋体"/>
          <w:sz w:val="28"/>
          <w:szCs w:val="28"/>
          <w:highlight w:val="none"/>
        </w:rPr>
        <w:tab/>
      </w:r>
      <w:r>
        <w:rPr>
          <w:rFonts w:hint="eastAsia" w:ascii="宋体" w:hAnsi="宋体" w:cs="宋体"/>
          <w:sz w:val="28"/>
          <w:szCs w:val="28"/>
          <w:highlight w:val="none"/>
          <w:lang w:val="en-US" w:eastAsia="zh-CN"/>
        </w:rPr>
        <w:t xml:space="preserve">5</w:t>
      </w:r>
      <w:r>
        <w:rPr>
          <w:rFonts w:hint="eastAsia" w:ascii="宋体" w:hAnsi="宋体" w:cs="宋体"/>
          <w:sz w:val="28"/>
          <w:szCs w:val="28"/>
          <w:highlight w:val="none"/>
        </w:rPr>
        <w:fldChar w:fldCharType="end"/>
      </w:r>
      <w:r>
        <w:rPr>
          <w:rFonts w:hint="eastAsia" w:ascii="宋体" w:hAnsi="宋体" w:cs="宋体"/>
          <w:sz w:val="28"/>
          <w:szCs w:val="28"/>
          <w:highlight w:val="none"/>
          <w:lang w:val="en-US" w:eastAsia="zh-CN"/>
        </w:rPr>
        <w:t xml:space="preserve">6</w:t>
      </w:r>
      <w:r/>
    </w:p>
    <w:p>
      <w:pPr>
        <w:jc w:val="center"/>
        <w:spacing w:line="520" w:lineRule="exact"/>
        <w:rPr>
          <w:rFonts w:hint="eastAsia" w:ascii="宋体" w:hAnsi="宋体" w:cs="宋体"/>
          <w:b/>
          <w:sz w:val="28"/>
          <w:szCs w:val="28"/>
          <w:highlight w:val="none"/>
        </w:rPr>
      </w:pPr>
      <w:r>
        <w:rPr>
          <w:rFonts w:hint="eastAsia" w:ascii="宋体" w:hAnsi="宋体" w:cs="宋体"/>
          <w:sz w:val="28"/>
          <w:szCs w:val="28"/>
          <w:highlight w:val="none"/>
        </w:rPr>
        <w:fldChar w:fldCharType="end"/>
      </w:r>
      <w:r/>
    </w:p>
    <w:p>
      <w:pPr>
        <w:jc w:val="center"/>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jc w:val="center"/>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jc w:val="center"/>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jc w:val="center"/>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jc w:val="center"/>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jc w:val="center"/>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jc w:val="center"/>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jc w:val="center"/>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jc w:val="center"/>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jc w:val="center"/>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jc w:val="center"/>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jc w:val="center"/>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jc w:val="center"/>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jc w:val="center"/>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jc w:val="center"/>
        <w:widowControl/>
        <w:rPr>
          <w:rFonts w:hint="eastAsia" w:ascii="宋体" w:hAnsi="宋体" w:eastAsia="宋体" w:cs="宋体"/>
          <w:b/>
          <w:sz w:val="32"/>
          <w:szCs w:val="32"/>
          <w:highlight w:val="none"/>
          <w:lang w:eastAsia="zh-CN"/>
        </w:rPr>
      </w:pPr>
      <w:r>
        <w:rPr>
          <w:rFonts w:hint="eastAsia" w:ascii="宋体" w:hAnsi="宋体" w:cs="宋体"/>
          <w:b/>
          <w:sz w:val="44"/>
          <w:szCs w:val="44"/>
          <w:highlight w:val="none"/>
        </w:rPr>
        <w:br w:type="page" w:clear="all"/>
      </w:r>
      <w:r>
        <w:rPr>
          <w:rFonts w:hint="eastAsia" w:ascii="宋体" w:hAnsi="宋体" w:eastAsia="宋体" w:cs="宋体"/>
          <w:b/>
          <w:sz w:val="32"/>
          <w:szCs w:val="32"/>
          <w:highlight w:val="none"/>
          <w:lang w:eastAsia="zh-CN"/>
        </w:rPr>
        <w:t xml:space="preserve">徐州市公安局</w:t>
      </w:r>
      <w:r/>
    </w:p>
    <w:p>
      <w:pPr>
        <w:jc w:val="center"/>
        <w:spacing w:line="52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w:t>
      </w:r>
      <w:r>
        <w:rPr>
          <w:rFonts w:hint="eastAsia" w:ascii="宋体" w:hAnsi="宋体" w:eastAsia="宋体" w:cs="宋体"/>
          <w:b/>
          <w:sz w:val="32"/>
          <w:szCs w:val="32"/>
          <w:highlight w:val="none"/>
          <w:lang w:eastAsia="zh-CN"/>
        </w:rPr>
        <w:t xml:space="preserve">徐州市公安局数据中心维保项目</w:t>
      </w:r>
      <w:r>
        <w:rPr>
          <w:rFonts w:hint="eastAsia" w:ascii="宋体" w:hAnsi="宋体" w:eastAsia="宋体" w:cs="宋体"/>
          <w:b/>
          <w:sz w:val="32"/>
          <w:szCs w:val="32"/>
          <w:highlight w:val="none"/>
        </w:rPr>
        <w:t xml:space="preserve">项目》招标文件</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6"/>
        <w:spacing w:line="520" w:lineRule="exact"/>
        <w:rPr>
          <w:rFonts w:hint="eastAsia" w:ascii="宋体" w:hAnsi="宋体" w:eastAsia="宋体" w:cs="宋体"/>
          <w:sz w:val="24"/>
          <w:szCs w:val="24"/>
          <w:highlight w:val="none"/>
        </w:rPr>
      </w:pPr>
      <w:r/>
      <w:bookmarkStart w:id="2" w:name="_Toc9829"/>
      <w:r>
        <w:rPr>
          <w:rFonts w:hint="eastAsia" w:ascii="宋体" w:hAnsi="宋体" w:eastAsia="宋体" w:cs="宋体"/>
          <w:sz w:val="24"/>
          <w:szCs w:val="24"/>
          <w:highlight w:val="none"/>
        </w:rPr>
        <w:t xml:space="preserve">第一章</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投标邀请</w:t>
      </w:r>
      <w:bookmarkEnd w:id="2"/>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大洲设计咨询集团有限公司</w:t>
      </w:r>
      <w:r>
        <w:rPr>
          <w:rFonts w:hint="eastAsia" w:ascii="宋体" w:hAnsi="宋体" w:eastAsia="宋体" w:cs="宋体"/>
          <w:sz w:val="24"/>
          <w:szCs w:val="24"/>
          <w:highlight w:val="none"/>
        </w:rPr>
        <w:t xml:space="preserve">对</w:t>
      </w:r>
      <w:r>
        <w:rPr>
          <w:rFonts w:hint="eastAsia" w:ascii="宋体" w:hAnsi="宋体" w:eastAsia="宋体" w:cs="宋体"/>
          <w:sz w:val="24"/>
          <w:szCs w:val="24"/>
          <w:highlight w:val="none"/>
          <w:lang w:eastAsia="zh-CN"/>
        </w:rPr>
        <w:t xml:space="preserve">徐州市公安局</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徐州市公安局数据中心维保项目</w:t>
      </w:r>
      <w:r>
        <w:rPr>
          <w:rFonts w:hint="eastAsia" w:ascii="宋体" w:hAnsi="宋体" w:eastAsia="宋体" w:cs="宋体"/>
          <w:sz w:val="24"/>
          <w:szCs w:val="24"/>
          <w:highlight w:val="none"/>
        </w:rPr>
        <w:t xml:space="preserve">”进行公开招标采购，现邀请符合相关条件的供应商投标。</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一、项目名称和项目编号</w:t>
      </w:r>
      <w:r/>
    </w:p>
    <w:p>
      <w:pPr>
        <w:ind w:firstLine="600"/>
        <w:spacing w:line="52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(一)项目名称：</w:t>
      </w:r>
      <w:r>
        <w:rPr>
          <w:rFonts w:hint="eastAsia" w:ascii="宋体" w:hAnsi="宋体" w:eastAsia="宋体" w:cs="宋体"/>
          <w:sz w:val="24"/>
          <w:szCs w:val="24"/>
          <w:highlight w:val="none"/>
          <w:lang w:eastAsia="zh-CN"/>
        </w:rPr>
        <w:t xml:space="preserve">徐州市公安局数据中心维保项目</w:t>
      </w:r>
      <w:r/>
    </w:p>
    <w:p>
      <w:pPr>
        <w:ind w:firstLine="600"/>
        <w:spacing w:line="52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(二)项目编号：</w:t>
      </w:r>
      <w:r>
        <w:rPr>
          <w:rFonts w:hint="eastAsia" w:ascii="宋体" w:hAnsi="宋体" w:cs="宋体"/>
          <w:sz w:val="24"/>
          <w:szCs w:val="24"/>
          <w:highlight w:val="none"/>
          <w:lang w:eastAsia="zh-CN"/>
        </w:rPr>
        <w:t xml:space="preserve">JSZC-320300-JSDZ-G2026-0058</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二、对投标人的资格要求</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详见本项目公开招标公告。</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三、获取招标文件</w:t>
      </w:r>
      <w:bookmarkEnd w:id="1"/>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（1）潜在供应商访问电子招标投标交易平台的网络地址和方法：</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①登录http://jszfcg.jsczt.cn/，或进入徐州政府采购网，点击“苏采云”进入系统。</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②“CA数字证书”的获取：</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需办理CA锁，“苏采云”系统目前仅支持“苏采云”系统下的政务CA，省内各地区办理的“苏采云”系统下的政务CA全省通用。“CA数字证书”的办理材料详见“徐州政府采购网-办事指南-相关服务-资料下载”中的《“苏采云”系统政务CA办理材料、操作手册及控件下载》。</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（2）采购代理机构将数据电文形式的招标文件加载至电子招标投标交易平台，供潜在供应商下载或者查阅。</w:t>
      </w:r>
      <w:r/>
    </w:p>
    <w:p>
      <w:pPr>
        <w:ind w:firstLine="600"/>
        <w:spacing w:line="52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（3）售价：免费。</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特别说明：“招标文件提供期限”后仍可以下载招标文件，“招标文件提供期限”后下载的招标文件，视为非有效方式且不作为供应商权益受到损害的证明材料和依据。</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四、提交投标文件截止时间、开标时间和地点</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（一）投标截止时间：2026年08</w:t>
      </w:r>
      <w:r>
        <w:rPr>
          <w:rFonts w:hint="eastAsia" w:ascii="宋体" w:hAnsi="宋体" w:eastAsia="宋体" w:cs="宋体"/>
          <w:sz w:val="24"/>
          <w:szCs w:val="24"/>
          <w:highlight w:val="none"/>
          <w:lang w:val="en-US" w:eastAsia="zh-CN"/>
        </w:rPr>
        <w:t xml:space="preserve">月27日</w:t>
      </w:r>
      <w:r>
        <w:rPr>
          <w:rFonts w:hint="eastAsia" w:ascii="宋体" w:hAnsi="宋体" w:eastAsia="宋体" w:cs="宋体"/>
          <w:sz w:val="24"/>
          <w:szCs w:val="24"/>
          <w:highlight w:val="none"/>
        </w:rPr>
        <w:t xml:space="preserve">北京时间09：30。</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（二）开标时间：2026年08</w:t>
      </w:r>
      <w:r>
        <w:rPr>
          <w:rFonts w:hint="eastAsia" w:ascii="宋体" w:hAnsi="宋体" w:eastAsia="宋体" w:cs="宋体"/>
          <w:sz w:val="24"/>
          <w:szCs w:val="24"/>
          <w:highlight w:val="none"/>
          <w:lang w:val="en-US" w:eastAsia="zh-CN"/>
        </w:rPr>
        <w:t xml:space="preserve">月27日</w:t>
      </w:r>
      <w:r>
        <w:rPr>
          <w:rFonts w:hint="eastAsia" w:ascii="宋体" w:hAnsi="宋体" w:eastAsia="宋体" w:cs="宋体"/>
          <w:sz w:val="24"/>
          <w:szCs w:val="24"/>
          <w:highlight w:val="none"/>
        </w:rPr>
        <w:t xml:space="preserve">北京时间09：30。</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（三）开标地点：“苏采云”系统“开标大厅”或进入江苏政府采购网--办事指南--供应商--供应商进入，点击“苏采云”进入系统“开标大厅”。</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五、采购人</w:t>
      </w:r>
      <w:r/>
    </w:p>
    <w:p>
      <w:pPr>
        <w:ind w:firstLine="600"/>
        <w:spacing w:line="52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（一）名称：</w:t>
      </w:r>
      <w:r>
        <w:rPr>
          <w:rFonts w:hint="eastAsia" w:ascii="宋体" w:hAnsi="宋体" w:eastAsia="宋体" w:cs="宋体"/>
          <w:sz w:val="24"/>
          <w:szCs w:val="24"/>
          <w:highlight w:val="none"/>
          <w:lang w:eastAsia="zh-CN"/>
        </w:rPr>
        <w:t xml:space="preserve">徐州市公安局</w:t>
      </w:r>
      <w:r/>
    </w:p>
    <w:p>
      <w:pPr>
        <w:ind w:firstLine="600"/>
        <w:spacing w:line="52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（二）地址：</w:t>
      </w:r>
      <w:r>
        <w:rPr>
          <w:rFonts w:hint="eastAsia" w:ascii="宋体" w:hAnsi="宋体" w:cs="宋体"/>
          <w:sz w:val="24"/>
          <w:szCs w:val="24"/>
          <w:highlight w:val="none"/>
          <w:lang w:val="en-US" w:eastAsia="zh-CN"/>
        </w:rPr>
        <w:t xml:space="preserve">徐州市金山东路6号</w:t>
      </w:r>
      <w:r>
        <w:rPr>
          <w:rFonts w:hint="eastAsia" w:ascii="宋体" w:hAnsi="宋体" w:eastAsia="宋体" w:cs="宋体"/>
          <w:sz w:val="24"/>
          <w:szCs w:val="24"/>
          <w:highlight w:val="none"/>
          <w:lang w:val="en-US" w:eastAsia="zh-CN"/>
        </w:rPr>
        <w:t xml:space="preserve"> </w:t>
      </w:r>
      <w:r/>
    </w:p>
    <w:p>
      <w:pPr>
        <w:ind w:firstLine="600"/>
        <w:spacing w:line="520" w:lineRule="exac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（三）联系方式：</w:t>
      </w:r>
      <w:r>
        <w:rPr>
          <w:rFonts w:hint="eastAsia" w:ascii="宋体" w:hAnsi="宋体" w:cs="宋体"/>
          <w:sz w:val="24"/>
          <w:szCs w:val="24"/>
          <w:highlight w:val="none"/>
          <w:lang w:val="en-US" w:eastAsia="zh-CN"/>
        </w:rPr>
        <w:t xml:space="preserve">张鹏</w:t>
      </w:r>
      <w:r/>
    </w:p>
    <w:p>
      <w:pPr>
        <w:ind w:firstLine="600"/>
        <w:spacing w:line="52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（四）采购项目联系人：</w:t>
      </w:r>
      <w:r>
        <w:rPr>
          <w:rFonts w:hint="eastAsia" w:ascii="宋体" w:hAnsi="宋体" w:cs="宋体"/>
          <w:sz w:val="24"/>
          <w:szCs w:val="24"/>
          <w:highlight w:val="none"/>
          <w:lang w:val="en-US" w:eastAsia="zh-CN"/>
        </w:rPr>
        <w:t xml:space="preserve">0516-83977769</w:t>
      </w:r>
      <w:r>
        <w:rPr>
          <w:rFonts w:hint="eastAsia" w:ascii="宋体" w:hAnsi="宋体" w:eastAsia="宋体" w:cs="宋体"/>
          <w:sz w:val="24"/>
          <w:szCs w:val="24"/>
          <w:highlight w:val="none"/>
          <w:lang w:val="en-US" w:eastAsia="zh-CN"/>
        </w:rPr>
        <w:t xml:space="preserve"> </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六、采购代理机构</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（一）名称：</w:t>
      </w:r>
      <w:r>
        <w:rPr>
          <w:rFonts w:hint="eastAsia" w:ascii="宋体" w:hAnsi="宋体" w:eastAsia="宋体" w:cs="宋体"/>
          <w:sz w:val="24"/>
          <w:szCs w:val="24"/>
          <w:highlight w:val="none"/>
          <w:lang w:eastAsia="zh-CN"/>
        </w:rPr>
        <w:t xml:space="preserve">大洲设计咨询集团有限公司</w:t>
      </w:r>
      <w:r>
        <w:rPr>
          <w:rFonts w:hint="eastAsia" w:ascii="宋体" w:hAnsi="宋体" w:eastAsia="宋体" w:cs="宋体"/>
          <w:sz w:val="24"/>
          <w:szCs w:val="24"/>
          <w:highlight w:val="none"/>
        </w:rPr>
        <w:t xml:space="preserve">。</w:t>
      </w:r>
      <w:r/>
    </w:p>
    <w:p>
      <w:pPr>
        <w:ind w:firstLine="600"/>
        <w:spacing w:line="52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（二）地址：</w:t>
      </w:r>
      <w:r>
        <w:rPr>
          <w:rFonts w:hint="eastAsia" w:ascii="宋体" w:hAnsi="宋体" w:eastAsia="宋体" w:cs="宋体"/>
          <w:sz w:val="24"/>
          <w:szCs w:val="24"/>
          <w:highlight w:val="none"/>
          <w:lang w:eastAsia="zh-CN"/>
        </w:rPr>
        <w:t xml:space="preserve">徐州市云龙区世茂广场钻石国际D座12楼</w:t>
      </w:r>
      <w:r/>
    </w:p>
    <w:p>
      <w:pPr>
        <w:ind w:firstLine="600"/>
        <w:spacing w:line="52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（三）联系方法：</w:t>
      </w:r>
      <w:r>
        <w:rPr>
          <w:rFonts w:hint="eastAsia" w:ascii="宋体" w:hAnsi="宋体" w:eastAsia="宋体" w:cs="宋体"/>
          <w:sz w:val="24"/>
          <w:szCs w:val="24"/>
          <w:highlight w:val="none"/>
          <w:lang w:eastAsia="zh-CN"/>
        </w:rPr>
        <w:t xml:space="preserve">0516-83663536</w:t>
      </w:r>
      <w:r/>
    </w:p>
    <w:p>
      <w:pPr>
        <w:ind w:firstLine="600"/>
        <w:spacing w:line="52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（四）采购项目联系人：</w:t>
      </w:r>
      <w:r>
        <w:rPr>
          <w:rFonts w:hint="eastAsia" w:ascii="宋体" w:hAnsi="宋体" w:eastAsia="宋体" w:cs="宋体"/>
          <w:sz w:val="24"/>
          <w:szCs w:val="24"/>
          <w:highlight w:val="none"/>
          <w:lang w:eastAsia="zh-CN"/>
        </w:rPr>
        <w:t xml:space="preserve">王建成、李静</w:t>
      </w:r>
      <w:r/>
    </w:p>
    <w:p>
      <w:pPr>
        <w:jc w:val="center"/>
        <w:widowControl/>
        <w:rPr>
          <w:rStyle w:val="885"/>
          <w:rFonts w:hint="eastAsia" w:ascii="宋体" w:hAnsi="宋体" w:eastAsia="宋体" w:cs="宋体"/>
          <w:sz w:val="24"/>
          <w:szCs w:val="24"/>
          <w:highlight w:val="none"/>
        </w:rPr>
      </w:pPr>
      <w:r/>
      <w:bookmarkStart w:id="3" w:name="_Toc522790131"/>
      <w:r/>
      <w:r/>
    </w:p>
    <w:p>
      <w:pPr>
        <w:jc w:val="center"/>
        <w:widowControl/>
        <w:rPr>
          <w:rFonts w:hint="eastAsia" w:ascii="宋体" w:hAnsi="宋体" w:eastAsia="宋体" w:cs="宋体"/>
          <w:sz w:val="24"/>
          <w:szCs w:val="24"/>
          <w:highlight w:val="none"/>
        </w:rPr>
      </w:pPr>
      <w:r>
        <w:rPr>
          <w:rStyle w:val="885"/>
          <w:rFonts w:hint="eastAsia" w:ascii="宋体" w:hAnsi="宋体" w:eastAsia="宋体" w:cs="宋体"/>
          <w:sz w:val="24"/>
          <w:szCs w:val="24"/>
          <w:highlight w:val="none"/>
        </w:rPr>
        <w:br w:type="page" w:clear="all"/>
      </w:r>
      <w:bookmarkStart w:id="4" w:name="_Toc28608"/>
      <w:r>
        <w:rPr>
          <w:rStyle w:val="885"/>
          <w:rFonts w:hint="eastAsia" w:ascii="宋体" w:hAnsi="宋体" w:eastAsia="宋体" w:cs="宋体"/>
          <w:sz w:val="24"/>
          <w:szCs w:val="24"/>
          <w:highlight w:val="none"/>
        </w:rPr>
        <w:t xml:space="preserve">第二章</w:t>
      </w:r>
      <w:r>
        <w:rPr>
          <w:rStyle w:val="885"/>
          <w:rFonts w:hint="eastAsia" w:ascii="宋体" w:hAnsi="宋体" w:cs="宋体"/>
          <w:sz w:val="24"/>
          <w:szCs w:val="24"/>
          <w:highlight w:val="none"/>
          <w:lang w:val="en-US" w:eastAsia="zh-CN"/>
        </w:rPr>
        <w:t xml:space="preserve">  </w:t>
      </w:r>
      <w:r>
        <w:rPr>
          <w:rStyle w:val="885"/>
          <w:rFonts w:hint="eastAsia" w:ascii="宋体" w:hAnsi="宋体" w:eastAsia="宋体" w:cs="宋体"/>
          <w:sz w:val="24"/>
          <w:szCs w:val="24"/>
          <w:highlight w:val="none"/>
        </w:rPr>
        <w:t xml:space="preserve">投标人须知</w:t>
      </w:r>
      <w:bookmarkEnd w:id="3"/>
      <w:r/>
      <w:bookmarkEnd w:id="4"/>
      <w:r/>
      <w:r/>
    </w:p>
    <w:p>
      <w:pPr>
        <w:ind w:firstLine="60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一、总则</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（一）采购人。采购人即指依法进行政府采购的国家机关、事业单位和团体组织。</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（二）政府招标采购方式。政府采购货物或服务（以下简称“货物服务”）的招标方式，分为公开招标和邀请招标。</w:t>
      </w:r>
      <w:r/>
    </w:p>
    <w:p>
      <w:pPr>
        <w:ind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（五）采购人委托采购代理机构代理招标的，采购代理机构必须在采购人委托的范围内依法开展采购活动。</w:t>
      </w:r>
      <w:r/>
    </w:p>
    <w:p>
      <w:pPr>
        <w:ind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（六）投标人的资格条件：</w:t>
      </w:r>
      <w:r/>
    </w:p>
    <w:p>
      <w:pPr>
        <w:ind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投标人是指响应招标、参加投标竞争的法人、其他组织或者自然人。</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2.投标人授权代表系指法定代表人或受法人委托的受托人。</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（七）投标费用：投标人应承担所有与准备和参加投标有关的费用。无论投标的结果如何，采购代理机构对上述费用不承担任何责任和义务。</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二、招标</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（八）招标文件应包括以下内容：</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第一章，投标邀请；</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第二章，投标人须知；</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第三章，投标资料表；</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第四章，评标标准；</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第五章，拟签订的合同文本；</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第六章，采购需求；</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第七章，投标文件相关格式。</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（九）招标文件澄清或者修改：</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2.现场考察以本文件第三章《投标资料表》中的要求为准。</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3.开标前答疑会以本文件第三章《投标资料表》中的要求为准。</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三、投标</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（十）投标人应当按照招标文件的要求编制投标文件。投标文件应对招标文件提出的要求和条件作出实质性响应。</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（十二）投标文件的构成：</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1.投标文件的构成以本文件第三章《投标资料表》中的要求为准。</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2.投标人应当提交的资格、资信证明文件，以本文件第三章《投标资料表》中的所提要求为准。</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（十三）投标函和价格表、商务条件、交货和提供服务的时间：</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1.投标函和价格表的要求见本章（十二）、（十三），格式见本文件第七章《投标文件相关格式》中《投标函》和《开标一览表》。</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2.商务条件以本文件第三章《投标资料表》中的要求为准。</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3.交货和提供服务的时间，以本文件第三章《投标资料表》中所提要求为准。</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（十四）投标报价要求：</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1.投标人应按照招标文件的要求报出分项价格和总价。</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2.投标人应按照招标文件的要求进行报价，如投标人作出偏离，应在《偏离表》中列出。</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3.采购人不支付报价以外的任何费用。</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5.投标人只能提交一个投标价格，投标人提交多个价格的投标文件，在资格性、符合性检查时按照无效投标处理。</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（十五）投标货币。以本文件第三章《投标资料表》中所提要求为准。</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（十六）投标有效期：</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1.投标有效期为开标之日后90天。采购人可以要求对投标有效期延长一次，但该延长期最长不得超过30天。</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（十七）投标文件的编制要求和签署要求：</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1.电子投标文件要求</w:t>
      </w:r>
      <w:r/>
    </w:p>
    <w:p>
      <w:pPr>
        <w:ind w:firstLine="482"/>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（1）投标人应由其法定代表人或法定代表人授权代表在规定的网上投标时间，凭CA证书</w:t>
      </w:r>
      <w:r>
        <w:rPr>
          <w:rFonts w:hint="eastAsia" w:ascii="宋体" w:hAnsi="宋体" w:cs="宋体"/>
          <w:sz w:val="24"/>
          <w:szCs w:val="24"/>
          <w:highlight w:val="none"/>
          <w:lang w:eastAsia="zh-CN"/>
        </w:rPr>
        <w:t xml:space="preserve">登录</w:t>
      </w:r>
      <w:r>
        <w:rPr>
          <w:rFonts w:hint="eastAsia" w:ascii="宋体" w:hAnsi="宋体" w:eastAsia="宋体" w:cs="宋体"/>
          <w:sz w:val="24"/>
          <w:szCs w:val="24"/>
          <w:highlight w:val="none"/>
        </w:rPr>
        <w:t xml:space="preserve">电子招标投标交易平台（即“苏采云”系统）在线编制投标文件（电子数据），并在投标截止时间之前上传投标文件。</w:t>
      </w:r>
      <w:r/>
    </w:p>
    <w:p>
      <w:pPr>
        <w:ind w:firstLine="482"/>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（2）投标人应对CA证书妥善保管，如被他人盗用投标，因此带来的结果均由投标人自行承担。</w:t>
      </w:r>
      <w:r/>
    </w:p>
    <w:p>
      <w:pPr>
        <w:ind w:firstLine="482"/>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（3）投标人应当对招标文件提出的要求和条件作出实质性响应，并在电子投标系统逐条应答。</w:t>
      </w:r>
      <w:r/>
    </w:p>
    <w:p>
      <w:pPr>
        <w:ind w:firstLine="482"/>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（4）投标人应对要求提供的资格证明文件（如资质证书、资格证书）、技术资料（如白皮书、彩页、手册、检测报告等）扫描上传至投标系统。</w:t>
      </w:r>
      <w:r/>
    </w:p>
    <w:p>
      <w:pPr>
        <w:ind w:firstLine="482"/>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（十八）投标文件的盖章要求：</w:t>
      </w:r>
      <w:r/>
    </w:p>
    <w:p>
      <w:pPr>
        <w:ind w:firstLine="482"/>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投标文件的盖章要求，以本文件第三章《投标资料表》中所提要求为准。</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（十九）提交电子投标文件的截止时间注意事项。投标人应在招标文件要求的提交投标文件的截止时间前，将投标文件提交至“苏采云”系统。</w:t>
      </w:r>
      <w:r/>
    </w:p>
    <w:p>
      <w:pPr>
        <w:ind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（二十）凡在招标文件要求提交投标文件的截止时间之后提交的投标文件，均为无效投标文件，“苏采云”系统将自动拒收。各投标人应在规定时间内通过CA证书进行网上解密。</w:t>
      </w:r>
      <w:r/>
    </w:p>
    <w:p>
      <w:pPr>
        <w:ind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十一）投标人在投标截止时间前，可以对所递交的投标文件进行补充、修改或者撤回，但应书面通知采购代理机构。其所进行补充、修改的内容，应当按照招标文件要求进行电子签章，然后纳为投标文件的组成部分。</w:t>
      </w:r>
      <w:r/>
    </w:p>
    <w:p>
      <w:pPr>
        <w:ind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（二十二）本项目不允许分包、转包。</w:t>
      </w:r>
      <w:r/>
    </w:p>
    <w:p>
      <w:pPr>
        <w:ind w:firstLine="600"/>
        <w:spacing w:line="520" w:lineRule="exact"/>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（二十三）投标人应当遵循公平竞争的原则，不得恶意串通，不得妨碍其他投标人的竞争行为，不得损害采购人或者其他投标人的合法权益。</w:t>
      </w:r>
      <w:r/>
    </w:p>
    <w:p>
      <w:pPr>
        <w:ind w:firstLine="600"/>
        <w:jc w:val="left"/>
        <w:spacing w:line="520" w:lineRule="exact"/>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在评标过程中发现投标人有上述情形的，评标委员会应当认定其投标无效，并书面报告本级财政部门。</w:t>
      </w:r>
      <w:r/>
    </w:p>
    <w:p>
      <w:pPr>
        <w:ind w:firstLine="600"/>
        <w:jc w:val="left"/>
        <w:spacing w:line="520" w:lineRule="exact"/>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（二十四）有下列情形之一的，其投标无效。</w:t>
      </w:r>
      <w:r/>
    </w:p>
    <w:p>
      <w:pPr>
        <w:ind w:firstLine="600"/>
        <w:jc w:val="left"/>
        <w:spacing w:line="520" w:lineRule="exact"/>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1.不同投标人的投标文件，由同一单位或者个人编制；</w:t>
      </w:r>
      <w:r/>
    </w:p>
    <w:p>
      <w:pPr>
        <w:ind w:firstLine="600"/>
        <w:jc w:val="left"/>
        <w:spacing w:line="520" w:lineRule="exact"/>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2.不同投标人委托同一单位或者个人办理投标事宜；</w:t>
      </w:r>
      <w:r/>
    </w:p>
    <w:p>
      <w:pPr>
        <w:ind w:firstLine="600"/>
        <w:jc w:val="left"/>
        <w:spacing w:line="520" w:lineRule="exact"/>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3.不同投标人的投标文件中，所载明的项目管理成员或联系人为同一人；</w:t>
      </w:r>
      <w:r/>
    </w:p>
    <w:p>
      <w:pPr>
        <w:ind w:firstLine="600"/>
        <w:jc w:val="left"/>
        <w:spacing w:line="520" w:lineRule="exact"/>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4.不同投标人的投标文件，异常一致或者投标报价呈规律性差异；</w:t>
      </w:r>
      <w:r/>
    </w:p>
    <w:p>
      <w:pPr>
        <w:ind w:firstLine="600"/>
        <w:jc w:val="left"/>
        <w:spacing w:line="520" w:lineRule="exact"/>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5.不同投标人的投标文件相互混装；</w:t>
      </w:r>
      <w:r/>
    </w:p>
    <w:p>
      <w:pPr>
        <w:ind w:firstLine="600"/>
        <w:jc w:val="left"/>
        <w:spacing w:line="520" w:lineRule="exact"/>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jc w:val="left"/>
        <w:spacing w:line="520" w:lineRule="exact"/>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7.电子投标文件未按规定期限投标的；</w:t>
      </w:r>
      <w:r/>
    </w:p>
    <w:p>
      <w:pPr>
        <w:ind w:firstLine="600"/>
        <w:jc w:val="left"/>
        <w:spacing w:line="520" w:lineRule="exact"/>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8.电子投标文件未按招标文件要求签章的；</w:t>
      </w:r>
      <w:r/>
    </w:p>
    <w:p>
      <w:pPr>
        <w:ind w:firstLine="600"/>
        <w:jc w:val="left"/>
        <w:spacing w:line="520" w:lineRule="exact"/>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9.投标人未在规定时间内解密电子投标文件的；</w:t>
      </w:r>
      <w:r/>
    </w:p>
    <w:p>
      <w:pPr>
        <w:ind w:firstLine="600"/>
        <w:jc w:val="left"/>
        <w:spacing w:line="520" w:lineRule="exact"/>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10.投标文件未按招标文件规定的内容和要求填写的；没有在投标系统指定位置上传对应文件、材料的；</w:t>
      </w:r>
      <w:r/>
    </w:p>
    <w:p>
      <w:pPr>
        <w:ind w:firstLine="600"/>
        <w:jc w:val="left"/>
        <w:spacing w:line="520" w:lineRule="exact"/>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11.纸质投标文件未按招标文件要求签署、盖章的；</w:t>
      </w:r>
      <w:r/>
    </w:p>
    <w:p>
      <w:pPr>
        <w:ind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12.不具备招标文件中规定的资格要求的；</w:t>
      </w:r>
      <w:r/>
    </w:p>
    <w:p>
      <w:pPr>
        <w:ind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13.报价超过招标文件中规定的预算金额或者最高限价的；</w:t>
      </w:r>
      <w:r/>
    </w:p>
    <w:p>
      <w:pPr>
        <w:ind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14.投标文件含有采购人不能接受的附加条件的；</w:t>
      </w:r>
      <w:r/>
    </w:p>
    <w:p>
      <w:pPr>
        <w:ind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15.法律法规和招标文件规定的其他无效情形。</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四、开标</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（二十五）开标：</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1.开标时间及地点。开标应当在招标文件确定的提交投标文件截止时间的同一时间公开进行；开标地点应当为招标文件中预先确定的地点。</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2.由电子招标投标交易平台（即“苏采云”系统）主持，邀请投标人参加。</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3.所有投标单位使用CA证书在达到开标时间时，解密各自投标文件，由工作人员操作系统进行开标，投标人不足3家的，不得评标。</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5.开标过程由采购代理机构负责记录。</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6.投标人代表对开标过程和开标记录有疑义的，或者认为采购人、采购代理机构相关工作人员有需要回避情形的，应当场提出询问或者提出回避申请。</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7.投标人未参加开标的，视同认可开标结果。</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五、评标</w:t>
      </w:r>
      <w:r/>
    </w:p>
    <w:p>
      <w:pPr>
        <w:ind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（二十六）公开招标采购项目开标结束后，采购人依法对投标人的资格进行审查。合格投标人不足3家的，不得评标。</w:t>
      </w:r>
      <w:r/>
    </w:p>
    <w:p>
      <w:pPr>
        <w:ind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1.评标工作由采购代理机构负责组织，并履行下列职责：</w:t>
      </w:r>
      <w:r/>
    </w:p>
    <w:p>
      <w:pPr>
        <w:ind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（2）宣布评标纪律；</w:t>
      </w:r>
      <w:r/>
    </w:p>
    <w:p>
      <w:pPr>
        <w:ind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（3）公布投标人名单，告知评审专家应当回避的情形；</w:t>
      </w:r>
      <w:r/>
    </w:p>
    <w:p>
      <w:pPr>
        <w:ind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（4）组织评标委员会推选评标组长（采购人代表不得担任组长）；</w:t>
      </w:r>
      <w:r/>
    </w:p>
    <w:p>
      <w:pPr>
        <w:ind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（5）在评标期间采取必要的通讯管理措施，保证评标活动不受外界干扰；</w:t>
      </w:r>
      <w:r/>
    </w:p>
    <w:p>
      <w:pPr>
        <w:ind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（6）根据评标委员会的要求介绍政府采购相关政策法规、招标文件；</w:t>
      </w:r>
      <w:r/>
    </w:p>
    <w:p>
      <w:pPr>
        <w:ind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（8）核对评标结果，对有《</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"http://www.caigou2003.com/" \t "_blank"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政府采购</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firstLine="600"/>
        <w:jc w:val="left"/>
        <w:spacing w:line="52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（9）评审工作完成后，按照规定向评审专家支付劳务报酬和异地评审差旅费，不得向评审专家以外的其他人员支付评审劳务报酬；</w:t>
      </w:r>
      <w:r/>
    </w:p>
    <w:p>
      <w:pPr>
        <w:ind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（10）处理与评标有关的其他事项。</w:t>
      </w:r>
      <w:r/>
    </w:p>
    <w:p>
      <w:pPr>
        <w:ind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2.评标委员会负责具体评标事务，并独立履行下列职责：</w:t>
      </w:r>
      <w:r/>
    </w:p>
    <w:p>
      <w:pPr>
        <w:ind w:firstLine="45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（1）审查、评价投标文件是否符合招标文件的商务、技术等实质性要求；</w:t>
      </w:r>
      <w:r/>
    </w:p>
    <w:p>
      <w:pPr>
        <w:ind w:firstLine="45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（2）要求投标人对投标文件有关事项作出澄清或者说明；</w:t>
      </w:r>
      <w:r/>
    </w:p>
    <w:p>
      <w:pPr>
        <w:ind w:firstLine="45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（3）对投标文件进行比较和评价；</w:t>
      </w:r>
      <w:r/>
    </w:p>
    <w:p>
      <w:pPr>
        <w:ind w:firstLine="45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（4）确定中标候选人名单，以及根据采购人委托直接确定中标人；</w:t>
      </w:r>
      <w:r/>
    </w:p>
    <w:p>
      <w:pPr>
        <w:ind w:firstLine="45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（5）向采购人、采购代理机构或有关部门报告评标中发现的违法行为。</w:t>
      </w:r>
      <w:r/>
    </w:p>
    <w:p>
      <w:pPr>
        <w:ind w:firstLine="45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（二十七）评标方法分为最低评标价法和综合评分法。</w:t>
      </w:r>
      <w:r/>
    </w:p>
    <w:p>
      <w:pPr>
        <w:ind w:firstLine="45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（二十八）评标</w:t>
      </w:r>
      <w:r/>
    </w:p>
    <w:p>
      <w:pPr>
        <w:ind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1.评标工作程序：</w:t>
      </w:r>
      <w:r/>
    </w:p>
    <w:p>
      <w:pPr>
        <w:ind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（1）投标文件初审。</w:t>
      </w:r>
      <w:r/>
    </w:p>
    <w:p>
      <w:pPr>
        <w:ind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①资格性审查。</w:t>
      </w:r>
      <w:r/>
    </w:p>
    <w:p>
      <w:pPr>
        <w:ind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②符合性审查。</w:t>
      </w:r>
      <w:r/>
    </w:p>
    <w:p>
      <w:pPr>
        <w:ind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（2）澄清有关问题。</w:t>
      </w:r>
      <w:r/>
    </w:p>
    <w:p>
      <w:pPr>
        <w:ind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（3）比较与评价。</w:t>
      </w:r>
      <w:r/>
    </w:p>
    <w:p>
      <w:pPr>
        <w:ind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（4）推荐中标候选供应商名单。</w:t>
      </w:r>
      <w:r/>
    </w:p>
    <w:p>
      <w:pPr>
        <w:ind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（5）编写评审报告（评标报告）。</w:t>
      </w:r>
      <w:r/>
    </w:p>
    <w:p>
      <w:pPr>
        <w:ind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520" w:lineRule="exact"/>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3.采用</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"http://lilun.caigou2003.com/recijiedu/2365668.html" \t "_blank"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最低评标价法</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20" w:lineRule="exact"/>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采用</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"http://lilun.caigou2003.com/recijiedu/2365667.html" \t "_blank"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综合评分法</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20" w:lineRule="exact"/>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非单一产品采购项目，多家投标人提供的核心产品品牌相同的，按前两款规定处理。</w:t>
      </w:r>
      <w:r/>
    </w:p>
    <w:p>
      <w:pPr>
        <w:ind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（二十九）投标文件报价出现前后不一致的，按照下列规定修正：</w:t>
      </w:r>
      <w:r/>
    </w:p>
    <w:p>
      <w:pPr>
        <w:ind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1.投标文件中开标一览表（报价表）内容与投标文件中相应内容不一致的，以开标一览表（报价表）为准；</w:t>
      </w:r>
      <w:r/>
    </w:p>
    <w:p>
      <w:pPr>
        <w:ind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2.大写金额和小写金额不一致的，以大写金额为准；</w:t>
      </w:r>
      <w:r/>
    </w:p>
    <w:p>
      <w:pPr>
        <w:ind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3.单价金额小数点或者百分比有明显错位的，以开标一览表的总价为准，并修改单价；</w:t>
      </w:r>
      <w:r/>
    </w:p>
    <w:p>
      <w:pPr>
        <w:ind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4.总价金额与按单价合计金额不一致的，以单价金额计算结果为准。</w:t>
      </w:r>
      <w:r/>
    </w:p>
    <w:p>
      <w:pPr>
        <w:ind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评标中需要投标人对投标文件澄清或者说明的，应当通过“苏采云”系统交换数据电文。在评标期间，请投标人保持在线。</w:t>
      </w:r>
      <w:r/>
    </w:p>
    <w:p>
      <w:pPr>
        <w:ind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2"/>
        <w:jc w:val="left"/>
        <w:spacing w:after="160" w:line="5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评标委员会启动异常低价投标（响应）审查的情形和具体要求，包括</w:t>
      </w:r>
      <w:r>
        <w:rPr>
          <w:rFonts w:hint="eastAsia" w:ascii="宋体" w:hAnsi="宋体" w:eastAsia="宋体" w:cs="宋体"/>
          <w:b/>
          <w:bCs/>
          <w:color w:val="auto"/>
          <w:sz w:val="24"/>
          <w:szCs w:val="24"/>
          <w:highlight w:val="none"/>
          <w:lang w:eastAsia="zh-CN"/>
        </w:rPr>
        <w:t xml:space="preserve">：</w:t>
      </w:r>
      <w:r/>
    </w:p>
    <w:p>
      <w:pPr>
        <w:ind w:firstLine="482"/>
        <w:jc w:val="left"/>
        <w:spacing w:after="160" w:line="5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（1）评审过程中出现下列情形之一的，评标委员会应当启动异常低价投标（响应）审查程序：</w:t>
      </w:r>
      <w:r/>
    </w:p>
    <w:p>
      <w:pPr>
        <w:ind w:firstLine="482"/>
        <w:jc w:val="left"/>
        <w:spacing w:after="160" w:line="5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①投标（响应）报价低于全部通过符合性审查供应商投标（响应）报价平均值50%的，即投标（响应）报价</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全部通过符合性审查供应商投标（响应）报价平均值×50%</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p>
    <w:p>
      <w:pPr>
        <w:ind w:firstLine="482"/>
        <w:jc w:val="left"/>
        <w:spacing w:after="160" w:line="5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②投标（响应）报价低于通过符合性审查的次低报价供应商投标（响应）报价50%的，即投标（响应）报价</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通过符合性审查的次低报价供应商投标（响应）报价×50%</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p>
    <w:p>
      <w:pPr>
        <w:ind w:firstLine="482"/>
        <w:jc w:val="left"/>
        <w:spacing w:after="160" w:line="5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③投标（响应）报价低于采购项目最高限价45%的，即投标（响应）报价</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采购项目最高限价×45%</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p>
    <w:p>
      <w:pPr>
        <w:ind w:firstLine="482"/>
        <w:jc w:val="left"/>
        <w:spacing w:after="160" w:line="5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④评标委员会认定的供应商报价过低、有可能影响产品质量或者不能诚信履约的其他情形。</w:t>
      </w:r>
      <w:r/>
    </w:p>
    <w:p>
      <w:pPr>
        <w:ind w:firstLine="482"/>
        <w:jc w:val="left"/>
        <w:spacing w:after="160" w:line="5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（2）评审委员会启动异常低价投标审查后，应当要求相关供应商在评标现场合理的时间内通过“苏采云”系统（使用“CA数字证书”</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加盖电子签章）对投标价格作出解释</w:t>
      </w:r>
      <w:r>
        <w:rPr>
          <w:rFonts w:hint="eastAsia" w:ascii="宋体" w:hAnsi="宋体" w:eastAsia="宋体" w:cs="宋体"/>
          <w:b/>
          <w:bCs/>
          <w:color w:val="auto"/>
          <w:sz w:val="24"/>
          <w:szCs w:val="24"/>
          <w:highlight w:val="none"/>
          <w:lang w:eastAsia="zh-CN"/>
        </w:rPr>
        <w:t xml:space="preserve">，并</w:t>
      </w:r>
      <w:r>
        <w:rPr>
          <w:rFonts w:hint="eastAsia" w:ascii="宋体" w:hAnsi="宋体" w:eastAsia="宋体" w:cs="宋体"/>
          <w:b/>
          <w:bCs/>
          <w:color w:val="auto"/>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2"/>
        <w:jc w:val="left"/>
        <w:spacing w:after="160" w:line="5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2"/>
        <w:jc w:val="left"/>
        <w:spacing w:after="160" w:line="5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（4）异常低价投标审查的启动原因、审查意见和审查结果应当在评标报告中记录，并随供应商提供的相关书面说明及证明材料，以及评标委员会有关互联网浏览、查询历史一并归档。</w:t>
      </w:r>
      <w:r/>
    </w:p>
    <w:p>
      <w:pPr>
        <w:ind w:firstLine="482"/>
        <w:jc w:val="left"/>
        <w:spacing w:after="160" w:line="5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特别说明：“苏采云”系统通过“江苏省政府采购一体化不见面开标大厅”提醒供应商。供应商自行查看，供应商因自身原因不及时查看导致没收到信息，“苏采云”系统不承担任何责任。</w:t>
      </w:r>
      <w:r/>
    </w:p>
    <w:p>
      <w:pPr>
        <w:ind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b/>
          <w:bCs/>
          <w:color w:val="auto"/>
          <w:sz w:val="24"/>
          <w:szCs w:val="24"/>
          <w:highlight w:val="none"/>
        </w:rPr>
        <w:t xml:space="preserve">相关内容和要求见：《中华人民共和国政府采购法</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中华人民共和国政府采购法实施条例》及《财政部关于推动解决政府采购异常低价问题的通知》（财库〔2026〕2号）。</w:t>
      </w:r>
      <w:r/>
    </w:p>
    <w:p>
      <w:pPr>
        <w:ind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（三十二）废标条款：</w:t>
      </w:r>
      <w:r/>
    </w:p>
    <w:p>
      <w:pPr>
        <w:ind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出现下列情形之一的，应予废标。</w:t>
      </w:r>
      <w:r/>
    </w:p>
    <w:p>
      <w:pPr>
        <w:ind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1.符合专业条件的供应商或者对招标文件作实质响应的供应商不足三家的；</w:t>
      </w:r>
      <w:r/>
    </w:p>
    <w:p>
      <w:pPr>
        <w:ind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2.出现影响采购公正的违法、违规行为的；</w:t>
      </w:r>
      <w:r/>
    </w:p>
    <w:p>
      <w:pPr>
        <w:ind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3.投标人的报价均超过了采购预算，采购人不能支付的；</w:t>
      </w:r>
      <w:r/>
    </w:p>
    <w:p>
      <w:pPr>
        <w:ind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4.因重大变故，采购任务取消的。</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六、定标</w:t>
      </w:r>
      <w:r/>
    </w:p>
    <w:p>
      <w:pPr>
        <w:ind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（三十三）采购代理机构应当在评标结束后2个工作日内将评标报告送采购人。</w:t>
      </w:r>
      <w:r/>
    </w:p>
    <w:p>
      <w:pPr>
        <w:ind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（三十四）采购人应当自收到评标报告之日起5个工作日内，在评标报告确定的中标候选人名单中按顺序确定中标人。</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七、政府采购合同</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（三十六）签订政府采购合同（合同签订方式）：</w:t>
      </w:r>
      <w:r/>
    </w:p>
    <w:p>
      <w:pPr>
        <w:ind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采购人不得向中标人提出任何不合理的要求作为签订合同的条件。</w:t>
      </w:r>
      <w:r/>
    </w:p>
    <w:p>
      <w:pPr>
        <w:ind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2.中标人或者成交供应商拒绝与采购人签订合同的，采购人可以按照评标报告推荐的中标或者成交候选人名单排序，确定下一个候选人为中标或者成交供应商，也可以重新开展政府采购活动。</w:t>
      </w:r>
      <w:r/>
    </w:p>
    <w:p>
      <w:pPr>
        <w:ind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中标人无正当理由拒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w:t>
      </w:r>
      <w:r/>
    </w:p>
    <w:p>
      <w:pPr>
        <w:ind w:firstLine="600"/>
        <w:spacing w:line="520" w:lineRule="exact"/>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jc w:val="left"/>
        <w:spacing w:line="520" w:lineRule="exact"/>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（三十八）履约保证金：</w:t>
      </w:r>
      <w:r/>
    </w:p>
    <w:p>
      <w:pPr>
        <w:ind w:firstLine="600"/>
        <w:jc w:val="left"/>
        <w:spacing w:line="520" w:lineRule="exact"/>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1.中标人应在政府采购合同签订后，向采购人提交本文件第三章《投标资料表》中规定金额的履约保证金。</w:t>
      </w:r>
      <w:r/>
    </w:p>
    <w:p>
      <w:pPr>
        <w:ind w:firstLine="600"/>
        <w:jc w:val="left"/>
        <w:spacing w:line="520" w:lineRule="exact"/>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2.如果中标人没有遵守本章（三十八）1或本章（四十）的规定，采购代理机构有权取消该中标决定。在此情况下，采购人可以与排位在中标人之后第一位的中标候选人签订政府采购合同，以此类推。</w:t>
      </w:r>
      <w:r/>
    </w:p>
    <w:p>
      <w:pPr>
        <w:ind w:firstLine="600"/>
        <w:jc w:val="left"/>
        <w:spacing w:line="520" w:lineRule="exact"/>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3.合同期满后，中标人办理履约保证金退付手续。履约保证金在采购人处存放期间，不计利息。</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（三十九）腐败和欺诈行为：</w:t>
      </w:r>
      <w:r/>
    </w:p>
    <w:p>
      <w:pPr>
        <w:ind w:firstLine="600"/>
        <w:jc w:val="left"/>
        <w:spacing w:line="520" w:lineRule="exact"/>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1.采购代理机构、采购人、投标人等参与招投标的各方，均应在招标、采购、合同执行等过程中保持廉洁和最高的道德水准。</w:t>
      </w:r>
      <w:r/>
    </w:p>
    <w:p>
      <w:pPr>
        <w:ind w:firstLine="600"/>
        <w:jc w:val="left"/>
        <w:spacing w:line="520" w:lineRule="exact"/>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（1）腐败和欺诈行为的含义：</w:t>
      </w:r>
      <w:r/>
    </w:p>
    <w:p>
      <w:pPr>
        <w:ind w:firstLine="600"/>
        <w:jc w:val="left"/>
        <w:spacing w:line="520" w:lineRule="exact"/>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jc w:val="left"/>
        <w:spacing w:line="520" w:lineRule="exact"/>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②“欺诈行为”系指为了影响招标、采购和合同执行等过程，隐瞒事实真相，给买方、卖方、采购代理机构及他人造成损害的行为，其中包括投标人之间的串通行为。</w:t>
      </w:r>
      <w:r/>
    </w:p>
    <w:p>
      <w:pPr>
        <w:ind w:firstLine="600"/>
        <w:jc w:val="left"/>
        <w:spacing w:line="520" w:lineRule="exact"/>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（2）如果被推荐的中标人有腐败和欺诈行为，将取消其中标资格。</w:t>
      </w:r>
      <w:r/>
    </w:p>
    <w:p>
      <w:pPr>
        <w:ind w:firstLine="600"/>
        <w:jc w:val="left"/>
        <w:spacing w:line="520" w:lineRule="exact"/>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（3）如果投标人在任何时候，被法院及政府有关管理部门认定为有腐败和欺诈行为，采购代理机构有权拒绝其投标、取消其中标资格和撤销其已签署的合同。</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八、询问和质疑</w:t>
      </w:r>
      <w:r/>
    </w:p>
    <w:p>
      <w:pPr>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（四十）询问和质疑</w:t>
      </w:r>
      <w:r/>
    </w:p>
    <w:p>
      <w:pPr>
        <w:ind w:firstLine="600"/>
        <w:jc w:val="left"/>
        <w:spacing w:line="520" w:lineRule="exact"/>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九、电子招标投标交易平台</w:t>
      </w:r>
      <w:r/>
    </w:p>
    <w:p>
      <w:pPr>
        <w:pStyle w:val="904"/>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（四十一）电子招标投标交易平台（即“苏采云”系统，网址：</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"http://jszfcg.jsczt.cn/" \o "http://jszfcg.jsczt.cn/"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http://jszfcg.jsczt.cn/</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）相关要求是本招标文件的组成部分。</w:t>
      </w:r>
      <w:r/>
    </w:p>
    <w:p>
      <w:pPr>
        <w:pStyle w:val="904"/>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jc w:val="center"/>
        <w:rPr>
          <w:rFonts w:hint="eastAsia" w:ascii="宋体" w:hAnsi="宋体" w:cs="宋体"/>
          <w:highlight w:val="none"/>
        </w:rPr>
      </w:pPr>
      <w:r/>
      <w:bookmarkStart w:id="5" w:name="_Toc522790132"/>
      <w:r>
        <w:rPr>
          <w:rFonts w:hint="eastAsia" w:ascii="宋体" w:hAnsi="宋体" w:cs="宋体"/>
          <w:highlight w:val="none"/>
        </w:rPr>
        <w:br w:type="page" w:clear="all"/>
      </w:r>
      <w:bookmarkStart w:id="6" w:name="_Toc5487"/>
      <w:r>
        <w:rPr>
          <w:rStyle w:val="885"/>
          <w:rFonts w:hint="eastAsia" w:ascii="宋体" w:hAnsi="宋体" w:eastAsia="宋体" w:cs="宋体"/>
          <w:highlight w:val="none"/>
        </w:rPr>
        <w:t xml:space="preserve">第三章投标资料表</w:t>
      </w:r>
      <w:bookmarkEnd w:id="5"/>
      <w:r/>
      <w:bookmarkEnd w:id="6"/>
      <w:r/>
      <w:r/>
    </w:p>
    <w:p>
      <w:pPr>
        <w:pStyle w:val="896"/>
        <w:ind w:firstLine="56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该资料表的条款项号是与《投标人须知》的条款项号相对应的，若有增加的条款，是对《投标人须知》的补充、修改和完善，如果因此而造成矛盾时，应以本资料表为准。</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bl>
      <w:tblPr>
        <w:tblStyle w:val="693"/>
        <w:tblW w:w="0" w:type="auto"/>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69"/>
        <w:gridCol w:w="7053"/>
      </w:tblGrid>
      <w:tr>
        <w:trPr/>
        <w:tc>
          <w:tcPr>
            <w:tcW w:w="1469" w:type="dxa"/>
            <w:vAlign w:val="top"/>
            <w:textDirection w:val="lrTb"/>
            <w:noWrap w:val="false"/>
          </w:tcPr>
          <w:p>
            <w:pPr>
              <w:jc w:val="center"/>
              <w:spacing w:line="400" w:lineRule="exact"/>
              <w:rPr>
                <w:rFonts w:hint="eastAsia" w:ascii="宋体" w:hAnsi="宋体" w:eastAsia="宋体" w:cs="宋体"/>
                <w:b/>
                <w:sz w:val="24"/>
                <w:szCs w:val="24"/>
                <w:highlight w:val="none"/>
              </w:rPr>
            </w:pPr>
            <w:r/>
            <w:bookmarkStart w:id="7" w:name="_Toc522790133"/>
            <w:r>
              <w:rPr>
                <w:rFonts w:hint="eastAsia" w:ascii="宋体" w:hAnsi="宋体" w:eastAsia="宋体" w:cs="宋体"/>
                <w:b/>
                <w:sz w:val="24"/>
                <w:szCs w:val="24"/>
                <w:highlight w:val="none"/>
              </w:rPr>
              <w:t xml:space="preserve">条款项号</w:t>
            </w:r>
            <w:r/>
          </w:p>
        </w:tc>
        <w:tc>
          <w:tcPr>
            <w:tcW w:w="7053" w:type="dxa"/>
            <w:vAlign w:val="top"/>
            <w:textDirection w:val="lrTb"/>
            <w:noWrap w:val="false"/>
          </w:tcPr>
          <w:p>
            <w:pPr>
              <w:jc w:val="center"/>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内容</w:t>
            </w:r>
            <w:r/>
          </w:p>
        </w:tc>
      </w:tr>
      <w:tr>
        <w:trPr/>
        <w:tc>
          <w:tcPr>
            <w:tcW w:w="1469" w:type="dxa"/>
            <w:vAlign w:val="top"/>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w:t>
            </w:r>
            <w:r/>
          </w:p>
        </w:tc>
        <w:tc>
          <w:tcPr>
            <w:tcW w:w="7053" w:type="dxa"/>
            <w:vAlign w:val="top"/>
            <w:textDirection w:val="lrTb"/>
            <w:noWrap w:val="false"/>
          </w:tcPr>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总则</w:t>
            </w:r>
            <w:r/>
          </w:p>
        </w:tc>
      </w:tr>
      <w:tr>
        <w:trPr/>
        <w:tc>
          <w:tcPr>
            <w:tcW w:w="1469" w:type="dxa"/>
            <w:vAlign w:val="top"/>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w:t>
            </w:r>
            <w:r/>
          </w:p>
        </w:tc>
        <w:tc>
          <w:tcPr>
            <w:tcW w:w="7053" w:type="dxa"/>
            <w:vAlign w:val="top"/>
            <w:textDirection w:val="lrTb"/>
            <w:noWrap w:val="false"/>
          </w:tcPr>
          <w:p>
            <w:pPr>
              <w:spacing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本项目采购人：</w:t>
            </w:r>
            <w:r>
              <w:rPr>
                <w:rFonts w:hint="eastAsia" w:ascii="宋体" w:hAnsi="宋体" w:eastAsia="宋体" w:cs="宋体"/>
                <w:sz w:val="24"/>
                <w:szCs w:val="24"/>
                <w:highlight w:val="none"/>
                <w:lang w:eastAsia="zh-CN"/>
              </w:rPr>
              <w:t xml:space="preserve">徐州市公安局</w:t>
            </w:r>
            <w:r/>
          </w:p>
        </w:tc>
      </w:tr>
      <w:tr>
        <w:trPr/>
        <w:tc>
          <w:tcPr>
            <w:tcW w:w="1469" w:type="dxa"/>
            <w:vAlign w:val="top"/>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w:t>
            </w:r>
            <w:r/>
          </w:p>
        </w:tc>
        <w:tc>
          <w:tcPr>
            <w:tcW w:w="7053" w:type="dxa"/>
            <w:vAlign w:val="top"/>
            <w:textDirection w:val="lrTb"/>
            <w:noWrap w:val="false"/>
          </w:tcPr>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本次采购采用的政府采购方式：公开招标。</w:t>
            </w:r>
            <w:r/>
          </w:p>
        </w:tc>
      </w:tr>
      <w:tr>
        <w:trPr/>
        <w:tc>
          <w:tcPr>
            <w:tcW w:w="1469" w:type="dxa"/>
            <w:vAlign w:val="top"/>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w:t>
            </w:r>
            <w:r/>
          </w:p>
        </w:tc>
        <w:tc>
          <w:tcPr>
            <w:tcW w:w="7053" w:type="dxa"/>
            <w:vAlign w:val="top"/>
            <w:textDirection w:val="lrTb"/>
            <w:noWrap w:val="false"/>
          </w:tcPr>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采购人确定的采购项目属性：服务</w:t>
            </w:r>
            <w:r/>
          </w:p>
        </w:tc>
      </w:tr>
      <w:tr>
        <w:trPr/>
        <w:tc>
          <w:tcPr>
            <w:tcW w:w="1469" w:type="dxa"/>
            <w:vAlign w:val="top"/>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w:t>
            </w:r>
            <w:r/>
          </w:p>
        </w:tc>
        <w:tc>
          <w:tcPr>
            <w:tcW w:w="7053" w:type="dxa"/>
            <w:vAlign w:val="top"/>
            <w:textDirection w:val="lrTb"/>
            <w:noWrap w:val="false"/>
          </w:tcPr>
          <w:p>
            <w:pPr>
              <w:spacing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本项目采购代理机构：</w:t>
            </w:r>
            <w:r>
              <w:rPr>
                <w:rFonts w:hint="eastAsia" w:ascii="宋体" w:hAnsi="宋体" w:eastAsia="宋体" w:cs="宋体"/>
                <w:sz w:val="24"/>
                <w:szCs w:val="24"/>
                <w:highlight w:val="none"/>
                <w:lang w:eastAsia="zh-CN"/>
              </w:rPr>
              <w:t xml:space="preserve">大洲设计咨询集团有限公司</w:t>
            </w:r>
            <w:r/>
          </w:p>
        </w:tc>
      </w:tr>
      <w:tr>
        <w:trPr/>
        <w:tc>
          <w:tcPr>
            <w:tcW w:w="1469" w:type="dxa"/>
            <w:vAlign w:val="top"/>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w:t>
            </w:r>
            <w:r/>
          </w:p>
        </w:tc>
        <w:tc>
          <w:tcPr>
            <w:tcW w:w="7053" w:type="dxa"/>
            <w:vAlign w:val="top"/>
            <w:textDirection w:val="lrTb"/>
            <w:noWrap w:val="false"/>
          </w:tcPr>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投标人的资格条件：</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1.符合《中华人民共和国政府采购法》第二十二条的规定；</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sz w:val="24"/>
                <w:szCs w:val="24"/>
                <w:highlight w:val="none"/>
              </w:rPr>
              <w:t xml:space="preserve">2.本项目属于专门面</w:t>
            </w:r>
            <w:r>
              <w:rPr>
                <w:rFonts w:hint="eastAsia" w:ascii="宋体" w:hAnsi="宋体" w:eastAsia="宋体" w:cs="宋体"/>
                <w:color w:val="000000" w:themeColor="text1"/>
                <w:sz w:val="24"/>
                <w:szCs w:val="24"/>
                <w:highlight w:val="none"/>
                <w14:textFill>
                  <w14:solidFill>
                    <w14:schemeClr w14:val="tx1"/>
                  </w14:solidFill>
                </w14:textFill>
              </w:rPr>
              <w:t xml:space="preserve">向中小</w:t>
            </w:r>
            <w:r>
              <w:rPr>
                <w:rFonts w:hint="eastAsia" w:ascii="宋体" w:hAnsi="宋体" w:cs="宋体"/>
                <w:color w:val="000000" w:themeColor="text1"/>
                <w:sz w:val="24"/>
                <w:szCs w:val="24"/>
                <w:highlight w:val="none"/>
                <w:lang w:val="en-US" w:eastAsia="zh-CN"/>
                <w14:textFill>
                  <w14:solidFill>
                    <w14:schemeClr w14:val="tx1"/>
                  </w14:solidFill>
                </w14:textFill>
              </w:rPr>
              <w:t xml:space="preserve">微</w:t>
            </w:r>
            <w:r>
              <w:rPr>
                <w:rFonts w:hint="eastAsia" w:ascii="宋体" w:hAnsi="宋体" w:eastAsia="宋体" w:cs="宋体"/>
                <w:color w:val="000000" w:themeColor="text1"/>
                <w:sz w:val="24"/>
                <w:szCs w:val="24"/>
                <w:highlight w:val="none"/>
                <w14:textFill>
                  <w14:solidFill>
                    <w14:schemeClr w14:val="tx1"/>
                  </w14:solidFill>
                </w14:textFill>
              </w:rPr>
              <w:t xml:space="preserve">企业采购的项目。供应商应为中小微企业、监狱企业、残疾人福利性单位；</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3.本项目的特定资格要求：</w:t>
            </w:r>
            <w:bookmarkStart w:id="8" w:name="_Hlk109227925"/>
            <w:r>
              <w:rPr>
                <w:rFonts w:hint="eastAsia" w:ascii="宋体" w:hAnsi="宋体" w:eastAsia="宋体" w:cs="宋体"/>
                <w:sz w:val="24"/>
                <w:szCs w:val="24"/>
                <w:highlight w:val="none"/>
              </w:rPr>
              <w:t xml:space="preserve">无</w:t>
            </w:r>
            <w:bookmarkEnd w:id="8"/>
            <w:r>
              <w:rPr>
                <w:rFonts w:hint="eastAsia" w:ascii="宋体" w:hAnsi="宋体" w:eastAsia="宋体" w:cs="宋体"/>
                <w:sz w:val="24"/>
                <w:szCs w:val="24"/>
                <w:highlight w:val="none"/>
              </w:rPr>
              <w:t xml:space="preserve">。</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同时明确相关事项如下：</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一、本项目不接受联合体参与采购活动。</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二、单位负责人为同一人或者存在直接控股、管理关系的不同供应商，不得参加同一合同项下的政府采购活动。</w:t>
            </w:r>
            <w:r/>
          </w:p>
          <w:p>
            <w:pPr>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三、为本采购项目提供整体设计、规范编制或者项目管理、监理、检测等服务的供应商，不得再参加本采购项目的采购活动。</w:t>
            </w:r>
            <w:r/>
          </w:p>
          <w:p>
            <w:pPr>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四、查询及使用供应商信用记录：</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(一)由采购人查询信用信息。</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(二)查询渠道包括：</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1.“信用中国”网（</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"http://www.creditchina.gov.cn/"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www.creditchina.gov.cn</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2.中国政府采购网（</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"http://www.ccgp.gov.cn/"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www.ccgp.gov.cn</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3.“信用江苏”网（www.jscredit.gov.cn）；</w:t>
            </w:r>
            <w:r/>
          </w:p>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4.“信用中国（江苏徐州）”网（</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"http://www.xuzhoucredit.gov.cn/"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http://www.xuzhoucredit.gov.cn</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(三)截止时点（查询环节）：资格性审查前。</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(四)信用信息查询记录和证据留存的具体方式：网页截屏打印，与其他采购文件一并保存。</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(五)信用信息的使用规则：</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469" w:type="dxa"/>
            <w:vAlign w:val="top"/>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w:t>
            </w:r>
            <w:r/>
          </w:p>
        </w:tc>
        <w:tc>
          <w:tcPr>
            <w:tcW w:w="7053" w:type="dxa"/>
            <w:vAlign w:val="top"/>
            <w:textDirection w:val="lrTb"/>
            <w:noWrap w:val="false"/>
          </w:tcPr>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采购预算金额已包含招标代理服务费，招标代理服务费由中标人在领取中标通知书前一次性支付至采购代理机构指定账户，招标代理服务费根据《委托代理协议》约定，按照《江苏省政府采购代理服务收费指导意见》(苏政采协[2024]20号)计取（见附件）。</w:t>
            </w:r>
            <w:r/>
          </w:p>
        </w:tc>
      </w:tr>
      <w:tr>
        <w:trPr/>
        <w:tc>
          <w:tcPr>
            <w:tcW w:w="1469" w:type="dxa"/>
            <w:vAlign w:val="top"/>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w:t>
            </w:r>
            <w:r/>
          </w:p>
        </w:tc>
        <w:tc>
          <w:tcPr>
            <w:tcW w:w="7053" w:type="dxa"/>
            <w:vAlign w:val="top"/>
            <w:textDirection w:val="lrTb"/>
            <w:noWrap w:val="false"/>
          </w:tcPr>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招标</w:t>
            </w:r>
            <w:r/>
          </w:p>
        </w:tc>
      </w:tr>
      <w:tr>
        <w:trPr/>
        <w:tc>
          <w:tcPr>
            <w:tcW w:w="1469" w:type="dxa"/>
            <w:vAlign w:val="top"/>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(九)1</w:t>
            </w:r>
            <w:r/>
          </w:p>
        </w:tc>
        <w:tc>
          <w:tcPr>
            <w:tcW w:w="7053" w:type="dxa"/>
            <w:vAlign w:val="top"/>
            <w:textDirection w:val="lrTb"/>
            <w:noWrap w:val="false"/>
          </w:tcPr>
          <w:p>
            <w:pPr>
              <w:spacing w:line="40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W w:w="1469" w:type="dxa"/>
            <w:vAlign w:val="top"/>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(九)2</w:t>
            </w:r>
            <w:r/>
          </w:p>
        </w:tc>
        <w:tc>
          <w:tcPr>
            <w:tcW w:w="7053" w:type="dxa"/>
            <w:vAlign w:val="top"/>
            <w:textDirection w:val="lrTb"/>
            <w:noWrap w:val="false"/>
          </w:tcPr>
          <w:p>
            <w:pPr>
              <w:spacing w:line="400" w:lineRule="exact"/>
              <w:tabs>
                <w:tab w:val="left" w:pos="57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不安排现场考察。</w:t>
            </w:r>
            <w:r/>
          </w:p>
        </w:tc>
      </w:tr>
      <w:tr>
        <w:trPr/>
        <w:tc>
          <w:tcPr>
            <w:tcW w:w="1469" w:type="dxa"/>
            <w:vAlign w:val="top"/>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(九)3</w:t>
            </w:r>
            <w:r/>
          </w:p>
        </w:tc>
        <w:tc>
          <w:tcPr>
            <w:tcW w:w="7053" w:type="dxa"/>
            <w:vAlign w:val="top"/>
            <w:textDirection w:val="lrTb"/>
            <w:noWrap w:val="false"/>
          </w:tcPr>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不安排开标前答疑会。</w:t>
            </w:r>
            <w:r/>
          </w:p>
        </w:tc>
      </w:tr>
      <w:tr>
        <w:trPr/>
        <w:tc>
          <w:tcPr>
            <w:tcW w:w="1469" w:type="dxa"/>
            <w:vAlign w:val="top"/>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w:t>
            </w:r>
            <w:r/>
          </w:p>
        </w:tc>
        <w:tc>
          <w:tcPr>
            <w:tcW w:w="7053" w:type="dxa"/>
            <w:vAlign w:val="top"/>
            <w:textDirection w:val="lrTb"/>
            <w:noWrap w:val="false"/>
          </w:tcPr>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w:t>
            </w:r>
            <w:r/>
          </w:p>
        </w:tc>
      </w:tr>
      <w:tr>
        <w:trPr>
          <w:trHeight w:val="510"/>
        </w:trPr>
        <w:tc>
          <w:tcPr>
            <w:tcW w:w="1469" w:type="dxa"/>
            <w:vAlign w:val="top"/>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(十一)</w:t>
            </w:r>
            <w:r/>
          </w:p>
        </w:tc>
        <w:tc>
          <w:tcPr>
            <w:tcW w:w="7053" w:type="dxa"/>
            <w:vAlign w:val="top"/>
            <w:textDirection w:val="lrTb"/>
            <w:noWrap w:val="false"/>
          </w:tcPr>
          <w:p>
            <w:pPr>
              <w:spacing w:line="400" w:lineRule="exact"/>
              <w:tabs>
                <w:tab w:val="left" w:pos="57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投标文件的语言为中文</w:t>
            </w:r>
            <w:r/>
          </w:p>
        </w:tc>
      </w:tr>
      <w:tr>
        <w:trPr>
          <w:trHeight w:val="5415"/>
        </w:trPr>
        <w:tc>
          <w:tcPr>
            <w:tcW w:w="1469" w:type="dxa"/>
            <w:vAlign w:val="top"/>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(十二)1</w:t>
            </w:r>
            <w:r/>
          </w:p>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(十二)2</w:t>
            </w:r>
            <w:r/>
          </w:p>
        </w:tc>
        <w:tc>
          <w:tcPr>
            <w:tcW w:w="7053" w:type="dxa"/>
            <w:vAlign w:val="top"/>
            <w:textDirection w:val="lrTb"/>
            <w:noWrap w:val="false"/>
          </w:tcPr>
          <w:p>
            <w:pP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线上投标文件编制要求：</w:t>
            </w:r>
            <w:r/>
          </w:p>
          <w:p>
            <w:pP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请按照以下要求（包括但不限于以下要求）制作：</w:t>
            </w:r>
            <w:r/>
          </w:p>
          <w:p>
            <w:pPr>
              <w:spacing w:line="40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一、基本目录</w:t>
            </w:r>
            <w:r/>
          </w:p>
          <w:p>
            <w:pP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1.《开标一览表》（加盖电子签章，政府采购客户端工具输入报价自动生成）。</w:t>
            </w:r>
            <w:r/>
          </w:p>
          <w:p>
            <w:pPr>
              <w:spacing w:line="40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二、资格条件（1-8必须提供，否则投标无效）</w:t>
            </w:r>
            <w:r/>
          </w:p>
          <w:p>
            <w:pPr>
              <w:spacing w:line="40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1.投标人合法有效的法人或者其他组织的营业执照等证明文件，自然人的身份证明。以上证明文件提供原件的扫描件</w:t>
            </w:r>
            <w:r>
              <w:rPr>
                <w:rFonts w:hint="eastAsia" w:ascii="宋体" w:hAnsi="宋体" w:cs="宋体"/>
                <w:sz w:val="24"/>
                <w:szCs w:val="24"/>
                <w:highlight w:val="none"/>
                <w:lang w:eastAsia="zh-CN"/>
              </w:rPr>
              <w:t xml:space="preserve">；</w:t>
            </w:r>
            <w:r/>
          </w:p>
          <w:p>
            <w:pPr>
              <w:spacing w:line="40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财务状况报告（即提供投标人的本项目开标时间前6个月内（不含开标当月）任何时间的资产负债表、利润表各一份或提供投标人上年度财务报告（2024年度或2025年度财务报告）或投标人的本项目开标时间前6个月内银行出具的资信证明扫描件）</w:t>
            </w:r>
            <w:r>
              <w:rPr>
                <w:rFonts w:hint="eastAsia" w:ascii="宋体" w:hAnsi="宋体" w:cs="宋体"/>
                <w:sz w:val="24"/>
                <w:szCs w:val="24"/>
                <w:highlight w:val="none"/>
                <w:lang w:eastAsia="zh-CN"/>
              </w:rPr>
              <w:t xml:space="preserve">；</w:t>
            </w:r>
            <w:r/>
          </w:p>
          <w:p>
            <w:pPr>
              <w:spacing w:line="40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3.投标人的本项目开标时间前6个月内（不含开标当月）任何1个月的依法缴纳税收和社会保障资金的相关材料扫描件（依法免税或不需要缴纳社会保障资金的供应商,提供相应文件证明其依法免税或不需要缴纳社会保障资金)</w:t>
            </w:r>
            <w:r>
              <w:rPr>
                <w:rFonts w:hint="eastAsia" w:ascii="宋体" w:hAnsi="宋体" w:cs="宋体"/>
                <w:sz w:val="24"/>
                <w:szCs w:val="24"/>
                <w:highlight w:val="none"/>
                <w:lang w:eastAsia="zh-CN"/>
              </w:rPr>
              <w:t xml:space="preserve">；</w:t>
            </w:r>
            <w:r/>
          </w:p>
          <w:p>
            <w:pPr>
              <w:spacing w:line="400" w:lineRule="exact"/>
              <w:widowControl/>
              <w:rPr>
                <w:rFonts w:hint="eastAsia" w:ascii="宋体" w:hAnsi="宋体" w:eastAsia="宋体" w:cs="宋体"/>
                <w:b/>
                <w:bCs/>
                <w:sz w:val="24"/>
                <w:szCs w:val="24"/>
                <w:highlight w:val="none"/>
                <w:lang w:eastAsia="zh-CN"/>
              </w:rPr>
            </w:pPr>
            <w:r>
              <w:rPr>
                <w:rFonts w:hint="eastAsia" w:ascii="宋体" w:hAnsi="宋体" w:eastAsia="宋体" w:cs="宋体"/>
                <w:sz w:val="24"/>
                <w:szCs w:val="24"/>
                <w:highlight w:val="none"/>
              </w:rPr>
              <w:t xml:space="preserve">4.具备履行合同所必需的设备和专业技术能力的证明材料，即投标文件中提供《</w:t>
            </w:r>
            <w:bookmarkStart w:id="9" w:name="_Toc515551102"/>
            <w:r>
              <w:rPr>
                <w:rFonts w:hint="eastAsia" w:ascii="宋体" w:hAnsi="宋体" w:eastAsia="宋体" w:cs="宋体"/>
                <w:sz w:val="24"/>
                <w:szCs w:val="24"/>
                <w:highlight w:val="none"/>
              </w:rPr>
              <w:t xml:space="preserve">具备履行合同所必需的设备和专业技术能力的书面声明</w:t>
            </w:r>
            <w:bookmarkEnd w:id="9"/>
            <w:r>
              <w:rPr>
                <w:rFonts w:hint="eastAsia" w:ascii="宋体" w:hAnsi="宋体" w:eastAsia="宋体" w:cs="宋体"/>
                <w:sz w:val="24"/>
                <w:szCs w:val="24"/>
                <w:highlight w:val="none"/>
              </w:rPr>
              <w:t xml:space="preserve">》（加盖电子签章，格式见招标文件第七章《投标文件相关格式》）</w:t>
            </w:r>
            <w:r>
              <w:rPr>
                <w:rFonts w:hint="eastAsia" w:ascii="宋体" w:hAnsi="宋体" w:cs="宋体"/>
                <w:sz w:val="24"/>
                <w:szCs w:val="24"/>
                <w:highlight w:val="none"/>
                <w:lang w:eastAsia="zh-CN"/>
              </w:rPr>
              <w:t xml:space="preserve">；</w:t>
            </w:r>
            <w:r/>
          </w:p>
          <w:p>
            <w:pPr>
              <w:spacing w:line="40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5.投标人参加政府采购活动前3年内在经营活动中没有重大违法记录的书面声明（加盖电子签章，格式见招标文件第七章《投标文件相关格式》）</w:t>
            </w:r>
            <w:r>
              <w:rPr>
                <w:rFonts w:hint="eastAsia" w:ascii="宋体" w:hAnsi="宋体" w:cs="宋体"/>
                <w:sz w:val="24"/>
                <w:szCs w:val="24"/>
                <w:highlight w:val="none"/>
                <w:lang w:eastAsia="zh-CN"/>
              </w:rPr>
              <w:t xml:space="preserve">；</w:t>
            </w:r>
            <w:r/>
          </w:p>
          <w:p>
            <w:pP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6.投标人关于单位负责人为同一人或者存在直接控股、管理关系的不同供应商，不得参加同一合同项下的政府采购活动的承诺。（加盖电子签章，格式见招标文件第七章《投标文件相关格式》）；</w:t>
            </w:r>
            <w:r/>
          </w:p>
          <w:p>
            <w:pP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7.投标人不是为本采购项目提供整体设计、规范编制或者项目管理、监理、检测等服务的供应商的书面声明。（加盖电子签章，格式见招标文件第七章《投标文件相关格式》）；</w:t>
            </w:r>
            <w:r/>
          </w:p>
          <w:p>
            <w:pP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8.投标人提供的服务全部由符合政策要求的中小企业承接的，</w:t>
            </w:r>
            <w:r>
              <w:rPr>
                <w:rFonts w:hint="eastAsia" w:ascii="宋体" w:hAnsi="宋体" w:eastAsia="宋体" w:cs="宋体"/>
                <w:color w:val="000000"/>
                <w:sz w:val="24"/>
                <w:szCs w:val="24"/>
                <w:highlight w:val="none"/>
              </w:rPr>
              <w:t xml:space="preserve">提供《中小企业声明函》（加盖电子签章，填写完整。格式见招标文件第七章《投标文件相关格式》）</w:t>
            </w:r>
            <w:r>
              <w:rPr>
                <w:rFonts w:hint="eastAsia" w:ascii="宋体" w:hAnsi="宋体" w:eastAsia="宋体" w:cs="宋体"/>
                <w:b/>
                <w:bCs/>
                <w:sz w:val="24"/>
                <w:szCs w:val="24"/>
                <w:highlight w:val="none"/>
              </w:rPr>
              <w:t xml:space="preserve">（必须提供，如提供请填写完整）</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t xml:space="preserve">《中小企业声明函》查询渠道参考工业和信息化部发布的中小企业规模自测小程序。</w:t>
            </w:r>
            <w:r/>
          </w:p>
          <w:p>
            <w:pP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注：具体以《政府采购促进中小企业发展管理办法》（财库[2020]46号）和《关于印发中小企业划型标准规定的通知》（工信部联企业[2011]300号）的规定为准。</w:t>
            </w:r>
            <w:r/>
          </w:p>
          <w:p>
            <w:pPr>
              <w:ind w:firstLine="56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注：监狱企业和残疾人福利性单位等同于小微企业。</w:t>
            </w:r>
            <w:r/>
          </w:p>
          <w:p>
            <w:pP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投标人为监狱企业的，提供省级以上监狱管理局、戒毒管理局（含新疆生产建设兵团）出具的属于监狱企业的证明文件原件的扫描件。</w:t>
            </w:r>
            <w:r/>
          </w:p>
          <w:p>
            <w:pPr>
              <w:ind w:firstLine="56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具体以《财政部司法部关于政府采购支持监狱企业发展有关问题的通知》（财库〔2014〕68号）的规定为准。</w:t>
            </w:r>
            <w:r/>
          </w:p>
          <w:p>
            <w:pP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投标人为享受政府采购支持政策的残疾人福利性单位的，提供《残疾人福利性单位声明函》（加盖电子签章，格式见招标文件第七章《投标文件相关格式》）。</w:t>
            </w:r>
            <w:r/>
          </w:p>
          <w:p>
            <w:pPr>
              <w:ind w:firstLine="56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享受政府采购支持政策的残疾人福利性单位应当同时满足以下条件：</w:t>
            </w:r>
            <w:r/>
          </w:p>
          <w:p>
            <w:pPr>
              <w:ind w:firstLine="56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①安置的残疾人占本单位在职职工人数的比例不低于25%（含25%），并且安置的残疾人人数不少于10人（含10人）；</w:t>
            </w:r>
            <w:r/>
          </w:p>
          <w:p>
            <w:pPr>
              <w:ind w:firstLine="56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②依法与安置的每位残疾人签订了一年以上（含一年）的劳动合同或服务协议；</w:t>
            </w:r>
            <w:r/>
          </w:p>
          <w:p>
            <w:pPr>
              <w:ind w:firstLine="56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③为安置的每位残疾人按月足额缴纳了基本养老保险、基本医疗保险、失业保险、工伤保险和生育保险等社会保险费；</w:t>
            </w:r>
            <w:r/>
          </w:p>
          <w:p>
            <w:pPr>
              <w:ind w:firstLine="56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④通过银行等金融机构向安置的每位残疾人，按月支付了不低于单位所在区县适用的经省级人民政府批准的月最低工资标准的工资；</w:t>
            </w:r>
            <w:r/>
          </w:p>
          <w:p>
            <w:pPr>
              <w:ind w:firstLine="56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ind w:firstLine="56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56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具体以《三部门联合发布关于促进残疾人就业政府采购政策的通知》（财库〔2017〕141号）规定为准。</w:t>
            </w:r>
            <w:r/>
          </w:p>
          <w:p>
            <w:pP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9.投标人信用信息（要求见本章条款项号“(六)”中“四”内容）。</w:t>
            </w:r>
            <w:r/>
          </w:p>
          <w:p>
            <w:pPr>
              <w:spacing w:line="36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三、符合条件（必须提供，否则投标无效）</w:t>
            </w:r>
            <w:r/>
          </w:p>
          <w:p>
            <w:pP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（一）报价</w:t>
            </w:r>
            <w:r/>
          </w:p>
          <w:p>
            <w:pP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《分项价格表》（加盖电子签章，格式见招标文件第七章《投标文件相关格式》）；</w:t>
            </w:r>
            <w:r/>
          </w:p>
          <w:p>
            <w:pP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（二）商务资信</w:t>
            </w:r>
            <w:r/>
          </w:p>
          <w:p>
            <w:pP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1.《投标函》（加盖电子签章，格式见招标文件第七章《投标文件相关格式》）；</w:t>
            </w:r>
            <w:r/>
          </w:p>
          <w:p>
            <w:pPr>
              <w:spacing w:line="36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2.《法定代表人授权书》（提供原件的扫描件，格式见招标文件第七章《投标文件相关格式》）</w:t>
            </w:r>
            <w:r>
              <w:rPr>
                <w:rFonts w:hint="eastAsia" w:ascii="宋体" w:hAnsi="宋体" w:cs="宋体"/>
                <w:sz w:val="24"/>
                <w:szCs w:val="24"/>
                <w:highlight w:val="none"/>
                <w:lang w:eastAsia="zh-CN"/>
              </w:rPr>
              <w:t xml:space="preserve">；</w:t>
            </w:r>
            <w:r/>
          </w:p>
          <w:p>
            <w:pPr>
              <w:spacing w:line="36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采购需求符合性条件响应表</w:t>
            </w:r>
            <w:r>
              <w:rPr>
                <w:rFonts w:hint="eastAsia" w:ascii="宋体" w:hAnsi="宋体" w:eastAsia="宋体" w:cs="宋体"/>
                <w:sz w:val="24"/>
                <w:szCs w:val="24"/>
                <w:highlight w:val="none"/>
              </w:rPr>
              <w:t xml:space="preserve">》（加盖电子签章，格式见招标文件第七章《投标文件相关格式》）</w:t>
            </w:r>
            <w:r>
              <w:rPr>
                <w:rFonts w:hint="eastAsia" w:ascii="宋体" w:hAnsi="宋体" w:cs="宋体"/>
                <w:sz w:val="24"/>
                <w:szCs w:val="24"/>
                <w:highlight w:val="none"/>
                <w:lang w:eastAsia="zh-CN"/>
              </w:rPr>
              <w:t xml:space="preserve">；</w:t>
            </w:r>
            <w:r/>
          </w:p>
          <w:p>
            <w:pPr>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（三）技术响应</w:t>
            </w:r>
            <w:r/>
          </w:p>
          <w:p>
            <w:pPr>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1.《偏离表》（加盖电子签章，格式见招标文件第七章《投标文件相关格式》）。</w:t>
            </w:r>
            <w:r/>
          </w:p>
          <w:p>
            <w:pP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四、综合评审评分项</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（一）技术部分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1.项目方案（要求见招标文件第四章《评标标准》</w:t>
            </w:r>
            <w:r>
              <w:rPr>
                <w:rFonts w:hint="eastAsia" w:ascii="宋体" w:hAnsi="宋体" w:cs="宋体"/>
                <w:color w:val="000000"/>
                <w:sz w:val="24"/>
                <w:szCs w:val="24"/>
                <w:highlight w:val="none"/>
                <w:lang w:val="en-US" w:eastAsia="zh-CN"/>
              </w:rPr>
              <w:t xml:space="preserve">及</w:t>
            </w:r>
            <w:r>
              <w:rPr>
                <w:rFonts w:hint="eastAsia" w:ascii="宋体" w:hAnsi="宋体" w:eastAsia="宋体" w:cs="宋体"/>
                <w:color w:val="000000"/>
                <w:sz w:val="24"/>
                <w:szCs w:val="24"/>
                <w:highlight w:val="none"/>
              </w:rPr>
              <w:t xml:space="preserve">第六章《采购需求》）。</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（二）商务部分</w:t>
            </w:r>
            <w:r/>
          </w:p>
          <w:p>
            <w:pPr>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.人员配备方案（要求见招标文件第六章《采购需求》）；</w:t>
            </w:r>
            <w:r/>
          </w:p>
          <w:p>
            <w:pPr>
              <w:spacing w:line="400" w:lineRule="exact"/>
              <w:widowControl/>
              <w:rPr>
                <w:rFonts w:hint="eastAsia" w:ascii="宋体" w:hAnsi="宋体" w:eastAsia="宋体" w:cs="宋体"/>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.投标人业绩（要求见招标文件第四章《评标标准》）。</w:t>
            </w:r>
            <w:r/>
          </w:p>
          <w:p>
            <w:pP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（三）投标人其它证明文件及材料扫描件。</w:t>
            </w:r>
            <w:r/>
          </w:p>
          <w:p>
            <w:pP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五、价格折扣文件格式</w:t>
            </w:r>
            <w:r/>
          </w:p>
          <w:p>
            <w:pP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无。</w:t>
            </w:r>
            <w:r/>
          </w:p>
          <w:p>
            <w:pPr>
              <w:spacing w:line="400" w:lineRule="exact"/>
              <w:rPr>
                <w:rFonts w:hint="eastAsia" w:ascii="宋体" w:hAnsi="宋体" w:eastAsia="宋体" w:cs="宋体"/>
                <w:bCs/>
                <w:sz w:val="24"/>
                <w:szCs w:val="24"/>
                <w:highlight w:val="none"/>
              </w:rPr>
            </w:pPr>
            <w:r>
              <w:rPr>
                <w:rFonts w:hint="eastAsia" w:ascii="宋体" w:hAnsi="宋体" w:eastAsia="宋体" w:cs="宋体"/>
                <w:b/>
                <w:bCs/>
                <w:sz w:val="24"/>
                <w:szCs w:val="24"/>
                <w:highlight w:val="none"/>
              </w:rPr>
              <w:t xml:space="preserve">注</w:t>
            </w:r>
            <w:r>
              <w:rPr>
                <w:rFonts w:hint="eastAsia" w:ascii="宋体" w:hAnsi="宋体" w:eastAsia="宋体" w:cs="宋体"/>
                <w:bCs/>
                <w:sz w:val="24"/>
                <w:szCs w:val="24"/>
                <w:highlight w:val="none"/>
              </w:rPr>
              <w:t xml:space="preserve">：</w:t>
            </w:r>
            <w:r/>
          </w:p>
          <w:p>
            <w:pPr>
              <w:spacing w:line="4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1.投标人应对以上文件的合法性、真实性负责。</w:t>
            </w:r>
            <w:r/>
          </w:p>
          <w:p>
            <w:pPr>
              <w:spacing w:line="4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W w:w="1469" w:type="dxa"/>
            <w:vAlign w:val="top"/>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(十三)2</w:t>
            </w:r>
            <w:r/>
          </w:p>
        </w:tc>
        <w:tc>
          <w:tcPr>
            <w:tcW w:w="7053" w:type="dxa"/>
            <w:vAlign w:val="top"/>
            <w:textDirection w:val="lrTb"/>
            <w:noWrap w:val="false"/>
          </w:tcPr>
          <w:p>
            <w:pP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商务条件见：</w:t>
            </w:r>
            <w:r/>
          </w:p>
          <w:p>
            <w:pP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一、本文件第四章《评标标准》中《评分细则》。</w:t>
            </w:r>
            <w:r/>
          </w:p>
          <w:p>
            <w:pPr>
              <w:spacing w:line="40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二、本文件第三章《投标资料表》中(十二)1和(十二)2。</w:t>
            </w:r>
            <w:r/>
          </w:p>
        </w:tc>
      </w:tr>
      <w:tr>
        <w:trPr/>
        <w:tc>
          <w:tcPr>
            <w:tcW w:w="1469" w:type="dxa"/>
            <w:vAlign w:val="top"/>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(十三)3</w:t>
            </w:r>
            <w:r/>
          </w:p>
        </w:tc>
        <w:tc>
          <w:tcPr>
            <w:tcW w:w="7053" w:type="dxa"/>
            <w:vAlign w:val="top"/>
            <w:textDirection w:val="lrTb"/>
            <w:noWrap w:val="false"/>
          </w:tcPr>
          <w:p>
            <w:pP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交货和提供服务的时间：见本文件第五章《拟签订的合同文本》及本文件第六章《采购需求》。</w:t>
            </w:r>
            <w:r/>
          </w:p>
        </w:tc>
      </w:tr>
      <w:tr>
        <w:trPr/>
        <w:tc>
          <w:tcPr>
            <w:tcW w:w="1469" w:type="dxa"/>
            <w:vAlign w:val="top"/>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(十四)3</w:t>
            </w:r>
            <w:r/>
          </w:p>
        </w:tc>
        <w:tc>
          <w:tcPr>
            <w:tcW w:w="7053" w:type="dxa"/>
            <w:vAlign w:val="top"/>
            <w:textDirection w:val="lrTb"/>
            <w:noWrap w:val="false"/>
          </w:tcPr>
          <w:p>
            <w:pPr>
              <w:spacing w:line="400" w:lineRule="exact"/>
              <w:rPr>
                <w:rFonts w:hint="eastAsia" w:ascii="宋体" w:hAnsi="宋体" w:eastAsia="宋体" w:cs="宋体"/>
                <w:sz w:val="24"/>
                <w:szCs w:val="24"/>
                <w:highlight w:val="none"/>
              </w:rPr>
            </w:pPr>
            <w:r>
              <w:rPr>
                <w:rFonts w:hint="eastAsia" w:ascii="宋体" w:hAnsi="宋体" w:cs="宋体"/>
                <w:b/>
                <w:bCs/>
                <w:color w:val="auto"/>
                <w:sz w:val="24"/>
                <w:szCs w:val="24"/>
                <w:highlight w:val="none"/>
              </w:rPr>
              <w:t xml:space="preserve">本项目采购预算总金额</w:t>
            </w:r>
            <w:r>
              <w:rPr>
                <w:rFonts w:hint="eastAsia" w:ascii="宋体" w:hAnsi="宋体" w:cs="宋体"/>
                <w:b/>
                <w:bCs/>
                <w:color w:val="auto"/>
                <w:sz w:val="24"/>
                <w:szCs w:val="24"/>
                <w:highlight w:val="none"/>
                <w:lang w:val="en-US" w:eastAsia="zh-CN"/>
              </w:rPr>
              <w:t xml:space="preserve">149</w:t>
            </w:r>
            <w:r>
              <w:rPr>
                <w:rFonts w:hint="eastAsia" w:ascii="宋体" w:hAnsi="宋体" w:cs="宋体"/>
                <w:b/>
                <w:bCs/>
                <w:color w:val="auto"/>
                <w:sz w:val="24"/>
                <w:szCs w:val="24"/>
                <w:highlight w:val="none"/>
              </w:rPr>
              <w:t xml:space="preserve">万元人民币，</w:t>
            </w:r>
            <w:r>
              <w:rPr>
                <w:rFonts w:hint="eastAsia" w:ascii="宋体" w:hAnsi="宋体" w:cs="宋体"/>
                <w:b/>
                <w:bCs/>
                <w:color w:val="auto"/>
                <w:sz w:val="24"/>
                <w:szCs w:val="24"/>
                <w:highlight w:val="none"/>
                <w:lang w:eastAsia="zh-CN"/>
              </w:rPr>
              <w:t xml:space="preserve">本项目不接受超过人民币</w:t>
            </w:r>
            <w:r>
              <w:rPr>
                <w:rFonts w:hint="eastAsia" w:ascii="宋体" w:hAnsi="宋体" w:cs="宋体"/>
                <w:b/>
                <w:bCs/>
                <w:color w:val="auto"/>
                <w:sz w:val="24"/>
                <w:szCs w:val="24"/>
                <w:highlight w:val="none"/>
                <w:lang w:val="en-US" w:eastAsia="zh-CN"/>
              </w:rPr>
              <w:t xml:space="preserve">149</w:t>
            </w:r>
            <w:r>
              <w:rPr>
                <w:rFonts w:hint="eastAsia" w:ascii="宋体" w:hAnsi="宋体" w:cs="宋体"/>
                <w:b/>
                <w:bCs/>
                <w:color w:val="auto"/>
                <w:sz w:val="24"/>
                <w:szCs w:val="24"/>
                <w:highlight w:val="none"/>
                <w:lang w:eastAsia="zh-CN"/>
              </w:rPr>
              <w:t xml:space="preserve">万元（采购项目预算金额）的投标报价。</w:t>
            </w:r>
            <w:r/>
          </w:p>
        </w:tc>
      </w:tr>
      <w:tr>
        <w:trPr>
          <w:trHeight w:val="90"/>
        </w:trPr>
        <w:tc>
          <w:tcPr>
            <w:tcW w:w="1469" w:type="dxa"/>
            <w:vAlign w:val="top"/>
            <w:textDirection w:val="lrTb"/>
            <w:noWrap w:val="false"/>
          </w:tcPr>
          <w:p>
            <w:pPr>
              <w:jc w:val="center"/>
              <w:spacing w:line="4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（十七）</w:t>
            </w:r>
            <w:r/>
          </w:p>
        </w:tc>
        <w:tc>
          <w:tcPr>
            <w:tcW w:w="7053" w:type="dxa"/>
            <w:vAlign w:val="top"/>
            <w:textDirection w:val="lrTb"/>
            <w:noWrap w:val="false"/>
          </w:tcPr>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线上要求：</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投标人应当通过“苏采云”系统提交数据电文形式的投标文件（即电子投标）。</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特别说明：通过“苏采云”系统提交政府采购客户端工具导出加密的投标文件（后缀名为zip）。投标文件不得超过150M！</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说明：本项目采用线上投标，即供应商投标文件从政府采购客户端工具制作通过“苏采云”系统提交，未提供线上投标文件的，投标无效。</w:t>
            </w:r>
            <w:r/>
          </w:p>
        </w:tc>
      </w:tr>
      <w:tr>
        <w:trPr/>
        <w:tc>
          <w:tcPr>
            <w:tcW w:w="1469" w:type="dxa"/>
            <w:vAlign w:val="top"/>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(十八)</w:t>
            </w:r>
            <w:r/>
          </w:p>
        </w:tc>
        <w:tc>
          <w:tcPr>
            <w:tcW w:w="7053" w:type="dxa"/>
            <w:vAlign w:val="top"/>
            <w:textDirection w:val="lrTb"/>
            <w:noWrap w:val="false"/>
          </w:tcPr>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线上投标文件的密封、签署、盖章要求：</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一、投标文件的密封（加密）要求：</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二、投标文件的签署要求：见招标文件第七章《投标文件相关格式》。</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三、投标文件的盖章要求：见招标文件第三章《投标资料表》和招标文件第七章《投标文件相关格式》。投标人须通过“苏采云”系统提供的政府采购客户端工具（使用“CA数字证书”）加盖电子签章。</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说明：投标人应在用CA数字证书以及自备的能够登录“苏采云”系统的电脑，在达到开标时间后，使用CA数字证书解密各自投标文件。</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投标人未按规定加密的投标文件，“苏采云”系统应当拒收并提示。</w:t>
            </w:r>
            <w:r/>
          </w:p>
        </w:tc>
      </w:tr>
      <w:tr>
        <w:trPr/>
        <w:tc>
          <w:tcPr>
            <w:tcW w:w="1469" w:type="dxa"/>
            <w:vAlign w:val="top"/>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(十九)</w:t>
            </w:r>
            <w:r/>
          </w:p>
        </w:tc>
        <w:tc>
          <w:tcPr>
            <w:tcW w:w="7053" w:type="dxa"/>
            <w:vAlign w:val="top"/>
            <w:textDirection w:val="lrTb"/>
            <w:noWrap w:val="false"/>
          </w:tcPr>
          <w:p>
            <w:pPr>
              <w:ind w:left="560" w:hanging="56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投标文件的提交： </w:t>
            </w:r>
            <w:r/>
          </w:p>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1.投标文件提交时间：2026年08</w:t>
            </w:r>
            <w:r>
              <w:rPr>
                <w:rFonts w:hint="eastAsia" w:ascii="宋体" w:hAnsi="宋体" w:eastAsia="宋体" w:cs="宋体"/>
                <w:sz w:val="24"/>
                <w:szCs w:val="24"/>
                <w:highlight w:val="none"/>
              </w:rPr>
              <w:t xml:space="preserve">月27</w:t>
            </w:r>
            <w:r>
              <w:rPr>
                <w:rFonts w:hint="eastAsia" w:ascii="宋体" w:hAnsi="宋体" w:eastAsia="宋体" w:cs="宋体"/>
                <w:sz w:val="24"/>
                <w:szCs w:val="24"/>
                <w:highlight w:val="none"/>
              </w:rPr>
              <w:t xml:space="preserve">日北京时间09:30前。</w:t>
            </w:r>
            <w:r/>
          </w:p>
          <w:p>
            <w:pPr>
              <w:ind w:left="560" w:hanging="56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2.投标截止时间：2026年08</w:t>
            </w:r>
            <w:r>
              <w:rPr>
                <w:rFonts w:hint="eastAsia" w:ascii="宋体" w:hAnsi="宋体" w:eastAsia="宋体" w:cs="宋体"/>
                <w:sz w:val="24"/>
                <w:szCs w:val="24"/>
                <w:highlight w:val="none"/>
                <w:lang w:val="en-US" w:eastAsia="zh-CN"/>
              </w:rPr>
              <w:t xml:space="preserve">月27日</w:t>
            </w:r>
            <w:r>
              <w:rPr>
                <w:rFonts w:hint="eastAsia" w:ascii="宋体" w:hAnsi="宋体" w:eastAsia="宋体" w:cs="宋体"/>
                <w:sz w:val="24"/>
                <w:szCs w:val="24"/>
                <w:highlight w:val="none"/>
              </w:rPr>
              <w:t xml:space="preserve">北京时间09:30。</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3.投标文件提交地点：投标人应当通过“苏采云”系统提交数据电文形式的投标文件（即电子投标），“苏采云”系统自动接收。</w:t>
            </w:r>
            <w:r/>
          </w:p>
        </w:tc>
      </w:tr>
      <w:tr>
        <w:trPr/>
        <w:tc>
          <w:tcPr>
            <w:tcW w:w="1469" w:type="dxa"/>
            <w:vAlign w:val="top"/>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（二十）</w:t>
            </w:r>
            <w:r/>
          </w:p>
        </w:tc>
        <w:tc>
          <w:tcPr>
            <w:tcW w:w="7053" w:type="dxa"/>
            <w:vAlign w:val="top"/>
            <w:textDirection w:val="lrTb"/>
            <w:noWrap w:val="false"/>
          </w:tcPr>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电子投标文件应由其法定代表人或法定代表人授权代表在规定的网上投标时间内，凭CA证书</w:t>
            </w:r>
            <w:r>
              <w:rPr>
                <w:rFonts w:hint="eastAsia" w:ascii="宋体" w:hAnsi="宋体" w:cs="宋体"/>
                <w:sz w:val="24"/>
                <w:szCs w:val="24"/>
                <w:highlight w:val="none"/>
                <w:lang w:eastAsia="zh-CN"/>
              </w:rPr>
              <w:t xml:space="preserve">登录</w:t>
            </w:r>
            <w:r>
              <w:rPr>
                <w:rFonts w:hint="eastAsia" w:ascii="宋体" w:hAnsi="宋体" w:eastAsia="宋体" w:cs="宋体"/>
                <w:sz w:val="24"/>
                <w:szCs w:val="24"/>
                <w:highlight w:val="none"/>
              </w:rPr>
              <w:t xml:space="preserve">“苏采云”系统在线编制投标文件（电子数据），并在投标截止时间之前上传投标文件。</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投标人应在达到开标时间后，使用CA数字证书解密各自投标文件。</w:t>
            </w:r>
            <w:r/>
          </w:p>
        </w:tc>
      </w:tr>
      <w:tr>
        <w:trPr/>
        <w:tc>
          <w:tcPr>
            <w:tcW w:w="1469" w:type="dxa"/>
            <w:vAlign w:val="top"/>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w:t>
            </w:r>
            <w:r/>
          </w:p>
        </w:tc>
        <w:tc>
          <w:tcPr>
            <w:tcW w:w="7053" w:type="dxa"/>
            <w:vAlign w:val="top"/>
            <w:textDirection w:val="lrTb"/>
            <w:noWrap w:val="false"/>
          </w:tcPr>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开标</w:t>
            </w:r>
            <w:r/>
          </w:p>
        </w:tc>
      </w:tr>
      <w:tr>
        <w:trPr/>
        <w:tc>
          <w:tcPr>
            <w:tcW w:w="1469" w:type="dxa"/>
            <w:vAlign w:val="top"/>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(二十五)1</w:t>
            </w:r>
            <w:r/>
          </w:p>
        </w:tc>
        <w:tc>
          <w:tcPr>
            <w:tcW w:w="7053" w:type="dxa"/>
            <w:vAlign w:val="top"/>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开标时间及地点：</w:t>
            </w:r>
            <w:r/>
          </w:p>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1.开标时间：2026年08</w:t>
            </w:r>
            <w:r>
              <w:rPr>
                <w:rFonts w:hint="eastAsia" w:ascii="宋体" w:hAnsi="宋体" w:eastAsia="宋体" w:cs="宋体"/>
                <w:sz w:val="24"/>
                <w:szCs w:val="24"/>
                <w:highlight w:val="none"/>
                <w:lang w:val="en-US" w:eastAsia="zh-CN"/>
              </w:rPr>
              <w:t xml:space="preserve">月27日</w:t>
            </w:r>
            <w:r>
              <w:rPr>
                <w:rFonts w:hint="eastAsia" w:ascii="宋体" w:hAnsi="宋体" w:eastAsia="宋体" w:cs="宋体"/>
                <w:sz w:val="24"/>
                <w:szCs w:val="24"/>
                <w:highlight w:val="none"/>
              </w:rPr>
              <w:t xml:space="preserve">09：30（标准时间）</w:t>
            </w:r>
            <w:r/>
          </w:p>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2.开标地点：“苏采云”系统“开标大厅”或进入江苏政府采购网--办事指南--供应商--供应商进入，点击“苏采云”进入系统“开标大厅”。</w:t>
            </w:r>
            <w:r/>
          </w:p>
        </w:tc>
      </w:tr>
      <w:tr>
        <w:trPr>
          <w:trHeight w:val="1010"/>
        </w:trPr>
        <w:tc>
          <w:tcPr>
            <w:tcW w:w="1469" w:type="dxa"/>
            <w:vAlign w:val="top"/>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(二十五)3</w:t>
            </w:r>
            <w:r/>
          </w:p>
        </w:tc>
        <w:tc>
          <w:tcPr>
            <w:tcW w:w="7053" w:type="dxa"/>
            <w:vAlign w:val="top"/>
            <w:textDirection w:val="lrTb"/>
            <w:noWrap w:val="false"/>
          </w:tcPr>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所有投标人解密（或解密时间）结束后，“苏采云”系统生成开标记录并向社会公众公布，但依法应当保密的除外。</w:t>
            </w:r>
            <w:r/>
          </w:p>
        </w:tc>
      </w:tr>
      <w:tr>
        <w:trPr/>
        <w:tc>
          <w:tcPr>
            <w:tcW w:w="1469" w:type="dxa"/>
            <w:vAlign w:val="top"/>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w:t>
            </w:r>
            <w:r/>
          </w:p>
        </w:tc>
        <w:tc>
          <w:tcPr>
            <w:tcW w:w="7053" w:type="dxa"/>
            <w:vAlign w:val="top"/>
            <w:textDirection w:val="lrTb"/>
            <w:noWrap w:val="false"/>
          </w:tcPr>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评标</w:t>
            </w:r>
            <w:r/>
          </w:p>
        </w:tc>
      </w:tr>
      <w:tr>
        <w:trPr/>
        <w:tc>
          <w:tcPr>
            <w:tcW w:w="1469" w:type="dxa"/>
            <w:vAlign w:val="top"/>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(二十七)</w:t>
            </w:r>
            <w:r/>
          </w:p>
        </w:tc>
        <w:tc>
          <w:tcPr>
            <w:tcW w:w="7053" w:type="dxa"/>
            <w:vAlign w:val="top"/>
            <w:textDirection w:val="lrTb"/>
            <w:noWrap w:val="false"/>
          </w:tcPr>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采用综合评分法。</w:t>
            </w:r>
            <w:r/>
          </w:p>
        </w:tc>
      </w:tr>
      <w:tr>
        <w:trPr/>
        <w:tc>
          <w:tcPr>
            <w:tcW w:w="1469" w:type="dxa"/>
            <w:vAlign w:val="top"/>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(二十八)1</w:t>
            </w:r>
            <w:r/>
          </w:p>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(二十八)1（4）</w:t>
            </w:r>
            <w:r/>
          </w:p>
        </w:tc>
        <w:tc>
          <w:tcPr>
            <w:tcW w:w="7053" w:type="dxa"/>
            <w:vAlign w:val="top"/>
            <w:textDirection w:val="lrTb"/>
            <w:noWrap w:val="false"/>
          </w:tcPr>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一、推荐中标候选供应商名单。中标候选供应商数量应当根据采购需要确定，但必须按顺序排列中标候选供应商。</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二、采用综合评分法的，按评审后得分由高到低顺序排列。</w:t>
            </w:r>
            <w:bookmarkStart w:id="10" w:name="OLE_LINK1"/>
            <w:r>
              <w:rPr>
                <w:rFonts w:hint="eastAsia" w:ascii="宋体" w:hAnsi="宋体" w:eastAsia="宋体" w:cs="宋体"/>
                <w:sz w:val="24"/>
                <w:szCs w:val="24"/>
                <w:highlight w:val="none"/>
              </w:rPr>
              <w:t xml:space="preserve">得分相同的，</w:t>
            </w:r>
            <w:bookmarkEnd w:id="10"/>
            <w:r>
              <w:rPr>
                <w:rFonts w:hint="eastAsia" w:ascii="宋体" w:hAnsi="宋体" w:eastAsia="宋体" w:cs="宋体"/>
                <w:sz w:val="24"/>
                <w:szCs w:val="24"/>
                <w:highlight w:val="none"/>
              </w:rPr>
              <w:t xml:space="preserve">按投标报价由低到高顺序排列。得分且投标报价相同的，按</w:t>
            </w:r>
            <w:r>
              <w:rPr>
                <w:rFonts w:hint="eastAsia" w:ascii="宋体" w:hAnsi="宋体" w:eastAsia="宋体" w:cs="宋体"/>
                <w:sz w:val="24"/>
                <w:szCs w:val="24"/>
                <w:highlight w:val="none"/>
                <w:lang w:val="en-US" w:eastAsia="zh-CN"/>
              </w:rPr>
              <w:t xml:space="preserve">服务</w:t>
            </w:r>
            <w:r>
              <w:rPr>
                <w:rFonts w:hint="eastAsia" w:ascii="宋体" w:hAnsi="宋体" w:eastAsia="宋体" w:cs="宋体"/>
                <w:sz w:val="24"/>
                <w:szCs w:val="24"/>
                <w:highlight w:val="none"/>
              </w:rPr>
              <w:t xml:space="preserve">方案得分之和得分由高到低顺序排列。</w:t>
            </w:r>
            <w:r/>
          </w:p>
        </w:tc>
      </w:tr>
      <w:tr>
        <w:trPr/>
        <w:tc>
          <w:tcPr>
            <w:tcW w:w="1469" w:type="dxa"/>
            <w:vAlign w:val="top"/>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（二十九）</w:t>
            </w:r>
            <w:r/>
          </w:p>
        </w:tc>
        <w:tc>
          <w:tcPr>
            <w:tcW w:w="7053" w:type="dxa"/>
            <w:vAlign w:val="top"/>
            <w:textDirection w:val="lrTb"/>
            <w:noWrap w:val="false"/>
          </w:tcPr>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1.评标中需要投标人对投标文件澄清或者说明的，应当通过“苏采云”系统交换数据电文。在评标期间，请投标人保持在线。</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1469" w:type="dxa"/>
            <w:vAlign w:val="top"/>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（三十）</w:t>
            </w:r>
            <w:r/>
          </w:p>
        </w:tc>
        <w:tc>
          <w:tcPr>
            <w:tcW w:w="7053" w:type="dxa"/>
            <w:vAlign w:val="top"/>
            <w:textDirection w:val="lrTb"/>
            <w:noWrap w:val="false"/>
          </w:tcPr>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p>
          <w:p>
            <w:pPr>
              <w:spacing w:line="400" w:lineRule="exact"/>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特别说明：“苏采云”系统通过“江苏省政府采购一体化不见面开标大厅”提醒投标人，投标人自行查看。投标人未及时查看或因自身原因导致未收到信息的，责任自负。</w:t>
            </w:r>
            <w:r/>
          </w:p>
        </w:tc>
      </w:tr>
      <w:tr>
        <w:trPr/>
        <w:tc>
          <w:tcPr>
            <w:tcW w:w="1469" w:type="dxa"/>
            <w:vAlign w:val="top"/>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w:t>
            </w:r>
            <w:r/>
          </w:p>
        </w:tc>
        <w:tc>
          <w:tcPr>
            <w:tcW w:w="7053" w:type="dxa"/>
            <w:vAlign w:val="top"/>
            <w:textDirection w:val="lrTb"/>
            <w:noWrap w:val="false"/>
          </w:tcPr>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政府采购合同</w:t>
            </w:r>
            <w:r/>
          </w:p>
        </w:tc>
      </w:tr>
      <w:tr>
        <w:trPr>
          <w:trHeight w:val="835"/>
        </w:trPr>
        <w:tc>
          <w:tcPr>
            <w:tcW w:w="1469" w:type="dxa"/>
            <w:vAlign w:val="top"/>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(三十六)</w:t>
            </w:r>
            <w:r/>
          </w:p>
        </w:tc>
        <w:tc>
          <w:tcPr>
            <w:tcW w:w="7053" w:type="dxa"/>
            <w:vAlign w:val="top"/>
            <w:textDirection w:val="lrTb"/>
            <w:noWrap w:val="false"/>
          </w:tcPr>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采购人与中标、成交供应商应当在中标、成交通知书发出之日起30日内，按照采购文件确定的事项签订政府采购合同。</w:t>
            </w:r>
            <w:r/>
          </w:p>
        </w:tc>
      </w:tr>
      <w:tr>
        <w:trPr/>
        <w:tc>
          <w:tcPr>
            <w:tcW w:w="1469" w:type="dxa"/>
            <w:vAlign w:val="top"/>
            <w:textDirection w:val="lrTb"/>
            <w:noWrap w:val="false"/>
          </w:tcPr>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（三十八）</w:t>
            </w:r>
            <w:r/>
          </w:p>
        </w:tc>
        <w:tc>
          <w:tcPr>
            <w:tcW w:w="7053" w:type="dxa"/>
            <w:vAlign w:val="top"/>
            <w:textDirection w:val="lrTb"/>
            <w:noWrap w:val="false"/>
          </w:tcPr>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1.履约保证金的形式：非现金形式</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履约保证金的金额：政府采购合同金额（合同总价）的10%提交的履约保证金，签订合同前提交，以支票、汇票、本票或者金融机构、担保机构出具的保函等非现金形式缴纳，中标人可自愿使用履约保函(保险）代替缴纳履约保证金，具体详见《关于在全省政府采购领域推行电子履约保函(保险)的通知》(苏财购(2023)150号)规定)。</w:t>
            </w:r>
            <w:r/>
          </w:p>
          <w:p>
            <w:pPr>
              <w:spacing w:line="400" w:lineRule="exac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中标人应当在签订合同前提交履约保证金，否则采购人可以取消其中标资格。在此情况下，采购人可以与排位在中标人之后第一位的中标候选人签订政府采购合同，以此类推。。</w:t>
            </w:r>
            <w:r/>
          </w:p>
        </w:tc>
      </w:tr>
      <w:tr>
        <w:trPr>
          <w:trHeight w:val="90"/>
        </w:trPr>
        <w:tc>
          <w:tcPr>
            <w:tcW w:w="1469" w:type="dxa"/>
            <w:vAlign w:val="top"/>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(四十)</w:t>
            </w:r>
            <w:r/>
          </w:p>
        </w:tc>
        <w:tc>
          <w:tcPr>
            <w:tcW w:w="7053" w:type="dxa"/>
            <w:vAlign w:val="top"/>
            <w:textDirection w:val="lrTb"/>
            <w:noWrap w:val="false"/>
          </w:tcPr>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二、供应商在法定质疑期内一次性提出针对同一采购程序环节的质疑。</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质疑接收人：</w:t>
            </w:r>
            <w:r>
              <w:rPr>
                <w:rFonts w:hint="eastAsia" w:ascii="宋体" w:hAnsi="宋体" w:eastAsia="宋体" w:cs="宋体"/>
                <w:sz w:val="24"/>
                <w:szCs w:val="24"/>
                <w:highlight w:val="none"/>
                <w:lang w:eastAsia="zh-CN"/>
              </w:rPr>
              <w:t xml:space="preserve">王建成、李静</w:t>
            </w:r>
            <w:r>
              <w:rPr>
                <w:rFonts w:hint="eastAsia" w:ascii="宋体" w:hAnsi="宋体" w:eastAsia="宋体" w:cs="宋体"/>
                <w:sz w:val="24"/>
                <w:szCs w:val="24"/>
                <w:highlight w:val="none"/>
              </w:rPr>
              <w:t xml:space="preserve">；</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lang w:eastAsia="zh-CN"/>
              </w:rPr>
              <w:t xml:space="preserve">0516-83663536</w:t>
            </w:r>
            <w:r>
              <w:rPr>
                <w:rFonts w:hint="eastAsia" w:ascii="宋体" w:hAnsi="宋体" w:eastAsia="宋体" w:cs="宋体"/>
                <w:sz w:val="24"/>
                <w:szCs w:val="24"/>
                <w:highlight w:val="none"/>
              </w:rPr>
              <w:t xml:space="preserve">；</w:t>
            </w:r>
            <w:r/>
          </w:p>
          <w:p>
            <w:pPr>
              <w:spacing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办公地址：</w:t>
            </w:r>
            <w:r>
              <w:rPr>
                <w:rFonts w:hint="eastAsia" w:ascii="宋体" w:hAnsi="宋体" w:eastAsia="宋体" w:cs="宋体"/>
                <w:sz w:val="24"/>
                <w:szCs w:val="24"/>
                <w:highlight w:val="none"/>
                <w:lang w:eastAsia="zh-CN"/>
              </w:rPr>
              <w:t xml:space="preserve">徐州市云龙区世茂广场钻石国际D座12楼</w:t>
            </w:r>
            <w:r/>
          </w:p>
        </w:tc>
      </w:tr>
      <w:tr>
        <w:trPr>
          <w:trHeight w:val="90"/>
        </w:trPr>
        <w:tc>
          <w:tcPr>
            <w:tcW w:w="1469" w:type="dxa"/>
            <w:vAlign w:val="top"/>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附加说明</w:t>
            </w:r>
            <w:r/>
          </w:p>
        </w:tc>
        <w:tc>
          <w:tcPr>
            <w:tcW w:w="7053" w:type="dxa"/>
            <w:vAlign w:val="top"/>
            <w:textDirection w:val="lrTb"/>
            <w:noWrap w:val="false"/>
          </w:tcPr>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中标人在收到中标通知书时，须向采购代理机构提交投标文件的纸质标书3套，纸质标书的内容和苏采云上的电子投标文件内容一致。</w:t>
            </w:r>
            <w:r/>
          </w:p>
        </w:tc>
      </w:tr>
    </w:tbl>
    <w:p>
      <w:pPr>
        <w:pStyle w:val="718"/>
        <w:ind w:firstLine="600"/>
        <w:spacing w:line="346" w:lineRule="auto"/>
        <w:widowControl/>
        <w:rPr>
          <w:rFonts w:hint="eastAsia" w:ascii="宋体" w:hAnsi="宋体" w:eastAsia="宋体" w:cs="宋体"/>
          <w:b/>
          <w:sz w:val="28"/>
          <w:szCs w:val="28"/>
          <w:highlight w:val="none"/>
        </w:rPr>
      </w:pPr>
      <w:r>
        <w:rPr>
          <w:rFonts w:hint="eastAsia" w:ascii="宋体" w:hAnsi="宋体" w:eastAsia="宋体" w:cs="宋体"/>
          <w:sz w:val="28"/>
          <w:szCs w:val="28"/>
          <w:highlight w:val="none"/>
        </w:rPr>
        <w:br w:type="page" w:clear="all"/>
      </w:r>
      <w:r>
        <w:rPr>
          <w:rFonts w:hint="eastAsia" w:ascii="宋体" w:hAnsi="宋体" w:eastAsia="宋体" w:cs="宋体"/>
          <w:b/>
          <w:sz w:val="28"/>
          <w:szCs w:val="28"/>
          <w:highlight w:val="none"/>
        </w:rPr>
        <w:t xml:space="preserve">本章附件：招标代理服务收费标准</w:t>
      </w:r>
      <w:r>
        <w:rPr>
          <w:rFonts w:hint="eastAsia" w:ascii="宋体" w:hAnsi="宋体" w:eastAsia="宋体" w:cs="宋体"/>
          <w:b/>
          <w:color w:val="000000"/>
          <w:sz w:val="28"/>
          <w:szCs w:val="28"/>
          <w:highlight w:val="none"/>
        </w:rPr>
      </w:r>
      <w:r/>
    </w:p>
    <w:tbl>
      <w:tblPr>
        <w:tblStyle w:val="693"/>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851"/>
        <w:gridCol w:w="3557"/>
      </w:tblGrid>
      <w:tr>
        <w:trPr>
          <w:jc w:val="center"/>
          <w:trHeight w:val="680" w:hRule="exact"/>
        </w:trPr>
        <w:tc>
          <w:tcPr>
            <w:tcW w:w="2884" w:type="dxa"/>
            <w:vAlign w:val="center"/>
            <w:textDirection w:val="lrTb"/>
            <w:noWrap w:val="false"/>
          </w:tcPr>
          <w:p>
            <w:pPr>
              <w:pStyle w:val="955"/>
              <w:jc w:val="center"/>
              <w:keepLines w:val="0"/>
              <w:keepNext w:val="0"/>
              <w:pageBreakBefore w:val="0"/>
              <w:spacing w:before="168" w:line="400" w:lineRule="exact"/>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中标或者成交金额</w:t>
            </w:r>
            <w:r/>
          </w:p>
        </w:tc>
        <w:tc>
          <w:tcPr>
            <w:tcW w:w="2115" w:type="dxa"/>
            <w:vAlign w:val="center"/>
            <w:textDirection w:val="lrTb"/>
            <w:noWrap w:val="false"/>
          </w:tcPr>
          <w:p>
            <w:pPr>
              <w:pStyle w:val="955"/>
              <w:jc w:val="center"/>
              <w:keepLines w:val="0"/>
              <w:keepNext w:val="0"/>
              <w:pageBreakBefore w:val="0"/>
              <w:spacing w:before="168" w:line="400" w:lineRule="exact"/>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 xml:space="preserve">费率</w:t>
            </w:r>
            <w:r/>
          </w:p>
        </w:tc>
      </w:tr>
      <w:tr>
        <w:trPr>
          <w:jc w:val="center"/>
          <w:trHeight w:val="680" w:hRule="exact"/>
        </w:trPr>
        <w:tc>
          <w:tcPr>
            <w:tcW w:w="2884" w:type="dxa"/>
            <w:vAlign w:val="center"/>
            <w:textDirection w:val="lrTb"/>
            <w:noWrap w:val="false"/>
          </w:tcPr>
          <w:p>
            <w:pPr>
              <w:pStyle w:val="955"/>
              <w:keepLines w:val="0"/>
              <w:keepNext w:val="0"/>
              <w:pageBreakBefore w:val="0"/>
              <w:spacing w:before="154" w:line="400" w:lineRule="exact"/>
              <w:rPr>
                <w:rFonts w:hint="eastAsia" w:ascii="宋体" w:hAnsi="宋体" w:eastAsia="宋体" w:cs="宋体"/>
                <w:sz w:val="24"/>
                <w:szCs w:val="24"/>
                <w:highlight w:val="none"/>
                <w:lang w:eastAsia="zh-CN"/>
              </w:rPr>
            </w:pPr>
            <w:r>
              <w:rPr>
                <w:rFonts w:hint="eastAsia" w:ascii="宋体" w:hAnsi="宋体" w:eastAsia="宋体" w:cs="宋体"/>
                <w:spacing w:val="4"/>
                <w:sz w:val="24"/>
                <w:szCs w:val="24"/>
                <w:highlight w:val="none"/>
                <w:lang w:eastAsia="zh-CN"/>
              </w:rPr>
              <w:t xml:space="preserve">最低收费金额(每个委托项目)</w:t>
            </w:r>
            <w:r/>
          </w:p>
        </w:tc>
        <w:tc>
          <w:tcPr>
            <w:tcW w:w="2115" w:type="dxa"/>
            <w:vAlign w:val="center"/>
            <w:textDirection w:val="lrTb"/>
            <w:noWrap w:val="false"/>
          </w:tcPr>
          <w:p>
            <w:pPr>
              <w:pStyle w:val="955"/>
              <w:jc w:val="center"/>
              <w:keepLines w:val="0"/>
              <w:keepNext w:val="0"/>
              <w:pageBreakBefore w:val="0"/>
              <w:spacing w:before="155" w:line="400" w:lineRule="exact"/>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5000元</w:t>
            </w:r>
            <w:r/>
          </w:p>
        </w:tc>
      </w:tr>
      <w:tr>
        <w:trPr>
          <w:jc w:val="center"/>
          <w:trHeight w:val="680" w:hRule="exact"/>
        </w:trPr>
        <w:tc>
          <w:tcPr>
            <w:tcW w:w="2884" w:type="dxa"/>
            <w:vAlign w:val="center"/>
            <w:textDirection w:val="lrTb"/>
            <w:noWrap w:val="false"/>
          </w:tcPr>
          <w:p>
            <w:pPr>
              <w:pStyle w:val="955"/>
              <w:keepLines w:val="0"/>
              <w:keepNext w:val="0"/>
              <w:pageBreakBefore w:val="0"/>
              <w:spacing w:before="155" w:line="400" w:lineRule="exact"/>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 xml:space="preserve">50万元以下(含50万元)</w:t>
            </w:r>
            <w:r/>
          </w:p>
        </w:tc>
        <w:tc>
          <w:tcPr>
            <w:tcW w:w="2115" w:type="dxa"/>
            <w:vAlign w:val="center"/>
            <w:textDirection w:val="lrTb"/>
            <w:noWrap w:val="false"/>
          </w:tcPr>
          <w:p>
            <w:pPr>
              <w:pStyle w:val="955"/>
              <w:jc w:val="center"/>
              <w:keepLines w:val="0"/>
              <w:keepNext w:val="0"/>
              <w:pageBreakBefore w:val="0"/>
              <w:spacing w:before="236" w:line="400" w:lineRule="exact"/>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 xml:space="preserve">1.6%</w:t>
            </w:r>
            <w:r/>
          </w:p>
        </w:tc>
      </w:tr>
      <w:tr>
        <w:trPr>
          <w:jc w:val="center"/>
          <w:trHeight w:val="680" w:hRule="exact"/>
        </w:trPr>
        <w:tc>
          <w:tcPr>
            <w:tcW w:w="2884" w:type="dxa"/>
            <w:vAlign w:val="center"/>
            <w:textDirection w:val="lrTb"/>
            <w:noWrap w:val="false"/>
          </w:tcPr>
          <w:p>
            <w:pPr>
              <w:pStyle w:val="955"/>
              <w:keepLines w:val="0"/>
              <w:keepNext w:val="0"/>
              <w:pageBreakBefore w:val="0"/>
              <w:spacing w:before="156" w:line="400" w:lineRule="exact"/>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 xml:space="preserve">50-400万元(含400万元)</w:t>
            </w:r>
            <w:r/>
          </w:p>
        </w:tc>
        <w:tc>
          <w:tcPr>
            <w:tcW w:w="2115" w:type="dxa"/>
            <w:vAlign w:val="center"/>
            <w:textDirection w:val="lrTb"/>
            <w:noWrap w:val="false"/>
          </w:tcPr>
          <w:p>
            <w:pPr>
              <w:pStyle w:val="955"/>
              <w:jc w:val="center"/>
              <w:keepLines w:val="0"/>
              <w:keepNext w:val="0"/>
              <w:pageBreakBefore w:val="0"/>
              <w:spacing w:before="237" w:line="400" w:lineRule="exact"/>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 xml:space="preserve">1.5%</w:t>
            </w:r>
            <w:r/>
          </w:p>
        </w:tc>
      </w:tr>
      <w:tr>
        <w:trPr>
          <w:jc w:val="center"/>
          <w:trHeight w:val="680" w:hRule="exact"/>
        </w:trPr>
        <w:tc>
          <w:tcPr>
            <w:tcW w:w="2884" w:type="dxa"/>
            <w:vAlign w:val="center"/>
            <w:textDirection w:val="lrTb"/>
            <w:noWrap w:val="false"/>
          </w:tcPr>
          <w:p>
            <w:pPr>
              <w:pStyle w:val="955"/>
              <w:keepLines w:val="0"/>
              <w:keepNext w:val="0"/>
              <w:pageBreakBefore w:val="0"/>
              <w:spacing w:before="167" w:line="40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400-1000万元(含1000万元)</w:t>
            </w:r>
            <w:r/>
          </w:p>
        </w:tc>
        <w:tc>
          <w:tcPr>
            <w:tcW w:w="2115" w:type="dxa"/>
            <w:vAlign w:val="center"/>
            <w:textDirection w:val="lrTb"/>
            <w:noWrap w:val="false"/>
          </w:tcPr>
          <w:p>
            <w:pPr>
              <w:pStyle w:val="955"/>
              <w:jc w:val="center"/>
              <w:keepLines w:val="0"/>
              <w:keepNext w:val="0"/>
              <w:pageBreakBefore w:val="0"/>
              <w:spacing w:before="248" w:line="400" w:lineRule="exact"/>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 xml:space="preserve">1.1%</w:t>
            </w:r>
            <w:r/>
          </w:p>
        </w:tc>
      </w:tr>
      <w:tr>
        <w:trPr>
          <w:jc w:val="center"/>
          <w:trHeight w:val="680" w:hRule="exact"/>
        </w:trPr>
        <w:tc>
          <w:tcPr>
            <w:tcW w:w="2884" w:type="dxa"/>
            <w:vAlign w:val="center"/>
            <w:textDirection w:val="lrTb"/>
            <w:noWrap w:val="false"/>
          </w:tcPr>
          <w:p>
            <w:pPr>
              <w:pStyle w:val="955"/>
              <w:keepLines w:val="0"/>
              <w:keepNext w:val="0"/>
              <w:pageBreakBefore w:val="0"/>
              <w:spacing w:before="158" w:line="40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1000-5000万元(含5000万元)</w:t>
            </w:r>
            <w:r/>
          </w:p>
        </w:tc>
        <w:tc>
          <w:tcPr>
            <w:tcW w:w="2115" w:type="dxa"/>
            <w:vAlign w:val="center"/>
            <w:textDirection w:val="lrTb"/>
            <w:noWrap w:val="false"/>
          </w:tcPr>
          <w:p>
            <w:pPr>
              <w:pStyle w:val="955"/>
              <w:jc w:val="center"/>
              <w:keepLines w:val="0"/>
              <w:keepNext w:val="0"/>
              <w:pageBreakBefore w:val="0"/>
              <w:spacing w:before="240" w:line="40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0.8%</w:t>
            </w:r>
            <w:r/>
          </w:p>
        </w:tc>
      </w:tr>
      <w:tr>
        <w:trPr>
          <w:jc w:val="center"/>
          <w:trHeight w:val="680" w:hRule="exact"/>
        </w:trPr>
        <w:tc>
          <w:tcPr>
            <w:tcW w:w="2884" w:type="dxa"/>
            <w:vAlign w:val="center"/>
            <w:textDirection w:val="lrTb"/>
            <w:noWrap w:val="false"/>
          </w:tcPr>
          <w:p>
            <w:pPr>
              <w:pStyle w:val="955"/>
              <w:keepLines w:val="0"/>
              <w:keepNext w:val="0"/>
              <w:pageBreakBefore w:val="0"/>
              <w:spacing w:before="159" w:line="400" w:lineRule="exact"/>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 xml:space="preserve">5000-1亿元(含1亿元)</w:t>
            </w:r>
            <w:r/>
          </w:p>
        </w:tc>
        <w:tc>
          <w:tcPr>
            <w:tcW w:w="2115" w:type="dxa"/>
            <w:vAlign w:val="center"/>
            <w:textDirection w:val="lrTb"/>
            <w:noWrap w:val="false"/>
          </w:tcPr>
          <w:p>
            <w:pPr>
              <w:pStyle w:val="955"/>
              <w:jc w:val="center"/>
              <w:keepLines w:val="0"/>
              <w:keepNext w:val="0"/>
              <w:pageBreakBefore w:val="0"/>
              <w:spacing w:before="241" w:line="400" w:lineRule="exact"/>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0.25%</w:t>
            </w:r>
            <w:r/>
          </w:p>
        </w:tc>
      </w:tr>
      <w:tr>
        <w:trPr>
          <w:jc w:val="center"/>
          <w:trHeight w:val="680" w:hRule="exact"/>
        </w:trPr>
        <w:tc>
          <w:tcPr>
            <w:tcW w:w="2884" w:type="dxa"/>
            <w:vAlign w:val="center"/>
            <w:textDirection w:val="lrTb"/>
            <w:noWrap w:val="false"/>
          </w:tcPr>
          <w:p>
            <w:pPr>
              <w:pStyle w:val="955"/>
              <w:keepLines w:val="0"/>
              <w:keepNext w:val="0"/>
              <w:pageBreakBefore w:val="0"/>
              <w:spacing w:before="170" w:line="400" w:lineRule="exact"/>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 xml:space="preserve">1-10亿元(含10亿元)</w:t>
            </w:r>
            <w:r/>
          </w:p>
        </w:tc>
        <w:tc>
          <w:tcPr>
            <w:tcW w:w="2115" w:type="dxa"/>
            <w:vAlign w:val="center"/>
            <w:textDirection w:val="lrTb"/>
            <w:noWrap w:val="false"/>
          </w:tcPr>
          <w:p>
            <w:pPr>
              <w:pStyle w:val="955"/>
              <w:jc w:val="center"/>
              <w:keepLines w:val="0"/>
              <w:keepNext w:val="0"/>
              <w:pageBreakBefore w:val="0"/>
              <w:spacing w:before="252" w:line="40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0.05%</w:t>
            </w:r>
            <w:r/>
          </w:p>
        </w:tc>
      </w:tr>
      <w:tr>
        <w:trPr>
          <w:jc w:val="center"/>
          <w:trHeight w:val="680" w:hRule="exact"/>
        </w:trPr>
        <w:tc>
          <w:tcPr>
            <w:tcW w:w="2884" w:type="dxa"/>
            <w:vAlign w:val="center"/>
            <w:textDirection w:val="lrTb"/>
            <w:noWrap w:val="false"/>
          </w:tcPr>
          <w:p>
            <w:pPr>
              <w:pStyle w:val="955"/>
              <w:keepLines w:val="0"/>
              <w:keepNext w:val="0"/>
              <w:pageBreakBefore w:val="0"/>
              <w:spacing w:before="162" w:line="400" w:lineRule="exact"/>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 xml:space="preserve">10-50亿元(含50亿元)</w:t>
            </w:r>
            <w:r/>
          </w:p>
        </w:tc>
        <w:tc>
          <w:tcPr>
            <w:tcW w:w="2115" w:type="dxa"/>
            <w:vAlign w:val="center"/>
            <w:textDirection w:val="lrTb"/>
            <w:noWrap w:val="false"/>
          </w:tcPr>
          <w:p>
            <w:pPr>
              <w:pStyle w:val="955"/>
              <w:jc w:val="center"/>
              <w:keepLines w:val="0"/>
              <w:keepNext w:val="0"/>
              <w:pageBreakBefore w:val="0"/>
              <w:spacing w:before="243" w:line="400" w:lineRule="exac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0.01%</w:t>
            </w:r>
            <w:r/>
          </w:p>
        </w:tc>
      </w:tr>
      <w:tr>
        <w:trPr>
          <w:jc w:val="center"/>
          <w:trHeight w:val="680" w:hRule="exact"/>
        </w:trPr>
        <w:tc>
          <w:tcPr>
            <w:tcW w:w="2884" w:type="dxa"/>
            <w:vAlign w:val="center"/>
            <w:textDirection w:val="lrTb"/>
            <w:noWrap w:val="false"/>
          </w:tcPr>
          <w:p>
            <w:pPr>
              <w:pStyle w:val="955"/>
              <w:keepLines w:val="0"/>
              <w:keepNext w:val="0"/>
              <w:pageBreakBefore w:val="0"/>
              <w:spacing w:before="164" w:line="400" w:lineRule="exact"/>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50亿元以上</w:t>
            </w:r>
            <w:r/>
          </w:p>
        </w:tc>
        <w:tc>
          <w:tcPr>
            <w:tcW w:w="2115" w:type="dxa"/>
            <w:vAlign w:val="center"/>
            <w:textDirection w:val="lrTb"/>
            <w:noWrap w:val="false"/>
          </w:tcPr>
          <w:p>
            <w:pPr>
              <w:pStyle w:val="955"/>
              <w:jc w:val="center"/>
              <w:keepLines w:val="0"/>
              <w:keepNext w:val="0"/>
              <w:pageBreakBefore w:val="0"/>
              <w:spacing w:before="245" w:line="400" w:lineRule="exact"/>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0.005%</w:t>
            </w:r>
            <w:r/>
          </w:p>
        </w:tc>
      </w:tr>
    </w:tbl>
    <w:p>
      <w:pPr>
        <w:ind w:firstLine="560"/>
        <w:keepLines w:val="0"/>
        <w:keepNext w:val="0"/>
        <w:pageBreakBefore w:val="0"/>
        <w:spacing w:line="400" w:lineRule="exact"/>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说明：</w:t>
      </w:r>
      <w:r/>
    </w:p>
    <w:p>
      <w:pPr>
        <w:ind w:firstLine="560"/>
        <w:keepLines w:val="0"/>
        <w:keepNext w:val="0"/>
        <w:pageBreakBefore w:val="0"/>
        <w:spacing w:line="400" w:lineRule="exact"/>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1.按上表计算的收费为代理服务全过程的收费金额。各社会代理机构不再收取采购文件制作售卖费用。</w:t>
      </w:r>
      <w:r/>
    </w:p>
    <w:p>
      <w:pPr>
        <w:ind w:firstLine="560"/>
        <w:keepLines w:val="0"/>
        <w:keepNext w:val="0"/>
        <w:pageBreakBefore w:val="0"/>
        <w:spacing w:line="400" w:lineRule="exact"/>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2.代理服务费按差额定率累进法计算。</w:t>
      </w:r>
      <w:r/>
    </w:p>
    <w:p>
      <w:pPr>
        <w:ind w:firstLine="560"/>
        <w:keepLines w:val="0"/>
        <w:keepNext w:val="0"/>
        <w:pageBreakBefore w:val="0"/>
        <w:spacing w:line="400" w:lineRule="exact"/>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3.代理服务费基准金额（按差额定率累进法计算的）=中标金额（按差额定率累进法计算的）*费率（%）</w:t>
      </w:r>
      <w:r/>
    </w:p>
    <w:p>
      <w:pPr>
        <w:ind w:firstLine="560"/>
        <w:keepLines w:val="0"/>
        <w:keepNext w:val="0"/>
        <w:pageBreakBefore w:val="0"/>
        <w:spacing w:line="400" w:lineRule="exact"/>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4.代理服务费应收取金额=代理服务费基准金额（按差额定率累进法计算的）的合计数。</w:t>
      </w:r>
      <w:r/>
    </w:p>
    <w:p>
      <w:pPr>
        <w:ind w:firstLine="560"/>
        <w:keepLines w:val="0"/>
        <w:keepNext w:val="0"/>
        <w:pageBreakBefore w:val="0"/>
        <w:spacing w:line="400" w:lineRule="exact"/>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5.定点类等无金额或事先不能计算出价格总额的项目，按中标（成交）金额100万元计算服务费。</w:t>
      </w:r>
      <w:r/>
    </w:p>
    <w:p>
      <w:pPr>
        <w:ind w:firstLine="560"/>
        <w:keepLines w:val="0"/>
        <w:keepNext w:val="0"/>
        <w:pageBreakBefore w:val="0"/>
        <w:spacing w:line="400" w:lineRule="exact"/>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6.有分包（分标段）项目按总项目中标（成交）金额收费。</w:t>
      </w:r>
      <w:r/>
    </w:p>
    <w:p>
      <w:pPr>
        <w:ind w:firstLine="560"/>
        <w:keepLines w:val="0"/>
        <w:keepNext w:val="0"/>
        <w:pageBreakBefore w:val="0"/>
        <w:spacing w:line="400" w:lineRule="exact"/>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jc w:val="center"/>
        <w:widowControl/>
        <w:rPr>
          <w:rFonts w:hint="eastAsia" w:ascii="宋体" w:hAnsi="宋体" w:cs="宋体"/>
          <w:b/>
          <w:sz w:val="32"/>
          <w:szCs w:val="28"/>
          <w:highlight w:val="none"/>
        </w:rPr>
      </w:pPr>
      <w:r>
        <w:rPr>
          <w:rFonts w:hint="eastAsia" w:ascii="宋体" w:hAnsi="宋体" w:cs="宋体"/>
          <w:highlight w:val="none"/>
        </w:rPr>
        <w:br w:type="page" w:clear="all"/>
      </w:r>
      <w:bookmarkStart w:id="11" w:name="_Toc3982"/>
      <w:r>
        <w:rPr>
          <w:rStyle w:val="885"/>
          <w:rFonts w:hint="eastAsia" w:ascii="宋体" w:hAnsi="宋体" w:eastAsia="宋体" w:cs="宋体"/>
          <w:highlight w:val="none"/>
        </w:rPr>
        <w:t xml:space="preserve">第四章评标标准</w:t>
      </w:r>
      <w:bookmarkEnd w:id="7"/>
      <w:r/>
      <w:bookmarkEnd w:id="11"/>
      <w:r/>
      <w:r/>
    </w:p>
    <w:tbl>
      <w:tblPr>
        <w:tblStyle w:val="693"/>
        <w:tblW w:w="9671"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63"/>
        <w:gridCol w:w="1085"/>
        <w:gridCol w:w="1241"/>
        <w:gridCol w:w="6582"/>
      </w:tblGrid>
      <w:tr>
        <w:trPr>
          <w:jc w:val="center"/>
          <w:trHeight w:val="1049"/>
        </w:trPr>
        <w:tc>
          <w:tcPr>
            <w:gridSpan w:val="2"/>
            <w:tcBorders>
              <w:top w:val="single" w:color="auto" w:sz="6" w:space="0"/>
              <w:left w:val="single" w:color="auto" w:sz="4" w:space="0"/>
              <w:bottom w:val="single" w:color="auto" w:sz="6" w:space="0"/>
              <w:right w:val="single" w:color="auto" w:sz="6" w:space="0"/>
            </w:tcBorders>
            <w:tcW w:w="1848" w:type="dxa"/>
            <w:vAlign w:val="center"/>
            <w:textDirection w:val="lrTb"/>
            <w:noWrap w:val="false"/>
          </w:tcPr>
          <w:p>
            <w:pPr>
              <w:jc w:val="center"/>
              <w:rPr>
                <w:rFonts w:hint="eastAsia" w:ascii="宋体" w:hAnsi="宋体" w:eastAsia="宋体" w:cs="宋体"/>
                <w:color w:val="000000"/>
                <w:sz w:val="24"/>
                <w:szCs w:val="24"/>
                <w:highlight w:val="none"/>
              </w:rPr>
            </w:pPr>
            <w:r/>
            <w:bookmarkStart w:id="12" w:name="_Toc522790134"/>
            <w:r>
              <w:rPr>
                <w:rFonts w:hint="eastAsia" w:ascii="宋体" w:hAnsi="宋体" w:eastAsia="宋体" w:cs="宋体"/>
                <w:color w:val="000000"/>
                <w:sz w:val="24"/>
                <w:szCs w:val="24"/>
                <w:highlight w:val="none"/>
              </w:rPr>
              <w:t xml:space="preserve">价格部分（</w:t>
            </w:r>
            <w:r>
              <w:rPr>
                <w:rFonts w:hint="eastAsia" w:ascii="宋体" w:hAnsi="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分）</w:t>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w:t>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分）</w:t>
            </w:r>
            <w:r/>
          </w:p>
        </w:tc>
        <w:tc>
          <w:tcPr>
            <w:tcBorders>
              <w:top w:val="single" w:color="auto" w:sz="6" w:space="0"/>
              <w:left w:val="single" w:color="auto" w:sz="6" w:space="0"/>
              <w:bottom w:val="single" w:color="auto" w:sz="6" w:space="0"/>
              <w:right w:val="single" w:color="auto" w:sz="6" w:space="0"/>
            </w:tcBorders>
            <w:tcW w:w="6582"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各投标人价格得分=最低报价（投标人的最低评审价格）÷各投标人评审价格×</w:t>
            </w:r>
            <w:r>
              <w:rPr>
                <w:rFonts w:hint="eastAsia" w:ascii="宋体" w:hAnsi="宋体" w:cs="宋体"/>
                <w:color w:val="000000"/>
                <w:sz w:val="24"/>
                <w:szCs w:val="24"/>
                <w:highlight w:val="none"/>
                <w:lang w:val="en-US" w:eastAsia="zh-CN"/>
              </w:rPr>
              <w:t xml:space="preserve">30</w:t>
            </w:r>
            <w:r/>
          </w:p>
        </w:tc>
      </w:tr>
      <w:tr>
        <w:trPr>
          <w:jc w:val="center"/>
          <w:trHeight w:val="90"/>
        </w:trPr>
        <w:tc>
          <w:tcPr>
            <w:tcBorders>
              <w:top w:val="single" w:color="auto" w:sz="6" w:space="0"/>
              <w:left w:val="single" w:color="auto" w:sz="4" w:space="0"/>
              <w:right w:val="single" w:color="auto" w:sz="6" w:space="0"/>
            </w:tcBorders>
            <w:tcW w:w="763" w:type="dxa"/>
            <w:vAlign w:val="center"/>
            <w:vMerge w:val="restart"/>
            <w:textDirection w:val="lrTb"/>
            <w:noWrap w:val="false"/>
          </w:tcPr>
          <w:p>
            <w:pPr>
              <w:ind w:firstLine="33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33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技术部分（</w:t>
            </w:r>
            <w:r>
              <w:rPr>
                <w:rFonts w:hint="eastAsia" w:ascii="宋体" w:hAnsi="宋体" w:cs="宋体"/>
                <w:color w:val="000000"/>
                <w:sz w:val="24"/>
                <w:szCs w:val="24"/>
                <w:highlight w:val="none"/>
                <w:lang w:val="en-US" w:eastAsia="zh-CN"/>
              </w:rPr>
              <w:t xml:space="preserve">52</w:t>
            </w:r>
            <w:r>
              <w:rPr>
                <w:rFonts w:hint="eastAsia" w:ascii="宋体" w:hAnsi="宋体" w:eastAsia="宋体" w:cs="宋体"/>
                <w:color w:val="000000"/>
                <w:sz w:val="24"/>
                <w:szCs w:val="24"/>
                <w:highlight w:val="none"/>
              </w:rPr>
              <w:t xml:space="preserve">分）</w:t>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256" w:right="6" w:firstLine="624"/>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256" w:right="6" w:firstLine="624"/>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256" w:right="6" w:firstLine="624"/>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auto" w:sz="6" w:space="0"/>
              <w:left w:val="single" w:color="auto" w:sz="6" w:space="0"/>
              <w:right w:val="single" w:color="auto" w:sz="6" w:space="0"/>
            </w:tcBorders>
            <w:tcW w:w="1085"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项目方案</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52</w:t>
            </w:r>
            <w:r>
              <w:rPr>
                <w:rFonts w:hint="eastAsia" w:ascii="宋体" w:hAnsi="宋体" w:eastAsia="宋体" w:cs="宋体"/>
                <w:color w:val="000000"/>
                <w:sz w:val="24"/>
                <w:szCs w:val="24"/>
                <w:highlight w:val="none"/>
              </w:rPr>
              <w:t xml:space="preserve">分）</w:t>
            </w:r>
            <w:r/>
          </w:p>
        </w:tc>
        <w:tc>
          <w:tcPr>
            <w:tcBorders>
              <w:top w:val="single" w:color="auto" w:sz="6" w:space="0"/>
              <w:left w:val="single" w:color="auto" w:sz="6" w:space="0"/>
              <w:bottom w:val="single" w:color="auto" w:sz="4" w:space="0"/>
              <w:right w:val="single" w:color="auto" w:sz="6" w:space="0"/>
            </w:tcBorders>
            <w:tcW w:w="1241"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机房基础环境硬件维保方案（</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p>
        </w:tc>
        <w:tc>
          <w:tcPr>
            <w:tcBorders>
              <w:top w:val="single" w:color="auto" w:sz="6" w:space="0"/>
              <w:left w:val="single" w:color="auto" w:sz="6" w:space="0"/>
              <w:bottom w:val="single" w:color="auto" w:sz="6" w:space="0"/>
              <w:right w:val="single" w:color="auto" w:sz="6" w:space="0"/>
            </w:tcBorders>
            <w:tcW w:w="6582" w:type="dxa"/>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对方案内容的全面性、针对性进行评价。</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全面性（</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bidi="ar-SA"/>
              </w:rPr>
              <w:t xml:space="preserve">全面具体详实得</w:t>
            </w: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分；全面性一般得</w:t>
            </w:r>
            <w:r>
              <w:rPr>
                <w:rFonts w:hint="eastAsia" w:ascii="宋体" w:hAnsi="宋体" w:cs="宋体"/>
                <w:color w:val="000000"/>
                <w:sz w:val="24"/>
                <w:szCs w:val="24"/>
                <w:highlight w:val="none"/>
                <w:lang w:val="en-US" w:eastAsia="zh-CN" w:bidi="ar-SA"/>
              </w:rPr>
              <w:t xml:space="preserve">0.5</w:t>
            </w:r>
            <w:r>
              <w:rPr>
                <w:rFonts w:hint="eastAsia" w:ascii="宋体" w:hAnsi="宋体" w:eastAsia="宋体" w:cs="宋体"/>
                <w:color w:val="000000"/>
                <w:sz w:val="24"/>
                <w:szCs w:val="24"/>
                <w:highlight w:val="none"/>
                <w:lang w:val="en-US" w:eastAsia="zh-CN" w:bidi="ar-SA"/>
              </w:rPr>
              <w:t xml:space="preserve">分；存在较大漏项或缺陷得0分。</w:t>
            </w:r>
            <w:r/>
          </w:p>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可行性（</w:t>
            </w: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分）：切实可行得</w:t>
            </w: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分；可行性一般得</w:t>
            </w:r>
            <w:r>
              <w:rPr>
                <w:rFonts w:hint="eastAsia" w:ascii="宋体" w:hAnsi="宋体" w:cs="宋体"/>
                <w:color w:val="000000"/>
                <w:sz w:val="24"/>
                <w:szCs w:val="24"/>
                <w:highlight w:val="none"/>
                <w:lang w:val="en-US" w:eastAsia="zh-CN" w:bidi="ar-SA"/>
              </w:rPr>
              <w:t xml:space="preserve">0.5</w:t>
            </w:r>
            <w:r>
              <w:rPr>
                <w:rFonts w:hint="eastAsia" w:ascii="宋体" w:hAnsi="宋体" w:eastAsia="宋体" w:cs="宋体"/>
                <w:color w:val="000000"/>
                <w:sz w:val="24"/>
                <w:szCs w:val="24"/>
                <w:highlight w:val="none"/>
                <w:lang w:val="en-US" w:eastAsia="zh-CN" w:bidi="ar-SA"/>
              </w:rPr>
              <w:t xml:space="preserve">分；可行性欠缺得0分。</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针对性(</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bidi="ar-SA"/>
              </w:rPr>
              <w:t xml:space="preserve">针对性强得</w:t>
            </w: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分；针对性一般得</w:t>
            </w:r>
            <w:r>
              <w:rPr>
                <w:rFonts w:hint="eastAsia" w:ascii="宋体" w:hAnsi="宋体" w:cs="宋体"/>
                <w:color w:val="000000"/>
                <w:sz w:val="24"/>
                <w:szCs w:val="24"/>
                <w:highlight w:val="none"/>
                <w:lang w:val="en-US" w:eastAsia="zh-CN" w:bidi="ar-SA"/>
              </w:rPr>
              <w:t xml:space="preserve">0.5</w:t>
            </w:r>
            <w:r>
              <w:rPr>
                <w:rFonts w:hint="eastAsia" w:ascii="宋体" w:hAnsi="宋体" w:eastAsia="宋体" w:cs="宋体"/>
                <w:color w:val="000000"/>
                <w:sz w:val="24"/>
                <w:szCs w:val="24"/>
                <w:highlight w:val="none"/>
                <w:lang w:val="en-US" w:eastAsia="zh-CN" w:bidi="ar-SA"/>
              </w:rPr>
              <w:t xml:space="preserve">分；针对性不强得0分。</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未提供的得0分。</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本项最高得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分，最低得0分。</w:t>
            </w:r>
            <w:r/>
          </w:p>
        </w:tc>
      </w:tr>
      <w:tr>
        <w:trPr>
          <w:jc w:val="center"/>
          <w:trHeight w:val="1528"/>
        </w:trPr>
        <w:tc>
          <w:tcPr>
            <w:tcBorders>
              <w:left w:val="single" w:color="auto" w:sz="4" w:space="0"/>
              <w:right w:val="single" w:color="auto" w:sz="6" w:space="0"/>
            </w:tcBorders>
            <w:tcW w:w="763"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left w:val="single" w:color="auto" w:sz="6" w:space="0"/>
              <w:right w:val="single" w:color="auto" w:sz="6" w:space="0"/>
            </w:tcBorders>
            <w:tcW w:w="1085"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6" w:space="0"/>
              <w:bottom w:val="single" w:color="auto" w:sz="4" w:space="0"/>
              <w:right w:val="single" w:color="auto" w:sz="6" w:space="0"/>
            </w:tcBorders>
            <w:tcW w:w="1241"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IT基础设施硬件资源维保方案（</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p>
        </w:tc>
        <w:tc>
          <w:tcPr>
            <w:tcBorders>
              <w:top w:val="single" w:color="auto" w:sz="6" w:space="0"/>
              <w:left w:val="single" w:color="auto" w:sz="6" w:space="0"/>
              <w:bottom w:val="single" w:color="auto" w:sz="6" w:space="0"/>
              <w:right w:val="single" w:color="auto" w:sz="6" w:space="0"/>
            </w:tcBorders>
            <w:tcW w:w="6582"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对方案内容的全面性、可行性、针对性进行评价。</w:t>
            </w:r>
            <w:r/>
          </w:p>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全面性（2分）：全面具体详实得2分；全面性一般得1分；存在较大漏项或缺陷得0分。</w:t>
            </w:r>
            <w:r/>
          </w:p>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可行性（2分）：切实可行得2分；可行性一般得1分；可行性欠缺得0分。</w:t>
            </w:r>
            <w:r/>
          </w:p>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针对性（</w:t>
            </w: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分）：针对性强得</w:t>
            </w: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分；针对性一般得</w:t>
            </w:r>
            <w:r>
              <w:rPr>
                <w:rFonts w:hint="eastAsia" w:ascii="宋体" w:hAnsi="宋体" w:cs="宋体"/>
                <w:color w:val="000000"/>
                <w:sz w:val="24"/>
                <w:szCs w:val="24"/>
                <w:highlight w:val="none"/>
                <w:lang w:val="en-US" w:eastAsia="zh-CN" w:bidi="ar-SA"/>
              </w:rPr>
              <w:t xml:space="preserve">0.5</w:t>
            </w:r>
            <w:r>
              <w:rPr>
                <w:rFonts w:hint="eastAsia" w:ascii="宋体" w:hAnsi="宋体" w:eastAsia="宋体" w:cs="宋体"/>
                <w:color w:val="000000"/>
                <w:sz w:val="24"/>
                <w:szCs w:val="24"/>
                <w:highlight w:val="none"/>
                <w:lang w:val="en-US" w:eastAsia="zh-CN" w:bidi="ar-SA"/>
              </w:rPr>
              <w:t xml:space="preserve">分；针对性不强得0分。</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未提供的得0分。</w:t>
            </w:r>
            <w:r/>
          </w:p>
          <w:p>
            <w:pPr>
              <w:jc w:val="both"/>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本项最高得</w:t>
            </w:r>
            <w:r>
              <w:rPr>
                <w:rFonts w:hint="eastAsia" w:ascii="宋体" w:hAnsi="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t xml:space="preserve">分，最低得0分。</w:t>
            </w:r>
            <w:r/>
          </w:p>
        </w:tc>
      </w:tr>
      <w:tr>
        <w:trPr>
          <w:jc w:val="center"/>
          <w:trHeight w:val="90"/>
        </w:trPr>
        <w:tc>
          <w:tcPr>
            <w:tcBorders>
              <w:left w:val="single" w:color="auto" w:sz="4" w:space="0"/>
              <w:right w:val="single" w:color="auto" w:sz="6" w:space="0"/>
            </w:tcBorders>
            <w:tcW w:w="763"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left w:val="single" w:color="auto" w:sz="6" w:space="0"/>
              <w:right w:val="single" w:color="auto" w:sz="6" w:space="0"/>
            </w:tcBorders>
            <w:tcW w:w="1085"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6" w:space="0"/>
              <w:right w:val="single" w:color="auto" w:sz="6" w:space="0"/>
            </w:tcBorders>
            <w:tcW w:w="1241"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网络及设备维保方案（</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p>
        </w:tc>
        <w:tc>
          <w:tcPr>
            <w:tcBorders>
              <w:top w:val="single" w:color="auto" w:sz="6" w:space="0"/>
              <w:left w:val="single" w:color="auto" w:sz="6" w:space="0"/>
              <w:right w:val="single" w:color="auto" w:sz="6" w:space="0"/>
            </w:tcBorders>
            <w:tcW w:w="6582"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对方案内容的全面性、可行性、针对性进行评价。</w:t>
            </w:r>
            <w:r/>
          </w:p>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全面性（2分）：全面具体详实得2分；全面性一般得1分；存在较大漏项或缺陷得0分。</w:t>
            </w:r>
            <w:r/>
          </w:p>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可行性（2分）：切实可行得2分；可行性一般得1分；可行性欠缺得0分。</w:t>
            </w:r>
            <w:r/>
          </w:p>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针对性（</w:t>
            </w: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分）：针对性强得</w:t>
            </w: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分；针对性一般得</w:t>
            </w:r>
            <w:r>
              <w:rPr>
                <w:rFonts w:hint="eastAsia" w:ascii="宋体" w:hAnsi="宋体" w:cs="宋体"/>
                <w:color w:val="000000"/>
                <w:sz w:val="24"/>
                <w:szCs w:val="24"/>
                <w:highlight w:val="none"/>
                <w:lang w:val="en-US" w:eastAsia="zh-CN" w:bidi="ar-SA"/>
              </w:rPr>
              <w:t xml:space="preserve">0.5</w:t>
            </w:r>
            <w:r>
              <w:rPr>
                <w:rFonts w:hint="eastAsia" w:ascii="宋体" w:hAnsi="宋体" w:eastAsia="宋体" w:cs="宋体"/>
                <w:color w:val="000000"/>
                <w:sz w:val="24"/>
                <w:szCs w:val="24"/>
                <w:highlight w:val="none"/>
                <w:lang w:val="en-US" w:eastAsia="zh-CN" w:bidi="ar-SA"/>
              </w:rPr>
              <w:t xml:space="preserve">分；针对性不强得0分。</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未提供的得0分。</w:t>
            </w:r>
            <w:r/>
          </w:p>
          <w:p>
            <w:pPr>
              <w:jc w:val="both"/>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本项最高得</w:t>
            </w:r>
            <w:r>
              <w:rPr>
                <w:rFonts w:hint="eastAsia" w:ascii="宋体" w:hAnsi="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t xml:space="preserve">分，最低得0分。</w:t>
            </w:r>
            <w:r/>
          </w:p>
        </w:tc>
      </w:tr>
      <w:tr>
        <w:trPr>
          <w:jc w:val="center"/>
          <w:trHeight w:val="90"/>
        </w:trPr>
        <w:tc>
          <w:tcPr>
            <w:tcBorders>
              <w:left w:val="single" w:color="auto" w:sz="4" w:space="0"/>
              <w:right w:val="single" w:color="auto" w:sz="6" w:space="0"/>
            </w:tcBorders>
            <w:tcW w:w="763"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left w:val="single" w:color="auto" w:sz="6" w:space="0"/>
              <w:right w:val="single" w:color="auto" w:sz="6" w:space="0"/>
            </w:tcBorders>
            <w:tcW w:w="1085"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6" w:space="0"/>
              <w:right w:val="single" w:color="auto" w:sz="6" w:space="0"/>
            </w:tcBorders>
            <w:tcW w:w="1241"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办公终端维保方案（</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p>
        </w:tc>
        <w:tc>
          <w:tcPr>
            <w:tcBorders>
              <w:top w:val="single" w:color="auto" w:sz="6" w:space="0"/>
              <w:left w:val="single" w:color="auto" w:sz="6" w:space="0"/>
              <w:right w:val="single" w:color="auto" w:sz="6" w:space="0"/>
            </w:tcBorders>
            <w:tcW w:w="6582"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对方案内容的全面性、可行性、针对性进行评价。</w:t>
            </w:r>
            <w:r/>
          </w:p>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全面性（</w:t>
            </w: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分）：全面具体详实得</w:t>
            </w: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分；全面性一般得</w:t>
            </w:r>
            <w:r>
              <w:rPr>
                <w:rFonts w:hint="eastAsia" w:ascii="宋体" w:hAnsi="宋体" w:cs="宋体"/>
                <w:color w:val="000000"/>
                <w:sz w:val="24"/>
                <w:szCs w:val="24"/>
                <w:highlight w:val="none"/>
                <w:lang w:val="en-US" w:eastAsia="zh-CN" w:bidi="ar-SA"/>
              </w:rPr>
              <w:t xml:space="preserve">0.5</w:t>
            </w:r>
            <w:r>
              <w:rPr>
                <w:rFonts w:hint="eastAsia" w:ascii="宋体" w:hAnsi="宋体" w:eastAsia="宋体" w:cs="宋体"/>
                <w:color w:val="000000"/>
                <w:sz w:val="24"/>
                <w:szCs w:val="24"/>
                <w:highlight w:val="none"/>
                <w:lang w:val="en-US" w:eastAsia="zh-CN" w:bidi="ar-SA"/>
              </w:rPr>
              <w:t xml:space="preserve">分；存在较大漏项或缺陷得0分。</w:t>
            </w:r>
            <w:r/>
          </w:p>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可行性（</w:t>
            </w: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分）：切实可行得</w:t>
            </w: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分；可行性一般得</w:t>
            </w:r>
            <w:r>
              <w:rPr>
                <w:rFonts w:hint="eastAsia" w:ascii="宋体" w:hAnsi="宋体" w:cs="宋体"/>
                <w:color w:val="000000"/>
                <w:sz w:val="24"/>
                <w:szCs w:val="24"/>
                <w:highlight w:val="none"/>
                <w:lang w:val="en-US" w:eastAsia="zh-CN" w:bidi="ar-SA"/>
              </w:rPr>
              <w:t xml:space="preserve">0.5</w:t>
            </w:r>
            <w:r>
              <w:rPr>
                <w:rFonts w:hint="eastAsia" w:ascii="宋体" w:hAnsi="宋体" w:eastAsia="宋体" w:cs="宋体"/>
                <w:color w:val="000000"/>
                <w:sz w:val="24"/>
                <w:szCs w:val="24"/>
                <w:highlight w:val="none"/>
                <w:lang w:val="en-US" w:eastAsia="zh-CN" w:bidi="ar-SA"/>
              </w:rPr>
              <w:t xml:space="preserve">分；可行性欠缺得0分。</w:t>
            </w:r>
            <w:r/>
          </w:p>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针对性（1分）：针对性强得1分；针对性不强得</w:t>
            </w:r>
            <w:r>
              <w:rPr>
                <w:rFonts w:hint="eastAsia" w:ascii="宋体" w:hAnsi="宋体" w:cs="宋体"/>
                <w:color w:val="000000"/>
                <w:sz w:val="24"/>
                <w:szCs w:val="24"/>
                <w:highlight w:val="none"/>
                <w:lang w:val="en-US" w:eastAsia="zh-CN" w:bidi="ar-SA"/>
              </w:rPr>
              <w:t xml:space="preserve">0.5</w:t>
            </w:r>
            <w:r>
              <w:rPr>
                <w:rFonts w:hint="eastAsia" w:ascii="宋体" w:hAnsi="宋体" w:eastAsia="宋体" w:cs="宋体"/>
                <w:color w:val="000000"/>
                <w:sz w:val="24"/>
                <w:szCs w:val="24"/>
                <w:highlight w:val="none"/>
                <w:lang w:val="en-US" w:eastAsia="zh-CN" w:bidi="ar-SA"/>
              </w:rPr>
              <w:t xml:space="preserve">分。</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未提供的得0分。</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本项最高得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分，最低得0分。</w:t>
            </w:r>
            <w:r/>
          </w:p>
        </w:tc>
      </w:tr>
      <w:tr>
        <w:trPr>
          <w:jc w:val="center"/>
          <w:trHeight w:val="90"/>
        </w:trPr>
        <w:tc>
          <w:tcPr>
            <w:tcBorders>
              <w:left w:val="single" w:color="auto" w:sz="4" w:space="0"/>
              <w:right w:val="single" w:color="auto" w:sz="6" w:space="0"/>
            </w:tcBorders>
            <w:tcW w:w="763"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left w:val="single" w:color="auto" w:sz="6" w:space="0"/>
              <w:right w:val="single" w:color="auto" w:sz="6" w:space="0"/>
            </w:tcBorders>
            <w:tcW w:w="1085"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6" w:space="0"/>
              <w:right w:val="single" w:color="auto" w:sz="6" w:space="0"/>
            </w:tcBorders>
            <w:tcW w:w="1241"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重要系统平台维保方案（</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p>
        </w:tc>
        <w:tc>
          <w:tcPr>
            <w:tcBorders>
              <w:top w:val="single" w:color="auto" w:sz="6" w:space="0"/>
              <w:left w:val="single" w:color="auto" w:sz="6" w:space="0"/>
              <w:right w:val="single" w:color="auto" w:sz="6" w:space="0"/>
            </w:tcBorders>
            <w:tcW w:w="6582"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对方案内容的全面性、可行性、针对性进行评价。</w:t>
            </w:r>
            <w:r/>
          </w:p>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全面性（</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分）：全面具体详实得</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分；全面性一般得1分；存在较大漏项或缺陷得0分。</w:t>
            </w:r>
            <w:r/>
          </w:p>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可行性（</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分）：切实可行得</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分；可行性一般得1分；可行性欠缺得0分。</w:t>
            </w:r>
            <w:r/>
          </w:p>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针对性（</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分）：针对性强得</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分；针对性一般得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分；针对性不强得0分。</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未提供的得0分。</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本项最高得</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分，最低得0分。</w:t>
            </w:r>
            <w:r/>
          </w:p>
        </w:tc>
      </w:tr>
      <w:tr>
        <w:trPr>
          <w:jc w:val="center"/>
          <w:trHeight w:val="1545"/>
        </w:trPr>
        <w:tc>
          <w:tcPr>
            <w:tcBorders>
              <w:left w:val="single" w:color="auto" w:sz="4" w:space="0"/>
              <w:right w:val="single" w:color="auto" w:sz="6" w:space="0"/>
            </w:tcBorders>
            <w:tcW w:w="763"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left w:val="single" w:color="auto" w:sz="6" w:space="0"/>
              <w:right w:val="single" w:color="auto" w:sz="6" w:space="0"/>
            </w:tcBorders>
            <w:tcW w:w="1085"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6" w:space="0"/>
              <w:right w:val="single" w:color="auto" w:sz="6" w:space="0"/>
            </w:tcBorders>
            <w:tcW w:w="1241"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重要业务或设备运行监控方案（</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p>
        </w:tc>
        <w:tc>
          <w:tcPr>
            <w:tcBorders>
              <w:top w:val="single" w:color="auto" w:sz="6" w:space="0"/>
              <w:left w:val="single" w:color="auto" w:sz="6" w:space="0"/>
              <w:right w:val="single" w:color="auto" w:sz="6" w:space="0"/>
            </w:tcBorders>
            <w:tcW w:w="6582"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对方案内容的全面性、可行性、针对性进行评价。</w:t>
            </w:r>
            <w:r/>
          </w:p>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全面性（3分）：全面具体详实得3分；全面性一般得</w:t>
            </w: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分；存在较大漏项或缺陷得0分。</w:t>
            </w:r>
            <w:r/>
          </w:p>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可行性（</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分）：切实可行得</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分；可行性一般得</w:t>
            </w: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分；可行性欠缺得0分。</w:t>
            </w:r>
            <w:r/>
          </w:p>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针对性（</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分）：针对性强得</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分；针对性一般得1分；针对性不强得0分。</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未提供的得0分。</w:t>
            </w:r>
            <w:r/>
          </w:p>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本项最高得</w:t>
            </w:r>
            <w:r>
              <w:rPr>
                <w:rFonts w:hint="eastAsia" w:ascii="宋体" w:hAnsi="宋体" w:cs="宋体"/>
                <w:color w:val="000000"/>
                <w:sz w:val="24"/>
                <w:szCs w:val="24"/>
                <w:highlight w:val="none"/>
                <w:lang w:val="en-US" w:eastAsia="zh-CN" w:bidi="ar-SA"/>
              </w:rPr>
              <w:t xml:space="preserve">9</w:t>
            </w:r>
            <w:r>
              <w:rPr>
                <w:rFonts w:hint="eastAsia" w:ascii="宋体" w:hAnsi="宋体" w:eastAsia="宋体" w:cs="宋体"/>
                <w:color w:val="000000"/>
                <w:sz w:val="24"/>
                <w:szCs w:val="24"/>
                <w:highlight w:val="none"/>
                <w:lang w:val="en-US" w:eastAsia="zh-CN" w:bidi="ar-SA"/>
              </w:rPr>
              <w:t xml:space="preserve">分，最低得0分。</w:t>
            </w:r>
            <w:r/>
          </w:p>
        </w:tc>
      </w:tr>
      <w:tr>
        <w:trPr>
          <w:jc w:val="center"/>
          <w:trHeight w:val="90"/>
        </w:trPr>
        <w:tc>
          <w:tcPr>
            <w:tcBorders>
              <w:left w:val="single" w:color="auto" w:sz="4" w:space="0"/>
              <w:right w:val="single" w:color="auto" w:sz="6" w:space="0"/>
            </w:tcBorders>
            <w:tcW w:w="763"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left w:val="single" w:color="auto" w:sz="6" w:space="0"/>
              <w:right w:val="single" w:color="auto" w:sz="6" w:space="0"/>
            </w:tcBorders>
            <w:tcW w:w="1085"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6" w:space="0"/>
              <w:right w:val="single" w:color="auto" w:sz="6" w:space="0"/>
            </w:tcBorders>
            <w:tcW w:w="1241"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重要业务数据备份方案（</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p>
        </w:tc>
        <w:tc>
          <w:tcPr>
            <w:tcBorders>
              <w:top w:val="single" w:color="auto" w:sz="6" w:space="0"/>
              <w:left w:val="single" w:color="auto" w:sz="6" w:space="0"/>
              <w:right w:val="single" w:color="auto" w:sz="6" w:space="0"/>
            </w:tcBorders>
            <w:tcW w:w="6582"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对方案内容的全面性、可行性、针对性进行评价。</w:t>
            </w:r>
            <w:r/>
          </w:p>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全面性（</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分）：全面具体详实得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分；全面性一般得1分；存在较大漏项或缺陷得0分。</w:t>
            </w:r>
            <w:r/>
          </w:p>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可行性（3分）：切实可行得3分；可行性一般得1分；可行性欠缺得0分。</w:t>
            </w:r>
            <w:r/>
          </w:p>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针对性（</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分）：针对性强得</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分；针对性一般得1分；针对性不强得0分。</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未提供的得0分。</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本项最高得</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分，最低得0分。</w:t>
            </w:r>
            <w:r/>
          </w:p>
        </w:tc>
      </w:tr>
      <w:tr>
        <w:trPr>
          <w:jc w:val="center"/>
          <w:trHeight w:val="90"/>
        </w:trPr>
        <w:tc>
          <w:tcPr>
            <w:tcBorders>
              <w:left w:val="single" w:color="auto" w:sz="4" w:space="0"/>
              <w:right w:val="single" w:color="auto" w:sz="6" w:space="0"/>
            </w:tcBorders>
            <w:tcW w:w="763"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left w:val="single" w:color="auto" w:sz="6" w:space="0"/>
              <w:right w:val="single" w:color="auto" w:sz="6" w:space="0"/>
            </w:tcBorders>
            <w:tcW w:w="1085"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6" w:space="0"/>
              <w:right w:val="single" w:color="auto" w:sz="6" w:space="0"/>
            </w:tcBorders>
            <w:tcW w:w="1241"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响应时间和综合保障服务方案（</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p>
        </w:tc>
        <w:tc>
          <w:tcPr>
            <w:tcBorders>
              <w:top w:val="single" w:color="auto" w:sz="6" w:space="0"/>
              <w:left w:val="single" w:color="auto" w:sz="6" w:space="0"/>
              <w:right w:val="single" w:color="auto" w:sz="6" w:space="0"/>
            </w:tcBorders>
            <w:tcW w:w="6582"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对方案内容的全面性、可行性、针对性进行评价。</w:t>
            </w:r>
            <w:r/>
          </w:p>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全面性（</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分）：全面具体详实得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分；全面性一般得1分；存在较大漏项或缺陷得0分。</w:t>
            </w:r>
            <w:r/>
          </w:p>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可行性（</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分）：切实可行得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分；可行性一般得1分；可行性欠缺得</w:t>
            </w:r>
            <w:r>
              <w:rPr>
                <w:rFonts w:hint="eastAsia" w:ascii="宋体" w:hAnsi="宋体" w:cs="宋体"/>
                <w:color w:val="000000"/>
                <w:sz w:val="24"/>
                <w:szCs w:val="24"/>
                <w:highlight w:val="none"/>
                <w:lang w:val="en-US" w:eastAsia="zh-CN" w:bidi="ar-SA"/>
              </w:rPr>
              <w:t xml:space="preserve">0</w:t>
            </w:r>
            <w:r>
              <w:rPr>
                <w:rFonts w:hint="eastAsia" w:ascii="宋体" w:hAnsi="宋体" w:eastAsia="宋体" w:cs="宋体"/>
                <w:color w:val="000000"/>
                <w:sz w:val="24"/>
                <w:szCs w:val="24"/>
                <w:highlight w:val="none"/>
                <w:lang w:val="en-US" w:eastAsia="zh-CN" w:bidi="ar-SA"/>
              </w:rPr>
              <w:t xml:space="preserve">分。</w:t>
            </w:r>
            <w:r/>
          </w:p>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针对性（</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分）：针对性强得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分；针对性一般得1分；针对性不强得</w:t>
            </w:r>
            <w:r>
              <w:rPr>
                <w:rFonts w:hint="eastAsia" w:ascii="宋体" w:hAnsi="宋体" w:cs="宋体"/>
                <w:color w:val="000000"/>
                <w:sz w:val="24"/>
                <w:szCs w:val="24"/>
                <w:highlight w:val="none"/>
                <w:lang w:val="en-US" w:eastAsia="zh-CN" w:bidi="ar-SA"/>
              </w:rPr>
              <w:t xml:space="preserve">0</w:t>
            </w:r>
            <w:r>
              <w:rPr>
                <w:rFonts w:hint="eastAsia" w:ascii="宋体" w:hAnsi="宋体" w:eastAsia="宋体" w:cs="宋体"/>
                <w:color w:val="000000"/>
                <w:sz w:val="24"/>
                <w:szCs w:val="24"/>
                <w:highlight w:val="none"/>
                <w:lang w:val="en-US" w:eastAsia="zh-CN" w:bidi="ar-SA"/>
              </w:rPr>
              <w:t xml:space="preserve">分。</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未提供的得0分。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本项最高得</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分，最低得0分。</w:t>
            </w:r>
            <w:r/>
          </w:p>
        </w:tc>
      </w:tr>
      <w:tr>
        <w:trPr>
          <w:jc w:val="center"/>
          <w:trHeight w:val="90"/>
        </w:trPr>
        <w:tc>
          <w:tcPr>
            <w:tcBorders>
              <w:left w:val="single" w:color="auto" w:sz="4" w:space="0"/>
              <w:right w:val="single" w:color="auto" w:sz="6" w:space="0"/>
            </w:tcBorders>
            <w:tcW w:w="763"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left w:val="single" w:color="auto" w:sz="6" w:space="0"/>
              <w:right w:val="single" w:color="auto" w:sz="6" w:space="0"/>
            </w:tcBorders>
            <w:tcW w:w="1085"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6" w:space="0"/>
              <w:right w:val="single" w:color="auto" w:sz="6" w:space="0"/>
            </w:tcBorders>
            <w:tcW w:w="1241"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国产化和版权授权方案（</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p>
        </w:tc>
        <w:tc>
          <w:tcPr>
            <w:tcBorders>
              <w:top w:val="single" w:color="auto" w:sz="6" w:space="0"/>
              <w:left w:val="single" w:color="auto" w:sz="6" w:space="0"/>
              <w:right w:val="single" w:color="auto" w:sz="6" w:space="0"/>
            </w:tcBorders>
            <w:tcW w:w="6582"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对方案内容的全面性、可行性进行评价。</w:t>
            </w:r>
            <w:r/>
          </w:p>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全面性（</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分）：全面具体详实得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分；全面性一般得</w:t>
            </w: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分；存在较大漏项或缺陷得0分。</w:t>
            </w:r>
            <w:r/>
          </w:p>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可行性（</w:t>
            </w: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分）：切实可行得</w:t>
            </w: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分；可行性一般得</w:t>
            </w:r>
            <w:r>
              <w:rPr>
                <w:rFonts w:hint="eastAsia" w:ascii="宋体" w:hAnsi="宋体" w:cs="宋体"/>
                <w:color w:val="000000"/>
                <w:sz w:val="24"/>
                <w:szCs w:val="24"/>
                <w:highlight w:val="none"/>
                <w:lang w:val="en-US" w:eastAsia="zh-CN" w:bidi="ar-SA"/>
              </w:rPr>
              <w:t xml:space="preserve">0.5</w:t>
            </w:r>
            <w:r>
              <w:rPr>
                <w:rFonts w:hint="eastAsia" w:ascii="宋体" w:hAnsi="宋体" w:eastAsia="宋体" w:cs="宋体"/>
                <w:color w:val="000000"/>
                <w:sz w:val="24"/>
                <w:szCs w:val="24"/>
                <w:highlight w:val="none"/>
                <w:lang w:val="en-US" w:eastAsia="zh-CN" w:bidi="ar-SA"/>
              </w:rPr>
              <w:t xml:space="preserve">分；可行性欠缺得0分。</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未提供的得0分。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本项最高得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分，最低得0分。</w:t>
            </w:r>
            <w:r/>
          </w:p>
        </w:tc>
      </w:tr>
      <w:tr>
        <w:trPr>
          <w:jc w:val="center"/>
          <w:trHeight w:val="90"/>
        </w:trPr>
        <w:tc>
          <w:tcPr>
            <w:tcBorders>
              <w:left w:val="single" w:color="auto" w:sz="4" w:space="0"/>
              <w:right w:val="single" w:color="auto" w:sz="6" w:space="0"/>
            </w:tcBorders>
            <w:tcW w:w="763" w:type="dxa"/>
            <w:vAlign w:val="center"/>
            <w:vMerge w:val="restart"/>
            <w:textDirection w:val="lrTb"/>
            <w:noWrap w:val="false"/>
          </w:tcPr>
          <w:p>
            <w:pPr>
              <w:ind w:left="256" w:right="6" w:firstLine="624"/>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商务部分（</w:t>
            </w:r>
            <w:r>
              <w:rPr>
                <w:rFonts w:hint="eastAsia" w:ascii="宋体" w:hAnsi="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分）</w:t>
            </w:r>
            <w:r/>
          </w:p>
        </w:tc>
        <w:tc>
          <w:tcPr>
            <w:tcBorders>
              <w:left w:val="single" w:color="auto" w:sz="6" w:space="0"/>
              <w:right w:val="single" w:color="auto" w:sz="6" w:space="0"/>
            </w:tcBorders>
            <w:tcW w:w="1085" w:type="dxa"/>
            <w:vAlign w:val="center"/>
            <w:vMerge w:val="restart"/>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人员配备方案（</w:t>
            </w:r>
            <w:r>
              <w:rPr>
                <w:rFonts w:hint="eastAsia" w:ascii="宋体" w:hAnsi="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分）</w:t>
            </w:r>
            <w:r/>
          </w:p>
        </w:tc>
        <w:tc>
          <w:tcPr>
            <w:tcBorders>
              <w:top w:val="single" w:color="auto" w:sz="4" w:space="0"/>
              <w:left w:val="single" w:color="auto" w:sz="6" w:space="0"/>
              <w:right w:val="single" w:color="auto" w:sz="6" w:space="0"/>
            </w:tcBorders>
            <w:tcW w:w="1241"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项目经理（</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tc>
        <w:tc>
          <w:tcPr>
            <w:tcBorders>
              <w:top w:val="single" w:color="auto" w:sz="6" w:space="0"/>
              <w:left w:val="single" w:color="auto" w:sz="6" w:space="0"/>
              <w:right w:val="single" w:color="auto" w:sz="6" w:space="0"/>
            </w:tcBorders>
            <w:tcW w:w="6582" w:type="dxa"/>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拟派项目经理1人，具有相关云计算方向或存储方向或数据通信相关方向的中级及以上证书，本项最高得2分，未提供的得0分。</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投标文件中提供上述人员相关证书的扫描件及投标人本项目开标时间前6个月内任一个月为上述人员缴纳社保的证明材料的扫描件。</w:t>
            </w:r>
            <w:r/>
          </w:p>
          <w:p>
            <w:pPr>
              <w:pStyle w:val="694"/>
              <w:rPr>
                <w:rFonts w:hint="eastAsia"/>
                <w:highlight w:val="none"/>
              </w:rPr>
            </w:pPr>
            <w:r>
              <w:rPr>
                <w:rFonts w:hint="eastAsia" w:ascii="宋体" w:hAnsi="宋体" w:eastAsia="宋体" w:cs="宋体"/>
                <w:b/>
                <w:bCs/>
                <w:color w:val="000000"/>
                <w:sz w:val="24"/>
                <w:szCs w:val="24"/>
                <w:highlight w:val="none"/>
                <w:lang w:val="en-US" w:eastAsia="zh-CN" w:bidi="ar-SA"/>
              </w:rPr>
              <w:t xml:space="preserve">注：上述人员证书须为国家级认证机构或具备认证能力的制造商颁发的认证证书。</w:t>
            </w:r>
            <w:r/>
          </w:p>
        </w:tc>
      </w:tr>
      <w:tr>
        <w:trPr>
          <w:jc w:val="center"/>
          <w:trHeight w:val="631"/>
        </w:trPr>
        <w:tc>
          <w:tcPr>
            <w:tcBorders>
              <w:left w:val="single" w:color="auto" w:sz="4" w:space="0"/>
              <w:right w:val="single" w:color="auto" w:sz="6" w:space="0"/>
            </w:tcBorders>
            <w:tcW w:w="763"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left w:val="single" w:color="auto" w:sz="6" w:space="0"/>
              <w:right w:val="single" w:color="auto" w:sz="6" w:space="0"/>
            </w:tcBorders>
            <w:tcW w:w="1085"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6" w:space="0"/>
              <w:right w:val="single" w:color="auto" w:sz="6" w:space="0"/>
            </w:tcBorders>
            <w:tcW w:w="1241"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数据中心维护工程师</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w:t>
            </w:r>
            <w:r/>
          </w:p>
        </w:tc>
        <w:tc>
          <w:tcPr>
            <w:tcBorders>
              <w:top w:val="single" w:color="auto" w:sz="6" w:space="0"/>
              <w:left w:val="single" w:color="auto" w:sz="6" w:space="0"/>
              <w:right w:val="single" w:color="auto" w:sz="6" w:space="0"/>
            </w:tcBorders>
            <w:tcW w:w="6582" w:type="dxa"/>
            <w:vAlign w:val="center"/>
            <w:textDirection w:val="lrTb"/>
            <w:noWrap w:val="false"/>
          </w:tcPr>
          <w:p>
            <w:pPr>
              <w:tabs>
                <w:tab w:val="left" w:pos="0" w:leader="none"/>
              </w:tabs>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none"/>
              </w:rPr>
              <w:t xml:space="preserve">拟派</w:t>
            </w:r>
            <w:r>
              <w:rPr>
                <w:rFonts w:hint="eastAsia" w:ascii="宋体" w:hAnsi="宋体" w:eastAsia="宋体" w:cs="宋体"/>
                <w:sz w:val="24"/>
                <w:szCs w:val="24"/>
                <w:highlight w:val="none"/>
              </w:rPr>
              <w:t xml:space="preserve">数据中心</w:t>
            </w:r>
            <w:r>
              <w:rPr>
                <w:rFonts w:hint="eastAsia" w:ascii="宋体" w:hAnsi="宋体" w:eastAsia="宋体" w:cs="宋体"/>
                <w:color w:val="000000"/>
                <w:sz w:val="24"/>
                <w:szCs w:val="24"/>
                <w:highlight w:val="none"/>
              </w:rPr>
              <w:t xml:space="preserve">维护工程师6人，</w:t>
            </w:r>
            <w:r/>
          </w:p>
          <w:p>
            <w:pPr>
              <w:tabs>
                <w:tab w:val="left" w:pos="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其中：</w:t>
            </w:r>
            <w:r>
              <w:rPr>
                <w:rFonts w:hint="eastAsia" w:ascii="宋体" w:hAnsi="宋体" w:eastAsia="宋体" w:cs="宋体"/>
                <w:color w:val="000000"/>
                <w:sz w:val="24"/>
                <w:szCs w:val="24"/>
                <w:highlight w:val="none"/>
              </w:rPr>
              <w:t xml:space="preserve">2人具有云计算相关方向上的中级及以上证书，每提供1</w:t>
            </w:r>
            <w:r>
              <w:rPr>
                <w:rFonts w:hint="eastAsia" w:ascii="宋体" w:hAnsi="宋体" w:cs="宋体"/>
                <w:color w:val="000000"/>
                <w:sz w:val="24"/>
                <w:szCs w:val="24"/>
                <w:highlight w:val="none"/>
                <w:lang w:val="en-US" w:eastAsia="zh-CN"/>
              </w:rPr>
              <w:t xml:space="preserve">项</w:t>
            </w:r>
            <w:r>
              <w:rPr>
                <w:rFonts w:hint="eastAsia" w:ascii="宋体" w:hAnsi="宋体" w:eastAsia="宋体" w:cs="宋体"/>
                <w:color w:val="000000"/>
                <w:sz w:val="24"/>
                <w:szCs w:val="24"/>
                <w:highlight w:val="none"/>
              </w:rPr>
              <w:t xml:space="preserve">证书得2分，最高4分，未提供得0分。</w:t>
            </w:r>
            <w:r/>
          </w:p>
          <w:p>
            <w:pPr>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2人具有存储相关方向上的中级及以上证书，每提供1</w:t>
            </w:r>
            <w:r>
              <w:rPr>
                <w:rFonts w:hint="eastAsia" w:ascii="宋体" w:hAnsi="宋体" w:cs="宋体"/>
                <w:color w:val="000000"/>
                <w:sz w:val="24"/>
                <w:szCs w:val="24"/>
                <w:highlight w:val="none"/>
                <w:lang w:val="en-US" w:eastAsia="zh-CN"/>
              </w:rPr>
              <w:t xml:space="preserve">项</w:t>
            </w:r>
            <w:r>
              <w:rPr>
                <w:rFonts w:hint="eastAsia" w:ascii="宋体" w:hAnsi="宋体" w:eastAsia="宋体" w:cs="宋体"/>
                <w:color w:val="000000"/>
                <w:sz w:val="24"/>
                <w:szCs w:val="24"/>
                <w:highlight w:val="none"/>
              </w:rPr>
              <w:t xml:space="preserve">证书得2分，最高4分，未提供得0分。</w:t>
            </w:r>
            <w:r/>
          </w:p>
          <w:p>
            <w:pPr>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2人具有网络相关方向上的中级及以上证书，每提供1</w:t>
            </w:r>
            <w:r>
              <w:rPr>
                <w:rFonts w:hint="eastAsia" w:ascii="宋体" w:hAnsi="宋体" w:cs="宋体"/>
                <w:color w:val="000000"/>
                <w:sz w:val="24"/>
                <w:szCs w:val="24"/>
                <w:highlight w:val="none"/>
                <w:lang w:val="en-US" w:eastAsia="zh-CN"/>
              </w:rPr>
              <w:t xml:space="preserve">项</w:t>
            </w:r>
            <w:r>
              <w:rPr>
                <w:rFonts w:hint="eastAsia" w:ascii="宋体" w:hAnsi="宋体" w:eastAsia="宋体" w:cs="宋体"/>
                <w:color w:val="000000"/>
                <w:sz w:val="24"/>
                <w:szCs w:val="24"/>
                <w:highlight w:val="none"/>
              </w:rPr>
              <w:t xml:space="preserve">证书得2分，最高4分，未提供得0分。</w:t>
            </w:r>
            <w:r/>
          </w:p>
          <w:p>
            <w:pPr>
              <w:tabs>
                <w:tab w:val="left" w:pos="0"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一人仅担任一职，一人多证按单证计算，</w:t>
            </w:r>
            <w:r>
              <w:rPr>
                <w:rFonts w:hint="eastAsia" w:ascii="宋体" w:hAnsi="宋体" w:eastAsia="宋体" w:cs="宋体"/>
                <w:color w:val="000000"/>
                <w:sz w:val="24"/>
                <w:szCs w:val="24"/>
                <w:highlight w:val="none"/>
              </w:rPr>
              <w:t xml:space="preserve">投标文件中提供上述人员相关证书的扫描件及投标人本项目开标时间前6个月内任一个月为上述人员缴纳社保的证明材料的扫描件。</w:t>
            </w:r>
            <w:r/>
          </w:p>
          <w:p>
            <w:pPr>
              <w:pStyle w:val="694"/>
              <w:rPr>
                <w:rFonts w:hint="eastAsia"/>
                <w:highlight w:val="none"/>
              </w:rPr>
            </w:pPr>
            <w:r>
              <w:rPr>
                <w:rFonts w:hint="eastAsia" w:ascii="宋体" w:hAnsi="宋体" w:eastAsia="宋体" w:cs="宋体"/>
                <w:b/>
                <w:bCs/>
                <w:color w:val="000000"/>
                <w:sz w:val="24"/>
                <w:szCs w:val="24"/>
                <w:highlight w:val="none"/>
                <w:lang w:val="en-US" w:eastAsia="zh-CN" w:bidi="ar-SA"/>
              </w:rPr>
              <w:t xml:space="preserve">注：上述人员证书须为国家级认证机构或具备认证能力的制造商颁发的认证证书。</w:t>
            </w:r>
            <w:r/>
          </w:p>
        </w:tc>
      </w:tr>
      <w:tr>
        <w:trPr>
          <w:jc w:val="center"/>
          <w:trHeight w:val="1124"/>
        </w:trPr>
        <w:tc>
          <w:tcPr>
            <w:tcBorders>
              <w:left w:val="single" w:color="auto" w:sz="4" w:space="0"/>
              <w:bottom w:val="single" w:color="auto" w:sz="4" w:space="0"/>
              <w:right w:val="single" w:color="auto" w:sz="6" w:space="0"/>
            </w:tcBorders>
            <w:tcW w:w="763"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left w:val="single" w:color="auto" w:sz="6" w:space="0"/>
              <w:right w:val="single" w:color="auto" w:sz="6" w:space="0"/>
            </w:tcBorders>
            <w:tcW w:w="108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投标人业绩（4）</w:t>
            </w:r>
            <w:r/>
          </w:p>
        </w:tc>
        <w:tc>
          <w:tcPr>
            <w:gridSpan w:val="2"/>
            <w:tcBorders>
              <w:top w:val="single" w:color="auto" w:sz="4" w:space="0"/>
              <w:left w:val="single" w:color="auto" w:sz="6" w:space="0"/>
              <w:right w:val="single" w:color="auto" w:sz="6" w:space="0"/>
            </w:tcBorders>
            <w:tcW w:w="7823" w:type="dxa"/>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投标文件中提供投标人为卖方(乙方)，合同签订日期在202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日之后，合同内容包含系统集成、维护类的相关合同业绩的，每提供一份得2分，未提供的得0分。</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本项最高得4分,最低得0分。</w:t>
            </w:r>
            <w:r/>
          </w:p>
          <w:p>
            <w:pPr>
              <w:jc w:val="left"/>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注：投标文件中同时提供中标（成交）通知书原件扫描件、合同原件扫描件、发票（或对应银行收款进账凭证）原件扫描件并加盖电子签章，三者必须同时具备，业绩合同中主要内容、总金额等清晰可见，缺一或提供内容模糊不清的不得分。</w:t>
            </w:r>
            <w:r/>
          </w:p>
        </w:tc>
      </w:tr>
    </w:tbl>
    <w:p>
      <w:pPr>
        <w:rPr>
          <w:rFonts w:hint="eastAsia" w:ascii="宋体" w:hAnsi="宋体" w:cs="宋体"/>
          <w:highlight w:val="none"/>
        </w:rPr>
      </w:pPr>
      <w:r>
        <w:rPr>
          <w:rFonts w:hint="eastAsia" w:ascii="宋体" w:hAnsi="宋体" w:cs="宋体"/>
          <w:sz w:val="28"/>
          <w:szCs w:val="28"/>
          <w:highlight w:val="none"/>
        </w:rPr>
        <w:t xml:space="preserve">本章说明：评分结果精确到小数点后两位。</w:t>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jc w:val="center"/>
        <w:widowControl/>
        <w:rPr>
          <w:rFonts w:ascii="仿宋" w:hAnsi="仿宋" w:eastAsia="仿宋"/>
          <w:color w:val="000000"/>
          <w:sz w:val="30"/>
          <w:szCs w:val="30"/>
          <w:highlight w:val="none"/>
        </w:rPr>
      </w:pPr>
      <w:r>
        <w:rPr>
          <w:rFonts w:hint="eastAsia" w:ascii="宋体" w:hAnsi="宋体" w:eastAsia="宋体" w:cs="宋体"/>
          <w:highlight w:val="none"/>
        </w:rPr>
        <w:br w:type="page" w:clear="all"/>
      </w:r>
      <w:bookmarkStart w:id="13" w:name="_Toc20062"/>
      <w:r>
        <w:rPr>
          <w:rStyle w:val="885"/>
          <w:highlight w:val="none"/>
        </w:rPr>
        <w:t xml:space="preserve">第五章</w:t>
      </w:r>
      <w:r>
        <w:rPr>
          <w:rStyle w:val="885"/>
          <w:rFonts w:hint="eastAsia" w:eastAsia="新宋体"/>
          <w:highlight w:val="none"/>
          <w:lang w:val="en-US" w:eastAsia="zh-CN"/>
        </w:rPr>
        <w:t xml:space="preserve">  </w:t>
      </w:r>
      <w:r>
        <w:rPr>
          <w:rStyle w:val="885"/>
          <w:highlight w:val="none"/>
        </w:rPr>
        <w:t xml:space="preserve">拟签订的合同文本</w:t>
      </w:r>
      <w:bookmarkEnd w:id="12"/>
      <w:r/>
      <w:bookmarkEnd w:id="13"/>
      <w:r/>
      <w:bookmarkStart w:id="14" w:name="_Toc522790135"/>
      <w:r/>
      <w:r/>
    </w:p>
    <w:p>
      <w:pPr>
        <w:contextualSpacing/>
        <w:ind w:left="-424" w:right="-624" w:hanging="2"/>
        <w:jc w:val="both"/>
        <w:keepLines w:val="0"/>
        <w:keepNext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甲方：徐州市公安局                 项目名称：徐州市公安局数据中心维保项目</w:t>
      </w:r>
      <w:r/>
    </w:p>
    <w:p>
      <w:pPr>
        <w:contextualSpacing/>
        <w:ind w:left="-424"/>
        <w:keepLines w:val="0"/>
        <w:keepNext w:val="0"/>
        <w:spacing w:line="400" w:lineRule="exact"/>
        <w:rPr>
          <w:rFonts w:hint="default"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乙方：                             项目编号：</w:t>
      </w:r>
      <w:r>
        <w:rPr>
          <w:rFonts w:hint="eastAsia" w:ascii="宋体" w:hAnsi="宋体" w:eastAsia="宋体" w:cs="宋体"/>
          <w:color w:val="000000"/>
          <w:sz w:val="24"/>
          <w:szCs w:val="24"/>
          <w:highlight w:val="none"/>
          <w:lang w:val="en-US" w:eastAsia="zh-CN"/>
        </w:rPr>
        <w:t xml:space="preserve"> </w:t>
      </w:r>
      <w:r/>
    </w:p>
    <w:p>
      <w:pPr>
        <w:contextualSpacing/>
        <w:jc w:val="center"/>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签订时间：</w:t>
      </w:r>
      <w:r/>
    </w:p>
    <w:p>
      <w:pPr>
        <w:contextualSpacing/>
        <w:jc w:val="center"/>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签订地点：</w:t>
      </w:r>
      <w:r/>
    </w:p>
    <w:p>
      <w:pPr>
        <w:contextualSpacing/>
        <w:ind w:left="-424" w:firstLine="480"/>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contextualSpacing/>
        <w:ind w:left="-424" w:firstLine="480"/>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根据《中华人民共和国政府采购法》、《中华人民共和国民法典》，按照徐州市公安局数据中心维保项目发出的中标通知书、招标文件及乙方的投标文件等，按照平等、自愿的原则，经友好协商，签订本合同。</w:t>
      </w:r>
      <w:r/>
    </w:p>
    <w:p>
      <w:pPr>
        <w:contextualSpacing/>
        <w:ind w:left="-424" w:firstLine="480"/>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contextualSpacing/>
        <w:ind w:left="-424" w:firstLine="960"/>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一、合同文件的组成部分：</w:t>
      </w:r>
      <w:r/>
    </w:p>
    <w:p>
      <w:pPr>
        <w:contextualSpacing/>
        <w:ind w:firstLine="600"/>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1.中标通知书；</w:t>
      </w:r>
      <w:r/>
    </w:p>
    <w:p>
      <w:pPr>
        <w:contextualSpacing/>
        <w:ind w:firstLine="600"/>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2.合同补充条款或说明；</w:t>
      </w:r>
      <w:r/>
    </w:p>
    <w:p>
      <w:pPr>
        <w:contextualSpacing/>
        <w:ind w:firstLine="600"/>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3.乙方的投标文件；</w:t>
      </w:r>
      <w:r/>
    </w:p>
    <w:p>
      <w:pPr>
        <w:contextualSpacing/>
        <w:ind w:firstLine="600"/>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4.招标文件；</w:t>
      </w:r>
      <w:r/>
    </w:p>
    <w:p>
      <w:pPr>
        <w:contextualSpacing/>
        <w:ind w:firstLine="600"/>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5.合同附件。</w:t>
      </w:r>
      <w:r/>
    </w:p>
    <w:p>
      <w:pPr>
        <w:contextualSpacing/>
        <w:ind w:firstLine="480"/>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二、合同范围：甲方同意从乙方购买、乙方同意向甲方提供的合同标的以及相关维保服务。</w:t>
      </w:r>
      <w:r/>
    </w:p>
    <w:p>
      <w:pPr>
        <w:contextualSpacing/>
        <w:ind w:firstLine="480"/>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三、项目方案：详见合同附件1。</w:t>
      </w:r>
      <w:r/>
    </w:p>
    <w:p>
      <w:pPr>
        <w:contextualSpacing/>
        <w:ind w:firstLine="480"/>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四、人员配备方案：详见合同附件2。</w:t>
      </w:r>
      <w:r/>
    </w:p>
    <w:p>
      <w:pPr>
        <w:contextualSpacing/>
        <w:ind w:firstLine="480"/>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五、响应时间和综合保障服务方案：详见合同附件3。</w:t>
      </w:r>
      <w:r/>
    </w:p>
    <w:p>
      <w:pPr>
        <w:contextualSpacing/>
        <w:ind w:firstLine="480"/>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六、国产化和版权授权方案：详见合同附件4。</w:t>
      </w:r>
      <w:r/>
    </w:p>
    <w:p>
      <w:pPr>
        <w:contextualSpacing/>
        <w:ind w:firstLine="480"/>
        <w:keepLines w:val="0"/>
        <w:keepNext w:val="0"/>
        <w:spacing w:line="40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七</w:t>
      </w:r>
      <w:r>
        <w:rPr>
          <w:rFonts w:hint="eastAsia" w:ascii="宋体" w:hAnsi="宋体" w:eastAsia="宋体" w:cs="宋体"/>
          <w:color w:val="000000"/>
          <w:sz w:val="24"/>
          <w:szCs w:val="24"/>
          <w:highlight w:val="none"/>
        </w:rPr>
        <w:t xml:space="preserve">、项目维保服务评价文档：详见合同附件</w:t>
      </w:r>
      <w:r>
        <w:rPr>
          <w:rFonts w:hint="eastAsia" w:ascii="宋体" w:hAnsi="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w:t>
      </w:r>
      <w:r/>
    </w:p>
    <w:p>
      <w:pPr>
        <w:contextualSpacing/>
        <w:ind w:firstLine="480"/>
        <w:keepLines w:val="0"/>
        <w:keepNext w:val="0"/>
        <w:spacing w:line="40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八</w:t>
      </w:r>
      <w:r>
        <w:rPr>
          <w:rFonts w:hint="eastAsia" w:ascii="宋体" w:hAnsi="宋体" w:eastAsia="宋体" w:cs="宋体"/>
          <w:color w:val="000000"/>
          <w:sz w:val="24"/>
          <w:szCs w:val="24"/>
          <w:highlight w:val="none"/>
        </w:rPr>
        <w:t xml:space="preserve">、合同总价：￥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w:t>
      </w:r>
      <w:r/>
    </w:p>
    <w:p>
      <w:pPr>
        <w:contextualSpacing/>
        <w:ind w:firstLine="480"/>
        <w:keepLines w:val="0"/>
        <w:keepNext w:val="0"/>
        <w:spacing w:line="40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九</w:t>
      </w:r>
      <w:r>
        <w:rPr>
          <w:rFonts w:hint="eastAsia" w:ascii="宋体" w:hAnsi="宋体" w:eastAsia="宋体" w:cs="宋体"/>
          <w:color w:val="000000"/>
          <w:sz w:val="24"/>
          <w:szCs w:val="24"/>
          <w:highlight w:val="none"/>
        </w:rPr>
        <w:t xml:space="preserve">、支付（采购资金的支付方式、时间、条件）：</w:t>
      </w:r>
      <w:r/>
    </w:p>
    <w:p>
      <w:pPr>
        <w:contextualSpacing/>
        <w:ind w:firstLine="600"/>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1.经双方协商一致，选择以下第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种付款方式：</w:t>
      </w:r>
      <w:r/>
    </w:p>
    <w:p>
      <w:pPr>
        <w:contextualSpacing/>
        <w:ind w:firstLine="600"/>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①付款方式1（提交预付款保函的）</w:t>
      </w:r>
      <w:r/>
    </w:p>
    <w:p>
      <w:pPr>
        <w:contextualSpacing/>
        <w:ind w:firstLine="600"/>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合同总价的百分之四十(40%)即￥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p>
    <w:p>
      <w:pPr>
        <w:contextualSpacing/>
        <w:ind w:firstLine="600"/>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作为预付款，在合同签订生效且乙方向甲方出具合同总价的百分之四十（40%)即￥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的预付款保函，甲方自收到发票（发票金额为合同总价的40 %）后10个工作日内，将资金支付到合同约定的乙方账户。剩余服务费用按每半年支付。每半年维保服务费</w:t>
      </w:r>
      <w:r>
        <w:rPr>
          <w:rFonts w:hint="eastAsia" w:ascii="宋体" w:hAnsi="宋体" w:eastAsia="宋体" w:cs="宋体"/>
          <w:color w:val="000000"/>
          <w:sz w:val="24"/>
          <w:szCs w:val="24"/>
          <w:highlight w:val="none"/>
          <w:lang w:eastAsia="zh-CN"/>
        </w:rPr>
        <w:t xml:space="preserve">（具体金额以甲方考核确认数额为准）</w:t>
      </w:r>
      <w:r>
        <w:rPr>
          <w:rFonts w:hint="eastAsia" w:ascii="宋体" w:hAnsi="宋体" w:eastAsia="宋体" w:cs="宋体"/>
          <w:color w:val="000000"/>
          <w:sz w:val="24"/>
          <w:szCs w:val="24"/>
          <w:highlight w:val="none"/>
        </w:rPr>
        <w:t xml:space="preserve">=维保服务费*60% /2</w:t>
      </w:r>
      <w:r>
        <w:rPr>
          <w:rFonts w:hint="eastAsia" w:ascii="宋体" w:hAnsi="宋体" w:cs="宋体"/>
          <w:color w:val="000000"/>
          <w:sz w:val="24"/>
          <w:szCs w:val="24"/>
          <w:highlight w:val="white"/>
          <w:lang w:val="en-US" w:eastAsia="zh-CN"/>
        </w:rPr>
        <w:t xml:space="preserve">-扣款金额（如有）</w:t>
      </w:r>
      <w:r>
        <w:rPr>
          <w:rFonts w:hint="eastAsia" w:ascii="宋体" w:hAnsi="宋体" w:eastAsia="宋体" w:cs="宋体"/>
          <w:color w:val="000000"/>
          <w:sz w:val="24"/>
          <w:szCs w:val="24"/>
          <w:highlight w:val="none"/>
        </w:rPr>
        <w:t xml:space="preserve">。</w:t>
      </w:r>
      <w:r/>
    </w:p>
    <w:p>
      <w:pPr>
        <w:contextualSpacing/>
        <w:ind w:firstLine="600"/>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②付款方式2（不提交预付款保函的）</w:t>
      </w:r>
      <w:r/>
    </w:p>
    <w:p>
      <w:pPr>
        <w:contextualSpacing/>
        <w:ind w:firstLine="600"/>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合同总价的百分之十(10%)即￥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人民币作为预付款，在合同签订生效，甲方自收到发票（发票金额为合同总价的10%）后10个工作日内，将资金支付到合同约定的乙方账户。剩余服务费用按每半年支付。每半年维保服务费</w:t>
      </w:r>
      <w:r>
        <w:rPr>
          <w:rFonts w:hint="eastAsia" w:ascii="宋体" w:hAnsi="宋体" w:eastAsia="宋体" w:cs="宋体"/>
          <w:color w:val="000000"/>
          <w:sz w:val="24"/>
          <w:szCs w:val="24"/>
          <w:highlight w:val="none"/>
          <w:lang w:eastAsia="zh-CN"/>
        </w:rPr>
        <w:t xml:space="preserve">（具体金额以甲方考核确认数额为准）</w:t>
      </w:r>
      <w:r>
        <w:rPr>
          <w:rFonts w:hint="eastAsia" w:ascii="宋体" w:hAnsi="宋体" w:eastAsia="宋体" w:cs="宋体"/>
          <w:color w:val="000000"/>
          <w:sz w:val="24"/>
          <w:szCs w:val="24"/>
          <w:highlight w:val="none"/>
        </w:rPr>
        <w:t xml:space="preserve">=维保服务费*90%/2</w:t>
      </w:r>
      <w:r>
        <w:rPr>
          <w:rFonts w:hint="eastAsia" w:ascii="宋体" w:hAnsi="宋体" w:cs="宋体"/>
          <w:color w:val="000000"/>
          <w:sz w:val="24"/>
          <w:szCs w:val="24"/>
          <w:highlight w:val="white"/>
          <w:lang w:val="en-US" w:eastAsia="zh-CN"/>
        </w:rPr>
        <w:t xml:space="preserve">-扣款金额（如有）</w:t>
      </w:r>
      <w:r>
        <w:rPr>
          <w:rFonts w:hint="eastAsia" w:ascii="宋体" w:hAnsi="宋体" w:eastAsia="宋体" w:cs="宋体"/>
          <w:color w:val="000000"/>
          <w:sz w:val="24"/>
          <w:szCs w:val="24"/>
          <w:highlight w:val="none"/>
        </w:rPr>
        <w:t xml:space="preserve">。</w:t>
      </w:r>
      <w:r/>
    </w:p>
    <w:p>
      <w:pPr>
        <w:contextualSpacing/>
        <w:ind w:firstLine="600"/>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③付款方式3：在签订合同时，如乙方明确表示无需预付款的，甲方可凭</w:t>
      </w:r>
      <w:r>
        <w:rPr>
          <w:rFonts w:hint="eastAsia" w:ascii="宋体" w:hAnsi="宋体" w:cs="宋体"/>
          <w:color w:val="000000"/>
          <w:sz w:val="24"/>
          <w:szCs w:val="24"/>
          <w:highlight w:val="none"/>
          <w:lang w:eastAsia="zh-CN"/>
        </w:rPr>
        <w:t xml:space="preserve">考核结果</w:t>
      </w:r>
      <w:r>
        <w:rPr>
          <w:rFonts w:hint="eastAsia" w:ascii="宋体" w:hAnsi="宋体" w:eastAsia="宋体" w:cs="宋体"/>
          <w:color w:val="000000"/>
          <w:sz w:val="24"/>
          <w:szCs w:val="24"/>
          <w:highlight w:val="none"/>
        </w:rPr>
        <w:t xml:space="preserve">按每半年支付乙方服务费用,每半年维保服务费</w:t>
      </w:r>
      <w:r>
        <w:rPr>
          <w:rFonts w:hint="eastAsia" w:ascii="宋体" w:hAnsi="宋体" w:eastAsia="宋体" w:cs="宋体"/>
          <w:color w:val="000000"/>
          <w:sz w:val="24"/>
          <w:szCs w:val="24"/>
          <w:highlight w:val="none"/>
          <w:lang w:eastAsia="zh-CN"/>
        </w:rPr>
        <w:t xml:space="preserve">（具体金额以甲方考核确认数额为准）</w:t>
      </w:r>
      <w:r>
        <w:rPr>
          <w:rFonts w:hint="eastAsia" w:ascii="宋体" w:hAnsi="宋体" w:eastAsia="宋体" w:cs="宋体"/>
          <w:color w:val="000000"/>
          <w:sz w:val="24"/>
          <w:szCs w:val="24"/>
          <w:highlight w:val="none"/>
        </w:rPr>
        <w:t xml:space="preserve">=维保服务费*100% /2</w:t>
      </w:r>
      <w:r>
        <w:rPr>
          <w:rFonts w:hint="eastAsia" w:ascii="宋体" w:hAnsi="宋体" w:cs="宋体"/>
          <w:color w:val="000000"/>
          <w:sz w:val="24"/>
          <w:szCs w:val="24"/>
          <w:highlight w:val="white"/>
          <w:lang w:val="en-US" w:eastAsia="zh-CN"/>
        </w:rPr>
        <w:t xml:space="preserve">-扣款金额（如有）</w:t>
      </w:r>
      <w:r>
        <w:rPr>
          <w:rFonts w:hint="eastAsia" w:ascii="宋体" w:hAnsi="宋体" w:eastAsia="宋体" w:cs="宋体"/>
          <w:color w:val="000000"/>
          <w:sz w:val="24"/>
          <w:szCs w:val="24"/>
          <w:highlight w:val="none"/>
        </w:rPr>
        <w:t xml:space="preserve">（注：此条符合苏财购〔2020〕52号文件要求）；</w:t>
      </w:r>
      <w:r/>
    </w:p>
    <w:p>
      <w:pPr>
        <w:contextualSpacing/>
        <w:ind w:firstLine="600"/>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2.每半年维保服务费的支付</w:t>
      </w:r>
      <w:r/>
    </w:p>
    <w:p>
      <w:pPr>
        <w:contextualSpacing/>
        <w:ind w:firstLine="600"/>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每半年甲方按</w:t>
      </w:r>
      <w:r>
        <w:rPr>
          <w:rFonts w:hint="eastAsia" w:ascii="宋体" w:hAnsi="宋体" w:cs="宋体"/>
          <w:color w:val="000000"/>
          <w:sz w:val="24"/>
          <w:szCs w:val="24"/>
          <w:highlight w:val="none"/>
          <w:lang w:val="en-US" w:eastAsia="zh-CN"/>
        </w:rPr>
        <w:t xml:space="preserve">考核</w:t>
      </w:r>
      <w:r>
        <w:rPr>
          <w:rFonts w:hint="eastAsia" w:ascii="宋体" w:hAnsi="宋体" w:eastAsia="宋体" w:cs="宋体"/>
          <w:color w:val="000000"/>
          <w:sz w:val="24"/>
          <w:szCs w:val="24"/>
          <w:highlight w:val="none"/>
        </w:rPr>
        <w:t xml:space="preserve">结果，收到乙方开具发票之日起10个工作日内支付半年维保服务费，由甲方办理政府采购资金结算手续，经审核后支付给乙方。具体如下：</w:t>
      </w:r>
      <w:r/>
    </w:p>
    <w:p>
      <w:pPr>
        <w:contextualSpacing/>
        <w:ind w:firstLine="600"/>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考核得分在60分以下的，支付当期款项0%；</w:t>
      </w:r>
      <w:r/>
    </w:p>
    <w:p>
      <w:pPr>
        <w:contextualSpacing/>
        <w:ind w:firstLine="600"/>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考核得分为60-69分的，支付当期款项的65%；</w:t>
      </w:r>
      <w:r/>
    </w:p>
    <w:p>
      <w:pPr>
        <w:contextualSpacing/>
        <w:ind w:firstLine="600"/>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考核得分70-79分的，支付当期款项的75%；</w:t>
      </w:r>
      <w:r/>
    </w:p>
    <w:p>
      <w:pPr>
        <w:contextualSpacing/>
        <w:ind w:firstLine="600"/>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考核得分80-89分的，支付当期款项的85%；</w:t>
      </w:r>
      <w:r/>
    </w:p>
    <w:p>
      <w:pPr>
        <w:contextualSpacing/>
        <w:ind w:firstLine="600"/>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考核得分在90-100分的，支付当期款项的100%。 </w:t>
      </w:r>
      <w:r/>
    </w:p>
    <w:p>
      <w:pPr>
        <w:contextualSpacing/>
        <w:ind w:firstLine="600"/>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3.合同约定的乙方账户</w:t>
      </w:r>
      <w:r/>
    </w:p>
    <w:p>
      <w:pPr>
        <w:contextualSpacing/>
        <w:ind w:firstLine="600"/>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p>
    <w:p>
      <w:pPr>
        <w:contextualSpacing/>
        <w:ind w:firstLine="600"/>
        <w:keepLines w:val="0"/>
        <w:keepNext w:val="0"/>
        <w:spacing w:line="40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银行账号：</w:t>
      </w:r>
      <w:r/>
    </w:p>
    <w:p>
      <w:pPr>
        <w:contextualSpacing/>
        <w:ind w:firstLine="600"/>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4.履约保证金：签订合同前，乙方应向甲方支付履约保证金，履约保证金金额为中标金额的百分之</w:t>
      </w:r>
      <w:r>
        <w:rPr>
          <w:rFonts w:hint="eastAsia" w:ascii="宋体" w:hAnsi="宋体" w:eastAsia="宋体" w:cs="宋体"/>
          <w:color w:val="000000"/>
          <w:sz w:val="24"/>
          <w:szCs w:val="24"/>
          <w:highlight w:val="none"/>
          <w:u w:val="single"/>
        </w:rPr>
        <w:t xml:space="preserve">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10</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元（小写：¥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元），履约保证金不计利息。</w:t>
      </w:r>
      <w:r/>
    </w:p>
    <w:p>
      <w:pPr>
        <w:contextualSpacing/>
        <w:ind w:firstLine="600"/>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保证金缴纳形式：支票、汇票、本票或者金融机构、担保机构出具的保函等非现金形式缴纳，乙方可自愿使用履约保函（保险代替缴纳履约保证金具体详见《关于在全省政府采购领域推行电子履约保函（保险）的通知（苏财购〔2023〕150号）规定》)。</w:t>
      </w:r>
      <w:r/>
    </w:p>
    <w:p>
      <w:pPr>
        <w:contextualSpacing/>
        <w:ind w:firstLine="600"/>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注：履约保证金退还的方式、时间、条件和不予退还的情形：</w:t>
      </w:r>
      <w:r/>
    </w:p>
    <w:p>
      <w:pPr>
        <w:contextualSpacing/>
        <w:ind w:firstLine="600"/>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退还方式：由甲方将履约保证金无息退还至乙方账户。</w:t>
      </w:r>
      <w:r/>
    </w:p>
    <w:p>
      <w:pPr>
        <w:contextualSpacing/>
        <w:ind w:firstLine="600"/>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退还时间：本项目服务期满后15个工作日无息退还。</w:t>
      </w:r>
      <w:r/>
    </w:p>
    <w:p>
      <w:pPr>
        <w:contextualSpacing/>
        <w:ind w:firstLine="600"/>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退还条件：本项目合同义务履行完毕。</w:t>
      </w:r>
      <w:r/>
    </w:p>
    <w:p>
      <w:pPr>
        <w:contextualSpacing/>
        <w:ind w:firstLine="600"/>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不予退还的情形：</w:t>
      </w:r>
      <w:r>
        <w:rPr>
          <w:rFonts w:hint="eastAsia" w:ascii="宋体" w:hAnsi="宋体" w:eastAsia="宋体" w:cs="宋体"/>
          <w:color w:val="000000"/>
          <w:sz w:val="24"/>
          <w:szCs w:val="24"/>
          <w:highlight w:val="white"/>
        </w:rPr>
        <w:t xml:space="preserve">乙方拒绝履行合同义务或履约不符合合同约定给甲方造成损失，甲方有权从履约保证金中扣除损失金额。如履约保证金不足以全额赔偿甲方损失(包括但不限于直接损失、预期利益损失、律师费、诉讼费、保全费、维权差旅费等甲方为主张权利支出的全部费用)的，不足部分乙方仍应向甲方承担补足赔偿责任，甲方有权就未获清偿的损失部分继续向乙方追偿。</w:t>
      </w:r>
      <w:r/>
    </w:p>
    <w:p>
      <w:pPr>
        <w:contextualSpacing/>
        <w:ind w:firstLine="600"/>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如因乙方未能开具真实有效的发票或未提供支付申请而导致甲方延期付款的，责任由乙方承担。开具发票为本合同乙方主要义务。甲方内部正常审批流程不计算在付款期限之内。若因财政付款审批程序滞后，甲方不承担逾期付款的违约责任。</w:t>
      </w:r>
      <w:r/>
    </w:p>
    <w:p>
      <w:pPr>
        <w:ind w:firstLine="480"/>
        <w:keepLines w:val="0"/>
        <w:keepNext w:val="0"/>
        <w:spacing w:line="400" w:lineRule="exact"/>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十、项目服务期限：自合同签订生效之日起12个月。</w:t>
      </w:r>
      <w:r/>
    </w:p>
    <w:p>
      <w:pPr>
        <w:ind w:firstLine="480"/>
        <w:keepLines w:val="0"/>
        <w:keepNext w:val="0"/>
        <w:spacing w:line="400" w:lineRule="exact"/>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、甲乙双方的权利和义务</w:t>
      </w:r>
      <w:r/>
    </w:p>
    <w:p>
      <w:pPr>
        <w:ind w:firstLine="600"/>
        <w:keepLines w:val="0"/>
        <w:keepNext w:val="0"/>
        <w:spacing w:line="400" w:lineRule="exact"/>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1.甲方的权利和义务</w:t>
      </w:r>
      <w:r/>
    </w:p>
    <w:p>
      <w:pPr>
        <w:ind w:firstLine="480"/>
        <w:keepLines w:val="0"/>
        <w:keepNext w:val="0"/>
        <w:spacing w:line="400" w:lineRule="exact"/>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(1)甲方应按照合同约定向乙方支付项目费用；</w:t>
      </w:r>
      <w:r/>
    </w:p>
    <w:p>
      <w:pPr>
        <w:ind w:firstLine="480"/>
        <w:keepLines w:val="0"/>
        <w:keepNext w:val="0"/>
        <w:spacing w:line="400" w:lineRule="exact"/>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(2)甲方应指导人员规范操作、定期检查系统运行情况及维保情况; </w:t>
      </w:r>
      <w:r/>
    </w:p>
    <w:p>
      <w:pPr>
        <w:ind w:firstLine="480"/>
        <w:keepLines w:val="0"/>
        <w:keepNext w:val="0"/>
        <w:spacing w:line="400" w:lineRule="exact"/>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(3)甲方有义务为乙方提供必要的工作条件；</w:t>
      </w:r>
      <w:r/>
    </w:p>
    <w:p>
      <w:pPr>
        <w:ind w:firstLine="480"/>
        <w:keepLines w:val="0"/>
        <w:keepNext w:val="0"/>
        <w:spacing w:line="400" w:lineRule="exact"/>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(4)甲方应指导人员规范操作、定期检查系统运行情况及维保情况；</w:t>
      </w:r>
      <w:r/>
    </w:p>
    <w:p>
      <w:pPr>
        <w:ind w:firstLine="480"/>
        <w:keepLines w:val="0"/>
        <w:keepNext w:val="0"/>
        <w:spacing w:line="400" w:lineRule="exact"/>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(5)因</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造成重大影响的，甲方有权提前终止合同。</w:t>
      </w:r>
      <w:r/>
    </w:p>
    <w:p>
      <w:pPr>
        <w:ind w:firstLine="600"/>
        <w:keepLines w:val="0"/>
        <w:keepNext w:val="0"/>
        <w:spacing w:line="400" w:lineRule="exact"/>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2.乙方的权利和义务</w:t>
      </w:r>
      <w:r/>
    </w:p>
    <w:p>
      <w:pPr>
        <w:ind w:firstLine="480"/>
        <w:keepLines w:val="0"/>
        <w:keepNext w:val="0"/>
        <w:spacing w:line="400" w:lineRule="exact"/>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(1)乙方应认真执行投标文件[项目编号：</w:t>
      </w:r>
      <w:r>
        <w:rPr>
          <w:rFonts w:hint="eastAsia" w:ascii="宋体" w:hAnsi="宋体" w:cs="宋体"/>
          <w:color w:val="000000"/>
          <w:sz w:val="24"/>
          <w:szCs w:val="24"/>
          <w:highlight w:val="none"/>
          <w:lang w:eastAsia="zh-CN"/>
        </w:rPr>
        <w:t xml:space="preserve">JSZC-320300-JSDZ-G2026-0058</w:t>
      </w:r>
      <w:r>
        <w:rPr>
          <w:rFonts w:hint="eastAsia" w:ascii="宋体" w:hAnsi="宋体" w:eastAsia="宋体" w:cs="宋体"/>
          <w:color w:val="000000"/>
          <w:sz w:val="24"/>
          <w:szCs w:val="24"/>
          <w:highlight w:val="none"/>
        </w:rPr>
        <w:t xml:space="preserve">]中的所有承诺内容。</w:t>
      </w:r>
      <w:r/>
    </w:p>
    <w:p>
      <w:pPr>
        <w:ind w:firstLine="480"/>
        <w:keepLines w:val="0"/>
        <w:keepNext w:val="0"/>
        <w:spacing w:line="400" w:lineRule="exact"/>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(2)乙方及其工作人员应保守在为甲方服务期间所知悉的技术秘密、商业秘密等。</w:t>
      </w:r>
      <w:r/>
    </w:p>
    <w:p>
      <w:pPr>
        <w:ind w:firstLine="480"/>
        <w:keepLines w:val="0"/>
        <w:keepNext w:val="0"/>
        <w:spacing w:line="400" w:lineRule="exact"/>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、甲乙双方违约责任</w:t>
      </w:r>
      <w:r/>
    </w:p>
    <w:p>
      <w:pPr>
        <w:ind w:firstLine="480"/>
        <w:keepLines w:val="0"/>
        <w:keepNext w:val="0"/>
        <w:spacing w:line="400" w:lineRule="exact"/>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1.根据合同要求，出现下列条件之一视为甲方违约：</w:t>
      </w:r>
      <w:r/>
    </w:p>
    <w:p>
      <w:pPr>
        <w:ind w:firstLine="480"/>
        <w:keepLines w:val="0"/>
        <w:keepNext w:val="0"/>
        <w:spacing w:line="400" w:lineRule="exact"/>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a.甲方无故单方面取消或终止项目；</w:t>
      </w:r>
      <w:r/>
    </w:p>
    <w:p>
      <w:pPr>
        <w:ind w:firstLine="480"/>
        <w:keepLines w:val="0"/>
        <w:keepNext w:val="0"/>
        <w:spacing w:line="400" w:lineRule="exact"/>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b.甲方在乙方按期完成服务工作并经甲方评价通过后，甲方借口拖延不按合同约定的比例和金额付款。发生以上两种情况之一，甲方应按合同总价的10%赔偿乙方；</w:t>
      </w:r>
      <w:r/>
    </w:p>
    <w:p>
      <w:pPr>
        <w:ind w:firstLine="480"/>
        <w:keepLines w:val="0"/>
        <w:keepNext w:val="0"/>
        <w:spacing w:line="400" w:lineRule="exact"/>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2.根据合同要求，出现下列条件之一视为乙方违约：</w:t>
      </w:r>
      <w:r/>
    </w:p>
    <w:p>
      <w:pPr>
        <w:ind w:firstLine="480"/>
        <w:keepLines w:val="0"/>
        <w:keepNext w:val="0"/>
        <w:spacing w:line="400" w:lineRule="exact"/>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a.项目正式实施后乙方不能在双方约定的时间内开始服务；</w:t>
      </w:r>
      <w:r/>
    </w:p>
    <w:p>
      <w:pPr>
        <w:ind w:firstLine="480"/>
        <w:keepLines w:val="0"/>
        <w:keepNext w:val="0"/>
        <w:spacing w:line="400" w:lineRule="exact"/>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b.运行维护服务要求达不到甲乙双方的约定。发生以上两种情况之一，乙方应按合同总价的10%赔偿甲方。</w:t>
      </w:r>
      <w:r/>
    </w:p>
    <w:p>
      <w:pPr>
        <w:ind w:firstLine="480"/>
        <w:keepLines w:val="0"/>
        <w:keepNext w:val="0"/>
        <w:spacing w:line="400" w:lineRule="exact"/>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3.其他违约责任依据《中华人民共和国民法典》相关条款确定。</w:t>
      </w:r>
      <w:r/>
    </w:p>
    <w:p>
      <w:pPr>
        <w:ind w:firstLine="480"/>
        <w:keepLines w:val="0"/>
        <w:keepNext w:val="0"/>
        <w:spacing w:line="400" w:lineRule="exact"/>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合同任何一方不履行或不全面履行或迟延履行本合同项下其承担的义务，均构成违约，应承担违约责任，向对方赔偿因此遭受的经济损失；如前述违约致使本合同无法继续履行或履行不必要时，另一方有权解除本合同，并要求违约方赔偿因合同解除而遭受的经济损失。</w:t>
      </w:r>
      <w:r/>
    </w:p>
    <w:p>
      <w:pPr>
        <w:ind w:firstLine="480"/>
        <w:keepLines w:val="0"/>
        <w:keepNext w:val="0"/>
        <w:spacing w:line="400" w:lineRule="exact"/>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甲方若发现乙方向甲方提交的投标资料以及本合同所载内容有弄虚作假、隐瞒事实内容等情形的，甲方有权视情形单方解除本合同，乙方除应退还甲方已支付的合同款外，还应向甲方支付合同总金额20%的违约金。</w:t>
      </w:r>
      <w:r/>
    </w:p>
    <w:p>
      <w:pPr>
        <w:ind w:firstLine="480"/>
        <w:keepLines w:val="0"/>
        <w:keepNext w:val="0"/>
        <w:spacing w:line="400" w:lineRule="exact"/>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、服务评价标准</w:t>
      </w:r>
      <w:r/>
    </w:p>
    <w:p>
      <w:pPr>
        <w:ind w:firstLine="480"/>
        <w:keepLines w:val="0"/>
        <w:keepNext w:val="0"/>
        <w:spacing w:line="400" w:lineRule="exact"/>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乙方履约每满六个月，向甲方提供深度巡检报告等资料，甲方成立维保服务评价小组对乙方维保服务质量进行考核。考核实行量化打分制，满分为100分，考核按《项目维保服务评价文档》（详见合同附件</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）执行。</w:t>
      </w:r>
      <w:r/>
    </w:p>
    <w:p>
      <w:pPr>
        <w:ind w:firstLine="480"/>
        <w:keepLines w:val="0"/>
        <w:keepNext w:val="0"/>
        <w:spacing w:line="400" w:lineRule="exact"/>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考核得分在60分以下的，支付当期款项0%；</w:t>
      </w:r>
      <w:r/>
    </w:p>
    <w:p>
      <w:pPr>
        <w:ind w:firstLine="480"/>
        <w:keepLines w:val="0"/>
        <w:keepNext w:val="0"/>
        <w:spacing w:line="400" w:lineRule="exact"/>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考核得分为60-69分的，支付当期款项的65%；</w:t>
      </w:r>
      <w:r/>
    </w:p>
    <w:p>
      <w:pPr>
        <w:ind w:firstLine="480"/>
        <w:keepLines w:val="0"/>
        <w:keepNext w:val="0"/>
        <w:spacing w:line="400" w:lineRule="exact"/>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考核得分70-79分的，支付当期款项的75%；</w:t>
      </w:r>
      <w:r/>
    </w:p>
    <w:p>
      <w:pPr>
        <w:ind w:firstLine="480"/>
        <w:keepLines w:val="0"/>
        <w:keepNext w:val="0"/>
        <w:spacing w:line="400" w:lineRule="exact"/>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考核得分80-89分的，支付当期款项的85%；</w:t>
      </w:r>
      <w:r/>
    </w:p>
    <w:p>
      <w:pPr>
        <w:ind w:firstLine="480"/>
        <w:keepLines w:val="0"/>
        <w:keepNext w:val="0"/>
        <w:spacing w:line="400" w:lineRule="exact"/>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考核得分在90-100分的，支付当期款项的100%。</w:t>
      </w:r>
      <w:r/>
    </w:p>
    <w:p>
      <w:pPr>
        <w:ind w:firstLine="480"/>
        <w:keepLines w:val="0"/>
        <w:keepNext w:val="0"/>
        <w:spacing w:line="400" w:lineRule="exact"/>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、保密条款</w:t>
      </w:r>
      <w:r/>
    </w:p>
    <w:p>
      <w:pPr>
        <w:ind w:firstLine="480"/>
        <w:keepLines w:val="0"/>
        <w:keepNext w:val="0"/>
        <w:spacing w:line="400" w:lineRule="exact"/>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乙方在提供服务时涉及的系统数据及其他有关资料和数据等，乙方应负责保密，不得以任何方式向第三方泄露或提供。</w:t>
      </w:r>
      <w:r/>
    </w:p>
    <w:p>
      <w:pPr>
        <w:contextualSpacing/>
        <w:ind w:firstLine="480"/>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、解决争议的方式</w:t>
      </w:r>
      <w:r/>
    </w:p>
    <w:p>
      <w:pPr>
        <w:contextualSpacing/>
        <w:ind w:firstLine="480"/>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1.在执行本合同中所发生的或与本合同有关的一切争端，甲方和乙方应通过友好协商的办法进行解决。</w:t>
      </w:r>
      <w:r>
        <w:rPr>
          <w:rFonts w:hint="eastAsia" w:ascii="宋体" w:hAnsi="宋体" w:eastAsia="宋体" w:cs="宋体"/>
          <w:color w:val="000000"/>
          <w:sz w:val="24"/>
          <w:szCs w:val="24"/>
          <w:highlight w:val="white"/>
        </w:rPr>
        <w:t xml:space="preserve">如从协商不成，则应申请仲裁。</w:t>
      </w:r>
      <w:r/>
    </w:p>
    <w:p>
      <w:pPr>
        <w:contextualSpacing/>
        <w:ind w:firstLine="480"/>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2.仲裁应根据《中华人民共和国仲裁法》的规定向徐州仲裁委员会申请仲裁。</w:t>
      </w:r>
      <w:r/>
    </w:p>
    <w:p>
      <w:pPr>
        <w:contextualSpacing/>
        <w:ind w:firstLine="480"/>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3.仲裁裁决为最终裁决，对甲方和乙方均有约束力。</w:t>
      </w:r>
      <w:r/>
    </w:p>
    <w:p>
      <w:pPr>
        <w:contextualSpacing/>
        <w:ind w:firstLine="480"/>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4.在仲裁期间，本合同应继续执行。</w:t>
      </w:r>
      <w:r/>
    </w:p>
    <w:p>
      <w:pPr>
        <w:contextualSpacing/>
        <w:ind w:firstLine="480"/>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val="en-US" w:eastAsia="zh-CN"/>
        </w:rPr>
        <w:t xml:space="preserve">六</w:t>
      </w:r>
      <w:r>
        <w:rPr>
          <w:rFonts w:hint="eastAsia" w:ascii="宋体" w:hAnsi="宋体" w:eastAsia="宋体" w:cs="宋体"/>
          <w:color w:val="000000"/>
          <w:sz w:val="24"/>
          <w:szCs w:val="24"/>
          <w:highlight w:val="none"/>
        </w:rPr>
        <w:t xml:space="preserve">、合同生效</w:t>
      </w:r>
      <w:r/>
    </w:p>
    <w:p>
      <w:pPr>
        <w:contextualSpacing/>
        <w:ind w:firstLine="480"/>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1.本合同在甲乙双方加盖公章或合同专用章后生效。</w:t>
      </w:r>
      <w:r/>
    </w:p>
    <w:p>
      <w:pPr>
        <w:contextualSpacing/>
        <w:ind w:firstLine="480"/>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2.甲方收到乙方按政府采购合同金额（合同总价）的</w:t>
      </w:r>
      <w:r>
        <w:rPr>
          <w:rFonts w:hint="eastAsia" w:ascii="宋体" w:hAnsi="宋体" w:eastAsia="宋体" w:cs="宋体"/>
          <w:color w:val="000000"/>
          <w:sz w:val="24"/>
          <w:szCs w:val="24"/>
          <w:highlight w:val="none"/>
          <w:u w:val="single"/>
        </w:rPr>
        <w:t xml:space="preserve">10%</w:t>
      </w:r>
      <w:r>
        <w:rPr>
          <w:rFonts w:hint="eastAsia" w:ascii="宋体" w:hAnsi="宋体" w:eastAsia="宋体" w:cs="宋体"/>
          <w:color w:val="000000"/>
          <w:sz w:val="24"/>
          <w:szCs w:val="24"/>
          <w:highlight w:val="none"/>
        </w:rPr>
        <w:t xml:space="preserve">提交的履约保证金（乙方以支票、汇票、本票或者金融机构、担保机构出具的保函等非现金形式提交给甲方）。</w:t>
      </w:r>
      <w:r/>
    </w:p>
    <w:p>
      <w:pPr>
        <w:contextualSpacing/>
        <w:ind w:firstLine="480"/>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3.乙方在项目实施阶段需提供的资料作为本项目所签定合同的正式附件，与合同正本具有同等的法律约束力。</w:t>
      </w:r>
      <w:r/>
    </w:p>
    <w:p>
      <w:pPr>
        <w:contextualSpacing/>
        <w:ind w:firstLine="480"/>
        <w:keepLines w:val="0"/>
        <w:keepNext w:val="0"/>
        <w:spacing w:line="400" w:lineRule="exact"/>
        <w:rPr>
          <w:rFonts w:hint="eastAsia" w:ascii="宋体" w:hAnsi="宋体" w:eastAsia="宋体" w:cs="宋体"/>
          <w:color w:val="000000"/>
          <w:sz w:val="24"/>
          <w:szCs w:val="24"/>
          <w:highlight w:val="none"/>
        </w:rPr>
      </w:pPr>
      <w:r/>
      <w:bookmarkStart w:id="15" w:name="_Toc27138"/>
      <w:r>
        <w:rPr>
          <w:rFonts w:hint="eastAsia" w:ascii="宋体" w:hAnsi="宋体" w:eastAsia="宋体" w:cs="宋体"/>
          <w:color w:val="000000"/>
          <w:sz w:val="24"/>
          <w:szCs w:val="24"/>
          <w:highlight w:val="none"/>
        </w:rPr>
        <w:t xml:space="preserve">4.合同一式肆份，具有同等法律效力，甲方贰份，乙方贰份。</w:t>
      </w:r>
      <w:bookmarkEnd w:id="15"/>
      <w:r/>
      <w:r/>
    </w:p>
    <w:p>
      <w:pPr>
        <w:ind w:firstLine="360"/>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十</w:t>
      </w:r>
      <w:r>
        <w:rPr>
          <w:rFonts w:hint="eastAsia" w:ascii="宋体" w:hAnsi="宋体" w:cs="宋体"/>
          <w:color w:val="000000"/>
          <w:sz w:val="24"/>
          <w:szCs w:val="24"/>
          <w:highlight w:val="none"/>
          <w:lang w:val="en-US" w:eastAsia="zh-CN"/>
        </w:rPr>
        <w:t xml:space="preserve">七</w:t>
      </w:r>
      <w:r>
        <w:rPr>
          <w:rFonts w:hint="eastAsia" w:ascii="宋体" w:hAnsi="宋体" w:eastAsia="宋体" w:cs="宋体"/>
          <w:color w:val="000000"/>
          <w:sz w:val="24"/>
          <w:szCs w:val="24"/>
          <w:highlight w:val="none"/>
        </w:rPr>
        <w:t xml:space="preserve">、其它</w:t>
      </w:r>
      <w:r/>
    </w:p>
    <w:p>
      <w:pPr>
        <w:ind w:firstLine="480"/>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1.本合同的订立、效力、解释、履行和争议的解决均适用中华人民共和国法律。</w:t>
      </w:r>
      <w:r/>
    </w:p>
    <w:p>
      <w:pPr>
        <w:contextualSpacing/>
        <w:ind w:firstLine="480"/>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任何一方没有行使其权利或没有就对方的违约行为采取任何行动，不应被视为是对相关权利的放弃或对追究违约责任或义务的放弃。任何一方放弃针对对方的任何权利，或放弃追究对方的任何过失，不应视为对任何其他权利或追究任何其他过失的放弃。所有放弃应书面做出。</w:t>
      </w:r>
      <w:r/>
    </w:p>
    <w:p>
      <w:pPr>
        <w:contextualSpacing/>
        <w:ind w:firstLine="480"/>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如果本合同的任何条款在被有管辖权的法院或仲裁机构认定为无效、不合法或无法执行时，本合同其他条款的有效性、合法性和可执行性将不会受到影响。此种情况下，双方将以有效的规定替换该规定，且该有效规定应尽可能接近原规定和本合同相应的精神和宗旨。</w:t>
      </w:r>
      <w:r/>
    </w:p>
    <w:p>
      <w:pPr>
        <w:contextualSpacing/>
        <w:ind w:firstLine="480"/>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4.本合同其他未尽事宜及与采购文件有矛盾之处，以招标文件[项目编号：</w:t>
      </w:r>
      <w:r>
        <w:rPr>
          <w:rFonts w:hint="eastAsia" w:ascii="宋体" w:hAnsi="宋体" w:cs="宋体"/>
          <w:color w:val="000000"/>
          <w:sz w:val="24"/>
          <w:szCs w:val="24"/>
          <w:highlight w:val="none"/>
          <w:lang w:eastAsia="zh-CN"/>
        </w:rPr>
        <w:t xml:space="preserve">JSZC-320300-JSDZ-G2026-0058</w:t>
      </w:r>
      <w:r>
        <w:rPr>
          <w:rFonts w:hint="eastAsia" w:ascii="宋体" w:hAnsi="宋体" w:eastAsia="宋体" w:cs="宋体"/>
          <w:color w:val="000000"/>
          <w:sz w:val="24"/>
          <w:szCs w:val="24"/>
          <w:highlight w:val="none"/>
        </w:rPr>
        <w:t xml:space="preserve">]为准。</w:t>
      </w:r>
      <w:r/>
    </w:p>
    <w:p>
      <w:pPr>
        <w:contextualSpacing/>
        <w:ind w:firstLine="480"/>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5.按照《财政部关于做好政府采购信息公开工作的通知》（财库〔2015〕135号），甲方依据《保守国家秘密法》等法律制度规定确定本合同</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部分涉及国家秘密，该涉及国家秘密部分不公告；甲方依据《反不正当竞争法》等法律制度的规定与乙方约定本合同</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部分涉及商业秘密，该涉及商业秘密部分不公告。</w:t>
      </w:r>
      <w:r/>
    </w:p>
    <w:p>
      <w:pPr>
        <w:ind w:firstLine="480"/>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甲方（签章）： ____________________________  </w:t>
      </w:r>
      <w:r/>
    </w:p>
    <w:p>
      <w:pPr>
        <w:ind w:firstLine="480"/>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____________________________________</w:t>
      </w:r>
      <w:r/>
    </w:p>
    <w:p>
      <w:pPr>
        <w:ind w:firstLine="480"/>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 ____________________________________ </w:t>
      </w:r>
      <w:r/>
    </w:p>
    <w:p>
      <w:pPr>
        <w:ind w:firstLine="480"/>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法定代表人或授权代表(签名)： ______________ </w:t>
      </w:r>
      <w:r/>
    </w:p>
    <w:p>
      <w:pPr>
        <w:ind w:firstLine="480"/>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乙方（签章）： ____________________________</w:t>
      </w:r>
      <w:r/>
    </w:p>
    <w:p>
      <w:pPr>
        <w:ind w:firstLine="480"/>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____________________________________</w:t>
      </w:r>
      <w:r/>
    </w:p>
    <w:p>
      <w:pPr>
        <w:ind w:firstLine="480"/>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 ____________________________________ </w:t>
      </w:r>
      <w:r/>
    </w:p>
    <w:p>
      <w:pPr>
        <w:ind w:firstLine="480"/>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 ________________________________       </w:t>
      </w:r>
      <w:r/>
    </w:p>
    <w:p>
      <w:pPr>
        <w:ind w:firstLine="480"/>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银行</w:t>
      </w:r>
      <w:r>
        <w:rPr>
          <w:rFonts w:hint="eastAsia" w:ascii="宋体" w:hAnsi="宋体" w:eastAsia="宋体" w:cs="宋体"/>
          <w:color w:val="000000"/>
          <w:sz w:val="24"/>
          <w:szCs w:val="24"/>
          <w:highlight w:val="none"/>
          <w:lang w:val="en-US" w:eastAsia="zh-CN"/>
        </w:rPr>
        <w:t xml:space="preserve">账号</w:t>
      </w:r>
      <w:r>
        <w:rPr>
          <w:rFonts w:hint="eastAsia" w:ascii="宋体" w:hAnsi="宋体" w:eastAsia="宋体" w:cs="宋体"/>
          <w:color w:val="000000"/>
          <w:sz w:val="24"/>
          <w:szCs w:val="24"/>
          <w:highlight w:val="none"/>
        </w:rPr>
        <w:t xml:space="preserve">： ________________________________  </w:t>
      </w:r>
      <w:r/>
    </w:p>
    <w:p>
      <w:pPr>
        <w:ind w:firstLine="480"/>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法定代表人或授权代表(签名)： ______________</w:t>
      </w:r>
      <w:r/>
    </w:p>
    <w:p>
      <w:pPr>
        <w:jc w:val="left"/>
        <w:keepLines w:val="0"/>
        <w:keepNext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jc w:val="center"/>
        <w:keepLines w:val="0"/>
        <w:keepNext w:val="0"/>
        <w:pageBreakBefore/>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合同附件</w:t>
      </w:r>
      <w:r/>
    </w:p>
    <w:p>
      <w:pPr>
        <w:jc w:val="center"/>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合同附件1：《项目方案》</w:t>
      </w:r>
      <w:r/>
    </w:p>
    <w:p>
      <w:pPr>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(要求见招标文件第六章《采购需求》；合同见乙方投标文件中《项目方案</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w:t>
      </w:r>
      <w:r/>
    </w:p>
    <w:p>
      <w:pPr>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contextualSpacing/>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合同附件2：《人员配备方案》</w:t>
      </w:r>
      <w:r/>
    </w:p>
    <w:p>
      <w:pPr>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(要求见招标文件第六章《采购需求》；合同见乙方投标文件中《人员配备方案》。)</w:t>
      </w:r>
      <w:r/>
    </w:p>
    <w:p>
      <w:pPr>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contextualSpacing/>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合同附件3：《响应时间和综合保障服务方案》</w:t>
      </w:r>
      <w:r/>
    </w:p>
    <w:p>
      <w:pPr>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(要求见招标文件第六章《采购需求》；合同见乙方投标文件中《响应时间和综合保障服务方案》。)</w:t>
      </w:r>
      <w:r/>
    </w:p>
    <w:p>
      <w:pPr>
        <w:jc w:val="left"/>
        <w:keepLines w:val="0"/>
        <w:keepNext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contextualSpacing/>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合同附件4：《国产化和版权授权方案》</w:t>
      </w:r>
      <w:r/>
    </w:p>
    <w:p>
      <w:pPr>
        <w:contextualSpacing/>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(要求见招标文件第六章《采购需求》；合同见乙方投标文件中《国产化和版权授权方案》。)</w:t>
      </w:r>
      <w:r/>
    </w:p>
    <w:p>
      <w:pPr>
        <w:contextualSpacing/>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contextualSpacing/>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合同附件5： 项目维保服务评价文档</w:t>
      </w:r>
      <w:r/>
    </w:p>
    <w:p>
      <w:pPr>
        <w:contextualSpacing/>
        <w:keepLines w:val="0"/>
        <w:keepNext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keepLines w:val="0"/>
        <w:keepNext w:val="0"/>
        <w:spacing w:line="400" w:lineRule="exact"/>
        <w:rPr>
          <w:color w:val="000000"/>
          <w:highlight w:val="none"/>
        </w:rPr>
      </w:pPr>
      <w:r>
        <w:rPr>
          <w:color w:val="000000"/>
          <w:highlight w:val="none"/>
        </w:rPr>
      </w:r>
      <w:r/>
    </w:p>
    <w:p>
      <w:pPr>
        <w:keepLines w:val="0"/>
        <w:keepNext w:val="0"/>
        <w:spacing w:line="400" w:lineRule="exact"/>
        <w:rPr>
          <w:color w:val="000000"/>
          <w:highlight w:val="none"/>
        </w:rPr>
      </w:pPr>
      <w:r>
        <w:rPr>
          <w:color w:val="000000"/>
          <w:highlight w:val="none"/>
        </w:rPr>
      </w:r>
      <w:r/>
    </w:p>
    <w:p>
      <w:pPr>
        <w:pageBreakBefore/>
        <w:rPr>
          <w:rFonts w:ascii="仿宋" w:hAnsi="仿宋" w:eastAsia="仿宋"/>
          <w:color w:val="000000"/>
          <w:sz w:val="24"/>
          <w:highlight w:val="none"/>
        </w:rPr>
      </w:pPr>
      <w:r>
        <w:rPr>
          <w:rFonts w:ascii="仿宋" w:hAnsi="仿宋" w:eastAsia="仿宋"/>
          <w:color w:val="000000"/>
          <w:sz w:val="24"/>
          <w:highlight w:val="none"/>
        </w:rPr>
      </w:r>
      <w:r/>
    </w:p>
    <w:p>
      <w:pPr>
        <w:contextualSpacing/>
        <w:spacing w:before="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合同附件5</w:t>
      </w:r>
      <w:r/>
    </w:p>
    <w:p>
      <w:pPr>
        <w:ind w:left="0" w:right="6" w:firstLine="0"/>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项目维保服务评价文档（</w:t>
      </w:r>
      <w:r>
        <w:rPr>
          <w:rFonts w:hint="eastAsia" w:ascii="宋体" w:hAnsi="宋体" w:cs="宋体"/>
          <w:b/>
          <w:color w:val="000000"/>
          <w:sz w:val="24"/>
          <w:szCs w:val="24"/>
          <w:highlight w:val="none"/>
          <w:lang w:val="en-US" w:eastAsia="zh-CN"/>
        </w:rPr>
        <w:t xml:space="preserve">每</w:t>
      </w:r>
      <w:r>
        <w:rPr>
          <w:rFonts w:hint="eastAsia" w:ascii="宋体" w:hAnsi="宋体" w:eastAsia="宋体" w:cs="宋体"/>
          <w:b/>
          <w:color w:val="000000"/>
          <w:sz w:val="24"/>
          <w:szCs w:val="24"/>
          <w:highlight w:val="none"/>
        </w:rPr>
        <w:t xml:space="preserve">半年）</w:t>
      </w:r>
      <w:r/>
    </w:p>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bl>
      <w:tblPr>
        <w:tblStyle w:val="95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559"/>
        <w:gridCol w:w="709"/>
        <w:gridCol w:w="567"/>
        <w:gridCol w:w="284"/>
        <w:gridCol w:w="283"/>
        <w:gridCol w:w="1418"/>
        <w:gridCol w:w="166"/>
        <w:gridCol w:w="259"/>
        <w:gridCol w:w="850"/>
        <w:gridCol w:w="1610"/>
      </w:tblGrid>
      <w:tr>
        <w:trPr/>
        <w:tc>
          <w:tcPr>
            <w:gridSpan w:val="11"/>
            <w:tcW w:w="8522" w:type="dxa"/>
            <w:vAlign w:val="center"/>
            <w:textDirection w:val="lrTb"/>
            <w:noWrap w:val="false"/>
          </w:tcPr>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徐州市公安局项目评价文档——项目服务能力评价报告</w:t>
            </w:r>
            <w:r/>
          </w:p>
        </w:tc>
      </w:tr>
      <w:tr>
        <w:trPr/>
        <w:tc>
          <w:tcPr>
            <w:gridSpan w:val="2"/>
            <w:tcW w:w="2376" w:type="dxa"/>
            <w:vAlign w:val="center"/>
            <w:textDirection w:val="lrTb"/>
            <w:noWrap w:val="false"/>
          </w:tcPr>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项目名称</w:t>
            </w:r>
            <w:r/>
          </w:p>
        </w:tc>
        <w:tc>
          <w:tcPr>
            <w:gridSpan w:val="9"/>
            <w:tcW w:w="6146" w:type="dxa"/>
            <w:vAlign w:val="center"/>
            <w:textDirection w:val="lrTb"/>
            <w:noWrap w:val="false"/>
          </w:tcPr>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徐州市公安局数据中心维保项目</w:t>
            </w:r>
            <w:r/>
          </w:p>
        </w:tc>
      </w:tr>
      <w:tr>
        <w:trPr/>
        <w:tc>
          <w:tcPr>
            <w:gridSpan w:val="2"/>
            <w:tcW w:w="2376" w:type="dxa"/>
            <w:vAlign w:val="center"/>
            <w:textDirection w:val="lrTb"/>
            <w:noWrap w:val="false"/>
          </w:tcPr>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项目编号</w:t>
            </w:r>
            <w:r/>
          </w:p>
        </w:tc>
        <w:tc>
          <w:tcPr>
            <w:gridSpan w:val="9"/>
            <w:tcW w:w="6146" w:type="dxa"/>
            <w:vAlign w:val="center"/>
            <w:textDirection w:val="lrTb"/>
            <w:noWrap w:val="false"/>
          </w:tcPr>
          <w:p>
            <w:pPr>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eastAsia="zh-CN"/>
              </w:rPr>
              <w:t xml:space="preserve">JSZC-320300-JSDZ-G2026-0058</w:t>
            </w:r>
            <w:r/>
          </w:p>
        </w:tc>
      </w:tr>
      <w:tr>
        <w:trPr/>
        <w:tc>
          <w:tcPr>
            <w:gridSpan w:val="2"/>
            <w:tcW w:w="2376" w:type="dxa"/>
            <w:vAlign w:val="center"/>
            <w:textDirection w:val="lrTb"/>
            <w:noWrap w:val="false"/>
          </w:tcPr>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评价报告用途</w:t>
            </w:r>
            <w:r/>
          </w:p>
        </w:tc>
        <w:tc>
          <w:tcPr>
            <w:gridSpan w:val="9"/>
            <w:tcW w:w="6146" w:type="dxa"/>
            <w:vAlign w:val="center"/>
            <w:textDirection w:val="lrTb"/>
            <w:noWrap w:val="false"/>
          </w:tcPr>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用于本项目上半年付款评价及验收</w:t>
            </w:r>
            <w:r/>
          </w:p>
        </w:tc>
      </w:tr>
      <w:tr>
        <w:trPr/>
        <w:tc>
          <w:tcPr>
            <w:gridSpan w:val="2"/>
            <w:tcW w:w="237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评价组织单位</w:t>
            </w:r>
            <w:r/>
          </w:p>
        </w:tc>
        <w:tc>
          <w:tcPr>
            <w:gridSpan w:val="5"/>
            <w:tcW w:w="3261"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W w:w="1275"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评价责任人</w:t>
            </w:r>
            <w:r/>
          </w:p>
        </w:tc>
        <w:tc>
          <w:tcPr>
            <w:tcW w:w="161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2"/>
            <w:tcW w:w="237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合同履约单位（受评人）</w:t>
            </w:r>
            <w:r/>
          </w:p>
        </w:tc>
        <w:tc>
          <w:tcPr>
            <w:gridSpan w:val="9"/>
            <w:tcW w:w="614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11"/>
            <w:tcW w:w="8522"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1.故障排查及全面解决方案评价</w:t>
            </w:r>
            <w:r/>
          </w:p>
        </w:tc>
      </w:tr>
      <w:tr>
        <w:trPr/>
        <w:tc>
          <w:tcPr>
            <w:gridSpan w:val="2"/>
            <w:tcW w:w="237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评价内容说明</w:t>
            </w:r>
            <w:r/>
          </w:p>
        </w:tc>
        <w:tc>
          <w:tcPr>
            <w:gridSpan w:val="9"/>
            <w:tcW w:w="6146" w:type="dxa"/>
            <w:vAlign w:val="center"/>
            <w:textDirection w:val="lrTb"/>
            <w:noWrap w:val="false"/>
          </w:tcPr>
          <w:p>
            <w:pPr>
              <w:tabs>
                <w:tab w:val="left" w:pos="0"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针对招标文件“第六章 采购需求”中“机房基础环境硬件维保方案、IT基础设施硬件资源维保方案、网络及设备维保方案“进行评价。</w:t>
            </w:r>
            <w:r/>
          </w:p>
        </w:tc>
      </w:tr>
      <w:tr>
        <w:trPr/>
        <w:tc>
          <w:tcPr>
            <w:gridSpan w:val="2"/>
            <w:tcW w:w="237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本项评价总分</w:t>
            </w:r>
            <w:r/>
          </w:p>
        </w:tc>
        <w:tc>
          <w:tcPr>
            <w:gridSpan w:val="9"/>
            <w:tcW w:w="614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机房基础环境硬件维保方案</w:t>
            </w:r>
            <w:r>
              <w:rPr>
                <w:rFonts w:hint="eastAsia" w:ascii="宋体" w:hAnsi="宋体" w:eastAsia="宋体" w:cs="宋体"/>
                <w:color w:val="000000"/>
                <w:sz w:val="24"/>
                <w:szCs w:val="24"/>
                <w:highlight w:val="none"/>
              </w:rPr>
              <w:t xml:space="preserve">” 4分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IT基础设施硬件资源维保方案</w:t>
            </w:r>
            <w:r>
              <w:rPr>
                <w:rFonts w:hint="eastAsia" w:ascii="宋体" w:hAnsi="宋体" w:eastAsia="宋体" w:cs="宋体"/>
                <w:color w:val="000000"/>
                <w:sz w:val="24"/>
                <w:szCs w:val="24"/>
                <w:highlight w:val="none"/>
              </w:rPr>
              <w:t xml:space="preserve">” 4分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网络及设备维保方案</w:t>
            </w:r>
            <w:r>
              <w:rPr>
                <w:rFonts w:hint="eastAsia" w:ascii="宋体" w:hAnsi="宋体" w:eastAsia="宋体" w:cs="宋体"/>
                <w:color w:val="000000"/>
                <w:sz w:val="24"/>
                <w:szCs w:val="24"/>
                <w:highlight w:val="none"/>
              </w:rPr>
              <w:t xml:space="preserve">” 4分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本项共计12分</w:t>
            </w:r>
            <w:r/>
          </w:p>
        </w:tc>
      </w:tr>
      <w:tr>
        <w:trPr/>
        <w:tc>
          <w:tcPr>
            <w:gridSpan w:val="2"/>
            <w:tcW w:w="237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评价要求及分数细则</w:t>
            </w:r>
            <w:r/>
          </w:p>
        </w:tc>
        <w:tc>
          <w:tcPr>
            <w:gridSpan w:val="9"/>
            <w:tcW w:w="6146" w:type="dxa"/>
            <w:vAlign w:val="center"/>
            <w:textDirection w:val="lrTb"/>
            <w:noWrap w:val="false"/>
          </w:tcPr>
          <w:p>
            <w:pPr>
              <w:rPr>
                <w:rFonts w:hint="default"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1.该项评价应在合同签订之日起</w:t>
            </w:r>
            <w:r>
              <w:rPr>
                <w:rFonts w:hint="eastAsia" w:ascii="宋体" w:hAnsi="宋体" w:cs="宋体"/>
                <w:color w:val="000000"/>
                <w:sz w:val="24"/>
                <w:szCs w:val="24"/>
                <w:highlight w:val="none"/>
                <w:lang w:val="en-US" w:eastAsia="zh-CN"/>
              </w:rPr>
              <w:t xml:space="preserve">两</w:t>
            </w:r>
            <w:r>
              <w:rPr>
                <w:rFonts w:hint="eastAsia" w:ascii="宋体" w:hAnsi="宋体" w:eastAsia="宋体" w:cs="宋体"/>
                <w:color w:val="000000"/>
                <w:sz w:val="24"/>
                <w:szCs w:val="24"/>
                <w:highlight w:val="none"/>
              </w:rPr>
              <w:t xml:space="preserve">周内完成，超出</w:t>
            </w:r>
            <w:r>
              <w:rPr>
                <w:rFonts w:hint="eastAsia" w:ascii="宋体" w:hAnsi="宋体" w:cs="宋体"/>
                <w:color w:val="000000"/>
                <w:sz w:val="24"/>
                <w:szCs w:val="24"/>
                <w:highlight w:val="none"/>
                <w:lang w:val="en-US" w:eastAsia="zh-CN"/>
              </w:rPr>
              <w:t xml:space="preserve">两</w:t>
            </w:r>
            <w:r>
              <w:rPr>
                <w:rFonts w:hint="eastAsia" w:ascii="宋体" w:hAnsi="宋体" w:eastAsia="宋体" w:cs="宋体"/>
                <w:color w:val="000000"/>
                <w:sz w:val="24"/>
                <w:szCs w:val="24"/>
                <w:highlight w:val="none"/>
              </w:rPr>
              <w:t xml:space="preserve">周，</w:t>
            </w:r>
            <w:r>
              <w:rPr>
                <w:rFonts w:hint="eastAsia" w:ascii="宋体" w:hAnsi="宋体" w:cs="宋体"/>
                <w:color w:val="000000"/>
                <w:sz w:val="24"/>
                <w:szCs w:val="24"/>
                <w:highlight w:val="none"/>
                <w:lang w:val="en-US" w:eastAsia="zh-CN"/>
              </w:rPr>
              <w:t xml:space="preserve">每超出一天扣2分，扣完为止；</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将针对受评单位提交每份报告的完整性、全面性、可行性、周密性进行具体评价，每份报告详细评分要求说明如下：</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(1)完整性（1分）：检查设备清单至少应包括招标要求列表中的所有设备（列表参见招标要求）；招标要求中的所有设备获得排查的得1分，漏项不超过1项的得1分，其它情况得0分。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全面性（1分）：对于检查列表中的设备可给出每个设备的不同维度的多项检测结果；所有设备均给出多项检查结果的得1分，能给出部分待查设备的多项检查结果的得0.5分，所有设备均无法给出多项检查的得0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可行性（1分）：对于排查出的问题应给出翔实的完善的解决方案，可以针对问题的原因进行详细的分析并给出具体的解决措施，对于因客观原因无法解决的可以给出改进或规避建议；结合现有条件，对于排查出的所有问题均能给出有效的可落地解决方案或规避措施的得1分，对于排查出的部分问题能给出有效的可落地解决方案或规避措施的得0.5分，若用户方根据报告自行发现问题且受评人未发现的得0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周密性（1分）；对于排查出的问题进行精准分析、对于解决方案进行合理设计，考虑故障和问题处理带来的各种风险和应对措施；对所有问题能给出问题根因分析、设计合理解决处理流程、给出风控和应对措施的得1分，只能给出部分问题的根因分析、处理流程、风控和应对措施的得到0.5分，用户自行发现问题并自主设计合理解决方案的得0分。</w:t>
            </w:r>
            <w:r/>
          </w:p>
        </w:tc>
      </w:tr>
      <w:tr>
        <w:trPr/>
        <w:tc>
          <w:tcPr>
            <w:gridSpan w:val="4"/>
            <w:tcW w:w="3652"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评分内容</w:t>
            </w:r>
            <w:r/>
          </w:p>
        </w:tc>
        <w:tc>
          <w:tcPr>
            <w:gridSpan w:val="5"/>
            <w:tcW w:w="241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评分项</w:t>
            </w:r>
            <w:r/>
          </w:p>
        </w:tc>
        <w:tc>
          <w:tcPr>
            <w:gridSpan w:val="2"/>
            <w:tcW w:w="246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评分结果</w:t>
            </w:r>
            <w:r/>
          </w:p>
        </w:tc>
      </w:tr>
      <w:tr>
        <w:trPr/>
        <w:tc>
          <w:tcPr>
            <w:gridSpan w:val="4"/>
            <w:tcW w:w="3652" w:type="dxa"/>
            <w:vAlign w:val="center"/>
            <w:vMerge w:val="restart"/>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机房基础环境硬件维保方案</w:t>
            </w:r>
            <w:r/>
          </w:p>
        </w:tc>
        <w:tc>
          <w:tcPr>
            <w:gridSpan w:val="5"/>
            <w:tcW w:w="241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完整性</w:t>
            </w:r>
            <w:r/>
          </w:p>
        </w:tc>
        <w:tc>
          <w:tcPr>
            <w:gridSpan w:val="2"/>
            <w:tcW w:w="246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4"/>
            <w:tcW w:w="3652"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5"/>
            <w:tcW w:w="241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全面性</w:t>
            </w:r>
            <w:r/>
          </w:p>
        </w:tc>
        <w:tc>
          <w:tcPr>
            <w:gridSpan w:val="2"/>
            <w:tcW w:w="246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4"/>
            <w:tcW w:w="3652"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5"/>
            <w:tcW w:w="241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可行性</w:t>
            </w:r>
            <w:r/>
          </w:p>
        </w:tc>
        <w:tc>
          <w:tcPr>
            <w:gridSpan w:val="2"/>
            <w:tcW w:w="246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4"/>
            <w:tcW w:w="3652"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5"/>
            <w:tcW w:w="241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周密性</w:t>
            </w:r>
            <w:r/>
          </w:p>
        </w:tc>
        <w:tc>
          <w:tcPr>
            <w:gridSpan w:val="2"/>
            <w:tcW w:w="246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4"/>
            <w:tcW w:w="3652" w:type="dxa"/>
            <w:vAlign w:val="center"/>
            <w:vMerge w:val="restart"/>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IT基础设施硬件资源维保方案</w:t>
            </w:r>
            <w:r/>
          </w:p>
        </w:tc>
        <w:tc>
          <w:tcPr>
            <w:gridSpan w:val="5"/>
            <w:tcW w:w="241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完整性</w:t>
            </w:r>
            <w:r/>
          </w:p>
        </w:tc>
        <w:tc>
          <w:tcPr>
            <w:gridSpan w:val="2"/>
            <w:tcW w:w="246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4"/>
            <w:tcW w:w="3652"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5"/>
            <w:tcW w:w="241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全面性</w:t>
            </w:r>
            <w:r/>
          </w:p>
        </w:tc>
        <w:tc>
          <w:tcPr>
            <w:gridSpan w:val="2"/>
            <w:tcW w:w="246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4"/>
            <w:tcW w:w="3652"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5"/>
            <w:tcW w:w="241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可行性</w:t>
            </w:r>
            <w:r/>
          </w:p>
        </w:tc>
        <w:tc>
          <w:tcPr>
            <w:gridSpan w:val="2"/>
            <w:tcW w:w="246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4"/>
            <w:tcW w:w="3652"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5"/>
            <w:tcW w:w="241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周密性</w:t>
            </w:r>
            <w:r/>
          </w:p>
        </w:tc>
        <w:tc>
          <w:tcPr>
            <w:gridSpan w:val="2"/>
            <w:tcW w:w="246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4"/>
            <w:tcW w:w="3652" w:type="dxa"/>
            <w:vAlign w:val="center"/>
            <w:vMerge w:val="restart"/>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网络及设备维保方案</w:t>
            </w:r>
            <w:r/>
          </w:p>
        </w:tc>
        <w:tc>
          <w:tcPr>
            <w:gridSpan w:val="5"/>
            <w:tcW w:w="241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完整性</w:t>
            </w:r>
            <w:r/>
          </w:p>
        </w:tc>
        <w:tc>
          <w:tcPr>
            <w:gridSpan w:val="2"/>
            <w:tcW w:w="246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4"/>
            <w:tcW w:w="3652"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5"/>
            <w:tcW w:w="241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全面性</w:t>
            </w:r>
            <w:r/>
          </w:p>
        </w:tc>
        <w:tc>
          <w:tcPr>
            <w:gridSpan w:val="2"/>
            <w:tcW w:w="246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4"/>
            <w:tcW w:w="3652"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5"/>
            <w:tcW w:w="241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可行性</w:t>
            </w:r>
            <w:r/>
          </w:p>
        </w:tc>
        <w:tc>
          <w:tcPr>
            <w:gridSpan w:val="2"/>
            <w:tcW w:w="246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4"/>
            <w:tcW w:w="3652"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5"/>
            <w:tcW w:w="241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周密性</w:t>
            </w:r>
            <w:r/>
          </w:p>
        </w:tc>
        <w:tc>
          <w:tcPr>
            <w:gridSpan w:val="2"/>
            <w:tcW w:w="246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2"/>
            <w:tcW w:w="237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本项总得分</w:t>
            </w:r>
            <w:r/>
          </w:p>
        </w:tc>
        <w:tc>
          <w:tcPr>
            <w:gridSpan w:val="9"/>
            <w:tcW w:w="614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11"/>
            <w:tcW w:w="8522"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2.半年度深度巡检报告评价</w:t>
            </w:r>
            <w:r/>
          </w:p>
        </w:tc>
      </w:tr>
      <w:tr>
        <w:trPr/>
        <w:tc>
          <w:tcPr>
            <w:gridSpan w:val="2"/>
            <w:tcW w:w="237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评价内容说明</w:t>
            </w:r>
            <w:r/>
          </w:p>
        </w:tc>
        <w:tc>
          <w:tcPr>
            <w:gridSpan w:val="9"/>
            <w:tcW w:w="614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针对招标文件“第五章  拟签订的合同文本”中“十</w:t>
            </w:r>
            <w:r>
              <w:rPr>
                <w:rFonts w:hint="eastAsia" w:ascii="宋体" w:hAnsi="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、服务评价标准”中“乙方履约每满六个月，向甲方提供深度巡检报告”进行评价</w:t>
            </w:r>
            <w:r/>
          </w:p>
        </w:tc>
      </w:tr>
      <w:tr>
        <w:trPr/>
        <w:tc>
          <w:tcPr>
            <w:gridSpan w:val="2"/>
            <w:tcW w:w="237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本项评价总分</w:t>
            </w:r>
            <w:r/>
          </w:p>
        </w:tc>
        <w:tc>
          <w:tcPr>
            <w:gridSpan w:val="9"/>
            <w:tcW w:w="614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提供半年度深度巡检报告得12分，本项共计12分</w:t>
            </w:r>
            <w:r/>
          </w:p>
        </w:tc>
      </w:tr>
      <w:tr>
        <w:trPr/>
        <w:tc>
          <w:tcPr>
            <w:gridSpan w:val="2"/>
            <w:tcW w:w="237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评价分数细则</w:t>
            </w:r>
            <w:r/>
          </w:p>
        </w:tc>
        <w:tc>
          <w:tcPr>
            <w:gridSpan w:val="9"/>
            <w:tcW w:w="614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1.半年度巡检报告在第一项“故障排查及全面解决方案评价”中各解决方案报告的基础上形成；</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2.每份深度巡检报告应满足完整性、全面性、可行性、周密性的要求（具体要求参见“1.故障排查及全面解决方案评价”中的“评价要求及分数细则”）；</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3.本报告各部分的完整性、全面性、可行性、周密性分值如下：</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完整性（1分）：评分标准同“1.故障排查及全面解决方案评价”的对应部分；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全面性（1分）：评分标准同“1.故障排查及全面解决方案评价”的对应部分；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可行性（1分）：评分标准同“1.故障排查及全面解决方案评价”的对应部分；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周密性（1分）：评分标准同“1.故障排查及全面解决方案评价”的对应部分。</w:t>
            </w:r>
            <w:r/>
          </w:p>
        </w:tc>
      </w:tr>
      <w:tr>
        <w:trPr/>
        <w:tc>
          <w:tcPr>
            <w:gridSpan w:val="4"/>
            <w:tcW w:w="3652"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评分内容</w:t>
            </w:r>
            <w:r/>
          </w:p>
        </w:tc>
        <w:tc>
          <w:tcPr>
            <w:gridSpan w:val="5"/>
            <w:tcW w:w="241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评分项</w:t>
            </w:r>
            <w:r/>
          </w:p>
        </w:tc>
        <w:tc>
          <w:tcPr>
            <w:gridSpan w:val="2"/>
            <w:tcW w:w="246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评分结果</w:t>
            </w:r>
            <w:r/>
          </w:p>
        </w:tc>
      </w:tr>
      <w:tr>
        <w:trPr/>
        <w:tc>
          <w:tcPr>
            <w:gridSpan w:val="4"/>
            <w:tcW w:w="3652" w:type="dxa"/>
            <w:vAlign w:val="center"/>
            <w:vMerge w:val="restart"/>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第一次半年度深度巡检报告</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（机房基础环境硬件部分）</w:t>
            </w:r>
            <w:r/>
          </w:p>
        </w:tc>
        <w:tc>
          <w:tcPr>
            <w:gridSpan w:val="5"/>
            <w:tcW w:w="241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完整性</w:t>
            </w:r>
            <w:r/>
          </w:p>
        </w:tc>
        <w:tc>
          <w:tcPr>
            <w:gridSpan w:val="2"/>
            <w:tcW w:w="246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4"/>
            <w:tcW w:w="3652"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5"/>
            <w:tcW w:w="241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全面性</w:t>
            </w:r>
            <w:r/>
          </w:p>
        </w:tc>
        <w:tc>
          <w:tcPr>
            <w:gridSpan w:val="2"/>
            <w:tcW w:w="246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4"/>
            <w:tcW w:w="3652"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5"/>
            <w:tcW w:w="241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可行性</w:t>
            </w:r>
            <w:r/>
          </w:p>
        </w:tc>
        <w:tc>
          <w:tcPr>
            <w:gridSpan w:val="2"/>
            <w:tcW w:w="246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4"/>
            <w:tcW w:w="3652"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5"/>
            <w:tcW w:w="241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周密性</w:t>
            </w:r>
            <w:r/>
          </w:p>
        </w:tc>
        <w:tc>
          <w:tcPr>
            <w:gridSpan w:val="2"/>
            <w:tcW w:w="246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4"/>
            <w:tcW w:w="3652" w:type="dxa"/>
            <w:vAlign w:val="center"/>
            <w:vMerge w:val="restart"/>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第一次半年度深度巡检报告</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（IT基础设施硬件资源硬件部分）</w:t>
            </w:r>
            <w:r/>
          </w:p>
        </w:tc>
        <w:tc>
          <w:tcPr>
            <w:gridSpan w:val="5"/>
            <w:tcW w:w="241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完整性</w:t>
            </w:r>
            <w:r/>
          </w:p>
        </w:tc>
        <w:tc>
          <w:tcPr>
            <w:gridSpan w:val="2"/>
            <w:tcW w:w="246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4"/>
            <w:tcW w:w="3652"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5"/>
            <w:tcW w:w="241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全面性</w:t>
            </w:r>
            <w:r/>
          </w:p>
        </w:tc>
        <w:tc>
          <w:tcPr>
            <w:gridSpan w:val="2"/>
            <w:tcW w:w="246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4"/>
            <w:tcW w:w="3652"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5"/>
            <w:tcW w:w="241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可行性</w:t>
            </w:r>
            <w:r/>
          </w:p>
        </w:tc>
        <w:tc>
          <w:tcPr>
            <w:gridSpan w:val="2"/>
            <w:tcW w:w="246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4"/>
            <w:tcW w:w="3652"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5"/>
            <w:tcW w:w="241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周密性</w:t>
            </w:r>
            <w:r/>
          </w:p>
        </w:tc>
        <w:tc>
          <w:tcPr>
            <w:gridSpan w:val="2"/>
            <w:tcW w:w="246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4"/>
            <w:tcW w:w="3652" w:type="dxa"/>
            <w:vAlign w:val="center"/>
            <w:vMerge w:val="restart"/>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第一次半年度深度巡检报告</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（网络及设备维保硬件设备部分）</w:t>
            </w:r>
            <w:r/>
          </w:p>
        </w:tc>
        <w:tc>
          <w:tcPr>
            <w:gridSpan w:val="5"/>
            <w:tcW w:w="241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完整性</w:t>
            </w:r>
            <w:r/>
          </w:p>
        </w:tc>
        <w:tc>
          <w:tcPr>
            <w:gridSpan w:val="2"/>
            <w:tcW w:w="246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4"/>
            <w:tcW w:w="3652"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5"/>
            <w:tcW w:w="241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全面性</w:t>
            </w:r>
            <w:r/>
          </w:p>
        </w:tc>
        <w:tc>
          <w:tcPr>
            <w:gridSpan w:val="2"/>
            <w:tcW w:w="246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4"/>
            <w:tcW w:w="3652"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5"/>
            <w:tcW w:w="241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可行性</w:t>
            </w:r>
            <w:r/>
          </w:p>
        </w:tc>
        <w:tc>
          <w:tcPr>
            <w:gridSpan w:val="2"/>
            <w:tcW w:w="246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4"/>
            <w:tcW w:w="3652"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5"/>
            <w:tcW w:w="241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周密性</w:t>
            </w:r>
            <w:r/>
          </w:p>
        </w:tc>
        <w:tc>
          <w:tcPr>
            <w:gridSpan w:val="2"/>
            <w:tcW w:w="246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2"/>
            <w:tcW w:w="237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本项总得分</w:t>
            </w:r>
            <w:r/>
          </w:p>
        </w:tc>
        <w:tc>
          <w:tcPr>
            <w:gridSpan w:val="9"/>
            <w:tcW w:w="614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11"/>
            <w:tcW w:w="8522"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3.实施能力及维护响应能力评价</w:t>
            </w:r>
            <w:r/>
          </w:p>
        </w:tc>
      </w:tr>
      <w:tr>
        <w:trPr/>
        <w:tc>
          <w:tcPr>
            <w:gridSpan w:val="2"/>
            <w:tcW w:w="237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评价内容说明</w:t>
            </w:r>
            <w:r/>
          </w:p>
        </w:tc>
        <w:tc>
          <w:tcPr>
            <w:gridSpan w:val="9"/>
            <w:tcW w:w="614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针对招标文件“第六章 采购需求”中“机房基础环境硬件维保要求、IT基础设施硬件资源维保要求、网络及设备维保要求、重要系统平台维保要求、办公终端维保要求、响应时间和综合保障服务要求”进行评价。</w:t>
            </w:r>
            <w:r/>
          </w:p>
        </w:tc>
      </w:tr>
      <w:tr>
        <w:trPr/>
        <w:tc>
          <w:tcPr>
            <w:gridSpan w:val="2"/>
            <w:tcW w:w="237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本项评价总分</w:t>
            </w:r>
            <w:r/>
          </w:p>
        </w:tc>
        <w:tc>
          <w:tcPr>
            <w:gridSpan w:val="9"/>
            <w:tcW w:w="614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本项共计20分</w:t>
            </w:r>
            <w:r/>
          </w:p>
        </w:tc>
      </w:tr>
      <w:tr>
        <w:trPr/>
        <w:tc>
          <w:tcPr>
            <w:gridSpan w:val="2"/>
            <w:tcW w:w="237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评价要求及分数细则</w:t>
            </w:r>
            <w:r/>
          </w:p>
        </w:tc>
        <w:tc>
          <w:tcPr>
            <w:gridSpan w:val="9"/>
            <w:tcW w:w="614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1.采购人针对“评价内容说明”中涉及的所有要求点进行点对点评分；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2.评分采用扣分制，默认满分，每有一项不符合要求扣10分，扣完为止；</w:t>
            </w:r>
            <w:r/>
          </w:p>
        </w:tc>
      </w:tr>
      <w:tr>
        <w:trPr/>
        <w:tc>
          <w:tcPr>
            <w:tcW w:w="817"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gridSpan w:val="5"/>
            <w:tcW w:w="3402"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扣分项要求描述</w:t>
            </w:r>
            <w:r/>
          </w:p>
        </w:tc>
        <w:tc>
          <w:tcPr>
            <w:gridSpan w:val="5"/>
            <w:tcW w:w="4303"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扣分原因说明</w:t>
            </w:r>
            <w:r/>
          </w:p>
        </w:tc>
      </w:tr>
      <w:tr>
        <w:trPr/>
        <w:tc>
          <w:tcPr>
            <w:tcW w:w="817"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5"/>
            <w:tcW w:w="3402"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5"/>
            <w:tcW w:w="4303"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17"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5"/>
            <w:tcW w:w="3402"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5"/>
            <w:tcW w:w="4303"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17"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5"/>
            <w:tcW w:w="3402"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5"/>
            <w:tcW w:w="4303"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17"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5"/>
            <w:tcW w:w="3402"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5"/>
            <w:tcW w:w="4303"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2"/>
            <w:tcW w:w="237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本项总得分</w:t>
            </w:r>
            <w:r/>
          </w:p>
        </w:tc>
        <w:tc>
          <w:tcPr>
            <w:gridSpan w:val="9"/>
            <w:tcW w:w="614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11"/>
            <w:tcW w:w="8522"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4.服务需求响应能力评价</w:t>
            </w:r>
            <w:r/>
          </w:p>
        </w:tc>
      </w:tr>
      <w:tr>
        <w:trPr/>
        <w:tc>
          <w:tcPr>
            <w:gridSpan w:val="2"/>
            <w:tcW w:w="237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评价内容说明</w:t>
            </w:r>
            <w:r/>
          </w:p>
        </w:tc>
        <w:tc>
          <w:tcPr>
            <w:gridSpan w:val="9"/>
            <w:tcW w:w="614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针对招标文件“第六章 采购需求”中“重要业务或设备运行监控要求、重要业务数据备份要求、国产化和版权授权要求”进行评价。</w:t>
            </w:r>
            <w:r/>
          </w:p>
        </w:tc>
      </w:tr>
      <w:tr>
        <w:trPr/>
        <w:tc>
          <w:tcPr>
            <w:gridSpan w:val="2"/>
            <w:tcW w:w="237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本项评价总分</w:t>
            </w:r>
            <w:r/>
          </w:p>
        </w:tc>
        <w:tc>
          <w:tcPr>
            <w:gridSpan w:val="9"/>
            <w:tcW w:w="614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本项共计20分</w:t>
            </w:r>
            <w:r/>
          </w:p>
        </w:tc>
      </w:tr>
      <w:tr>
        <w:trPr/>
        <w:tc>
          <w:tcPr>
            <w:gridSpan w:val="2"/>
            <w:tcW w:w="237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评价要求及分数细则</w:t>
            </w:r>
            <w:r/>
          </w:p>
        </w:tc>
        <w:tc>
          <w:tcPr>
            <w:gridSpan w:val="9"/>
            <w:tcW w:w="614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1.采购人针对“评价内容说明”中涉及的所有要求点进行综合评分；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2.采购人针对招标文件“第六章采购需求”中“重要业务或设备运行监控方案”中的“</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.4”项服务要求进行逐条验证，每有一项不符合要求扣5分；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3.采购人针对招标文件“第六章采购需求”中“重要业务或设备运行监控方案”中的“</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.1”项目服务要求进行逐条验证，每有一项不符合要求扣10分；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4.采购人针对招标文件“第六章采购需求”中“重要业务数据备份方案”项中的服务要求进行逐条验证，每有一项不符合要求扣4分；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针对招标文件“第六章采购需求”中“重要业务或设备运行监控方案”项中的服务要求，若合同中标人无法按照投标文件的描述落地符合招标要求的服务方案或实际执行的服务方案同投标文件中的描述存在重大出入，如投标文件中存在歪曲事实、刻意造假的描述等，扣10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针对招标文件“第六章采购需求”中“重要业务数据备份方案”项中的服务要求，若合同中标人无法按照投标文件的描述落地符合招标要求的服务方案或实际执行的服务方案同投标文件中的描述存在重大出入，如投标文件中存在歪曲事实、刻意造假的描述等，扣10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针对招标文件“第六章采购需求”中“重要业务或设备运行监控方案”项中的服务要求，若合同中标人实际落地的服务方案同招标文件“第六章采购需求”中“国产化和版权授权方案”中的某一项要求相违背，扣10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针对招标文件“第六章采购需求”中“重要业务数据备份方案”项中的服务要求，若合同中标人实际落地的服务方案同招标文件“第六章采购需求”中“国产化和版权授权方案”中的某一项要求相违背，扣10分；</w:t>
            </w:r>
            <w:r/>
          </w:p>
          <w:p>
            <w:pPr>
              <w:ind w:right="1440"/>
              <w:jc w:val="both"/>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9.评分采用扣分制，默认满分，按照上述标准进行扣分，扣完为止；</w:t>
            </w:r>
            <w:r/>
          </w:p>
        </w:tc>
      </w:tr>
      <w:tr>
        <w:trPr/>
        <w:tc>
          <w:tcPr>
            <w:tcW w:w="817"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gridSpan w:val="5"/>
            <w:tcW w:w="3402"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扣分项要求描述</w:t>
            </w:r>
            <w:r/>
          </w:p>
        </w:tc>
        <w:tc>
          <w:tcPr>
            <w:gridSpan w:val="5"/>
            <w:tcW w:w="4303"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扣分原因说明</w:t>
            </w:r>
            <w:r/>
          </w:p>
        </w:tc>
      </w:tr>
      <w:tr>
        <w:trPr/>
        <w:tc>
          <w:tcPr>
            <w:tcW w:w="817"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5"/>
            <w:tcW w:w="3402"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5"/>
            <w:tcW w:w="4303"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17"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5"/>
            <w:tcW w:w="3402"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5"/>
            <w:tcW w:w="4303"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17"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5"/>
            <w:tcW w:w="3402"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5"/>
            <w:tcW w:w="4303"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2"/>
            <w:tcW w:w="237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本项总得分</w:t>
            </w:r>
            <w:r/>
          </w:p>
        </w:tc>
        <w:tc>
          <w:tcPr>
            <w:gridSpan w:val="9"/>
            <w:tcW w:w="614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11"/>
            <w:tcW w:w="8522"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5.备品备件置备能力评价</w:t>
            </w:r>
            <w:r/>
          </w:p>
        </w:tc>
      </w:tr>
      <w:tr>
        <w:trPr/>
        <w:tc>
          <w:tcPr>
            <w:gridSpan w:val="2"/>
            <w:tcW w:w="237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评价内容说明</w:t>
            </w:r>
            <w:r/>
          </w:p>
        </w:tc>
        <w:tc>
          <w:tcPr>
            <w:gridSpan w:val="9"/>
            <w:tcW w:w="614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针对招标文件“第六章采购需求”中“备品备件要求”中的要求进行评价</w:t>
            </w:r>
            <w:r/>
          </w:p>
        </w:tc>
      </w:tr>
      <w:tr>
        <w:trPr/>
        <w:tc>
          <w:tcPr>
            <w:gridSpan w:val="2"/>
            <w:tcW w:w="237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本项评价总分</w:t>
            </w:r>
            <w:r/>
          </w:p>
        </w:tc>
        <w:tc>
          <w:tcPr>
            <w:gridSpan w:val="9"/>
            <w:tcW w:w="614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本项共计24分</w:t>
            </w:r>
            <w:r/>
          </w:p>
        </w:tc>
      </w:tr>
      <w:tr>
        <w:trPr/>
        <w:tc>
          <w:tcPr>
            <w:gridSpan w:val="2"/>
            <w:tcW w:w="237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评价要求及分数细则</w:t>
            </w:r>
            <w:r/>
          </w:p>
        </w:tc>
        <w:tc>
          <w:tcPr>
            <w:gridSpan w:val="9"/>
            <w:tcW w:w="614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针对备品备件的生产厂商、规格、数量、备品备件可用性等进行综合评价；</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2.维保合同期内我局将进行不少于4次的备品备件置备情况抽查并由我局出具抽查结果报告；</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3.评分采用扣分制、默认满分，每抽检一次不合格扣5分，扣完为止；</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4.每次抽查是否</w:t>
            </w:r>
            <w:r>
              <w:rPr>
                <w:rFonts w:hint="eastAsia" w:ascii="宋体" w:hAnsi="宋体" w:cs="宋体"/>
                <w:color w:val="000000"/>
                <w:sz w:val="24"/>
                <w:szCs w:val="24"/>
                <w:highlight w:val="none"/>
                <w:lang w:eastAsia="zh-CN"/>
              </w:rPr>
              <w:t xml:space="preserve">规范</w:t>
            </w:r>
            <w:r>
              <w:rPr>
                <w:rFonts w:hint="eastAsia" w:ascii="宋体" w:hAnsi="宋体" w:eastAsia="宋体" w:cs="宋体"/>
                <w:color w:val="000000"/>
                <w:sz w:val="24"/>
                <w:szCs w:val="24"/>
                <w:highlight w:val="none"/>
              </w:rPr>
              <w:t xml:space="preserve">标准如下（不满足下列条件的视为本次抽检不合格）：</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常用服务器备件生产厂商应为国内外业界主流厂商，包括但不限于（排名不分先后）：华为、H3C、曙光、浪潮、戴尔、希捷、西数、日立、三星、东芝、英特尔、HGST、闪迪、英睿达、浦科特、镁光、海力士、威刚、海盗船、金士顿；</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（2）加*项设备备品备件是否具备可用性，及相应备品备件接入加*项设备后，备品可识别且功能完整；</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（3）所有设备的规格同招标要求一致，数量不低于招标要求；</w:t>
            </w:r>
            <w:r/>
          </w:p>
        </w:tc>
      </w:tr>
      <w:tr>
        <w:trPr/>
        <w:tc>
          <w:tcPr>
            <w:tcW w:w="817"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gridSpan w:val="5"/>
            <w:tcW w:w="3402"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不合规抽检检查日期</w:t>
            </w:r>
            <w:r/>
          </w:p>
        </w:tc>
        <w:tc>
          <w:tcPr>
            <w:gridSpan w:val="5"/>
            <w:tcW w:w="4303"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不合规原因</w:t>
            </w:r>
            <w:r/>
          </w:p>
        </w:tc>
      </w:tr>
      <w:tr>
        <w:trPr/>
        <w:tc>
          <w:tcPr>
            <w:tcW w:w="817"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5"/>
            <w:tcW w:w="3402"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5"/>
            <w:tcW w:w="4303"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17"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5"/>
            <w:tcW w:w="3402"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5"/>
            <w:tcW w:w="4303"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17"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5"/>
            <w:tcW w:w="3402"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5"/>
            <w:tcW w:w="4303"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2"/>
            <w:tcW w:w="237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本项总得分</w:t>
            </w:r>
            <w:r/>
          </w:p>
        </w:tc>
        <w:tc>
          <w:tcPr>
            <w:gridSpan w:val="9"/>
            <w:tcW w:w="614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11"/>
            <w:tcW w:w="8522"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6.人员配备状况及服务能力评价</w:t>
            </w:r>
            <w:r/>
          </w:p>
        </w:tc>
      </w:tr>
      <w:tr>
        <w:trPr/>
        <w:tc>
          <w:tcPr>
            <w:gridSpan w:val="2"/>
            <w:tcW w:w="237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评价内容说明</w:t>
            </w:r>
            <w:r/>
          </w:p>
        </w:tc>
        <w:tc>
          <w:tcPr>
            <w:gridSpan w:val="9"/>
            <w:tcW w:w="614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针对招标文件“第六章采购需求”中“人员配备要求”中的要求进行评价</w:t>
            </w:r>
            <w:r/>
          </w:p>
        </w:tc>
      </w:tr>
      <w:tr>
        <w:trPr/>
        <w:tc>
          <w:tcPr>
            <w:gridSpan w:val="2"/>
            <w:tcW w:w="237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本项评价总分</w:t>
            </w:r>
            <w:r/>
          </w:p>
        </w:tc>
        <w:tc>
          <w:tcPr>
            <w:gridSpan w:val="9"/>
            <w:tcW w:w="614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本项共计12分</w:t>
            </w:r>
            <w:r/>
          </w:p>
        </w:tc>
      </w:tr>
      <w:tr>
        <w:trPr/>
        <w:tc>
          <w:tcPr>
            <w:gridSpan w:val="2"/>
            <w:tcW w:w="237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评价要求及分数细则</w:t>
            </w:r>
            <w:r/>
          </w:p>
        </w:tc>
        <w:tc>
          <w:tcPr>
            <w:gridSpan w:val="9"/>
            <w:tcW w:w="614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1.采购人针对“评价内容说明”中涉及的所有要求点进行综合评分；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2.采购人提出人员服务请求时会抽检技术服务人员同中标人企业的社保关系和技术服务人员认证证书，具体抽验合规标准如下：</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（1）技术工程服务人员社保必须由中标人企业缴纳，中标人提供技术服务人员本项目开标时间前6个月内任一个月缴纳社保的证明材料；</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（2）若机房基础环境运维工程师或IT基础设施运维工程师或网络运维工程师同投标文件提供人员服务方案中的人员名单不一致时，该工程师必须具备不低于招标要求认证水平的证书证明；</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（3）提供技术服务当天，技术服务工程师的认证证书在有效期内（含当天）视同有效，证书超期或造假视同无效；</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（4）单次服务所涉及的所有服务人员均满足上述3点，视为抽验合格（单次抽检的不同类型工程师的符合要求的人员数量原则上不超过招标要求）；</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3.评分采用扣分制，默认满分，采购人每抽检出一次不符合上述合规标准的扣1分，扣完为止；</w:t>
            </w:r>
            <w:r/>
          </w:p>
        </w:tc>
      </w:tr>
      <w:tr>
        <w:trPr/>
        <w:tc>
          <w:tcPr>
            <w:tcW w:w="817"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gridSpan w:val="5"/>
            <w:tcW w:w="3402"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不合规抽检检查日期</w:t>
            </w:r>
            <w:r/>
          </w:p>
        </w:tc>
        <w:tc>
          <w:tcPr>
            <w:gridSpan w:val="5"/>
            <w:tcW w:w="4303"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不合规原因</w:t>
            </w:r>
            <w:r/>
          </w:p>
        </w:tc>
      </w:tr>
      <w:tr>
        <w:trPr/>
        <w:tc>
          <w:tcPr>
            <w:tcW w:w="817"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5"/>
            <w:tcW w:w="3402"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5"/>
            <w:tcW w:w="4303"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17"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5"/>
            <w:tcW w:w="3402"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5"/>
            <w:tcW w:w="4303"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17"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5"/>
            <w:tcW w:w="3402"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5"/>
            <w:tcW w:w="4303"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2"/>
            <w:tcW w:w="237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本项总得分</w:t>
            </w:r>
            <w:r/>
          </w:p>
        </w:tc>
        <w:tc>
          <w:tcPr>
            <w:gridSpan w:val="9"/>
            <w:tcW w:w="614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11"/>
            <w:tcW w:w="8522"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分数汇总统计</w:t>
            </w:r>
            <w:r/>
          </w:p>
        </w:tc>
      </w:tr>
      <w:tr>
        <w:trPr/>
        <w:tc>
          <w:tcPr>
            <w:gridSpan w:val="5"/>
            <w:tcW w:w="393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分项内容</w:t>
            </w:r>
            <w:r/>
          </w:p>
        </w:tc>
        <w:tc>
          <w:tcPr>
            <w:gridSpan w:val="4"/>
            <w:tcW w:w="212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分项总分</w:t>
            </w:r>
            <w:r/>
          </w:p>
        </w:tc>
        <w:tc>
          <w:tcPr>
            <w:gridSpan w:val="2"/>
            <w:tcW w:w="246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实际得分</w:t>
            </w:r>
            <w:r/>
          </w:p>
        </w:tc>
      </w:tr>
      <w:tr>
        <w:trPr/>
        <w:tc>
          <w:tcPr>
            <w:gridSpan w:val="5"/>
            <w:tcW w:w="393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1.故障排查及全面解决方案评价</w:t>
            </w:r>
            <w:r/>
          </w:p>
        </w:tc>
        <w:tc>
          <w:tcPr>
            <w:gridSpan w:val="4"/>
            <w:tcW w:w="212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p>
        </w:tc>
        <w:tc>
          <w:tcPr>
            <w:gridSpan w:val="2"/>
            <w:tcW w:w="246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5"/>
            <w:tcW w:w="393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2.半年度深度巡检报告评价</w:t>
            </w:r>
            <w:r/>
          </w:p>
        </w:tc>
        <w:tc>
          <w:tcPr>
            <w:gridSpan w:val="4"/>
            <w:tcW w:w="212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p>
        </w:tc>
        <w:tc>
          <w:tcPr>
            <w:gridSpan w:val="2"/>
            <w:tcW w:w="246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5"/>
            <w:tcW w:w="393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3.实施能力及维护响应能力评价</w:t>
            </w:r>
            <w:r/>
          </w:p>
        </w:tc>
        <w:tc>
          <w:tcPr>
            <w:gridSpan w:val="4"/>
            <w:tcW w:w="212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p>
        </w:tc>
        <w:tc>
          <w:tcPr>
            <w:gridSpan w:val="2"/>
            <w:tcW w:w="246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5"/>
            <w:tcW w:w="393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4.服务需求响应能力评价</w:t>
            </w:r>
            <w:r/>
          </w:p>
        </w:tc>
        <w:tc>
          <w:tcPr>
            <w:gridSpan w:val="4"/>
            <w:tcW w:w="212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p>
        </w:tc>
        <w:tc>
          <w:tcPr>
            <w:gridSpan w:val="2"/>
            <w:tcW w:w="246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5"/>
            <w:tcW w:w="393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5.备品备件置备能力评价</w:t>
            </w:r>
            <w:r/>
          </w:p>
        </w:tc>
        <w:tc>
          <w:tcPr>
            <w:gridSpan w:val="4"/>
            <w:tcW w:w="212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w:t>
            </w:r>
            <w:r/>
          </w:p>
        </w:tc>
        <w:tc>
          <w:tcPr>
            <w:gridSpan w:val="2"/>
            <w:tcW w:w="246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5"/>
            <w:tcW w:w="393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6.人员配备状况及服务能力评价</w:t>
            </w:r>
            <w:r/>
          </w:p>
        </w:tc>
        <w:tc>
          <w:tcPr>
            <w:gridSpan w:val="4"/>
            <w:tcW w:w="212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p>
        </w:tc>
        <w:tc>
          <w:tcPr>
            <w:gridSpan w:val="2"/>
            <w:tcW w:w="246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2"/>
            <w:tcW w:w="237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实际总计得分</w:t>
            </w:r>
            <w:r/>
          </w:p>
        </w:tc>
        <w:tc>
          <w:tcPr>
            <w:gridSpan w:val="9"/>
            <w:tcW w:w="614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11"/>
            <w:tcW w:w="8522"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评价小组人员信息</w:t>
            </w:r>
            <w:r/>
          </w:p>
        </w:tc>
      </w:tr>
      <w:tr>
        <w:trPr/>
        <w:tc>
          <w:tcPr>
            <w:gridSpan w:val="3"/>
            <w:tcW w:w="3085"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评价人员单位</w:t>
            </w:r>
            <w:r/>
          </w:p>
        </w:tc>
        <w:tc>
          <w:tcPr>
            <w:gridSpan w:val="5"/>
            <w:tcW w:w="2718"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评价人员签字</w:t>
            </w:r>
            <w:r/>
          </w:p>
        </w:tc>
        <w:tc>
          <w:tcPr>
            <w:gridSpan w:val="3"/>
            <w:tcW w:w="2719"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签字日期</w:t>
            </w:r>
            <w:r/>
          </w:p>
        </w:tc>
      </w:tr>
      <w:tr>
        <w:trPr/>
        <w:tc>
          <w:tcPr>
            <w:gridSpan w:val="3"/>
            <w:tcW w:w="3085"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5"/>
            <w:tcW w:w="2718"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W w:w="2719"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3"/>
            <w:tcW w:w="3085"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5"/>
            <w:tcW w:w="2718"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W w:w="2719"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3"/>
            <w:tcW w:w="3085"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5"/>
            <w:tcW w:w="2718"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W w:w="2719"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3"/>
            <w:tcW w:w="3085"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5"/>
            <w:tcW w:w="2718"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W w:w="2719"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3"/>
            <w:tcW w:w="3085"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5"/>
            <w:tcW w:w="2718"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W w:w="2719"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3"/>
            <w:tcW w:w="308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5"/>
            <w:tcW w:w="2718"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W w:w="2719"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both"/>
        <w:widowControl/>
        <w:rPr>
          <w:rStyle w:val="885"/>
          <w:rFonts w:hint="eastAsia" w:ascii="宋体" w:hAnsi="宋体" w:eastAsia="宋体" w:cs="宋体"/>
          <w:sz w:val="24"/>
          <w:szCs w:val="24"/>
          <w:highlight w:val="none"/>
        </w:rPr>
      </w:pPr>
      <w:r/>
      <w:bookmarkStart w:id="16" w:name="_Toc32344"/>
      <w:r/>
      <w:r/>
    </w:p>
    <w:p>
      <w:pPr>
        <w:jc w:val="both"/>
        <w:widowControl/>
        <w:rPr>
          <w:rStyle w:val="885"/>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rPr>
          <w:rStyle w:val="885"/>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rPr>
          <w:rStyle w:val="885"/>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rPr>
          <w:rStyle w:val="885"/>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rPr>
          <w:rStyle w:val="885"/>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rPr>
          <w:rStyle w:val="885"/>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rPr>
          <w:rStyle w:val="885"/>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rPr>
          <w:rStyle w:val="885"/>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rPr>
          <w:rStyle w:val="885"/>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rPr>
          <w:rStyle w:val="885"/>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rPr>
          <w:rStyle w:val="885"/>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rPr>
          <w:rStyle w:val="885"/>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rPr>
          <w:rStyle w:val="885"/>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rPr>
          <w:rStyle w:val="885"/>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rPr>
          <w:rStyle w:val="885"/>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rPr>
          <w:rStyle w:val="885"/>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rPr>
          <w:rStyle w:val="885"/>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rPr>
          <w:rStyle w:val="885"/>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rPr>
          <w:rStyle w:val="885"/>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rPr>
          <w:rStyle w:val="885"/>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rPr>
          <w:rStyle w:val="885"/>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rPr>
          <w:rStyle w:val="885"/>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rPr>
          <w:rStyle w:val="885"/>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rPr>
          <w:rStyle w:val="885"/>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rPr>
          <w:rStyle w:val="885"/>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rPr>
          <w:rStyle w:val="885"/>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rPr>
          <w:rStyle w:val="885"/>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rPr>
          <w:rStyle w:val="885"/>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rPr>
          <w:rStyle w:val="885"/>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rPr>
          <w:rStyle w:val="885"/>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rPr>
          <w:rStyle w:val="885"/>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rPr>
          <w:rStyle w:val="885"/>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rPr>
          <w:rStyle w:val="885"/>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rPr>
          <w:rStyle w:val="885"/>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rPr>
          <w:rStyle w:val="885"/>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rPr>
          <w:rStyle w:val="885"/>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rPr>
          <w:rStyle w:val="885"/>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rPr>
          <w:rStyle w:val="885"/>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rPr>
          <w:rStyle w:val="885"/>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rPr>
          <w:rStyle w:val="885"/>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widowControl/>
        <w:rPr>
          <w:rStyle w:val="885"/>
          <w:rFonts w:hint="eastAsia" w:ascii="宋体" w:hAnsi="宋体" w:eastAsia="宋体" w:cs="宋体"/>
          <w:sz w:val="24"/>
          <w:szCs w:val="24"/>
          <w:highlight w:val="none"/>
        </w:rPr>
      </w:pPr>
      <w:r>
        <w:rPr>
          <w:rStyle w:val="885"/>
          <w:rFonts w:hint="eastAsia" w:ascii="宋体" w:hAnsi="宋体" w:eastAsia="宋体" w:cs="宋体"/>
          <w:sz w:val="24"/>
          <w:szCs w:val="24"/>
          <w:highlight w:val="none"/>
        </w:rPr>
        <w:t xml:space="preserve">第六章</w:t>
      </w:r>
      <w:r>
        <w:rPr>
          <w:rStyle w:val="885"/>
          <w:rFonts w:hint="eastAsia" w:ascii="宋体" w:hAnsi="宋体" w:cs="宋体"/>
          <w:sz w:val="24"/>
          <w:szCs w:val="24"/>
          <w:highlight w:val="none"/>
          <w:lang w:val="en-US" w:eastAsia="zh-CN"/>
        </w:rPr>
        <w:t xml:space="preserve">  </w:t>
      </w:r>
      <w:r>
        <w:rPr>
          <w:rStyle w:val="885"/>
          <w:rFonts w:hint="eastAsia" w:ascii="宋体" w:hAnsi="宋体" w:eastAsia="宋体" w:cs="宋体"/>
          <w:sz w:val="24"/>
          <w:szCs w:val="24"/>
          <w:highlight w:val="none"/>
        </w:rPr>
        <w:t xml:space="preserve">采购需求</w:t>
      </w:r>
      <w:bookmarkEnd w:id="14"/>
      <w:r/>
      <w:bookmarkEnd w:id="16"/>
      <w:r/>
      <w:r/>
    </w:p>
    <w:p>
      <w:pPr>
        <w:ind w:firstLine="485"/>
        <w:keepLines w:val="0"/>
        <w:keepNext w:val="0"/>
        <w:pageBreakBefore w:val="0"/>
        <w:spacing w:line="420" w:lineRule="exact"/>
        <w:tabs>
          <w:tab w:val="left" w:pos="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一、说明</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（一）采购人：徐州市公安局</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（二）采购项目名称：徐州市公安局数据中心维保项目</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（三）采购标的：徐州市公安局数据中心维保项目</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（四）本项目不接受超过149万元（采购项目预算金额）的投标报价。</w:t>
      </w:r>
      <w:r/>
    </w:p>
    <w:p>
      <w:pPr>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5"/>
        <w:keepLines w:val="0"/>
        <w:keepNext w:val="0"/>
        <w:pageBreakBefore w:val="0"/>
        <w:spacing w:line="420" w:lineRule="exact"/>
        <w:tabs>
          <w:tab w:val="left" w:pos="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二、项目概况</w:t>
      </w:r>
      <w:r/>
    </w:p>
    <w:p>
      <w:pPr>
        <w:ind w:firstLine="480"/>
        <w:keepLines w:val="0"/>
        <w:keepNext w:val="0"/>
        <w:pageBreakBefore w:val="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采购人现有数据中心机房3处</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泉山区2处、云龙区1处</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，包含机房基础硬件设施、网络、大数据、云计算和存储资源等，为保证机房环境硬件和各类网络、IT设施硬件运行稳定，需对数据中心内已过保的设备及云平台等系统开展维保服务。</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5"/>
        <w:keepLines w:val="0"/>
        <w:keepNext w:val="0"/>
        <w:pageBreakBefore w:val="0"/>
        <w:spacing w:line="420" w:lineRule="exact"/>
        <w:tabs>
          <w:tab w:val="left" w:pos="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三、项目要求</w:t>
      </w:r>
      <w:r/>
    </w:p>
    <w:p>
      <w:pPr>
        <w:ind w:firstLine="240"/>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（一）项目具体要求</w:t>
      </w:r>
      <w:r/>
    </w:p>
    <w:p>
      <w:pPr>
        <w:ind w:firstLine="480"/>
        <w:keepLines w:val="0"/>
        <w:keepNext w:val="0"/>
        <w:pageBreakBefore w:val="0"/>
        <w:spacing w:line="4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1.机房基础环境硬件维保要求</w:t>
      </w:r>
      <w:r/>
    </w:p>
    <w:p>
      <w:pPr>
        <w:ind w:firstLine="480"/>
        <w:keepLines w:val="0"/>
        <w:keepNext w:val="0"/>
        <w:pageBreakBefore w:val="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1.1硬件设备</w:t>
      </w:r>
      <w:r/>
    </w:p>
    <w:p>
      <w:pPr>
        <w:ind w:firstLine="480"/>
        <w:keepLines w:val="0"/>
        <w:keepNext w:val="0"/>
        <w:pageBreakBefore w:val="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维保设备清单1</w:t>
      </w:r>
      <w:r/>
    </w:p>
    <w:tbl>
      <w:tblPr>
        <w:tblStyle w:val="693"/>
        <w:tblW w:w="86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8"/>
        <w:gridCol w:w="2410"/>
        <w:gridCol w:w="2291"/>
        <w:gridCol w:w="2670"/>
      </w:tblGrid>
      <w:tr>
        <w:trPr>
          <w:cantSplit/>
          <w:jc w:val="center"/>
          <w:trHeight w:val="570"/>
        </w:trPr>
        <w:tc>
          <w:tcPr>
            <w:shd w:val="clear" w:color="auto" w:fill="auto"/>
            <w:tcW w:w="1288"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设备类型</w:t>
            </w:r>
            <w:r/>
          </w:p>
        </w:tc>
        <w:tc>
          <w:tcPr>
            <w:shd w:val="clear" w:color="auto" w:fill="auto"/>
            <w:tcW w:w="2410" w:type="dxa"/>
            <w:vAlign w:val="center"/>
            <w:textDirection w:val="lrTb"/>
            <w:noWrap/>
          </w:tcPr>
          <w:p>
            <w:pPr>
              <w:jc w:val="center"/>
              <w:keepLines w:val="0"/>
              <w:keepNext w:val="0"/>
              <w:pageBreakBefore w:val="0"/>
              <w:spacing w:line="42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设备编号</w:t>
            </w:r>
            <w:r/>
          </w:p>
        </w:tc>
        <w:tc>
          <w:tcPr>
            <w:shd w:val="clear" w:color="auto" w:fill="auto"/>
            <w:tcW w:w="2291" w:type="dxa"/>
            <w:vAlign w:val="center"/>
            <w:textDirection w:val="lrTb"/>
            <w:noWrap/>
          </w:tcPr>
          <w:p>
            <w:pPr>
              <w:jc w:val="center"/>
              <w:keepLines w:val="0"/>
              <w:keepNext w:val="0"/>
              <w:pageBreakBefore w:val="0"/>
              <w:spacing w:line="42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设备型号</w:t>
            </w:r>
            <w:r/>
          </w:p>
        </w:tc>
        <w:tc>
          <w:tcPr>
            <w:tcW w:w="267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主要规格特征</w:t>
            </w:r>
            <w:r/>
          </w:p>
        </w:tc>
      </w:tr>
      <w:tr>
        <w:trPr>
          <w:cantSplit/>
          <w:jc w:val="center"/>
          <w:trHeight w:val="405"/>
        </w:trPr>
        <w:tc>
          <w:tcPr>
            <w:shd w:val="clear" w:color="auto" w:fill="auto"/>
            <w:tcW w:w="1288" w:type="dxa"/>
            <w:vAlign w:val="center"/>
            <w:vMerge w:val="restart"/>
            <w:textDirection w:val="lrTb"/>
            <w:noWrap w:val="false"/>
          </w:tcPr>
          <w:p>
            <w:pPr>
              <w:jc w:val="both"/>
              <w:keepLines w:val="0"/>
              <w:keepNext w:val="0"/>
              <w:pageBreakBefore w:val="0"/>
              <w:spacing w:before="100" w:beforeAutospacing="1" w:after="0" w:line="42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精密空调</w:t>
            </w:r>
            <w:r/>
          </w:p>
        </w:tc>
        <w:tc>
          <w:tcPr>
            <w:shd w:val="clear" w:color="auto" w:fill="auto"/>
            <w:tcW w:w="2410" w:type="dxa"/>
            <w:vAlign w:val="center"/>
            <w:textDirection w:val="lrTb"/>
            <w:noWrap/>
          </w:tcPr>
          <w:p>
            <w:pPr>
              <w:jc w:val="both"/>
              <w:keepLines w:val="0"/>
              <w:keepNext w:val="0"/>
              <w:pageBreakBefore w:val="0"/>
              <w:spacing w:before="100" w:beforeAutospacing="1" w:after="119" w:line="42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空调（东1）</w:t>
            </w:r>
            <w:r/>
          </w:p>
        </w:tc>
        <w:tc>
          <w:tcPr>
            <w:shd w:val="clear" w:color="auto" w:fill="auto"/>
            <w:tcW w:w="2291" w:type="dxa"/>
            <w:vAlign w:val="center"/>
            <w:textDirection w:val="lrTb"/>
            <w:noWrap/>
          </w:tcPr>
          <w:p>
            <w:pPr>
              <w:jc w:val="both"/>
              <w:keepLines w:val="0"/>
              <w:keepNext w:val="0"/>
              <w:pageBreakBefore w:val="0"/>
              <w:spacing w:before="100" w:beforeAutospacing="1" w:after="119" w:line="42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戴克森DE20U</w:t>
            </w:r>
            <w:r/>
          </w:p>
        </w:tc>
        <w:tc>
          <w:tcPr>
            <w:tcW w:w="2670" w:type="dxa"/>
            <w:vAlign w:val="center"/>
            <w:textDirection w:val="lrTb"/>
            <w:noWrap w:val="false"/>
          </w:tcPr>
          <w:p>
            <w:pPr>
              <w:jc w:val="both"/>
              <w:keepLines w:val="0"/>
              <w:keepNext w:val="0"/>
              <w:pageBreakBefore w:val="0"/>
              <w:spacing w:before="100" w:beforeAutospacing="1" w:after="119" w:line="42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单冷，20.1kw制冷量</w:t>
            </w:r>
            <w:r/>
          </w:p>
        </w:tc>
      </w:tr>
      <w:tr>
        <w:trPr>
          <w:cantSplit/>
          <w:jc w:val="center"/>
          <w:trHeight w:val="405"/>
        </w:trPr>
        <w:tc>
          <w:tcPr>
            <w:shd w:val="clear" w:color="auto" w:fill="auto"/>
            <w:tcW w:w="1288" w:type="dxa"/>
            <w:vAlign w:val="center"/>
            <w:vMerge w:val="continue"/>
            <w:textDirection w:val="lrTb"/>
            <w:noWrap w:val="false"/>
          </w:tcPr>
          <w:p>
            <w:pPr>
              <w:ind w:firstLine="485"/>
              <w:jc w:val="center"/>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2410" w:type="dxa"/>
            <w:vAlign w:val="center"/>
            <w:textDirection w:val="lrTb"/>
            <w:noWrap/>
          </w:tcPr>
          <w:p>
            <w:pPr>
              <w:jc w:val="both"/>
              <w:keepLines w:val="0"/>
              <w:keepNext w:val="0"/>
              <w:pageBreakBefore w:val="0"/>
              <w:spacing w:before="100" w:beforeAutospacing="1" w:after="119" w:line="42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空调（东2）</w:t>
            </w:r>
            <w:r/>
          </w:p>
        </w:tc>
        <w:tc>
          <w:tcPr>
            <w:shd w:val="clear" w:color="auto" w:fill="auto"/>
            <w:tcW w:w="2291" w:type="dxa"/>
            <w:vAlign w:val="center"/>
            <w:textDirection w:val="lrTb"/>
            <w:noWrap/>
          </w:tcPr>
          <w:p>
            <w:pPr>
              <w:jc w:val="both"/>
              <w:keepLines w:val="0"/>
              <w:keepNext w:val="0"/>
              <w:pageBreakBefore w:val="0"/>
              <w:spacing w:before="100" w:beforeAutospacing="1" w:after="119" w:line="42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戴克森DE20U</w:t>
            </w:r>
            <w:r/>
          </w:p>
        </w:tc>
        <w:tc>
          <w:tcPr>
            <w:tcW w:w="2670" w:type="dxa"/>
            <w:vAlign w:val="center"/>
            <w:textDirection w:val="lrTb"/>
            <w:noWrap w:val="false"/>
          </w:tcPr>
          <w:p>
            <w:pPr>
              <w:jc w:val="both"/>
              <w:keepLines w:val="0"/>
              <w:keepNext w:val="0"/>
              <w:pageBreakBefore w:val="0"/>
              <w:spacing w:before="100" w:beforeAutospacing="1" w:after="119" w:line="42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单冷，20.1kw制冷量</w:t>
            </w:r>
            <w:r/>
          </w:p>
        </w:tc>
      </w:tr>
      <w:tr>
        <w:trPr>
          <w:cantSplit/>
          <w:jc w:val="center"/>
          <w:trHeight w:val="405"/>
        </w:trPr>
        <w:tc>
          <w:tcPr>
            <w:shd w:val="clear" w:color="auto" w:fill="auto"/>
            <w:tcW w:w="1288" w:type="dxa"/>
            <w:vAlign w:val="center"/>
            <w:vMerge w:val="continue"/>
            <w:textDirection w:val="lrTb"/>
            <w:noWrap w:val="false"/>
          </w:tcPr>
          <w:p>
            <w:pPr>
              <w:ind w:firstLine="485"/>
              <w:jc w:val="center"/>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2410" w:type="dxa"/>
            <w:vAlign w:val="center"/>
            <w:textDirection w:val="lrTb"/>
            <w:noWrap/>
          </w:tcPr>
          <w:p>
            <w:pPr>
              <w:jc w:val="both"/>
              <w:keepLines w:val="0"/>
              <w:keepNext w:val="0"/>
              <w:pageBreakBefore w:val="0"/>
              <w:spacing w:before="100" w:beforeAutospacing="1" w:after="119" w:line="42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空调（东3）</w:t>
            </w:r>
            <w:r/>
          </w:p>
        </w:tc>
        <w:tc>
          <w:tcPr>
            <w:shd w:val="clear" w:color="auto" w:fill="auto"/>
            <w:tcW w:w="2291" w:type="dxa"/>
            <w:vAlign w:val="center"/>
            <w:textDirection w:val="lrTb"/>
            <w:noWrap/>
          </w:tcPr>
          <w:p>
            <w:pPr>
              <w:jc w:val="both"/>
              <w:keepLines w:val="0"/>
              <w:keepNext w:val="0"/>
              <w:pageBreakBefore w:val="0"/>
              <w:spacing w:before="100" w:beforeAutospacing="1" w:after="119" w:line="42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戴克森DS13U</w:t>
            </w:r>
            <w:r/>
          </w:p>
        </w:tc>
        <w:tc>
          <w:tcPr>
            <w:tcW w:w="2670" w:type="dxa"/>
            <w:vAlign w:val="center"/>
            <w:textDirection w:val="lrTb"/>
            <w:noWrap w:val="false"/>
          </w:tcPr>
          <w:p>
            <w:pPr>
              <w:jc w:val="both"/>
              <w:keepLines w:val="0"/>
              <w:keepNext w:val="0"/>
              <w:pageBreakBefore w:val="0"/>
              <w:spacing w:before="100" w:beforeAutospacing="1" w:after="119" w:line="42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单冷，13kw制冷量</w:t>
            </w:r>
            <w:r/>
          </w:p>
        </w:tc>
      </w:tr>
      <w:tr>
        <w:trPr>
          <w:cantSplit/>
          <w:jc w:val="center"/>
          <w:trHeight w:val="405"/>
        </w:trPr>
        <w:tc>
          <w:tcPr>
            <w:shd w:val="clear" w:color="auto" w:fill="auto"/>
            <w:tcW w:w="1288" w:type="dxa"/>
            <w:vAlign w:val="center"/>
            <w:vMerge w:val="continue"/>
            <w:textDirection w:val="lrTb"/>
            <w:noWrap w:val="false"/>
          </w:tcPr>
          <w:p>
            <w:pPr>
              <w:ind w:firstLine="485"/>
              <w:jc w:val="center"/>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2410" w:type="dxa"/>
            <w:vAlign w:val="center"/>
            <w:textDirection w:val="lrTb"/>
            <w:noWrap/>
          </w:tcPr>
          <w:p>
            <w:pPr>
              <w:jc w:val="both"/>
              <w:keepLines w:val="0"/>
              <w:keepNext w:val="0"/>
              <w:pageBreakBefore w:val="0"/>
              <w:spacing w:before="100" w:beforeAutospacing="1" w:after="119" w:line="42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空调（东4）</w:t>
            </w:r>
            <w:r/>
          </w:p>
        </w:tc>
        <w:tc>
          <w:tcPr>
            <w:shd w:val="clear" w:color="auto" w:fill="auto"/>
            <w:tcW w:w="2291" w:type="dxa"/>
            <w:vAlign w:val="center"/>
            <w:textDirection w:val="lrTb"/>
            <w:noWrap/>
          </w:tcPr>
          <w:p>
            <w:pPr>
              <w:jc w:val="both"/>
              <w:keepLines w:val="0"/>
              <w:keepNext w:val="0"/>
              <w:pageBreakBefore w:val="0"/>
              <w:spacing w:before="100" w:beforeAutospacing="1" w:after="119" w:line="42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戴克森DS13U</w:t>
            </w:r>
            <w:r/>
          </w:p>
        </w:tc>
        <w:tc>
          <w:tcPr>
            <w:tcW w:w="2670" w:type="dxa"/>
            <w:vAlign w:val="center"/>
            <w:textDirection w:val="lrTb"/>
            <w:noWrap w:val="false"/>
          </w:tcPr>
          <w:p>
            <w:pPr>
              <w:jc w:val="both"/>
              <w:keepLines w:val="0"/>
              <w:keepNext w:val="0"/>
              <w:pageBreakBefore w:val="0"/>
              <w:spacing w:before="100" w:beforeAutospacing="1" w:after="119" w:line="42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单冷，13kw制冷量</w:t>
            </w:r>
            <w:r/>
          </w:p>
        </w:tc>
      </w:tr>
      <w:tr>
        <w:trPr>
          <w:cantSplit/>
          <w:jc w:val="center"/>
          <w:trHeight w:val="405"/>
        </w:trPr>
        <w:tc>
          <w:tcPr>
            <w:shd w:val="clear" w:color="auto" w:fill="auto"/>
            <w:tcW w:w="1288" w:type="dxa"/>
            <w:vAlign w:val="center"/>
            <w:vMerge w:val="continue"/>
            <w:textDirection w:val="lrTb"/>
            <w:noWrap w:val="false"/>
          </w:tcPr>
          <w:p>
            <w:pPr>
              <w:ind w:firstLine="485"/>
              <w:jc w:val="center"/>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2410" w:type="dxa"/>
            <w:vAlign w:val="center"/>
            <w:textDirection w:val="lrTb"/>
            <w:noWrap/>
          </w:tcPr>
          <w:p>
            <w:pPr>
              <w:jc w:val="both"/>
              <w:keepLines w:val="0"/>
              <w:keepNext w:val="0"/>
              <w:pageBreakBefore w:val="0"/>
              <w:spacing w:before="100" w:beforeAutospacing="1" w:after="119" w:line="42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空调（东5）</w:t>
            </w:r>
            <w:r/>
          </w:p>
        </w:tc>
        <w:tc>
          <w:tcPr>
            <w:shd w:val="clear" w:color="auto" w:fill="auto"/>
            <w:tcW w:w="2291" w:type="dxa"/>
            <w:vAlign w:val="center"/>
            <w:textDirection w:val="lrTb"/>
            <w:noWrap/>
          </w:tcPr>
          <w:p>
            <w:pPr>
              <w:jc w:val="both"/>
              <w:keepLines w:val="0"/>
              <w:keepNext w:val="0"/>
              <w:pageBreakBefore w:val="0"/>
              <w:spacing w:before="100" w:beforeAutospacing="1" w:after="119" w:line="42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戴克森DE20U</w:t>
            </w:r>
            <w:r/>
          </w:p>
        </w:tc>
        <w:tc>
          <w:tcPr>
            <w:tcW w:w="2670" w:type="dxa"/>
            <w:vAlign w:val="center"/>
            <w:textDirection w:val="lrTb"/>
            <w:noWrap w:val="false"/>
          </w:tcPr>
          <w:p>
            <w:pPr>
              <w:jc w:val="both"/>
              <w:keepLines w:val="0"/>
              <w:keepNext w:val="0"/>
              <w:pageBreakBefore w:val="0"/>
              <w:spacing w:before="100" w:beforeAutospacing="1" w:after="119" w:line="42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单冷，20.1kw制冷量</w:t>
            </w:r>
            <w:r/>
          </w:p>
        </w:tc>
      </w:tr>
      <w:tr>
        <w:trPr>
          <w:cantSplit/>
          <w:jc w:val="center"/>
          <w:trHeight w:val="405"/>
        </w:trPr>
        <w:tc>
          <w:tcPr>
            <w:shd w:val="clear" w:color="auto" w:fill="auto"/>
            <w:tcW w:w="1288" w:type="dxa"/>
            <w:vAlign w:val="center"/>
            <w:vMerge w:val="continue"/>
            <w:textDirection w:val="lrTb"/>
            <w:noWrap w:val="false"/>
          </w:tcPr>
          <w:p>
            <w:pPr>
              <w:ind w:firstLine="485"/>
              <w:jc w:val="center"/>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2410" w:type="dxa"/>
            <w:vAlign w:val="center"/>
            <w:textDirection w:val="lrTb"/>
            <w:noWrap/>
          </w:tcPr>
          <w:p>
            <w:pPr>
              <w:jc w:val="both"/>
              <w:keepLines w:val="0"/>
              <w:keepNext w:val="0"/>
              <w:pageBreakBefore w:val="0"/>
              <w:spacing w:before="100" w:beforeAutospacing="1" w:after="119" w:line="42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空调1</w:t>
            </w:r>
            <w:r/>
          </w:p>
        </w:tc>
        <w:tc>
          <w:tcPr>
            <w:shd w:val="clear" w:color="auto" w:fill="auto"/>
            <w:tcW w:w="2291" w:type="dxa"/>
            <w:vAlign w:val="center"/>
            <w:textDirection w:val="lrTb"/>
            <w:noWrap/>
          </w:tcPr>
          <w:p>
            <w:pPr>
              <w:jc w:val="both"/>
              <w:keepLines w:val="0"/>
              <w:keepNext w:val="0"/>
              <w:pageBreakBefore w:val="0"/>
              <w:spacing w:before="100" w:beforeAutospacing="1" w:after="119" w:line="42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戴克森DE20U</w:t>
            </w:r>
            <w:r/>
          </w:p>
        </w:tc>
        <w:tc>
          <w:tcPr>
            <w:tcW w:w="2670" w:type="dxa"/>
            <w:vAlign w:val="center"/>
            <w:textDirection w:val="lrTb"/>
            <w:noWrap w:val="false"/>
          </w:tcPr>
          <w:p>
            <w:pPr>
              <w:jc w:val="both"/>
              <w:keepLines w:val="0"/>
              <w:keepNext w:val="0"/>
              <w:pageBreakBefore w:val="0"/>
              <w:spacing w:before="100" w:beforeAutospacing="1" w:after="119" w:line="42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单冷，20.1kw制冷量</w:t>
            </w:r>
            <w:r/>
          </w:p>
        </w:tc>
      </w:tr>
      <w:tr>
        <w:trPr>
          <w:cantSplit/>
          <w:jc w:val="center"/>
          <w:trHeight w:val="405"/>
        </w:trPr>
        <w:tc>
          <w:tcPr>
            <w:shd w:val="clear" w:color="auto" w:fill="auto"/>
            <w:tcW w:w="1288" w:type="dxa"/>
            <w:vAlign w:val="center"/>
            <w:vMerge w:val="continue"/>
            <w:textDirection w:val="lrTb"/>
            <w:noWrap w:val="false"/>
          </w:tcPr>
          <w:p>
            <w:pPr>
              <w:ind w:firstLine="485"/>
              <w:jc w:val="center"/>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2410" w:type="dxa"/>
            <w:vAlign w:val="center"/>
            <w:textDirection w:val="lrTb"/>
            <w:noWrap/>
          </w:tcPr>
          <w:p>
            <w:pPr>
              <w:jc w:val="both"/>
              <w:keepLines w:val="0"/>
              <w:keepNext w:val="0"/>
              <w:pageBreakBefore w:val="0"/>
              <w:spacing w:before="100" w:beforeAutospacing="1" w:after="119" w:line="42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电力机房空调1</w:t>
            </w:r>
            <w:r/>
          </w:p>
        </w:tc>
        <w:tc>
          <w:tcPr>
            <w:shd w:val="clear" w:color="auto" w:fill="auto"/>
            <w:tcW w:w="2291" w:type="dxa"/>
            <w:vAlign w:val="center"/>
            <w:textDirection w:val="lrTb"/>
            <w:noWrap/>
          </w:tcPr>
          <w:p>
            <w:pPr>
              <w:jc w:val="both"/>
              <w:keepLines w:val="0"/>
              <w:keepNext w:val="0"/>
              <w:pageBreakBefore w:val="0"/>
              <w:spacing w:before="100" w:beforeAutospacing="1" w:after="119" w:line="42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依米康SCA301EU</w:t>
            </w:r>
            <w:r/>
          </w:p>
        </w:tc>
        <w:tc>
          <w:tcPr>
            <w:tcW w:w="2670" w:type="dxa"/>
            <w:vAlign w:val="center"/>
            <w:textDirection w:val="lrTb"/>
            <w:noWrap w:val="false"/>
          </w:tcPr>
          <w:p>
            <w:pPr>
              <w:jc w:val="both"/>
              <w:keepLines w:val="0"/>
              <w:keepNext w:val="0"/>
              <w:pageBreakBefore w:val="0"/>
              <w:spacing w:before="100" w:beforeAutospacing="1" w:after="119" w:line="42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单冷，30.3kw制冷量</w:t>
            </w:r>
            <w:r/>
          </w:p>
        </w:tc>
      </w:tr>
      <w:tr>
        <w:trPr>
          <w:cantSplit/>
          <w:jc w:val="center"/>
          <w:trHeight w:val="405"/>
        </w:trPr>
        <w:tc>
          <w:tcPr>
            <w:shd w:val="clear" w:color="auto" w:fill="auto"/>
            <w:tcW w:w="1288" w:type="dxa"/>
            <w:vAlign w:val="center"/>
            <w:vMerge w:val="continue"/>
            <w:textDirection w:val="lrTb"/>
            <w:noWrap w:val="false"/>
          </w:tcPr>
          <w:p>
            <w:pPr>
              <w:ind w:firstLine="485"/>
              <w:jc w:val="center"/>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2410" w:type="dxa"/>
            <w:vAlign w:val="center"/>
            <w:textDirection w:val="lrTb"/>
            <w:noWrap/>
          </w:tcPr>
          <w:p>
            <w:pPr>
              <w:jc w:val="both"/>
              <w:keepLines w:val="0"/>
              <w:keepNext w:val="0"/>
              <w:pageBreakBefore w:val="0"/>
              <w:spacing w:before="100" w:beforeAutospacing="1" w:after="119" w:line="42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电力机房空调2</w:t>
            </w:r>
            <w:r/>
          </w:p>
        </w:tc>
        <w:tc>
          <w:tcPr>
            <w:shd w:val="clear" w:color="auto" w:fill="auto"/>
            <w:tcW w:w="2291" w:type="dxa"/>
            <w:vAlign w:val="center"/>
            <w:textDirection w:val="lrTb"/>
            <w:noWrap/>
          </w:tcPr>
          <w:p>
            <w:pPr>
              <w:jc w:val="both"/>
              <w:keepLines w:val="0"/>
              <w:keepNext w:val="0"/>
              <w:pageBreakBefore w:val="0"/>
              <w:spacing w:before="100" w:beforeAutospacing="1" w:after="119" w:line="42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戴克森DS08U</w:t>
            </w:r>
            <w:r/>
          </w:p>
        </w:tc>
        <w:tc>
          <w:tcPr>
            <w:tcW w:w="2670" w:type="dxa"/>
            <w:vAlign w:val="center"/>
            <w:textDirection w:val="lrTb"/>
            <w:noWrap w:val="false"/>
          </w:tcPr>
          <w:p>
            <w:pPr>
              <w:jc w:val="both"/>
              <w:keepLines w:val="0"/>
              <w:keepNext w:val="0"/>
              <w:pageBreakBefore w:val="0"/>
              <w:spacing w:before="100" w:beforeAutospacing="1" w:after="119" w:line="42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单冷，8kw制冷量</w:t>
            </w:r>
            <w:r/>
          </w:p>
        </w:tc>
      </w:tr>
      <w:tr>
        <w:trPr>
          <w:cantSplit/>
          <w:jc w:val="center"/>
          <w:trHeight w:val="405"/>
        </w:trPr>
        <w:tc>
          <w:tcPr>
            <w:shd w:val="clear" w:color="auto" w:fill="auto"/>
            <w:tcW w:w="1288" w:type="dxa"/>
            <w:vAlign w:val="center"/>
            <w:vMerge w:val="restart"/>
            <w:textDirection w:val="lrTb"/>
            <w:noWrap/>
          </w:tcPr>
          <w:p>
            <w:pPr>
              <w:jc w:val="center"/>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UPS</w:t>
            </w:r>
            <w:r/>
          </w:p>
        </w:tc>
        <w:tc>
          <w:tcPr>
            <w:shd w:val="clear" w:color="auto" w:fill="auto"/>
            <w:tcW w:w="2410" w:type="dxa"/>
            <w:vAlign w:val="center"/>
            <w:textDirection w:val="lrTb"/>
            <w:noWrap/>
          </w:tcPr>
          <w:p>
            <w:pPr>
              <w:jc w:val="both"/>
              <w:keepLines w:val="0"/>
              <w:keepNext w:val="0"/>
              <w:pageBreakBefore w:val="0"/>
              <w:spacing w:before="100" w:beforeAutospacing="1" w:after="119" w:line="42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电力机房戴克森UPS</w:t>
            </w:r>
            <w:r/>
          </w:p>
        </w:tc>
        <w:tc>
          <w:tcPr>
            <w:shd w:val="clear" w:color="auto" w:fill="auto"/>
            <w:tcW w:w="2291" w:type="dxa"/>
            <w:vAlign w:val="center"/>
            <w:textDirection w:val="lrTb"/>
            <w:noWrap/>
          </w:tcPr>
          <w:p>
            <w:pPr>
              <w:jc w:val="both"/>
              <w:keepLines w:val="0"/>
              <w:keepNext w:val="0"/>
              <w:pageBreakBefore w:val="0"/>
              <w:spacing w:before="100" w:beforeAutospacing="1" w:after="0" w:line="42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戴克森MDR180/30L</w:t>
            </w:r>
            <w:r/>
          </w:p>
        </w:tc>
        <w:tc>
          <w:tcPr>
            <w:tcW w:w="2670" w:type="dxa"/>
            <w:vAlign w:val="center"/>
            <w:textDirection w:val="lrTb"/>
            <w:noWrap w:val="false"/>
          </w:tcPr>
          <w:p>
            <w:pPr>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405"/>
        </w:trPr>
        <w:tc>
          <w:tcPr>
            <w:tcW w:w="1288" w:type="dxa"/>
            <w:vAlign w:val="center"/>
            <w:vMerge w:val="continue"/>
            <w:textDirection w:val="lrTb"/>
            <w:noWrap w:val="false"/>
          </w:tcPr>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2410" w:type="dxa"/>
            <w:vAlign w:val="center"/>
            <w:textDirection w:val="lrTb"/>
            <w:noWrap/>
          </w:tcPr>
          <w:p>
            <w:pPr>
              <w:jc w:val="both"/>
              <w:keepLines w:val="0"/>
              <w:keepNext w:val="0"/>
              <w:pageBreakBefore w:val="0"/>
              <w:spacing w:before="100" w:beforeAutospacing="1" w:after="119" w:line="42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电力机房戴克森UPS</w:t>
            </w:r>
            <w:r/>
          </w:p>
        </w:tc>
        <w:tc>
          <w:tcPr>
            <w:shd w:val="clear" w:color="auto" w:fill="auto"/>
            <w:tcW w:w="2291" w:type="dxa"/>
            <w:vAlign w:val="center"/>
            <w:textDirection w:val="lrTb"/>
            <w:noWrap/>
          </w:tcPr>
          <w:p>
            <w:pPr>
              <w:jc w:val="both"/>
              <w:keepLines w:val="0"/>
              <w:keepNext w:val="0"/>
              <w:pageBreakBefore w:val="0"/>
              <w:spacing w:before="100" w:beforeAutospacing="1" w:after="0" w:line="42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戴克森MDR180/30L</w:t>
            </w:r>
            <w:r/>
          </w:p>
        </w:tc>
        <w:tc>
          <w:tcPr>
            <w:tcW w:w="2670" w:type="dxa"/>
            <w:vAlign w:val="center"/>
            <w:textDirection w:val="lrTb"/>
            <w:noWrap w:val="false"/>
          </w:tcPr>
          <w:p>
            <w:pPr>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1.2维保要求</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1.2.1在合同签订后两周内针对“1.1硬件设备”中的“维保设备清单1”、中的设备进行全面排查，对检测的设备软硬件故障和各类隐患形成解决方案并提交采购人</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由</w:t>
      </w:r>
      <w:r>
        <w:rPr>
          <w:rFonts w:hint="eastAsia" w:ascii="宋体" w:hAnsi="宋体" w:eastAsia="宋体" w:cs="宋体"/>
          <w:sz w:val="24"/>
          <w:szCs w:val="24"/>
          <w:highlight w:val="none"/>
        </w:rPr>
        <w:t xml:space="preserve">采购人认可</w:t>
      </w:r>
      <w:r>
        <w:rPr>
          <w:rFonts w:hint="eastAsia" w:ascii="宋体" w:hAnsi="宋体" w:cs="宋体"/>
          <w:sz w:val="24"/>
          <w:szCs w:val="24"/>
          <w:highlight w:val="none"/>
          <w:lang w:val="en-US" w:eastAsia="zh-CN"/>
        </w:rPr>
        <w:t xml:space="preserve">并</w:t>
      </w:r>
      <w:r>
        <w:rPr>
          <w:rFonts w:hint="eastAsia" w:ascii="宋体" w:hAnsi="宋体" w:eastAsia="宋体" w:cs="宋体"/>
          <w:sz w:val="24"/>
          <w:szCs w:val="24"/>
          <w:highlight w:val="none"/>
        </w:rPr>
        <w:t xml:space="preserve">监督中标人解决相关问题。若未能按照上述要求完成，采购人将根据运维评分对相应部分进行扣分，直至整改完毕。</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中标人应全面掌握采购人现有精密空调、UPS及配套设施的运行状态、系统架构、部署情况和现行维护模式，建立设备运行档案及维护台账，具备相应专业技术能力和备件保障能力。能够依据设备运行情况、负载变化、环境条件及历史故障等各类情况，为采购人提供专业化运行维护建议，包括但不限于空调运行参数优化、制冷策略调整、UPS运行状态优化、能效提升及风险预警建议，以保障设备长期稳定运行。</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建立常态化巡检机制，提供7×24小时运维保障服务，对数据中心精密空调、UPS及相关基础设施开展周期性巡检、检测与预防性维护。巡检内容应至少包括设备运行状态、告警信息、关键参数。供配电状态、温湿度环境、制冷系统状态、电池运行情况、设备清洁及安全隐患检查等。每次巡检结束后，应向采购人提交书面巡检报告。报告应明确设备运行情况、存在问题、风险隐患、故障处理情况及后续整改建议，并及时与采购人进行沟通确认，推动问题闭环整改。</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建立7×24小时故障响应机制，及时处理设备运行告警、突发故障及异常事件，采取有效措施恢复设备正常运行，确保业务环境稳定。维保期限内，因设备故障产生的维修、更换、调试及恢复工作均由中标人负责完成，不得额外收取任何费用。故障处置过程中所涉及的零部件、耗材及配件应由中标人统一提供，并确保为设备原厂配件或满足原厂技术标准的替换件。因故障更换的原设备部件以及维保期间新增采购的备件产权归采购人所有。</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1.2.5承担数据中心基础运行环境的7×24小时安全保障职责，对机房运行环境实施持续监测和巡查，包括但不限于温湿度异常、漏水、供配电异常、消防联动、动环告警等情况；承担采购人指定的按需维护，如设备移机、动环续费、排水管路改造、地面墙体维修、机房环境清理等。针对机房环境告警或异常事件，应及时组织排查和处置，消除安全隐患，降低设备运行风险，保障机房基础设施安全稳定运行，避免因环境问题引发业务中断或设备损坏。因各类事件处理引起的维护费用，完全由中标</w:t>
      </w:r>
      <w:r>
        <w:rPr>
          <w:rFonts w:hint="eastAsia" w:ascii="宋体" w:hAnsi="宋体" w:cs="宋体"/>
          <w:sz w:val="24"/>
          <w:szCs w:val="24"/>
          <w:highlight w:val="none"/>
          <w:lang w:val="en-US" w:eastAsia="zh-CN"/>
        </w:rPr>
        <w:t xml:space="preserve">人</w:t>
      </w:r>
      <w:r>
        <w:rPr>
          <w:rFonts w:hint="eastAsia" w:ascii="宋体" w:hAnsi="宋体" w:eastAsia="宋体" w:cs="宋体"/>
          <w:sz w:val="24"/>
          <w:szCs w:val="24"/>
          <w:highlight w:val="none"/>
        </w:rPr>
        <w:t xml:space="preserve">承</w:t>
      </w:r>
      <w:r>
        <w:rPr>
          <w:rFonts w:hint="eastAsia" w:ascii="宋体" w:hAnsi="宋体" w:cs="宋体"/>
          <w:sz w:val="24"/>
          <w:szCs w:val="24"/>
          <w:highlight w:val="none"/>
          <w:lang w:val="en-US" w:eastAsia="zh-CN"/>
        </w:rPr>
        <w:t xml:space="preserve">担</w:t>
      </w:r>
      <w:r>
        <w:rPr>
          <w:rFonts w:hint="eastAsia" w:ascii="宋体" w:hAnsi="宋体" w:eastAsia="宋体" w:cs="宋体"/>
          <w:sz w:val="24"/>
          <w:szCs w:val="24"/>
          <w:highlight w:val="none"/>
        </w:rPr>
        <w:t xml:space="preserve">，采购人不再进行额外支付。</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1.2.6应指定专门技术负责人及服务对接人员，建立日常沟通、故障升级及重大问题协商机制。对于影响机房和各类环境设备安全运行的重要风险、重复性故障及潜在隐患，应及时形成专项分析报告并提出整改建议。采购人有权对巡检质量、响应效率、故障修复情况及服务履约情况进行监督评价，中标人应积极配合并持续优化服务质量。</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1.2.7严格执行采购人机房管理制度及运维规范，负责机房日常运行秩序和安全管理，包括但不限于人员出入审批配合、登记备案、现场作业监督、值守管理及外来人员施工过程管控；按照采购人要求对系统上线、变更、停机、监控告警、故障响应及异常事件进行全过程管理，确保问题及时处置、升级报告和闭环跟踪，保障数据中心安全稳定运行。</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1.2.8建立机房设备、系统资源及物资台账，依托采购人运维平台及时更新相关信息，确保设备、材料及配置数据账实一致；负责机房环境维护及现场规范化管理，按要求定期开展机房环境清洁、物品整理、线缆规整等工作。因履职不到位导致设备、材料遗失或管理失控的，采购人有权依法追究责任，情节严重的有权解除合同。</w:t>
      </w:r>
      <w:r/>
    </w:p>
    <w:p>
      <w:pPr>
        <w:ind w:firstLine="485"/>
        <w:keepLines w:val="0"/>
        <w:keepNext w:val="0"/>
        <w:pageBreakBefore w:val="0"/>
        <w:spacing w:line="420" w:lineRule="exact"/>
        <w:tabs>
          <w:tab w:val="left" w:pos="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2.IT基础设施硬件资源维保要求</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2.1硬件设备</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维保设备清单2</w:t>
      </w:r>
      <w:r/>
    </w:p>
    <w:tbl>
      <w:tblPr>
        <w:tblStyle w:val="693"/>
        <w:tblW w:w="92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17"/>
        <w:gridCol w:w="780"/>
        <w:gridCol w:w="2688"/>
        <w:gridCol w:w="2698"/>
      </w:tblGrid>
      <w:tr>
        <w:trPr>
          <w:jc w:val="center"/>
          <w:trHeight w:val="270"/>
        </w:trPr>
        <w:tc>
          <w:tcPr>
            <w:shd w:val="clear" w:color="auto" w:fill="auto"/>
            <w:tcW w:w="3117" w:type="dxa"/>
            <w:vAlign w:val="center"/>
            <w:textDirection w:val="lrTb"/>
            <w:noWrap/>
          </w:tcPr>
          <w:p>
            <w:pPr>
              <w:jc w:val="cente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系统平台描述/用途描述</w:t>
            </w:r>
            <w:r/>
          </w:p>
        </w:tc>
        <w:tc>
          <w:tcPr>
            <w:shd w:val="clear" w:color="auto" w:fill="auto"/>
            <w:tcW w:w="780" w:type="dxa"/>
            <w:vAlign w:val="center"/>
            <w:textDirection w:val="lrTb"/>
            <w:noWrap/>
          </w:tcPr>
          <w:p>
            <w:pPr>
              <w:jc w:val="cente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c>
          <w:tcPr>
            <w:shd w:val="clear" w:color="auto" w:fill="auto"/>
            <w:tcW w:w="2688" w:type="dxa"/>
            <w:vAlign w:val="center"/>
            <w:textDirection w:val="lrTb"/>
            <w:noWrap/>
          </w:tcPr>
          <w:p>
            <w:pPr>
              <w:jc w:val="cente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硬件或平台型号</w:t>
            </w:r>
            <w:r/>
          </w:p>
        </w:tc>
        <w:tc>
          <w:tcPr>
            <w:shd w:val="clear" w:color="auto" w:fill="auto"/>
            <w:tcW w:w="2698" w:type="dxa"/>
            <w:vAlign w:val="center"/>
            <w:textDirection w:val="lrTb"/>
            <w:noWrap/>
          </w:tcPr>
          <w:p>
            <w:pPr>
              <w:ind w:firstLine="485"/>
              <w:jc w:val="cente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描述</w:t>
            </w:r>
            <w:r/>
          </w:p>
        </w:tc>
      </w:tr>
      <w:tr>
        <w:trPr>
          <w:jc w:val="center"/>
          <w:trHeight w:val="540"/>
        </w:trPr>
        <w:tc>
          <w:tcPr>
            <w:shd w:val="clear" w:color="auto" w:fill="auto"/>
            <w:tcW w:w="3117" w:type="dxa"/>
            <w:vAlign w:val="center"/>
            <w:textDirection w:val="lrTb"/>
            <w:noWrap/>
          </w:tcPr>
          <w:p>
            <w:pPr>
              <w:jc w:val="lef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分布式存储系统平台-1</w:t>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31台</w:t>
            </w:r>
            <w:r/>
          </w:p>
        </w:tc>
        <w:tc>
          <w:tcPr>
            <w:shd w:val="clear" w:color="auto" w:fill="auto"/>
            <w:tcW w:w="2688" w:type="dxa"/>
            <w:vAlign w:val="center"/>
            <w:textDirection w:val="lrTb"/>
            <w:noWrap/>
          </w:tcPr>
          <w:p>
            <w:pPr>
              <w:jc w:val="lef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华为OceanStor9000</w:t>
            </w:r>
            <w:r/>
          </w:p>
        </w:tc>
        <w:tc>
          <w:tcPr>
            <w:shd w:val="clear" w:color="auto" w:fill="auto"/>
            <w:tcW w:w="2698" w:type="dxa"/>
            <w:vAlign w:val="center"/>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31节点P36 4U存储节点(满硬盘)</w:t>
            </w:r>
            <w:r/>
          </w:p>
        </w:tc>
      </w:tr>
      <w:tr>
        <w:trPr>
          <w:jc w:val="center"/>
          <w:trHeight w:val="540"/>
        </w:trPr>
        <w:tc>
          <w:tcPr>
            <w:shd w:val="clear" w:color="auto" w:fill="auto"/>
            <w:tcW w:w="3117" w:type="dxa"/>
            <w:vAlign w:val="center"/>
            <w:textDirection w:val="lrTb"/>
            <w:noWrap/>
          </w:tcPr>
          <w:p>
            <w:pPr>
              <w:jc w:val="lef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分布式存储系统平台-2</w:t>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3台</w:t>
            </w:r>
            <w:r/>
          </w:p>
        </w:tc>
        <w:tc>
          <w:tcPr>
            <w:shd w:val="clear" w:color="auto" w:fill="auto"/>
            <w:tcW w:w="2688" w:type="dxa"/>
            <w:vAlign w:val="center"/>
            <w:textDirection w:val="lrTb"/>
            <w:noWrap/>
          </w:tcPr>
          <w:p>
            <w:pPr>
              <w:jc w:val="lef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华为OceanStor9000</w:t>
            </w:r>
            <w:r/>
          </w:p>
        </w:tc>
        <w:tc>
          <w:tcPr>
            <w:shd w:val="clear" w:color="auto" w:fill="auto"/>
            <w:tcW w:w="2698" w:type="dxa"/>
            <w:vAlign w:val="center"/>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3节点P36E 4U存储节点（满硬盘）</w:t>
            </w:r>
            <w:r/>
          </w:p>
        </w:tc>
      </w:tr>
      <w:tr>
        <w:trPr>
          <w:jc w:val="center"/>
          <w:trHeight w:val="540"/>
        </w:trPr>
        <w:tc>
          <w:tcPr>
            <w:shd w:val="clear" w:color="auto" w:fill="auto"/>
            <w:tcW w:w="3117" w:type="dxa"/>
            <w:vAlign w:val="center"/>
            <w:textDirection w:val="lrTb"/>
            <w:noWrap/>
          </w:tcPr>
          <w:p>
            <w:pPr>
              <w:jc w:val="lef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分布式存储系统平台-3</w:t>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4台</w:t>
            </w:r>
            <w:r/>
          </w:p>
        </w:tc>
        <w:tc>
          <w:tcPr>
            <w:shd w:val="clear" w:color="auto" w:fill="auto"/>
            <w:tcW w:w="2688" w:type="dxa"/>
            <w:vAlign w:val="center"/>
            <w:textDirection w:val="lrTb"/>
            <w:noWrap/>
          </w:tcPr>
          <w:p>
            <w:pPr>
              <w:jc w:val="lef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华为OceanStor9000</w:t>
            </w:r>
            <w:r/>
          </w:p>
        </w:tc>
        <w:tc>
          <w:tcPr>
            <w:shd w:val="clear" w:color="auto" w:fill="auto"/>
            <w:tcW w:w="2698" w:type="dxa"/>
            <w:vAlign w:val="center"/>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4节点C36X-H 4U存储节点（满硬盘）</w:t>
            </w:r>
            <w:r/>
          </w:p>
        </w:tc>
      </w:tr>
      <w:tr>
        <w:trPr>
          <w:jc w:val="center"/>
          <w:trHeight w:val="540"/>
        </w:trPr>
        <w:tc>
          <w:tcPr>
            <w:shd w:val="clear" w:color="auto" w:fill="auto"/>
            <w:tcW w:w="3117" w:type="dxa"/>
            <w:vAlign w:val="center"/>
            <w:textDirection w:val="lrTb"/>
            <w:noWrap/>
          </w:tcPr>
          <w:p>
            <w:pPr>
              <w:jc w:val="lef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分布式存储系统平台-4</w:t>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3台</w:t>
            </w:r>
            <w:r/>
          </w:p>
        </w:tc>
        <w:tc>
          <w:tcPr>
            <w:shd w:val="clear" w:color="auto" w:fill="auto"/>
            <w:tcW w:w="2688" w:type="dxa"/>
            <w:vAlign w:val="center"/>
            <w:textDirection w:val="lrTb"/>
            <w:noWrap/>
          </w:tcPr>
          <w:p>
            <w:pPr>
              <w:jc w:val="lef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华为OceanStor9000</w:t>
            </w:r>
            <w:r/>
          </w:p>
        </w:tc>
        <w:tc>
          <w:tcPr>
            <w:shd w:val="clear" w:color="auto" w:fill="auto"/>
            <w:tcW w:w="2698" w:type="dxa"/>
            <w:vAlign w:val="center"/>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3节点C36X 4U存储节点（满硬盘）</w:t>
            </w:r>
            <w:r/>
          </w:p>
        </w:tc>
      </w:tr>
      <w:tr>
        <w:trPr>
          <w:jc w:val="center"/>
          <w:trHeight w:val="270"/>
        </w:trPr>
        <w:tc>
          <w:tcPr>
            <w:shd w:val="clear" w:color="auto" w:fill="auto"/>
            <w:tcW w:w="3117" w:type="dxa"/>
            <w:vAlign w:val="center"/>
            <w:textDirection w:val="lrTb"/>
            <w:noWrap/>
          </w:tcPr>
          <w:p>
            <w:pPr>
              <w:jc w:val="lef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虚拟化业务系统平台-1</w:t>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1套</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华为E9000</w:t>
            </w:r>
            <w:r/>
          </w:p>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FusionCompute V1R5</w:t>
            </w:r>
            <w:r/>
          </w:p>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FusionStorage V1R3</w:t>
            </w:r>
            <w:r/>
          </w:p>
        </w:tc>
        <w:tc>
          <w:tcPr>
            <w:shd w:val="clear" w:color="auto" w:fill="auto"/>
            <w:tcW w:w="269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刀片服务器（含2个CH121数据库计算节点、1个CH121管理节点、3个CH223和3个CH220 V3存储节点，满配交换模块和管理模块）</w:t>
            </w:r>
            <w:r/>
          </w:p>
        </w:tc>
      </w:tr>
      <w:tr>
        <w:trPr>
          <w:jc w:val="center"/>
          <w:trHeight w:val="540"/>
        </w:trPr>
        <w:tc>
          <w:tcPr>
            <w:shd w:val="clear" w:color="auto" w:fill="auto"/>
            <w:tcW w:w="3117" w:type="dxa"/>
            <w:vAlign w:val="center"/>
            <w:textDirection w:val="lrTb"/>
            <w:noWrap/>
          </w:tcPr>
          <w:p>
            <w:pPr>
              <w:jc w:val="lef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虚拟化业务系统平台-2</w:t>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3套</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华为E9000</w:t>
            </w:r>
            <w:r/>
          </w:p>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FusionCompute V1R5</w:t>
            </w:r>
            <w:r/>
          </w:p>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FusionStorage V1R3</w:t>
            </w:r>
            <w:r/>
          </w:p>
        </w:tc>
        <w:tc>
          <w:tcPr>
            <w:shd w:val="clear" w:color="auto" w:fill="auto"/>
            <w:tcW w:w="2698" w:type="dxa"/>
            <w:vAlign w:val="center"/>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刀片服务器（共计含24个CH222计算节点，满配磁盘、满配管理模块、8个交换模块）</w:t>
            </w:r>
            <w:r/>
          </w:p>
        </w:tc>
      </w:tr>
      <w:tr>
        <w:trPr>
          <w:jc w:val="center"/>
          <w:trHeight w:val="270"/>
        </w:trPr>
        <w:tc>
          <w:tcPr>
            <w:shd w:val="clear" w:color="auto" w:fill="auto"/>
            <w:tcW w:w="3117" w:type="dxa"/>
            <w:vAlign w:val="center"/>
            <w:vMerge w:val="restart"/>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大数据业务系统平台</w:t>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华为2288H V5</w:t>
            </w:r>
            <w:r/>
          </w:p>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FusionInsight HD</w:t>
            </w:r>
            <w:r/>
          </w:p>
        </w:tc>
        <w:tc>
          <w:tcPr>
            <w:shd w:val="clear" w:color="auto" w:fill="auto"/>
            <w:tcW w:w="269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通用机架式服务器</w:t>
            </w:r>
            <w:r/>
          </w:p>
        </w:tc>
      </w:tr>
      <w:tr>
        <w:trPr>
          <w:jc w:val="center"/>
          <w:trHeight w:val="270"/>
        </w:trPr>
        <w:tc>
          <w:tcPr>
            <w:shd w:val="clear" w:color="auto" w:fill="auto"/>
            <w:tcW w:w="3117" w:type="dxa"/>
            <w:vAlign w:val="center"/>
            <w:vMerge w:val="continue"/>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华为2288H V5</w:t>
            </w:r>
            <w:r/>
          </w:p>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FusionInsight HD</w:t>
            </w:r>
            <w:r/>
          </w:p>
        </w:tc>
        <w:tc>
          <w:tcPr>
            <w:shd w:val="clear" w:color="auto" w:fill="auto"/>
            <w:tcW w:w="269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通用机架式服务器</w:t>
            </w:r>
            <w:r/>
          </w:p>
          <w:p>
            <w:pPr>
              <w:jc w:val="left"/>
              <w:spacing w:after="100" w:line="259"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（2027.04过保）</w:t>
            </w:r>
            <w:r/>
          </w:p>
        </w:tc>
      </w:tr>
      <w:tr>
        <w:trPr>
          <w:jc w:val="center"/>
          <w:trHeight w:val="270"/>
        </w:trPr>
        <w:tc>
          <w:tcPr>
            <w:shd w:val="clear" w:color="auto" w:fill="auto"/>
            <w:tcW w:w="3117" w:type="dxa"/>
            <w:vAlign w:val="center"/>
            <w:vMerge w:val="restart"/>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虚拟化业务系统平台-3</w:t>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华为TaiShan 200</w:t>
            </w:r>
            <w:r/>
          </w:p>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FusionCompute 8.2</w:t>
            </w:r>
            <w:r/>
          </w:p>
        </w:tc>
        <w:tc>
          <w:tcPr>
            <w:shd w:val="clear" w:color="auto" w:fill="auto"/>
            <w:tcW w:w="269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通用机架式服务器</w:t>
            </w:r>
            <w:r/>
          </w:p>
        </w:tc>
      </w:tr>
      <w:tr>
        <w:trPr>
          <w:jc w:val="center"/>
          <w:trHeight w:val="270"/>
        </w:trPr>
        <w:tc>
          <w:tcPr>
            <w:shd w:val="clear" w:color="auto" w:fill="auto"/>
            <w:tcW w:w="3117" w:type="dxa"/>
            <w:vAlign w:val="center"/>
            <w:vMerge w:val="continue"/>
            <w:textDirection w:val="lrTb"/>
            <w:noWrap/>
          </w:tcPr>
          <w:p>
            <w:pPr>
              <w:ind w:firstLine="485"/>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曙光I640-G15</w:t>
            </w:r>
            <w:r/>
          </w:p>
        </w:tc>
        <w:tc>
          <w:tcPr>
            <w:shd w:val="clear" w:color="auto" w:fill="auto"/>
            <w:tcW w:w="269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存储型机架式服务器</w:t>
            </w:r>
            <w:r/>
          </w:p>
        </w:tc>
      </w:tr>
      <w:tr>
        <w:trPr>
          <w:jc w:val="center"/>
          <w:trHeight w:val="270"/>
        </w:trPr>
        <w:tc>
          <w:tcPr>
            <w:shd w:val="clear" w:color="auto" w:fill="auto"/>
            <w:tcW w:w="3117"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负载均衡系统平台</w:t>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A10 Thunder1040</w:t>
            </w:r>
            <w:r/>
          </w:p>
        </w:tc>
        <w:tc>
          <w:tcPr>
            <w:shd w:val="clear" w:color="auto" w:fill="auto"/>
            <w:tcW w:w="269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1U机架式设备</w:t>
            </w:r>
            <w:r/>
          </w:p>
        </w:tc>
      </w:tr>
      <w:tr>
        <w:trPr>
          <w:jc w:val="center"/>
          <w:trHeight w:val="540"/>
        </w:trPr>
        <w:tc>
          <w:tcPr>
            <w:shd w:val="clear" w:color="auto" w:fill="auto"/>
            <w:tcW w:w="3117"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业务服务器-1</w:t>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39台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曙光I620-G30</w:t>
            </w:r>
            <w:r/>
          </w:p>
        </w:tc>
        <w:tc>
          <w:tcPr>
            <w:shd w:val="clear" w:color="auto" w:fill="auto"/>
            <w:tcW w:w="2698" w:type="dxa"/>
            <w:vAlign w:val="center"/>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通用机架式服务器</w:t>
            </w:r>
            <w:r/>
          </w:p>
        </w:tc>
      </w:tr>
      <w:tr>
        <w:trPr>
          <w:jc w:val="center"/>
          <w:trHeight w:val="270"/>
        </w:trPr>
        <w:tc>
          <w:tcPr>
            <w:shd w:val="clear" w:color="auto" w:fill="auto"/>
            <w:tcW w:w="3117"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业务服务器-2</w:t>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IBM System x3550 M4</w:t>
            </w:r>
            <w:r/>
          </w:p>
        </w:tc>
        <w:tc>
          <w:tcPr>
            <w:shd w:val="clear" w:color="auto" w:fill="auto"/>
            <w:tcW w:w="269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通用机架式服务器</w:t>
            </w:r>
            <w:r/>
          </w:p>
        </w:tc>
      </w:tr>
      <w:tr>
        <w:trPr>
          <w:jc w:val="center"/>
          <w:trHeight w:val="312"/>
        </w:trPr>
        <w:tc>
          <w:tcPr>
            <w:shd w:val="clear" w:color="auto" w:fill="auto"/>
            <w:tcW w:w="3117" w:type="dxa"/>
            <w:vAlign w:val="center"/>
            <w:vMerge w:val="restart"/>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虚拟化业务系统平台-4</w:t>
            </w:r>
            <w:r/>
          </w:p>
        </w:tc>
        <w:tc>
          <w:tcPr>
            <w:shd w:val="clear" w:color="auto" w:fill="auto"/>
            <w:tcW w:w="780" w:type="dxa"/>
            <w:vAlign w:val="center"/>
            <w:vMerge w:val="restart"/>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5台</w:t>
            </w:r>
            <w:r/>
          </w:p>
        </w:tc>
        <w:tc>
          <w:tcPr>
            <w:shd w:val="clear" w:color="auto" w:fill="auto"/>
            <w:tcW w:w="2688" w:type="dxa"/>
            <w:vAlign w:val="center"/>
            <w:vMerge w:val="restart"/>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华为RH2288H V3</w:t>
            </w:r>
            <w:r/>
          </w:p>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FusionCompute V1R5</w:t>
            </w:r>
            <w:r/>
          </w:p>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FusionStorage V1R3</w:t>
            </w:r>
            <w:r/>
          </w:p>
        </w:tc>
        <w:tc>
          <w:tcPr>
            <w:shd w:val="clear" w:color="auto" w:fill="auto"/>
            <w:tcW w:w="2698" w:type="dxa"/>
            <w:vAlign w:val="center"/>
            <w:vMerge w:val="restart"/>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通用机架式服务器（每节点6块磁盘）</w:t>
            </w:r>
            <w:r/>
          </w:p>
        </w:tc>
      </w:tr>
      <w:tr>
        <w:trPr>
          <w:jc w:val="center"/>
          <w:trHeight w:val="312"/>
        </w:trPr>
        <w:tc>
          <w:tcPr>
            <w:tcW w:w="3117" w:type="dxa"/>
            <w:vAlign w:val="center"/>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集中式存储-1</w:t>
            </w:r>
            <w:r/>
          </w:p>
        </w:tc>
        <w:tc>
          <w:tcPr>
            <w:tcW w:w="780" w:type="dxa"/>
            <w:vAlign w:val="center"/>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1套</w:t>
            </w:r>
            <w:r/>
          </w:p>
        </w:tc>
        <w:tc>
          <w:tcPr>
            <w:tcW w:w="2688" w:type="dxa"/>
            <w:vAlign w:val="center"/>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华为HVS 85T</w:t>
            </w:r>
            <w:r/>
          </w:p>
        </w:tc>
        <w:tc>
          <w:tcPr>
            <w:tcW w:w="2698" w:type="dxa"/>
            <w:vAlign w:val="center"/>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集中式存储（控制机头1部、管理服务器1台、4U存储硬盘框6个，磁盘满配）</w:t>
            </w:r>
            <w:r/>
          </w:p>
        </w:tc>
      </w:tr>
      <w:tr>
        <w:trPr>
          <w:jc w:val="center"/>
          <w:trHeight w:val="270"/>
        </w:trPr>
        <w:tc>
          <w:tcPr>
            <w:shd w:val="clear" w:color="auto" w:fill="auto"/>
            <w:tcW w:w="3117"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业务服务器-3</w:t>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华为RH5885 V2</w:t>
            </w:r>
            <w:r/>
          </w:p>
        </w:tc>
        <w:tc>
          <w:tcPr>
            <w:shd w:val="clear" w:color="auto" w:fill="auto"/>
            <w:tcW w:w="269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通用机架式服务器</w:t>
            </w:r>
            <w:r/>
          </w:p>
        </w:tc>
      </w:tr>
      <w:tr>
        <w:trPr>
          <w:jc w:val="center"/>
          <w:trHeight w:val="270"/>
        </w:trPr>
        <w:tc>
          <w:tcPr>
            <w:shd w:val="clear" w:color="auto" w:fill="auto"/>
            <w:tcW w:w="3117"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业务服务器-4</w:t>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华为5288 V3</w:t>
            </w:r>
            <w:r/>
          </w:p>
        </w:tc>
        <w:tc>
          <w:tcPr>
            <w:shd w:val="clear" w:color="auto" w:fill="auto"/>
            <w:tcW w:w="269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通用机架式服务器</w:t>
            </w:r>
            <w:r/>
          </w:p>
        </w:tc>
      </w:tr>
      <w:tr>
        <w:trPr>
          <w:jc w:val="center"/>
          <w:trHeight w:val="270"/>
        </w:trPr>
        <w:tc>
          <w:tcPr>
            <w:shd w:val="clear" w:color="auto" w:fill="auto"/>
            <w:tcW w:w="3117"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分布式存储</w:t>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1套</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曙光ParaStor300</w:t>
            </w:r>
            <w:r/>
          </w:p>
        </w:tc>
        <w:tc>
          <w:tcPr>
            <w:shd w:val="clear" w:color="auto" w:fill="auto"/>
            <w:tcW w:w="269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分布式存储（OPara-G20节点2个、OStor-G20节点3个，存储节点磁盘满配）</w:t>
            </w:r>
            <w:r/>
          </w:p>
        </w:tc>
      </w:tr>
      <w:tr>
        <w:trPr>
          <w:jc w:val="center"/>
          <w:trHeight w:val="270"/>
        </w:trPr>
        <w:tc>
          <w:tcPr>
            <w:shd w:val="clear" w:color="auto" w:fill="auto"/>
            <w:tcW w:w="3117"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运维系统平台</w:t>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齐治运维管理系统V5.0</w:t>
            </w:r>
            <w:r/>
          </w:p>
        </w:tc>
        <w:tc>
          <w:tcPr>
            <w:shd w:val="clear" w:color="auto" w:fill="auto"/>
            <w:tcW w:w="269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通用机架式服务器</w:t>
            </w:r>
            <w:r/>
          </w:p>
        </w:tc>
      </w:tr>
      <w:tr>
        <w:trPr>
          <w:jc w:val="center"/>
          <w:trHeight w:val="270"/>
        </w:trPr>
        <w:tc>
          <w:tcPr>
            <w:shd w:val="clear" w:color="auto" w:fill="auto"/>
            <w:tcW w:w="3117"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备份系统平台</w:t>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爱数 VX2400</w:t>
            </w:r>
            <w:r/>
          </w:p>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爱数AnyBackup V6.0</w:t>
            </w:r>
            <w:r/>
          </w:p>
        </w:tc>
        <w:tc>
          <w:tcPr>
            <w:shd w:val="clear" w:color="auto" w:fill="auto"/>
            <w:tcW w:w="269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4U通用机架式服务器，软硬一体化设备</w:t>
            </w:r>
            <w:r/>
          </w:p>
        </w:tc>
      </w:tr>
      <w:tr>
        <w:trPr>
          <w:jc w:val="center"/>
          <w:trHeight w:val="270"/>
        </w:trPr>
        <w:tc>
          <w:tcPr>
            <w:shd w:val="clear" w:color="auto" w:fill="auto"/>
            <w:tcW w:w="3117"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业务服务器-5</w:t>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华为RH2288 V3</w:t>
            </w:r>
            <w:r/>
          </w:p>
        </w:tc>
        <w:tc>
          <w:tcPr>
            <w:shd w:val="clear" w:color="auto" w:fill="auto"/>
            <w:tcW w:w="269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通用机架式服务器</w:t>
            </w:r>
            <w:r/>
          </w:p>
        </w:tc>
      </w:tr>
      <w:tr>
        <w:trPr>
          <w:jc w:val="center"/>
          <w:trHeight w:val="270"/>
        </w:trPr>
        <w:tc>
          <w:tcPr>
            <w:shd w:val="clear" w:color="auto" w:fill="auto"/>
            <w:tcW w:w="3117"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业务服务器-6</w:t>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IBM System x3650 M3</w:t>
            </w:r>
            <w:r/>
          </w:p>
        </w:tc>
        <w:tc>
          <w:tcPr>
            <w:shd w:val="clear" w:color="auto" w:fill="auto"/>
            <w:tcW w:w="269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通用机架式服务器</w:t>
            </w:r>
            <w:r/>
          </w:p>
        </w:tc>
      </w:tr>
      <w:tr>
        <w:trPr>
          <w:jc w:val="center"/>
          <w:trHeight w:val="270"/>
        </w:trPr>
        <w:tc>
          <w:tcPr>
            <w:shd w:val="clear" w:color="auto" w:fill="auto"/>
            <w:tcW w:w="3117" w:type="dxa"/>
            <w:vAlign w:val="center"/>
            <w:vMerge w:val="restart"/>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业务服务器-7</w:t>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IBM System x3650 M3</w:t>
            </w:r>
            <w:r/>
          </w:p>
        </w:tc>
        <w:tc>
          <w:tcPr>
            <w:shd w:val="clear" w:color="auto" w:fill="auto"/>
            <w:tcW w:w="269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通用机架式服务器</w:t>
            </w:r>
            <w:r/>
          </w:p>
        </w:tc>
      </w:tr>
      <w:tr>
        <w:trPr>
          <w:jc w:val="center"/>
          <w:trHeight w:val="270"/>
        </w:trPr>
        <w:tc>
          <w:tcPr>
            <w:shd w:val="clear" w:color="auto" w:fill="auto"/>
            <w:tcW w:w="3117" w:type="dxa"/>
            <w:vAlign w:val="center"/>
            <w:vMerge w:val="continue"/>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曙光 A420r-G</w:t>
            </w:r>
            <w:r/>
          </w:p>
        </w:tc>
        <w:tc>
          <w:tcPr>
            <w:shd w:val="clear" w:color="auto" w:fill="auto"/>
            <w:tcW w:w="269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通用机架式服务器</w:t>
            </w:r>
            <w:r/>
          </w:p>
        </w:tc>
      </w:tr>
      <w:tr>
        <w:trPr>
          <w:jc w:val="center"/>
          <w:trHeight w:val="270"/>
        </w:trPr>
        <w:tc>
          <w:tcPr>
            <w:shd w:val="clear" w:color="auto" w:fill="auto"/>
            <w:tcW w:w="3117" w:type="dxa"/>
            <w:vAlign w:val="center"/>
            <w:vMerge w:val="restart"/>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业务服务器-8</w:t>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IBM System x3850 X5</w:t>
            </w:r>
            <w:r/>
          </w:p>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VMware ESXi 5.5</w:t>
            </w:r>
            <w:r/>
          </w:p>
        </w:tc>
        <w:tc>
          <w:tcPr>
            <w:shd w:val="clear" w:color="auto" w:fill="auto"/>
            <w:tcW w:w="269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通用机架式服务器</w:t>
            </w:r>
            <w:r/>
          </w:p>
        </w:tc>
      </w:tr>
      <w:tr>
        <w:trPr>
          <w:jc w:val="center"/>
          <w:trHeight w:val="270"/>
        </w:trPr>
        <w:tc>
          <w:tcPr>
            <w:shd w:val="clear" w:color="auto" w:fill="auto"/>
            <w:tcW w:w="3117" w:type="dxa"/>
            <w:vAlign w:val="center"/>
            <w:vMerge w:val="continue"/>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DS600-G10</w:t>
            </w:r>
            <w:r/>
          </w:p>
        </w:tc>
        <w:tc>
          <w:tcPr>
            <w:shd w:val="clear" w:color="auto" w:fill="auto"/>
            <w:tcW w:w="269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集中式存储柜</w:t>
            </w:r>
            <w:r/>
          </w:p>
        </w:tc>
      </w:tr>
      <w:tr>
        <w:trPr>
          <w:jc w:val="center"/>
          <w:trHeight w:val="270"/>
        </w:trPr>
        <w:tc>
          <w:tcPr>
            <w:shd w:val="clear" w:color="auto" w:fill="auto"/>
            <w:tcW w:w="3117"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业务服务器-9</w:t>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H3C R4900 G3</w:t>
            </w:r>
            <w:r/>
          </w:p>
        </w:tc>
        <w:tc>
          <w:tcPr>
            <w:shd w:val="clear" w:color="auto" w:fill="auto"/>
            <w:tcW w:w="269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通用机架式服务器</w:t>
            </w:r>
            <w:r/>
          </w:p>
        </w:tc>
      </w:tr>
      <w:tr>
        <w:trPr>
          <w:jc w:val="center"/>
          <w:trHeight w:val="555"/>
        </w:trPr>
        <w:tc>
          <w:tcPr>
            <w:shd w:val="clear" w:color="auto" w:fill="auto"/>
            <w:tcW w:w="3117" w:type="dxa"/>
            <w:vAlign w:val="center"/>
            <w:vMerge w:val="restart"/>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虚拟化业务系统平台-5</w:t>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1套</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华为E9000</w:t>
            </w:r>
            <w:r/>
          </w:p>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FusionCompute V1R5</w:t>
            </w:r>
            <w:r/>
          </w:p>
        </w:tc>
        <w:tc>
          <w:tcPr>
            <w:shd w:val="clear" w:color="auto" w:fill="auto"/>
            <w:tcW w:w="2698" w:type="dxa"/>
            <w:vAlign w:val="center"/>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刀片服务器（共计含16个CH121 V3计算节点、2管理模块、2交换模块）</w:t>
            </w:r>
            <w:r/>
          </w:p>
        </w:tc>
      </w:tr>
      <w:tr>
        <w:trPr>
          <w:jc w:val="center"/>
          <w:trHeight w:val="555"/>
        </w:trPr>
        <w:tc>
          <w:tcPr>
            <w:shd w:val="clear" w:color="auto" w:fill="auto"/>
            <w:tcW w:w="3117" w:type="dxa"/>
            <w:vAlign w:val="center"/>
            <w:vMerge w:val="continue"/>
            <w:textDirection w:val="lrTb"/>
            <w:noWrap w:val="false"/>
          </w:tcPr>
          <w:p>
            <w:pPr>
              <w:ind w:firstLine="485"/>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1套</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华为OcenaStor5600 V3</w:t>
            </w:r>
            <w:r/>
          </w:p>
        </w:tc>
        <w:tc>
          <w:tcPr>
            <w:shd w:val="clear" w:color="auto" w:fill="auto"/>
            <w:tcW w:w="2698" w:type="dxa"/>
            <w:vAlign w:val="center"/>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*集中式存储（提供块业务、含控制框1部、72盘位高密硬盘框3个）</w:t>
            </w:r>
            <w:r/>
          </w:p>
        </w:tc>
      </w:tr>
      <w:tr>
        <w:trPr>
          <w:jc w:val="center"/>
          <w:trHeight w:val="555"/>
        </w:trPr>
        <w:tc>
          <w:tcPr>
            <w:shd w:val="clear" w:color="auto" w:fill="auto"/>
            <w:tcW w:w="3117" w:type="dxa"/>
            <w:vAlign w:val="center"/>
            <w:vMerge w:val="continue"/>
            <w:textDirection w:val="lrTb"/>
            <w:noWrap w:val="false"/>
          </w:tcPr>
          <w:p>
            <w:pPr>
              <w:ind w:firstLine="485"/>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1套</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华为OcenaStor5300 V3</w:t>
            </w:r>
            <w:r/>
          </w:p>
        </w:tc>
        <w:tc>
          <w:tcPr>
            <w:shd w:val="clear" w:color="auto" w:fill="auto"/>
            <w:tcW w:w="2698" w:type="dxa"/>
            <w:vAlign w:val="center"/>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*集中式存储（含控制框1部、24盘位硬盘框2个）</w:t>
            </w:r>
            <w:r/>
          </w:p>
        </w:tc>
      </w:tr>
      <w:tr>
        <w:trPr>
          <w:jc w:val="center"/>
          <w:trHeight w:val="555"/>
        </w:trPr>
        <w:tc>
          <w:tcPr>
            <w:shd w:val="clear" w:color="auto" w:fill="auto"/>
            <w:tcW w:w="3117" w:type="dxa"/>
            <w:vAlign w:val="center"/>
            <w:vMerge w:val="continue"/>
            <w:textDirection w:val="lrTb"/>
            <w:noWrap w:val="false"/>
          </w:tcPr>
          <w:p>
            <w:pPr>
              <w:ind w:firstLine="485"/>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华为SNS2248</w:t>
            </w:r>
            <w:r/>
          </w:p>
        </w:tc>
        <w:tc>
          <w:tcPr>
            <w:shd w:val="clear" w:color="auto" w:fill="auto"/>
            <w:tcW w:w="2698" w:type="dxa"/>
            <w:vAlign w:val="center"/>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FC SAN交换机</w:t>
            </w:r>
            <w:r/>
          </w:p>
        </w:tc>
      </w:tr>
      <w:tr>
        <w:trPr>
          <w:jc w:val="center"/>
          <w:trHeight w:val="270"/>
        </w:trPr>
        <w:tc>
          <w:tcPr>
            <w:tcW w:w="3117" w:type="dxa"/>
            <w:vAlign w:val="center"/>
            <w:vMerge w:val="continue"/>
            <w:textDirection w:val="lrTb"/>
            <w:noWrap w:val="false"/>
          </w:tcPr>
          <w:p>
            <w:pPr>
              <w:ind w:firstLine="485"/>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华为2288H V5</w:t>
            </w:r>
            <w:r/>
          </w:p>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XSKY X-Bus 4.1</w:t>
            </w:r>
            <w:r/>
          </w:p>
        </w:tc>
        <w:tc>
          <w:tcPr>
            <w:shd w:val="clear" w:color="auto" w:fill="auto"/>
            <w:tcW w:w="2698" w:type="dxa"/>
            <w:vAlign w:val="center"/>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分布式存储节点、机架式服务器，磁盘满配</w:t>
            </w:r>
            <w:r/>
          </w:p>
        </w:tc>
      </w:tr>
      <w:tr>
        <w:trPr>
          <w:jc w:val="center"/>
          <w:trHeight w:val="555"/>
        </w:trPr>
        <w:tc>
          <w:tcPr>
            <w:shd w:val="clear" w:color="auto" w:fill="auto"/>
            <w:tcW w:w="3117" w:type="dxa"/>
            <w:vAlign w:val="center"/>
            <w:vMerge w:val="restart"/>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私有云业务系统平台</w:t>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2套</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华为E9000</w:t>
            </w:r>
            <w:r/>
          </w:p>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HCS 6.5.1</w:t>
            </w:r>
            <w:r/>
          </w:p>
        </w:tc>
        <w:tc>
          <w:tcPr>
            <w:shd w:val="clear" w:color="auto" w:fill="auto"/>
            <w:tcW w:w="2698" w:type="dxa"/>
            <w:vAlign w:val="center"/>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计算节点、刀片服务器（共计含24个CH121 V5计算节点、4管理模块、2交换模块、2直通模块）</w:t>
            </w:r>
            <w:r/>
          </w:p>
        </w:tc>
      </w:tr>
      <w:tr>
        <w:trPr>
          <w:jc w:val="center"/>
          <w:trHeight w:val="555"/>
        </w:trPr>
        <w:tc>
          <w:tcPr>
            <w:shd w:val="clear" w:color="auto" w:fill="auto"/>
            <w:tcW w:w="3117" w:type="dxa"/>
            <w:vAlign w:val="center"/>
            <w:vMerge w:val="continue"/>
            <w:textDirection w:val="lrTb"/>
            <w:noWrap w:val="false"/>
          </w:tcPr>
          <w:p>
            <w:pPr>
              <w:ind w:firstLine="485"/>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华为2288H V5</w:t>
            </w:r>
            <w:r/>
          </w:p>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HCS 6.5.1</w:t>
            </w:r>
            <w:r/>
          </w:p>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FusionStorage V1R6</w:t>
            </w:r>
            <w:r/>
          </w:p>
        </w:tc>
        <w:tc>
          <w:tcPr>
            <w:shd w:val="clear" w:color="auto" w:fill="auto"/>
            <w:tcW w:w="2698" w:type="dxa"/>
            <w:vAlign w:val="center"/>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管理节点、通用机架式服务器，磁盘满配</w:t>
            </w:r>
            <w:r/>
          </w:p>
        </w:tc>
      </w:tr>
      <w:tr>
        <w:trPr>
          <w:jc w:val="center"/>
          <w:trHeight w:val="555"/>
        </w:trPr>
        <w:tc>
          <w:tcPr>
            <w:shd w:val="clear" w:color="auto" w:fill="auto"/>
            <w:tcW w:w="3117" w:type="dxa"/>
            <w:vAlign w:val="center"/>
            <w:vMerge w:val="continue"/>
            <w:textDirection w:val="lrTb"/>
            <w:noWrap w:val="false"/>
          </w:tcPr>
          <w:p>
            <w:pPr>
              <w:ind w:firstLine="485"/>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华为RH2288 V3</w:t>
            </w:r>
            <w:r/>
          </w:p>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FusionStorage V1R6</w:t>
            </w:r>
            <w:r/>
          </w:p>
        </w:tc>
        <w:tc>
          <w:tcPr>
            <w:shd w:val="clear" w:color="auto" w:fill="auto"/>
            <w:tcW w:w="2698" w:type="dxa"/>
            <w:vAlign w:val="center"/>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存储节点、通用机架式服务器，磁盘满配</w:t>
            </w:r>
            <w:r/>
          </w:p>
        </w:tc>
      </w:tr>
      <w:tr>
        <w:trPr>
          <w:jc w:val="center"/>
          <w:trHeight w:val="270"/>
        </w:trPr>
        <w:tc>
          <w:tcPr>
            <w:tcW w:w="3117" w:type="dxa"/>
            <w:vAlign w:val="center"/>
            <w:vMerge w:val="continue"/>
            <w:textDirection w:val="lrTb"/>
            <w:noWrap w:val="false"/>
          </w:tcPr>
          <w:p>
            <w:pPr>
              <w:ind w:firstLine="485"/>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1套</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华为OceanStor 5510 V5</w:t>
            </w:r>
            <w:r/>
          </w:p>
        </w:tc>
        <w:tc>
          <w:tcPr>
            <w:shd w:val="clear" w:color="auto" w:fill="auto"/>
            <w:tcW w:w="2698" w:type="dxa"/>
            <w:vAlign w:val="center"/>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*集中式存储（含控制框1部、24盘位硬盘框2个）</w:t>
            </w:r>
            <w:r/>
          </w:p>
        </w:tc>
      </w:tr>
      <w:tr>
        <w:trPr>
          <w:jc w:val="center"/>
          <w:trHeight w:val="90"/>
        </w:trPr>
        <w:tc>
          <w:tcPr>
            <w:tcW w:w="3117" w:type="dxa"/>
            <w:vAlign w:val="center"/>
            <w:vMerge w:val="restart"/>
            <w:textDirection w:val="lrTb"/>
            <w:noWrap w:val="false"/>
          </w:tcPr>
          <w:p>
            <w:pPr>
              <w:jc w:val="lef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业务服务器-10</w:t>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IBM System x3650 M3</w:t>
            </w:r>
            <w:r/>
          </w:p>
        </w:tc>
        <w:tc>
          <w:tcPr>
            <w:shd w:val="clear" w:color="auto" w:fill="auto"/>
            <w:tcW w:w="2698" w:type="dxa"/>
            <w:vAlign w:val="center"/>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通用机架式服务器</w:t>
            </w:r>
            <w:r/>
          </w:p>
        </w:tc>
      </w:tr>
      <w:tr>
        <w:trPr>
          <w:jc w:val="center"/>
          <w:trHeight w:val="270"/>
        </w:trPr>
        <w:tc>
          <w:tcPr>
            <w:tcW w:w="3117" w:type="dxa"/>
            <w:vAlign w:val="center"/>
            <w:vMerge w:val="continue"/>
            <w:textDirection w:val="lrTb"/>
            <w:noWrap w:val="false"/>
          </w:tcPr>
          <w:p>
            <w:pPr>
              <w:ind w:firstLine="485"/>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IBM System x3550 M4</w:t>
            </w:r>
            <w:r/>
          </w:p>
        </w:tc>
        <w:tc>
          <w:tcPr>
            <w:shd w:val="clear" w:color="auto" w:fill="auto"/>
            <w:tcW w:w="2698" w:type="dxa"/>
            <w:vAlign w:val="center"/>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通用机架式服务器</w:t>
            </w:r>
            <w:r/>
          </w:p>
        </w:tc>
      </w:tr>
      <w:tr>
        <w:trPr>
          <w:jc w:val="center"/>
          <w:trHeight w:val="270"/>
        </w:trPr>
        <w:tc>
          <w:tcPr>
            <w:tcW w:w="3117" w:type="dxa"/>
            <w:vAlign w:val="center"/>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业务服务器-11</w:t>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IBM System x3550 M4</w:t>
            </w:r>
            <w:r/>
          </w:p>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VMware ESXi 6.7</w:t>
            </w:r>
            <w:r/>
          </w:p>
        </w:tc>
        <w:tc>
          <w:tcPr>
            <w:shd w:val="clear" w:color="auto" w:fill="auto"/>
            <w:tcW w:w="2698" w:type="dxa"/>
            <w:vAlign w:val="center"/>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通用机架式服务器</w:t>
            </w:r>
            <w:r/>
          </w:p>
        </w:tc>
      </w:tr>
      <w:tr>
        <w:trPr>
          <w:jc w:val="center"/>
          <w:trHeight w:val="270"/>
        </w:trPr>
        <w:tc>
          <w:tcPr>
            <w:tcW w:w="3117" w:type="dxa"/>
            <w:vAlign w:val="center"/>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业务服务器-12</w:t>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曙光I640-G15</w:t>
            </w:r>
            <w:r/>
          </w:p>
        </w:tc>
        <w:tc>
          <w:tcPr>
            <w:shd w:val="clear" w:color="auto" w:fill="auto"/>
            <w:tcW w:w="2698" w:type="dxa"/>
            <w:vAlign w:val="center"/>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储型机架式服务器</w:t>
            </w:r>
            <w:r/>
          </w:p>
        </w:tc>
      </w:tr>
      <w:tr>
        <w:trPr>
          <w:jc w:val="center"/>
          <w:trHeight w:val="270"/>
        </w:trPr>
        <w:tc>
          <w:tcPr>
            <w:tcW w:w="3117" w:type="dxa"/>
            <w:vAlign w:val="center"/>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业务服务器-13</w:t>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曙光W760-G20</w:t>
            </w:r>
            <w:r/>
          </w:p>
        </w:tc>
        <w:tc>
          <w:tcPr>
            <w:shd w:val="clear" w:color="auto" w:fill="auto"/>
            <w:tcW w:w="2698" w:type="dxa"/>
            <w:vAlign w:val="center"/>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通用机架式服务器</w:t>
            </w:r>
            <w:r/>
          </w:p>
        </w:tc>
      </w:tr>
      <w:tr>
        <w:trPr>
          <w:jc w:val="center"/>
          <w:trHeight w:val="270"/>
        </w:trPr>
        <w:tc>
          <w:tcPr>
            <w:tcW w:w="3117" w:type="dxa"/>
            <w:vAlign w:val="center"/>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业务服务器-14</w:t>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曙光W760-G20</w:t>
            </w:r>
            <w:r/>
          </w:p>
        </w:tc>
        <w:tc>
          <w:tcPr>
            <w:shd w:val="clear" w:color="auto" w:fill="auto"/>
            <w:tcW w:w="2698" w:type="dxa"/>
            <w:vAlign w:val="center"/>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通用机架式服务器</w:t>
            </w:r>
            <w:r/>
          </w:p>
        </w:tc>
      </w:tr>
      <w:tr>
        <w:trPr>
          <w:jc w:val="center"/>
          <w:trHeight w:val="270"/>
        </w:trPr>
        <w:tc>
          <w:tcPr>
            <w:tcW w:w="3117" w:type="dxa"/>
            <w:vAlign w:val="center"/>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业务服务器-15</w:t>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IBM System x3550 M4</w:t>
            </w:r>
            <w:r/>
          </w:p>
        </w:tc>
        <w:tc>
          <w:tcPr>
            <w:shd w:val="clear" w:color="auto" w:fill="auto"/>
            <w:tcW w:w="2698" w:type="dxa"/>
            <w:vAlign w:val="center"/>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通用机架式服务器</w:t>
            </w:r>
            <w:r/>
          </w:p>
        </w:tc>
      </w:tr>
      <w:tr>
        <w:trPr>
          <w:jc w:val="center"/>
          <w:trHeight w:val="270"/>
        </w:trPr>
        <w:tc>
          <w:tcPr>
            <w:tcW w:w="3117" w:type="dxa"/>
            <w:vAlign w:val="center"/>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业务服务器-16</w:t>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3套</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华为X6800 V3</w:t>
            </w:r>
            <w:r/>
          </w:p>
        </w:tc>
        <w:tc>
          <w:tcPr>
            <w:shd w:val="clear" w:color="auto" w:fill="auto"/>
            <w:tcW w:w="2698" w:type="dxa"/>
            <w:vAlign w:val="center"/>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配高密计算单元、服务器机框（共计含机框3个、12个XH628 V3，每个计算单元配备4*GE以太网卡*1，硬盘3块）</w:t>
            </w:r>
            <w:r/>
          </w:p>
        </w:tc>
      </w:tr>
      <w:tr>
        <w:trPr>
          <w:jc w:val="center"/>
          <w:trHeight w:val="270"/>
        </w:trPr>
        <w:tc>
          <w:tcPr>
            <w:tcW w:w="3117" w:type="dxa"/>
            <w:vAlign w:val="center"/>
            <w:vMerge w:val="restart"/>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集中式存储-2</w:t>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1套</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华为OceanStor 5300 V3</w:t>
            </w:r>
            <w:r/>
          </w:p>
        </w:tc>
        <w:tc>
          <w:tcPr>
            <w:shd w:val="clear" w:color="auto" w:fill="auto"/>
            <w:tcW w:w="2698" w:type="dxa"/>
            <w:vAlign w:val="center"/>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*集中式存储（含控制框1部、12盘位硬盘框2个、24盘位硬盘框1个、磁盘满配）</w:t>
            </w:r>
            <w:r/>
          </w:p>
        </w:tc>
      </w:tr>
      <w:tr>
        <w:trPr>
          <w:jc w:val="center"/>
          <w:trHeight w:val="270"/>
        </w:trPr>
        <w:tc>
          <w:tcPr>
            <w:tcW w:w="3117" w:type="dxa"/>
            <w:vAlign w:val="center"/>
            <w:vMerge w:val="continue"/>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华为SNS2124</w:t>
            </w:r>
            <w:r/>
          </w:p>
        </w:tc>
        <w:tc>
          <w:tcPr>
            <w:shd w:val="clear" w:color="auto" w:fill="auto"/>
            <w:tcW w:w="2698" w:type="dxa"/>
            <w:vAlign w:val="center"/>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FC SAN交换机</w:t>
            </w:r>
            <w:r/>
          </w:p>
        </w:tc>
      </w:tr>
      <w:tr>
        <w:trPr>
          <w:jc w:val="center"/>
          <w:trHeight w:val="270"/>
        </w:trPr>
        <w:tc>
          <w:tcPr>
            <w:tcW w:w="3117" w:type="dxa"/>
            <w:vAlign w:val="center"/>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业务服务器-17</w:t>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IBM System X3550 M2</w:t>
            </w:r>
            <w:r/>
          </w:p>
        </w:tc>
        <w:tc>
          <w:tcPr>
            <w:shd w:val="clear" w:color="auto" w:fill="auto"/>
            <w:tcW w:w="2698" w:type="dxa"/>
            <w:vAlign w:val="center"/>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通用机架式服务器</w:t>
            </w:r>
            <w:r/>
          </w:p>
        </w:tc>
      </w:tr>
      <w:tr>
        <w:trPr>
          <w:jc w:val="center"/>
          <w:trHeight w:val="270"/>
        </w:trPr>
        <w:tc>
          <w:tcPr>
            <w:tcW w:w="3117" w:type="dxa"/>
            <w:vAlign w:val="center"/>
            <w:vMerge w:val="restart"/>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业务服务器-18</w:t>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大华1U RACK Server</w:t>
            </w:r>
            <w:r/>
          </w:p>
        </w:tc>
        <w:tc>
          <w:tcPr>
            <w:shd w:val="clear" w:color="auto" w:fill="auto"/>
            <w:tcW w:w="2698" w:type="dxa"/>
            <w:vAlign w:val="center"/>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通用机架式服务器</w:t>
            </w:r>
            <w:r/>
          </w:p>
        </w:tc>
      </w:tr>
      <w:tr>
        <w:trPr>
          <w:jc w:val="center"/>
          <w:trHeight w:val="270"/>
        </w:trPr>
        <w:tc>
          <w:tcPr>
            <w:tcW w:w="3117" w:type="dxa"/>
            <w:vAlign w:val="center"/>
            <w:vMerge w:val="continue"/>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大华2U存储服务器</w:t>
            </w:r>
            <w:r/>
          </w:p>
        </w:tc>
        <w:tc>
          <w:tcPr>
            <w:shd w:val="clear" w:color="auto" w:fill="auto"/>
            <w:tcW w:w="2698" w:type="dxa"/>
            <w:vAlign w:val="center"/>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通用机架式服务器</w:t>
            </w:r>
            <w:r/>
          </w:p>
        </w:tc>
      </w:tr>
      <w:tr>
        <w:trPr>
          <w:jc w:val="center"/>
          <w:trHeight w:val="270"/>
        </w:trPr>
        <w:tc>
          <w:tcPr>
            <w:tcW w:w="3117" w:type="dxa"/>
            <w:vAlign w:val="center"/>
            <w:vMerge w:val="continue"/>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大华DH-AJS8100-LX-W</w:t>
            </w:r>
            <w:r/>
          </w:p>
        </w:tc>
        <w:tc>
          <w:tcPr>
            <w:shd w:val="clear" w:color="auto" w:fill="auto"/>
            <w:tcW w:w="2698" w:type="dxa"/>
            <w:vAlign w:val="center"/>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通用机架式服务器</w:t>
            </w:r>
            <w:r/>
          </w:p>
        </w:tc>
      </w:tr>
      <w:tr>
        <w:trPr>
          <w:jc w:val="center"/>
          <w:trHeight w:val="270"/>
        </w:trPr>
        <w:tc>
          <w:tcPr>
            <w:tcW w:w="3117" w:type="dxa"/>
            <w:vAlign w:val="center"/>
            <w:vMerge w:val="continue"/>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科达2U</w:t>
            </w:r>
            <w:r/>
          </w:p>
        </w:tc>
        <w:tc>
          <w:tcPr>
            <w:shd w:val="clear" w:color="auto" w:fill="auto"/>
            <w:tcW w:w="2698" w:type="dxa"/>
            <w:vAlign w:val="center"/>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通用机架式服务器</w:t>
            </w:r>
            <w:r/>
          </w:p>
        </w:tc>
      </w:tr>
      <w:tr>
        <w:trPr>
          <w:jc w:val="center"/>
          <w:trHeight w:val="270"/>
        </w:trPr>
        <w:tc>
          <w:tcPr>
            <w:tcW w:w="3117" w:type="dxa"/>
            <w:vAlign w:val="center"/>
            <w:vMerge w:val="continue"/>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海康DS-VE2208X-RBD</w:t>
            </w:r>
            <w:r/>
          </w:p>
        </w:tc>
        <w:tc>
          <w:tcPr>
            <w:shd w:val="clear" w:color="auto" w:fill="auto"/>
            <w:tcW w:w="2698" w:type="dxa"/>
            <w:vAlign w:val="center"/>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通用机架式服务器</w:t>
            </w:r>
            <w:r/>
          </w:p>
        </w:tc>
      </w:tr>
      <w:tr>
        <w:trPr>
          <w:jc w:val="center"/>
          <w:trHeight w:val="270"/>
        </w:trPr>
        <w:tc>
          <w:tcPr>
            <w:tcW w:w="3117" w:type="dxa"/>
            <w:vAlign w:val="center"/>
            <w:vMerge w:val="continue"/>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DELL R720或者R710</w:t>
            </w:r>
            <w:r/>
          </w:p>
        </w:tc>
        <w:tc>
          <w:tcPr>
            <w:shd w:val="clear" w:color="auto" w:fill="auto"/>
            <w:tcW w:w="2698" w:type="dxa"/>
            <w:vAlign w:val="center"/>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通用机架式服务器</w:t>
            </w:r>
            <w:r/>
          </w:p>
        </w:tc>
      </w:tr>
      <w:tr>
        <w:trPr>
          <w:jc w:val="center"/>
          <w:trHeight w:val="270"/>
        </w:trPr>
        <w:tc>
          <w:tcPr>
            <w:tcW w:w="3117" w:type="dxa"/>
            <w:vAlign w:val="center"/>
            <w:vMerge w:val="continue"/>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IBM System 3550</w:t>
            </w:r>
            <w:r/>
          </w:p>
        </w:tc>
        <w:tc>
          <w:tcPr>
            <w:shd w:val="clear" w:color="auto" w:fill="auto"/>
            <w:tcW w:w="2698" w:type="dxa"/>
            <w:vAlign w:val="center"/>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通用机架式服务器</w:t>
            </w:r>
            <w:r/>
          </w:p>
        </w:tc>
      </w:tr>
      <w:tr>
        <w:trPr>
          <w:jc w:val="center"/>
          <w:trHeight w:val="270"/>
        </w:trPr>
        <w:tc>
          <w:tcPr>
            <w:tcW w:w="3117" w:type="dxa"/>
            <w:vAlign w:val="center"/>
            <w:vMerge w:val="restart"/>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业务服务器-19</w:t>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曙光I420r-G10</w:t>
            </w:r>
            <w:r/>
          </w:p>
        </w:tc>
        <w:tc>
          <w:tcPr>
            <w:shd w:val="clear" w:color="auto" w:fill="auto"/>
            <w:tcW w:w="2698" w:type="dxa"/>
            <w:vAlign w:val="center"/>
            <w:vMerge w:val="restart"/>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通用机架式服务器</w:t>
            </w:r>
            <w:r/>
          </w:p>
        </w:tc>
      </w:tr>
      <w:tr>
        <w:trPr>
          <w:jc w:val="center"/>
          <w:trHeight w:val="270"/>
        </w:trPr>
        <w:tc>
          <w:tcPr>
            <w:tcW w:w="3117" w:type="dxa"/>
            <w:vAlign w:val="center"/>
            <w:vMerge w:val="continue"/>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科达2U机架式服务器</w:t>
            </w:r>
            <w:r/>
          </w:p>
        </w:tc>
        <w:tc>
          <w:tcPr>
            <w:shd w:val="clear" w:color="auto" w:fill="auto"/>
            <w:tcW w:w="2698" w:type="dxa"/>
            <w:vAlign w:val="center"/>
            <w:vMerge w:val="continue"/>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70"/>
        </w:trPr>
        <w:tc>
          <w:tcPr>
            <w:tcW w:w="3117" w:type="dxa"/>
            <w:vAlign w:val="center"/>
            <w:vMerge w:val="continue"/>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海康DS-VE22S-B</w:t>
            </w:r>
            <w:r/>
          </w:p>
        </w:tc>
        <w:tc>
          <w:tcPr>
            <w:shd w:val="clear" w:color="auto" w:fill="auto"/>
            <w:tcW w:w="2698" w:type="dxa"/>
            <w:vAlign w:val="center"/>
            <w:vMerge w:val="continue"/>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70"/>
        </w:trPr>
        <w:tc>
          <w:tcPr>
            <w:tcW w:w="3117" w:type="dxa"/>
            <w:vAlign w:val="center"/>
            <w:vMerge w:val="restart"/>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业务服务器-20</w:t>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PowerEdge R540/R720/R730</w:t>
            </w:r>
            <w:r/>
          </w:p>
        </w:tc>
        <w:tc>
          <w:tcPr>
            <w:shd w:val="clear" w:color="auto" w:fill="auto"/>
            <w:tcW w:w="2698" w:type="dxa"/>
            <w:vAlign w:val="center"/>
            <w:vMerge w:val="restart"/>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通用机架式服务器</w:t>
            </w:r>
            <w:r/>
          </w:p>
        </w:tc>
      </w:tr>
      <w:tr>
        <w:trPr>
          <w:jc w:val="center"/>
          <w:trHeight w:val="270"/>
        </w:trPr>
        <w:tc>
          <w:tcPr>
            <w:tcW w:w="3117" w:type="dxa"/>
            <w:vAlign w:val="center"/>
            <w:vMerge w:val="continue"/>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RH2288 V3</w:t>
            </w:r>
            <w:r/>
          </w:p>
        </w:tc>
        <w:tc>
          <w:tcPr>
            <w:shd w:val="clear" w:color="auto" w:fill="auto"/>
            <w:tcW w:w="2698" w:type="dxa"/>
            <w:vAlign w:val="center"/>
            <w:vMerge w:val="continue"/>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70"/>
        </w:trPr>
        <w:tc>
          <w:tcPr>
            <w:tcW w:w="3117" w:type="dxa"/>
            <w:vAlign w:val="center"/>
            <w:vMerge w:val="continue"/>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曙光</w:t>
            </w:r>
            <w:r/>
          </w:p>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I620-G20/I420r-G/A420R-G/I420-G10/A620-G30</w:t>
            </w:r>
            <w:r/>
          </w:p>
        </w:tc>
        <w:tc>
          <w:tcPr>
            <w:shd w:val="clear" w:color="auto" w:fill="auto"/>
            <w:tcW w:w="2698" w:type="dxa"/>
            <w:vAlign w:val="center"/>
            <w:vMerge w:val="continue"/>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70"/>
        </w:trPr>
        <w:tc>
          <w:tcPr>
            <w:tcW w:w="3117" w:type="dxa"/>
            <w:vAlign w:val="center"/>
            <w:vMerge w:val="continue"/>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海康DS-VE22S-B</w:t>
            </w:r>
            <w:r/>
          </w:p>
        </w:tc>
        <w:tc>
          <w:tcPr>
            <w:shd w:val="clear" w:color="auto" w:fill="auto"/>
            <w:tcW w:w="2698" w:type="dxa"/>
            <w:vAlign w:val="center"/>
            <w:vMerge w:val="continue"/>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70"/>
        </w:trPr>
        <w:tc>
          <w:tcPr>
            <w:tcW w:w="3117" w:type="dxa"/>
            <w:vAlign w:val="center"/>
            <w:vMerge w:val="continue"/>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联想System x3650 M5/RD640</w:t>
            </w:r>
            <w:r/>
          </w:p>
        </w:tc>
        <w:tc>
          <w:tcPr>
            <w:shd w:val="clear" w:color="auto" w:fill="auto"/>
            <w:tcW w:w="2698" w:type="dxa"/>
            <w:vAlign w:val="center"/>
            <w:vMerge w:val="continue"/>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70"/>
        </w:trPr>
        <w:tc>
          <w:tcPr>
            <w:tcW w:w="3117" w:type="dxa"/>
            <w:vAlign w:val="center"/>
            <w:vMerge w:val="continue"/>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IBM System x3650 M3/x3550</w:t>
            </w:r>
            <w:r/>
          </w:p>
        </w:tc>
        <w:tc>
          <w:tcPr>
            <w:shd w:val="clear" w:color="auto" w:fill="auto"/>
            <w:tcW w:w="2698" w:type="dxa"/>
            <w:vAlign w:val="center"/>
            <w:vMerge w:val="continue"/>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70"/>
        </w:trPr>
        <w:tc>
          <w:tcPr>
            <w:tcW w:w="3117" w:type="dxa"/>
            <w:vAlign w:val="center"/>
            <w:vMerge w:val="continue"/>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DELL MD3820i</w:t>
            </w:r>
            <w:r/>
          </w:p>
        </w:tc>
        <w:tc>
          <w:tcPr>
            <w:shd w:val="clear" w:color="auto" w:fill="auto"/>
            <w:tcW w:w="2698" w:type="dxa"/>
            <w:vAlign w:val="center"/>
            <w:vMerge w:val="restart"/>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集中式存储柜</w:t>
            </w:r>
            <w:r/>
          </w:p>
        </w:tc>
      </w:tr>
      <w:tr>
        <w:trPr>
          <w:jc w:val="center"/>
          <w:trHeight w:val="270"/>
        </w:trPr>
        <w:tc>
          <w:tcPr>
            <w:tcW w:w="3117" w:type="dxa"/>
            <w:vAlign w:val="center"/>
            <w:vMerge w:val="continue"/>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曙光DS800-G35</w:t>
            </w:r>
            <w:r/>
          </w:p>
        </w:tc>
        <w:tc>
          <w:tcPr>
            <w:shd w:val="clear" w:color="auto" w:fill="auto"/>
            <w:tcW w:w="2698" w:type="dxa"/>
            <w:vAlign w:val="center"/>
            <w:vMerge w:val="continue"/>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70"/>
        </w:trPr>
        <w:tc>
          <w:tcPr>
            <w:tcW w:w="3117" w:type="dxa"/>
            <w:vAlign w:val="center"/>
            <w:vMerge w:val="continue"/>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曙光DS600-G10</w:t>
            </w:r>
            <w:r/>
          </w:p>
        </w:tc>
        <w:tc>
          <w:tcPr>
            <w:shd w:val="clear" w:color="auto" w:fill="auto"/>
            <w:tcW w:w="2698" w:type="dxa"/>
            <w:vAlign w:val="center"/>
            <w:vMerge w:val="continue"/>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70"/>
        </w:trPr>
        <w:tc>
          <w:tcPr>
            <w:tcW w:w="3117" w:type="dxa"/>
            <w:vAlign w:val="center"/>
            <w:vMerge w:val="continue"/>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H3C Neocean EX1540S</w:t>
            </w:r>
            <w:r/>
          </w:p>
        </w:tc>
        <w:tc>
          <w:tcPr>
            <w:shd w:val="clear" w:color="auto" w:fill="auto"/>
            <w:tcW w:w="2698" w:type="dxa"/>
            <w:vAlign w:val="center"/>
            <w:vMerge w:val="continue"/>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70"/>
        </w:trPr>
        <w:tc>
          <w:tcPr>
            <w:tcW w:w="3117" w:type="dxa"/>
            <w:vAlign w:val="center"/>
            <w:vMerge w:val="restart"/>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业务服务器-21</w:t>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科达kproserver-2000</w:t>
            </w:r>
            <w:r/>
          </w:p>
        </w:tc>
        <w:tc>
          <w:tcPr>
            <w:shd w:val="clear" w:color="auto" w:fill="auto"/>
            <w:tcW w:w="2698" w:type="dxa"/>
            <w:vAlign w:val="center"/>
            <w:vMerge w:val="restart"/>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通用机架式服务器</w:t>
            </w:r>
            <w:r/>
          </w:p>
        </w:tc>
      </w:tr>
      <w:tr>
        <w:trPr>
          <w:jc w:val="center"/>
          <w:trHeight w:val="270"/>
        </w:trPr>
        <w:tc>
          <w:tcPr>
            <w:tcW w:w="3117" w:type="dxa"/>
            <w:vAlign w:val="center"/>
            <w:vMerge w:val="continue"/>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IBM System x3650 M3/M4</w:t>
            </w:r>
            <w:r/>
          </w:p>
        </w:tc>
        <w:tc>
          <w:tcPr>
            <w:shd w:val="clear" w:color="auto" w:fill="auto"/>
            <w:tcW w:w="2698" w:type="dxa"/>
            <w:vAlign w:val="center"/>
            <w:vMerge w:val="continue"/>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70"/>
        </w:trPr>
        <w:tc>
          <w:tcPr>
            <w:tcW w:w="3117" w:type="dxa"/>
            <w:vAlign w:val="center"/>
            <w:vMerge w:val="continue"/>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华为2288H V5/ RH2288H V3</w:t>
            </w:r>
            <w:r/>
          </w:p>
        </w:tc>
        <w:tc>
          <w:tcPr>
            <w:shd w:val="clear" w:color="auto" w:fill="auto"/>
            <w:tcW w:w="2698" w:type="dxa"/>
            <w:vAlign w:val="center"/>
            <w:vMerge w:val="continue"/>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70"/>
        </w:trPr>
        <w:tc>
          <w:tcPr>
            <w:tcW w:w="3117" w:type="dxa"/>
            <w:vAlign w:val="center"/>
            <w:vMerge w:val="continue"/>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HP PROLIANT  DL140</w:t>
            </w:r>
            <w:r/>
          </w:p>
        </w:tc>
        <w:tc>
          <w:tcPr>
            <w:shd w:val="clear" w:color="auto" w:fill="auto"/>
            <w:tcW w:w="2698" w:type="dxa"/>
            <w:vAlign w:val="center"/>
            <w:vMerge w:val="continue"/>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70"/>
        </w:trPr>
        <w:tc>
          <w:tcPr>
            <w:tcW w:w="3117" w:type="dxa"/>
            <w:vAlign w:val="center"/>
            <w:vMerge w:val="continue"/>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联想RD640</w:t>
            </w:r>
            <w:r/>
          </w:p>
        </w:tc>
        <w:tc>
          <w:tcPr>
            <w:shd w:val="clear" w:color="auto" w:fill="auto"/>
            <w:tcW w:w="2698" w:type="dxa"/>
            <w:vAlign w:val="center"/>
            <w:vMerge w:val="continue"/>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70"/>
        </w:trPr>
        <w:tc>
          <w:tcPr>
            <w:tcW w:w="3117" w:type="dxa"/>
            <w:vAlign w:val="center"/>
            <w:vMerge w:val="continue"/>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DELL PowerEdge R410</w:t>
            </w:r>
            <w:r/>
          </w:p>
        </w:tc>
        <w:tc>
          <w:tcPr>
            <w:shd w:val="clear" w:color="auto" w:fill="auto"/>
            <w:tcW w:w="2698" w:type="dxa"/>
            <w:vAlign w:val="center"/>
            <w:vMerge w:val="continue"/>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70"/>
        </w:trPr>
        <w:tc>
          <w:tcPr>
            <w:tcW w:w="3117" w:type="dxa"/>
            <w:vAlign w:val="center"/>
            <w:vMerge w:val="continue"/>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曙光I620-G20</w:t>
            </w:r>
            <w:r/>
          </w:p>
        </w:tc>
        <w:tc>
          <w:tcPr>
            <w:shd w:val="clear" w:color="auto" w:fill="auto"/>
            <w:tcW w:w="2698" w:type="dxa"/>
            <w:vAlign w:val="center"/>
            <w:vMerge w:val="continue"/>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70"/>
        </w:trPr>
        <w:tc>
          <w:tcPr>
            <w:tcW w:w="3117" w:type="dxa"/>
            <w:vAlign w:val="center"/>
            <w:vMerge w:val="restart"/>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业务服务器-22</w:t>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Thinkserver RD650</w:t>
            </w:r>
            <w:r/>
          </w:p>
        </w:tc>
        <w:tc>
          <w:tcPr>
            <w:shd w:val="clear" w:color="auto" w:fill="auto"/>
            <w:tcW w:w="2698" w:type="dxa"/>
            <w:vAlign w:val="center"/>
            <w:vMerge w:val="restart"/>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通用机架式服务器</w:t>
            </w:r>
            <w:r/>
          </w:p>
        </w:tc>
      </w:tr>
      <w:tr>
        <w:trPr>
          <w:jc w:val="center"/>
          <w:trHeight w:val="270"/>
        </w:trPr>
        <w:tc>
          <w:tcPr>
            <w:tcW w:w="3117" w:type="dxa"/>
            <w:vAlign w:val="center"/>
            <w:vMerge w:val="continue"/>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科达kproserver-2000</w:t>
            </w:r>
            <w:r/>
          </w:p>
        </w:tc>
        <w:tc>
          <w:tcPr>
            <w:shd w:val="clear" w:color="auto" w:fill="auto"/>
            <w:tcW w:w="2698" w:type="dxa"/>
            <w:vAlign w:val="center"/>
            <w:vMerge w:val="continue"/>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70"/>
        </w:trPr>
        <w:tc>
          <w:tcPr>
            <w:tcW w:w="3117" w:type="dxa"/>
            <w:vAlign w:val="center"/>
            <w:vMerge w:val="continue"/>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华为2288H V5/ RH2288H V3</w:t>
            </w:r>
            <w:r/>
          </w:p>
        </w:tc>
        <w:tc>
          <w:tcPr>
            <w:shd w:val="clear" w:color="auto" w:fill="auto"/>
            <w:tcW w:w="2698" w:type="dxa"/>
            <w:vAlign w:val="center"/>
            <w:vMerge w:val="continue"/>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70"/>
        </w:trPr>
        <w:tc>
          <w:tcPr>
            <w:tcW w:w="3117" w:type="dxa"/>
            <w:vAlign w:val="center"/>
            <w:vMerge w:val="continue"/>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IBM System x3650 M2/M3</w:t>
            </w:r>
            <w:r/>
          </w:p>
        </w:tc>
        <w:tc>
          <w:tcPr>
            <w:shd w:val="clear" w:color="auto" w:fill="auto"/>
            <w:tcW w:w="2698" w:type="dxa"/>
            <w:vAlign w:val="center"/>
            <w:vMerge w:val="continue"/>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70"/>
        </w:trPr>
        <w:tc>
          <w:tcPr>
            <w:tcW w:w="3117" w:type="dxa"/>
            <w:vAlign w:val="center"/>
            <w:vMerge w:val="continue"/>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曙光I420-G10/ I840R-GP</w:t>
            </w:r>
            <w:r/>
          </w:p>
        </w:tc>
        <w:tc>
          <w:tcPr>
            <w:shd w:val="clear" w:color="auto" w:fill="auto"/>
            <w:tcW w:w="2698" w:type="dxa"/>
            <w:vAlign w:val="center"/>
            <w:vMerge w:val="continue"/>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70"/>
        </w:trPr>
        <w:tc>
          <w:tcPr>
            <w:tcW w:w="3117" w:type="dxa"/>
            <w:vAlign w:val="center"/>
            <w:vMerge w:val="continue"/>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海康DS-VE22S-B</w:t>
            </w:r>
            <w:r/>
          </w:p>
        </w:tc>
        <w:tc>
          <w:tcPr>
            <w:shd w:val="clear" w:color="auto" w:fill="auto"/>
            <w:tcW w:w="2698" w:type="dxa"/>
            <w:vAlign w:val="center"/>
            <w:vMerge w:val="continue"/>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70"/>
        </w:trPr>
        <w:tc>
          <w:tcPr>
            <w:tcW w:w="3117" w:type="dxa"/>
            <w:vAlign w:val="center"/>
            <w:vMerge w:val="restart"/>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业务服务器-23</w:t>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IBM System x3650 M2/M3 / System  x3850 X5</w:t>
            </w:r>
            <w:r/>
          </w:p>
        </w:tc>
        <w:tc>
          <w:tcPr>
            <w:shd w:val="clear" w:color="auto" w:fill="auto"/>
            <w:tcW w:w="2698" w:type="dxa"/>
            <w:vAlign w:val="center"/>
            <w:vMerge w:val="restart"/>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通用机架式服务器</w:t>
            </w:r>
            <w:r/>
          </w:p>
        </w:tc>
      </w:tr>
      <w:tr>
        <w:trPr>
          <w:jc w:val="center"/>
          <w:trHeight w:val="270"/>
        </w:trPr>
        <w:tc>
          <w:tcPr>
            <w:tcW w:w="3117" w:type="dxa"/>
            <w:vAlign w:val="center"/>
            <w:vMerge w:val="continue"/>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曙光 A420R-G</w:t>
            </w:r>
            <w:r/>
          </w:p>
        </w:tc>
        <w:tc>
          <w:tcPr>
            <w:shd w:val="clear" w:color="auto" w:fill="auto"/>
            <w:tcW w:w="2698" w:type="dxa"/>
            <w:vAlign w:val="center"/>
            <w:vMerge w:val="continue"/>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70"/>
        </w:trPr>
        <w:tc>
          <w:tcPr>
            <w:tcW w:w="3117" w:type="dxa"/>
            <w:vAlign w:val="center"/>
            <w:vMerge w:val="continue"/>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DELL PowerEdge R720</w:t>
            </w:r>
            <w:r/>
          </w:p>
        </w:tc>
        <w:tc>
          <w:tcPr>
            <w:shd w:val="clear" w:color="auto" w:fill="auto"/>
            <w:tcW w:w="2698" w:type="dxa"/>
            <w:vAlign w:val="center"/>
            <w:vMerge w:val="continue"/>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70"/>
        </w:trPr>
        <w:tc>
          <w:tcPr>
            <w:tcW w:w="3117" w:type="dxa"/>
            <w:vAlign w:val="center"/>
            <w:vMerge w:val="continue"/>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H3C R4900 G2</w:t>
            </w:r>
            <w:r/>
          </w:p>
        </w:tc>
        <w:tc>
          <w:tcPr>
            <w:shd w:val="clear" w:color="auto" w:fill="auto"/>
            <w:tcW w:w="2698" w:type="dxa"/>
            <w:vAlign w:val="center"/>
            <w:vMerge w:val="continue"/>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70"/>
        </w:trPr>
        <w:tc>
          <w:tcPr>
            <w:tcW w:w="3117" w:type="dxa"/>
            <w:vAlign w:val="center"/>
            <w:vMerge w:val="continue"/>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华为RH2288 V2</w:t>
            </w:r>
            <w:r/>
          </w:p>
        </w:tc>
        <w:tc>
          <w:tcPr>
            <w:shd w:val="clear" w:color="auto" w:fill="auto"/>
            <w:tcW w:w="2698" w:type="dxa"/>
            <w:vAlign w:val="center"/>
            <w:vMerge w:val="continue"/>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70"/>
        </w:trPr>
        <w:tc>
          <w:tcPr>
            <w:tcW w:w="3117" w:type="dxa"/>
            <w:vAlign w:val="center"/>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业务服务器-24</w:t>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曙光I620-G20</w:t>
            </w:r>
            <w:r/>
          </w:p>
        </w:tc>
        <w:tc>
          <w:tcPr>
            <w:shd w:val="clear" w:color="auto" w:fill="auto"/>
            <w:tcW w:w="2698" w:type="dxa"/>
            <w:vAlign w:val="center"/>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通用机架式服务器</w:t>
            </w:r>
            <w:r/>
          </w:p>
        </w:tc>
      </w:tr>
      <w:tr>
        <w:trPr>
          <w:jc w:val="center"/>
          <w:trHeight w:val="270"/>
        </w:trPr>
        <w:tc>
          <w:tcPr>
            <w:tcW w:w="3117" w:type="dxa"/>
            <w:vAlign w:val="center"/>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业务服务器-25</w:t>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曙光I620-G20/ H620-G30</w:t>
            </w:r>
            <w:r/>
          </w:p>
        </w:tc>
        <w:tc>
          <w:tcPr>
            <w:shd w:val="clear" w:color="auto" w:fill="auto"/>
            <w:tcW w:w="2698" w:type="dxa"/>
            <w:vAlign w:val="center"/>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通用机架式服务器</w:t>
            </w:r>
            <w:r/>
          </w:p>
        </w:tc>
      </w:tr>
      <w:tr>
        <w:trPr>
          <w:jc w:val="center"/>
          <w:trHeight w:val="270"/>
        </w:trPr>
        <w:tc>
          <w:tcPr>
            <w:tcW w:w="3117" w:type="dxa"/>
            <w:vAlign w:val="center"/>
            <w:vMerge w:val="restart"/>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业务服务器-26</w:t>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科达JDS6000</w:t>
            </w:r>
            <w:r/>
          </w:p>
        </w:tc>
        <w:tc>
          <w:tcPr>
            <w:shd w:val="clear" w:color="auto" w:fill="auto"/>
            <w:tcW w:w="2698" w:type="dxa"/>
            <w:vAlign w:val="center"/>
            <w:vMerge w:val="restart"/>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通用机架式服务器</w:t>
            </w:r>
            <w:r/>
          </w:p>
        </w:tc>
      </w:tr>
      <w:tr>
        <w:trPr>
          <w:jc w:val="center"/>
          <w:trHeight w:val="270"/>
        </w:trPr>
        <w:tc>
          <w:tcPr>
            <w:tcW w:w="3117" w:type="dxa"/>
            <w:vAlign w:val="center"/>
            <w:vMerge w:val="continue"/>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亿联YMS2000</w:t>
            </w:r>
            <w:r/>
          </w:p>
        </w:tc>
        <w:tc>
          <w:tcPr>
            <w:shd w:val="clear" w:color="auto" w:fill="auto"/>
            <w:tcW w:w="2698" w:type="dxa"/>
            <w:vAlign w:val="center"/>
            <w:vMerge w:val="continue"/>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70"/>
        </w:trPr>
        <w:tc>
          <w:tcPr>
            <w:tcW w:w="3117" w:type="dxa"/>
            <w:vAlign w:val="center"/>
            <w:vMerge w:val="restart"/>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数据业务设备</w:t>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超聚变5885H V5</w:t>
            </w:r>
            <w:r/>
          </w:p>
        </w:tc>
        <w:tc>
          <w:tcPr>
            <w:shd w:val="clear" w:color="auto" w:fill="auto"/>
            <w:tcW w:w="2698" w:type="dxa"/>
            <w:vAlign w:val="center"/>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通用机架式服务器</w:t>
            </w:r>
            <w:r/>
          </w:p>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（2027.07过保）</w:t>
            </w:r>
            <w:r/>
          </w:p>
        </w:tc>
      </w:tr>
      <w:tr>
        <w:trPr>
          <w:jc w:val="center"/>
          <w:trHeight w:val="270"/>
        </w:trPr>
        <w:tc>
          <w:tcPr>
            <w:tcW w:w="3117" w:type="dxa"/>
            <w:vAlign w:val="center"/>
            <w:vMerge w:val="continue"/>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华为OceanStor Dorado 5500</w:t>
            </w:r>
            <w:r/>
          </w:p>
        </w:tc>
        <w:tc>
          <w:tcPr>
            <w:shd w:val="clear" w:color="auto" w:fill="auto"/>
            <w:tcW w:w="2698" w:type="dxa"/>
            <w:vAlign w:val="center"/>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集中式存储（含控制框1部）</w:t>
            </w:r>
            <w:r/>
          </w:p>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（2027.03过保）</w:t>
            </w:r>
            <w:r/>
          </w:p>
        </w:tc>
      </w:tr>
      <w:tr>
        <w:trPr>
          <w:jc w:val="center"/>
          <w:trHeight w:val="270"/>
        </w:trPr>
        <w:tc>
          <w:tcPr>
            <w:tcW w:w="3117" w:type="dxa"/>
            <w:vAlign w:val="center"/>
            <w:vMerge w:val="continue"/>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1套</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华为OceanStor 5510 V5</w:t>
            </w:r>
            <w:r/>
          </w:p>
        </w:tc>
        <w:tc>
          <w:tcPr>
            <w:shd w:val="clear" w:color="auto" w:fill="auto"/>
            <w:tcW w:w="2698" w:type="dxa"/>
            <w:vAlign w:val="center"/>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集中式存储（含控制框1部，24盘位硬盘框1个、磁盘满配）</w:t>
            </w:r>
            <w:r/>
          </w:p>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（2027.03过保）</w:t>
            </w:r>
            <w:r/>
          </w:p>
        </w:tc>
      </w:tr>
      <w:tr>
        <w:trPr>
          <w:jc w:val="center"/>
          <w:trHeight w:val="270"/>
        </w:trPr>
        <w:tc>
          <w:tcPr>
            <w:tcW w:w="3117" w:type="dxa"/>
            <w:vAlign w:val="center"/>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业务服务器-27</w:t>
            </w:r>
            <w:r/>
          </w:p>
        </w:tc>
        <w:tc>
          <w:tcPr>
            <w:shd w:val="clear" w:color="auto" w:fill="auto"/>
            <w:tcW w:w="780"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8台</w:t>
            </w:r>
            <w:r/>
          </w:p>
        </w:tc>
        <w:tc>
          <w:tcPr>
            <w:shd w:val="clear" w:color="auto" w:fill="auto"/>
            <w:tcW w:w="2688" w:type="dxa"/>
            <w:vAlign w:val="center"/>
            <w:textDirection w:val="lrTb"/>
            <w:noWrap/>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曙光H620-G30A</w:t>
            </w:r>
            <w:r/>
          </w:p>
        </w:tc>
        <w:tc>
          <w:tcPr>
            <w:shd w:val="clear" w:color="auto" w:fill="auto"/>
            <w:tcW w:w="2698" w:type="dxa"/>
            <w:vAlign w:val="center"/>
            <w:textDirection w:val="lrTb"/>
            <w:noWrap w:val="false"/>
          </w:tcPr>
          <w:p>
            <w:pP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通用机架式服务器</w:t>
            </w:r>
            <w:r/>
          </w:p>
          <w:p>
            <w:pPr>
              <w:jc w:val="left"/>
              <w:spacing w:after="100" w:line="259"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（2027.04过保）</w:t>
            </w:r>
            <w:r/>
          </w:p>
        </w:tc>
      </w:tr>
    </w:tbl>
    <w:p>
      <w:pPr>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2.2维保要求</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2.2.1在合同签订后两周内针对“2.1硬件设备”中的“维保设备清单2”中的所有设备进行全面排查，对检测的设备软硬件故障和各类隐患形成解决方案并提交采购人</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由</w:t>
      </w:r>
      <w:r>
        <w:rPr>
          <w:rFonts w:hint="eastAsia" w:ascii="宋体" w:hAnsi="宋体" w:eastAsia="宋体" w:cs="宋体"/>
          <w:sz w:val="24"/>
          <w:szCs w:val="24"/>
          <w:highlight w:val="none"/>
        </w:rPr>
        <w:t xml:space="preserve">采购人认可</w:t>
      </w:r>
      <w:r>
        <w:rPr>
          <w:rFonts w:hint="eastAsia" w:ascii="宋体" w:hAnsi="宋体" w:cs="宋体"/>
          <w:sz w:val="24"/>
          <w:szCs w:val="24"/>
          <w:highlight w:val="none"/>
          <w:lang w:val="en-US" w:eastAsia="zh-CN"/>
        </w:rPr>
        <w:t xml:space="preserve">并</w:t>
      </w:r>
      <w:r>
        <w:rPr>
          <w:rFonts w:hint="eastAsia" w:ascii="宋体" w:hAnsi="宋体" w:eastAsia="宋体" w:cs="宋体"/>
          <w:sz w:val="24"/>
          <w:szCs w:val="24"/>
          <w:highlight w:val="none"/>
        </w:rPr>
        <w:t xml:space="preserve">监督中标人解决相关问题。若未能按照上述要求完成，采购人将根据运维评分对相应部分进行扣分，直至整改完毕。</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2.2.2中标人应全面掌握采购人数据中心内IT基础设施现状，熟悉设备构成特征、运行架构、配置方式、维护标准及依赖关系；在服务期内建立完整、准确、可持续更新的设备基础资料库和运维台账，确保底数清晰、资料可追</w:t>
      </w:r>
      <w:r>
        <w:rPr>
          <w:rFonts w:hint="eastAsia" w:ascii="宋体" w:hAnsi="宋体" w:cs="宋体"/>
          <w:sz w:val="24"/>
          <w:szCs w:val="24"/>
          <w:highlight w:val="none"/>
          <w:lang w:val="en-US" w:eastAsia="zh-CN"/>
        </w:rPr>
        <w:t xml:space="preserve">溯</w:t>
      </w:r>
      <w:r>
        <w:rPr>
          <w:rFonts w:hint="eastAsia" w:ascii="宋体" w:hAnsi="宋体" w:eastAsia="宋体" w:cs="宋体"/>
          <w:sz w:val="24"/>
          <w:szCs w:val="24"/>
          <w:highlight w:val="none"/>
        </w:rPr>
        <w:t xml:space="preserve">，具备与采购人现有技术体系相匹配的运维保障能力。</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2.2.3负责采购人数据中心内IT基础设施的日常运行维护工作，建立标准化运维机制，保障系统安全、稳定、连续运行。</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服务内容包括但不限于：</w:t>
      </w:r>
      <w:r/>
    </w:p>
    <w:p>
      <w:pPr>
        <w:ind w:firstLine="240"/>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（一）硬件设备运行状态检查、性能监测、健康巡检及风险排查；</w:t>
      </w:r>
      <w:r/>
    </w:p>
    <w:p>
      <w:pPr>
        <w:ind w:firstLine="240"/>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（二）服务器、存储、虚拟化、云平台的软件安装、配置优化、参数调整、安全加固、资源管理及运行维护；</w:t>
      </w:r>
      <w:r/>
    </w:p>
    <w:p>
      <w:pPr>
        <w:ind w:firstLine="240"/>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（三）操作系统、驱动程序、固件版本、安全补丁及相关升级维护工作；</w:t>
      </w:r>
      <w:r/>
    </w:p>
    <w:p>
      <w:pPr>
        <w:ind w:firstLine="240"/>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（四）系统配置基线维护、运行环境检查、日志分析、容量评估及性能调优；</w:t>
      </w:r>
      <w:r/>
    </w:p>
    <w:p>
      <w:pPr>
        <w:ind w:firstLine="240"/>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（五）配合采购人开展设备上下架、迁移、扩容、资源调整、版本升级及其它技术支持工作。</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中标人应能结合采购人实际运行环境，制定具有针对性和可操作性的运维方案，形成标准化处置规范，并根据运行情况持续优化。</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2.2.4 建立7×24小时故障响应机制，对设备告警</w:t>
      </w:r>
      <w:r>
        <w:rPr>
          <w:rFonts w:hint="eastAsia" w:ascii="宋体" w:hAnsi="宋体" w:eastAsia="宋体" w:cs="宋体"/>
          <w:sz w:val="24"/>
          <w:szCs w:val="24"/>
          <w:highlight w:val="none"/>
        </w:rPr>
        <w:t xml:space="preserve">、运行异常及故障事件实施实时监测、快速响应和闭环处置，确保故障及时发现、及时分析、及时恢复。中标人须根据故障等级制定相应的响应时限、升级路径及应急预案，对重大故障应提供现场技术支持和应急处置服务，并形成故障分析报告，明确故障原因、影响范围、处置过程及整改建议。服务期内，因设备故障所需更换的全部硬件配件、组件及辅助材料均由中标人免费提供，不得另行收取任何费用。所有更换配件须为原厂正规替换件或经采购人认可的同等级兼容部件，满足设备稳定运行要求。故障更换下来的硬件及服务期内新增采购的备件资产所有权均归采购人所有。</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2.2.5提供7×24小时运维保障服务，确保采购人数据中心内IT基础设施持续、安全、稳定运行。应建立值守、巡检、告警响应、升级汇报和应急保障机制，保障关键业务系统高可用运行。针对重要业务系统平台进行定期巡检、运行分析、故障处置、</w:t>
      </w:r>
      <w:r>
        <w:rPr>
          <w:rFonts w:hint="eastAsia" w:ascii="宋体" w:hAnsi="宋体" w:cs="宋体"/>
          <w:sz w:val="24"/>
          <w:szCs w:val="24"/>
          <w:highlight w:val="none"/>
          <w:lang w:val="en-US" w:eastAsia="zh-CN"/>
        </w:rPr>
        <w:t xml:space="preserve">风</w:t>
      </w:r>
      <w:r>
        <w:rPr>
          <w:rFonts w:hint="eastAsia" w:ascii="宋体" w:hAnsi="宋体" w:eastAsia="宋体" w:cs="宋体"/>
          <w:sz w:val="24"/>
          <w:szCs w:val="24"/>
          <w:highlight w:val="none"/>
        </w:rPr>
        <w:t xml:space="preserve">险评估及优化建议</w:t>
      </w:r>
      <w:r>
        <w:rPr>
          <w:rFonts w:hint="eastAsia" w:ascii="宋体" w:hAnsi="宋体" w:cs="宋体"/>
          <w:sz w:val="24"/>
          <w:szCs w:val="24"/>
          <w:highlight w:val="none"/>
          <w:lang w:eastAsia="zh-CN"/>
        </w:rPr>
        <w:t xml:space="preserve">，有</w:t>
      </w:r>
      <w:r>
        <w:rPr>
          <w:rFonts w:hint="eastAsia" w:ascii="宋体" w:hAnsi="宋体" w:eastAsia="宋体" w:cs="宋体"/>
          <w:sz w:val="24"/>
          <w:szCs w:val="24"/>
          <w:highlight w:val="none"/>
        </w:rPr>
        <w:t xml:space="preserve">必要向采购人提交相关报告，主动识别潜在风险，提出预防性维护措施，降低系统故障率及业务中断风险。</w:t>
      </w:r>
      <w:r/>
    </w:p>
    <w:p>
      <w:pPr>
        <w:keepLines w:val="0"/>
        <w:keepNext w:val="0"/>
        <w:pageBreakBefore w:val="0"/>
        <w:spacing w:line="420" w:lineRule="exact"/>
        <w:tabs>
          <w:tab w:val="left" w:pos="0" w:leader="none"/>
        </w:tabs>
        <w:rPr>
          <w:rFonts w:hint="eastAsia" w:ascii="宋体" w:hAnsi="宋体" w:eastAsia="宋体" w:cs="宋体"/>
          <w:strike/>
          <w:sz w:val="24"/>
          <w:szCs w:val="24"/>
          <w:highlight w:val="none"/>
        </w:rPr>
      </w:pPr>
      <w:r>
        <w:rPr>
          <w:rFonts w:hint="eastAsia" w:ascii="宋体" w:hAnsi="宋体" w:eastAsia="宋体" w:cs="宋体"/>
          <w:strike/>
          <w:sz w:val="24"/>
          <w:szCs w:val="24"/>
          <w:highlight w:val="none"/>
        </w:rPr>
      </w:r>
      <w:r/>
    </w:p>
    <w:p>
      <w:pPr>
        <w:ind w:firstLine="485"/>
        <w:keepLines w:val="0"/>
        <w:keepNext w:val="0"/>
        <w:pageBreakBefore w:val="0"/>
        <w:spacing w:line="420" w:lineRule="exact"/>
        <w:tabs>
          <w:tab w:val="left" w:pos="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3.网络及设备维保要求</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3.1硬件设备</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维保设备清单3</w:t>
      </w:r>
      <w:r/>
    </w:p>
    <w:tbl>
      <w:tblPr>
        <w:tblStyle w:val="69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07"/>
        <w:gridCol w:w="3069"/>
        <w:gridCol w:w="1306"/>
        <w:gridCol w:w="2004"/>
      </w:tblGrid>
      <w:tr>
        <w:trPr>
          <w:jc w:val="center"/>
          <w:trHeight w:val="270"/>
        </w:trPr>
        <w:tc>
          <w:tcPr>
            <w:shd w:val="clear" w:color="auto" w:fill="auto"/>
            <w:tcW w:w="1407"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品牌</w:t>
            </w:r>
            <w:r/>
          </w:p>
        </w:tc>
        <w:tc>
          <w:tcPr>
            <w:shd w:val="clear" w:color="auto" w:fill="auto"/>
            <w:tcW w:w="3069"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型号</w:t>
            </w:r>
            <w:r/>
          </w:p>
        </w:tc>
        <w:tc>
          <w:tcPr>
            <w:shd w:val="clear" w:color="auto" w:fill="auto"/>
            <w:tcW w:w="1306" w:type="dxa"/>
            <w:vAlign w:val="center"/>
            <w:textDirection w:val="lrTb"/>
            <w:noWrap/>
          </w:tcPr>
          <w:p>
            <w:pP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数量（台）</w:t>
            </w:r>
            <w:r/>
          </w:p>
        </w:tc>
        <w:tc>
          <w:tcPr>
            <w:tcW w:w="2004" w:type="dxa"/>
            <w:vAlign w:val="center"/>
            <w:textDirection w:val="lrTb"/>
            <w:noWrap w:val="false"/>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备注</w:t>
            </w:r>
            <w:r/>
          </w:p>
        </w:tc>
      </w:tr>
      <w:tr>
        <w:trPr>
          <w:jc w:val="center"/>
          <w:trHeight w:val="270"/>
        </w:trPr>
        <w:tc>
          <w:tcPr>
            <w:shd w:val="clear" w:color="auto" w:fill="auto"/>
            <w:tcW w:w="1407"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H3C</w:t>
            </w:r>
            <w:r/>
          </w:p>
        </w:tc>
        <w:tc>
          <w:tcPr>
            <w:shd w:val="clear" w:color="auto" w:fill="auto"/>
            <w:tcW w:w="3069" w:type="dxa"/>
            <w:vAlign w:val="center"/>
            <w:textDirection w:val="lrTb"/>
            <w:noWrap/>
          </w:tcPr>
          <w:p>
            <w:pP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S5500 Series</w:t>
            </w:r>
            <w:r/>
          </w:p>
        </w:tc>
        <w:tc>
          <w:tcPr>
            <w:shd w:val="clear" w:color="auto" w:fill="auto"/>
            <w:tcW w:w="1306"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p>
        </w:tc>
        <w:tc>
          <w:tcPr>
            <w:tcW w:w="2004" w:type="dxa"/>
            <w:vAlign w:val="center"/>
            <w:textDirection w:val="lrTb"/>
            <w:noWrap w:val="false"/>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r>
      <w:tr>
        <w:trPr>
          <w:jc w:val="center"/>
          <w:trHeight w:val="270"/>
        </w:trPr>
        <w:tc>
          <w:tcPr>
            <w:shd w:val="clear" w:color="auto" w:fill="auto"/>
            <w:tcW w:w="1407"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华为</w:t>
            </w:r>
            <w:r/>
          </w:p>
        </w:tc>
        <w:tc>
          <w:tcPr>
            <w:shd w:val="clear" w:color="auto" w:fill="auto"/>
            <w:tcW w:w="3069" w:type="dxa"/>
            <w:vAlign w:val="center"/>
            <w:textDirection w:val="lrTb"/>
            <w:noWrap/>
          </w:tcPr>
          <w:p>
            <w:pP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Quidway S5700 series</w:t>
            </w:r>
            <w:r/>
          </w:p>
        </w:tc>
        <w:tc>
          <w:tcPr>
            <w:shd w:val="clear" w:color="auto" w:fill="auto"/>
            <w:tcW w:w="1306"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p>
        </w:tc>
        <w:tc>
          <w:tcPr>
            <w:tcW w:w="2004" w:type="dxa"/>
            <w:vAlign w:val="center"/>
            <w:textDirection w:val="lrTb"/>
            <w:noWrap w:val="false"/>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r>
      <w:tr>
        <w:trPr>
          <w:jc w:val="center"/>
          <w:trHeight w:val="270"/>
        </w:trPr>
        <w:tc>
          <w:tcPr>
            <w:shd w:val="clear" w:color="auto" w:fill="auto"/>
            <w:tcW w:w="1407"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H3C</w:t>
            </w:r>
            <w:r/>
          </w:p>
        </w:tc>
        <w:tc>
          <w:tcPr>
            <w:shd w:val="clear" w:color="auto" w:fill="auto"/>
            <w:tcW w:w="3069" w:type="dxa"/>
            <w:vAlign w:val="center"/>
            <w:textDirection w:val="lrTb"/>
            <w:noWrap/>
          </w:tcPr>
          <w:p>
            <w:pP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S5120 Series</w:t>
            </w:r>
            <w:r/>
          </w:p>
        </w:tc>
        <w:tc>
          <w:tcPr>
            <w:shd w:val="clear" w:color="auto" w:fill="auto"/>
            <w:tcW w:w="1306"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p>
        </w:tc>
        <w:tc>
          <w:tcPr>
            <w:tcW w:w="2004" w:type="dxa"/>
            <w:vAlign w:val="center"/>
            <w:textDirection w:val="lrTb"/>
            <w:noWrap w:val="false"/>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r>
      <w:tr>
        <w:trPr>
          <w:jc w:val="center"/>
          <w:trHeight w:val="270"/>
        </w:trPr>
        <w:tc>
          <w:tcPr>
            <w:shd w:val="clear" w:color="auto" w:fill="auto"/>
            <w:tcW w:w="1407"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华为</w:t>
            </w:r>
            <w:r/>
          </w:p>
        </w:tc>
        <w:tc>
          <w:tcPr>
            <w:shd w:val="clear" w:color="auto" w:fill="auto"/>
            <w:tcW w:w="3069" w:type="dxa"/>
            <w:vAlign w:val="center"/>
            <w:textDirection w:val="lrTb"/>
            <w:noWrap/>
          </w:tcPr>
          <w:p>
            <w:pP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S1720-10GW-2P</w:t>
            </w:r>
            <w:r/>
          </w:p>
        </w:tc>
        <w:tc>
          <w:tcPr>
            <w:shd w:val="clear" w:color="auto" w:fill="auto"/>
            <w:tcW w:w="1306"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p>
        </w:tc>
        <w:tc>
          <w:tcPr>
            <w:tcW w:w="2004" w:type="dxa"/>
            <w:vAlign w:val="center"/>
            <w:textDirection w:val="lrTb"/>
            <w:noWrap w:val="false"/>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r>
      <w:tr>
        <w:trPr>
          <w:jc w:val="center"/>
          <w:trHeight w:val="270"/>
        </w:trPr>
        <w:tc>
          <w:tcPr>
            <w:shd w:val="clear" w:color="auto" w:fill="auto"/>
            <w:tcW w:w="1407"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华为</w:t>
            </w:r>
            <w:r/>
          </w:p>
        </w:tc>
        <w:tc>
          <w:tcPr>
            <w:shd w:val="clear" w:color="auto" w:fill="auto"/>
            <w:tcW w:w="3069" w:type="dxa"/>
            <w:vAlign w:val="center"/>
            <w:textDirection w:val="lrTb"/>
            <w:noWrap/>
          </w:tcPr>
          <w:p>
            <w:pP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S5720-36C-EI</w:t>
            </w:r>
            <w:r/>
          </w:p>
        </w:tc>
        <w:tc>
          <w:tcPr>
            <w:shd w:val="clear" w:color="auto" w:fill="auto"/>
            <w:tcW w:w="1306"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p>
        </w:tc>
        <w:tc>
          <w:tcPr>
            <w:tcW w:w="2004" w:type="dxa"/>
            <w:vAlign w:val="center"/>
            <w:textDirection w:val="lrTb"/>
            <w:noWrap w:val="false"/>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r>
      <w:tr>
        <w:trPr>
          <w:jc w:val="center"/>
          <w:trHeight w:val="270"/>
        </w:trPr>
        <w:tc>
          <w:tcPr>
            <w:shd w:val="clear" w:color="auto" w:fill="auto"/>
            <w:tcW w:w="1407"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H3C</w:t>
            </w:r>
            <w:r/>
          </w:p>
        </w:tc>
        <w:tc>
          <w:tcPr>
            <w:shd w:val="clear" w:color="auto" w:fill="auto"/>
            <w:tcW w:w="3069" w:type="dxa"/>
            <w:vAlign w:val="center"/>
            <w:textDirection w:val="lrTb"/>
            <w:noWrap/>
          </w:tcPr>
          <w:p>
            <w:pP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S1248</w:t>
            </w:r>
            <w:r/>
          </w:p>
        </w:tc>
        <w:tc>
          <w:tcPr>
            <w:shd w:val="clear" w:color="auto" w:fill="auto"/>
            <w:tcW w:w="1306"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p>
        </w:tc>
        <w:tc>
          <w:tcPr>
            <w:tcW w:w="2004" w:type="dxa"/>
            <w:vAlign w:val="center"/>
            <w:textDirection w:val="lrTb"/>
            <w:noWrap w:val="false"/>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r>
      <w:tr>
        <w:trPr>
          <w:jc w:val="center"/>
          <w:trHeight w:val="270"/>
        </w:trPr>
        <w:tc>
          <w:tcPr>
            <w:shd w:val="clear" w:color="auto" w:fill="auto"/>
            <w:tcW w:w="1407"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H3C</w:t>
            </w:r>
            <w:r/>
          </w:p>
        </w:tc>
        <w:tc>
          <w:tcPr>
            <w:shd w:val="clear" w:color="auto" w:fill="auto"/>
            <w:tcW w:w="3069" w:type="dxa"/>
            <w:vAlign w:val="center"/>
            <w:textDirection w:val="lrTb"/>
            <w:noWrap/>
          </w:tcPr>
          <w:p>
            <w:pP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S5000 series</w:t>
            </w:r>
            <w:r/>
          </w:p>
        </w:tc>
        <w:tc>
          <w:tcPr>
            <w:shd w:val="clear" w:color="auto" w:fill="auto"/>
            <w:tcW w:w="1306"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p>
        </w:tc>
        <w:tc>
          <w:tcPr>
            <w:tcW w:w="2004" w:type="dxa"/>
            <w:vAlign w:val="center"/>
            <w:textDirection w:val="lrTb"/>
            <w:noWrap w:val="false"/>
          </w:tcPr>
          <w:p>
            <w:pPr>
              <w:jc w:val="center"/>
              <w:keepLines w:val="0"/>
              <w:keepNext w:val="0"/>
              <w:pageBreakBefore w:val="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70"/>
        </w:trPr>
        <w:tc>
          <w:tcPr>
            <w:shd w:val="clear" w:color="auto" w:fill="auto"/>
            <w:tcW w:w="1407"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华为</w:t>
            </w:r>
            <w:r/>
          </w:p>
        </w:tc>
        <w:tc>
          <w:tcPr>
            <w:shd w:val="clear" w:color="auto" w:fill="auto"/>
            <w:tcW w:w="3069" w:type="dxa"/>
            <w:vAlign w:val="center"/>
            <w:textDirection w:val="lrTb"/>
            <w:noWrap/>
          </w:tcPr>
          <w:p>
            <w:pP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Quidway S5700 series</w:t>
            </w:r>
            <w:r/>
          </w:p>
        </w:tc>
        <w:tc>
          <w:tcPr>
            <w:shd w:val="clear" w:color="auto" w:fill="auto"/>
            <w:tcW w:w="1306"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p>
        </w:tc>
        <w:tc>
          <w:tcPr>
            <w:tcW w:w="2004" w:type="dxa"/>
            <w:vAlign w:val="center"/>
            <w:textDirection w:val="lrTb"/>
            <w:noWrap w:val="false"/>
          </w:tcPr>
          <w:p>
            <w:pPr>
              <w:jc w:val="center"/>
              <w:keepLines w:val="0"/>
              <w:keepNext w:val="0"/>
              <w:pageBreakBefore w:val="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70"/>
        </w:trPr>
        <w:tc>
          <w:tcPr>
            <w:shd w:val="clear" w:color="auto" w:fill="auto"/>
            <w:tcW w:w="1407"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华为</w:t>
            </w:r>
            <w:r/>
          </w:p>
        </w:tc>
        <w:tc>
          <w:tcPr>
            <w:shd w:val="clear" w:color="auto" w:fill="auto"/>
            <w:tcW w:w="3069" w:type="dxa"/>
            <w:vAlign w:val="center"/>
            <w:textDirection w:val="lrTb"/>
            <w:noWrap/>
          </w:tcPr>
          <w:p>
            <w:pP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Quidway S3500 series</w:t>
            </w:r>
            <w:r/>
          </w:p>
        </w:tc>
        <w:tc>
          <w:tcPr>
            <w:shd w:val="clear" w:color="auto" w:fill="auto"/>
            <w:tcW w:w="1306"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p>
        </w:tc>
        <w:tc>
          <w:tcPr>
            <w:tcW w:w="2004" w:type="dxa"/>
            <w:vAlign w:val="center"/>
            <w:textDirection w:val="lrTb"/>
            <w:noWrap w:val="false"/>
          </w:tcPr>
          <w:p>
            <w:pPr>
              <w:jc w:val="center"/>
              <w:keepLines w:val="0"/>
              <w:keepNext w:val="0"/>
              <w:pageBreakBefore w:val="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70"/>
        </w:trPr>
        <w:tc>
          <w:tcPr>
            <w:shd w:val="clear" w:color="auto" w:fill="auto"/>
            <w:tcW w:w="1407"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华为</w:t>
            </w:r>
            <w:r/>
          </w:p>
        </w:tc>
        <w:tc>
          <w:tcPr>
            <w:shd w:val="clear" w:color="auto" w:fill="auto"/>
            <w:tcW w:w="3069" w:type="dxa"/>
            <w:vAlign w:val="center"/>
            <w:textDirection w:val="lrTb"/>
            <w:noWrap/>
          </w:tcPr>
          <w:p>
            <w:pP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Quidway S3900 series</w:t>
            </w:r>
            <w:r/>
          </w:p>
        </w:tc>
        <w:tc>
          <w:tcPr>
            <w:shd w:val="clear" w:color="auto" w:fill="auto"/>
            <w:tcW w:w="1306"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p>
        </w:tc>
        <w:tc>
          <w:tcPr>
            <w:tcW w:w="2004" w:type="dxa"/>
            <w:vAlign w:val="center"/>
            <w:textDirection w:val="lrTb"/>
            <w:noWrap w:val="false"/>
          </w:tcPr>
          <w:p>
            <w:pPr>
              <w:jc w:val="center"/>
              <w:keepLines w:val="0"/>
              <w:keepNext w:val="0"/>
              <w:pageBreakBefore w:val="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70"/>
        </w:trPr>
        <w:tc>
          <w:tcPr>
            <w:shd w:val="clear" w:color="auto" w:fill="auto"/>
            <w:tcW w:w="1407"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华为</w:t>
            </w:r>
            <w:r/>
          </w:p>
        </w:tc>
        <w:tc>
          <w:tcPr>
            <w:shd w:val="clear" w:color="auto" w:fill="auto"/>
            <w:tcW w:w="3069" w:type="dxa"/>
            <w:vAlign w:val="center"/>
            <w:textDirection w:val="lrTb"/>
            <w:noWrap/>
          </w:tcPr>
          <w:p>
            <w:pP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Quidway S5320-28X-LI-AC</w:t>
            </w:r>
            <w:r/>
          </w:p>
        </w:tc>
        <w:tc>
          <w:tcPr>
            <w:shd w:val="clear" w:color="auto" w:fill="auto"/>
            <w:tcW w:w="1306"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p>
        </w:tc>
        <w:tc>
          <w:tcPr>
            <w:tcW w:w="2004" w:type="dxa"/>
            <w:vAlign w:val="center"/>
            <w:textDirection w:val="lrTb"/>
            <w:noWrap w:val="false"/>
          </w:tcPr>
          <w:p>
            <w:pPr>
              <w:jc w:val="center"/>
              <w:keepLines w:val="0"/>
              <w:keepNext w:val="0"/>
              <w:pageBreakBefore w:val="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70"/>
        </w:trPr>
        <w:tc>
          <w:tcPr>
            <w:shd w:val="clear" w:color="auto" w:fill="auto"/>
            <w:tcW w:w="1407"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华为</w:t>
            </w:r>
            <w:r/>
          </w:p>
        </w:tc>
        <w:tc>
          <w:tcPr>
            <w:shd w:val="clear" w:color="auto" w:fill="auto"/>
            <w:tcW w:w="3069" w:type="dxa"/>
            <w:vAlign w:val="center"/>
            <w:textDirection w:val="lrTb"/>
            <w:noWrap/>
          </w:tcPr>
          <w:p>
            <w:pP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CE6855-48S6Q-HI</w:t>
            </w:r>
            <w:r/>
          </w:p>
        </w:tc>
        <w:tc>
          <w:tcPr>
            <w:shd w:val="clear" w:color="auto" w:fill="auto"/>
            <w:tcW w:w="1306"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p>
        </w:tc>
        <w:tc>
          <w:tcPr>
            <w:tcW w:w="2004" w:type="dxa"/>
            <w:vAlign w:val="center"/>
            <w:textDirection w:val="lrTb"/>
            <w:noWrap w:val="false"/>
          </w:tcPr>
          <w:p>
            <w:pPr>
              <w:jc w:val="center"/>
              <w:keepLines w:val="0"/>
              <w:keepNext w:val="0"/>
              <w:pageBreakBefore w:val="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70"/>
        </w:trPr>
        <w:tc>
          <w:tcPr>
            <w:shd w:val="clear" w:color="auto" w:fill="auto"/>
            <w:tcW w:w="1407"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华为</w:t>
            </w:r>
            <w:r/>
          </w:p>
        </w:tc>
        <w:tc>
          <w:tcPr>
            <w:shd w:val="clear" w:color="auto" w:fill="auto"/>
            <w:tcW w:w="3069" w:type="dxa"/>
            <w:vAlign w:val="center"/>
            <w:textDirection w:val="lrTb"/>
            <w:noWrap/>
          </w:tcPr>
          <w:p>
            <w:pP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*CE12808</w:t>
            </w:r>
            <w:r/>
          </w:p>
        </w:tc>
        <w:tc>
          <w:tcPr>
            <w:shd w:val="clear" w:color="auto" w:fill="auto"/>
            <w:tcW w:w="1306"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p>
        </w:tc>
        <w:tc>
          <w:tcPr>
            <w:tcW w:w="2004" w:type="dxa"/>
            <w:vAlign w:val="center"/>
            <w:textDirection w:val="lrTb"/>
            <w:noWrap w:val="false"/>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含板卡</w:t>
            </w:r>
            <w:r/>
          </w:p>
        </w:tc>
      </w:tr>
      <w:tr>
        <w:trPr>
          <w:jc w:val="center"/>
          <w:trHeight w:val="270"/>
        </w:trPr>
        <w:tc>
          <w:tcPr>
            <w:shd w:val="clear" w:color="auto" w:fill="auto"/>
            <w:tcW w:w="1407"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华为</w:t>
            </w:r>
            <w:r/>
          </w:p>
        </w:tc>
        <w:tc>
          <w:tcPr>
            <w:shd w:val="clear" w:color="auto" w:fill="auto"/>
            <w:tcW w:w="3069" w:type="dxa"/>
            <w:vAlign w:val="center"/>
            <w:textDirection w:val="lrTb"/>
            <w:noWrap/>
          </w:tcPr>
          <w:p>
            <w:pP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*CE12808</w:t>
            </w:r>
            <w:r/>
          </w:p>
        </w:tc>
        <w:tc>
          <w:tcPr>
            <w:shd w:val="clear" w:color="auto" w:fill="auto"/>
            <w:tcW w:w="1306"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p>
        </w:tc>
        <w:tc>
          <w:tcPr>
            <w:tcW w:w="2004" w:type="dxa"/>
            <w:vAlign w:val="center"/>
            <w:textDirection w:val="lrTb"/>
            <w:noWrap w:val="false"/>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含板卡</w:t>
            </w:r>
            <w:r/>
          </w:p>
        </w:tc>
      </w:tr>
      <w:tr>
        <w:trPr>
          <w:jc w:val="center"/>
          <w:trHeight w:val="270"/>
        </w:trPr>
        <w:tc>
          <w:tcPr>
            <w:shd w:val="clear" w:color="auto" w:fill="auto"/>
            <w:tcW w:w="1407"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华为</w:t>
            </w:r>
            <w:r/>
          </w:p>
        </w:tc>
        <w:tc>
          <w:tcPr>
            <w:shd w:val="clear" w:color="auto" w:fill="auto"/>
            <w:tcW w:w="3069" w:type="dxa"/>
            <w:vAlign w:val="center"/>
            <w:textDirection w:val="lrTb"/>
            <w:noWrap/>
          </w:tcPr>
          <w:p>
            <w:pP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*CE12804</w:t>
            </w:r>
            <w:r/>
          </w:p>
        </w:tc>
        <w:tc>
          <w:tcPr>
            <w:shd w:val="clear" w:color="auto" w:fill="auto"/>
            <w:tcW w:w="1306"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p>
        </w:tc>
        <w:tc>
          <w:tcPr>
            <w:tcW w:w="2004" w:type="dxa"/>
            <w:vAlign w:val="center"/>
            <w:textDirection w:val="lrTb"/>
            <w:noWrap w:val="false"/>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含板卡</w:t>
            </w:r>
            <w:r/>
          </w:p>
        </w:tc>
      </w:tr>
      <w:tr>
        <w:trPr>
          <w:jc w:val="center"/>
          <w:trHeight w:val="270"/>
        </w:trPr>
        <w:tc>
          <w:tcPr>
            <w:shd w:val="clear" w:color="auto" w:fill="auto"/>
            <w:tcW w:w="1407"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华为</w:t>
            </w:r>
            <w:r/>
          </w:p>
        </w:tc>
        <w:tc>
          <w:tcPr>
            <w:shd w:val="clear" w:color="auto" w:fill="auto"/>
            <w:tcW w:w="3069" w:type="dxa"/>
            <w:vAlign w:val="center"/>
            <w:textDirection w:val="lrTb"/>
            <w:noWrap/>
          </w:tcPr>
          <w:p>
            <w:pP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S5720-28P-SI</w:t>
            </w:r>
            <w:r/>
          </w:p>
        </w:tc>
        <w:tc>
          <w:tcPr>
            <w:shd w:val="clear" w:color="auto" w:fill="auto"/>
            <w:tcW w:w="1306"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182</w:t>
            </w:r>
            <w:r/>
          </w:p>
        </w:tc>
        <w:tc>
          <w:tcPr>
            <w:tcW w:w="2004" w:type="dxa"/>
            <w:vAlign w:val="center"/>
            <w:textDirection w:val="lrTb"/>
            <w:noWrap w:val="false"/>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r>
      <w:tr>
        <w:trPr>
          <w:jc w:val="center"/>
          <w:trHeight w:val="270"/>
        </w:trPr>
        <w:tc>
          <w:tcPr>
            <w:shd w:val="clear" w:color="auto" w:fill="auto"/>
            <w:tcW w:w="1407"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华为</w:t>
            </w:r>
            <w:r/>
          </w:p>
        </w:tc>
        <w:tc>
          <w:tcPr>
            <w:shd w:val="clear" w:color="auto" w:fill="auto"/>
            <w:tcW w:w="3069" w:type="dxa"/>
            <w:vAlign w:val="center"/>
            <w:textDirection w:val="lrTb"/>
            <w:noWrap/>
          </w:tcPr>
          <w:p>
            <w:pP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S5720-52P-SI</w:t>
            </w:r>
            <w:r/>
          </w:p>
        </w:tc>
        <w:tc>
          <w:tcPr>
            <w:shd w:val="clear" w:color="auto" w:fill="auto"/>
            <w:tcW w:w="1306"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10</w:t>
            </w:r>
            <w:r/>
          </w:p>
        </w:tc>
        <w:tc>
          <w:tcPr>
            <w:tcW w:w="2004" w:type="dxa"/>
            <w:vAlign w:val="center"/>
            <w:textDirection w:val="lrTb"/>
            <w:noWrap w:val="false"/>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r>
      <w:tr>
        <w:trPr>
          <w:jc w:val="center"/>
          <w:trHeight w:val="270"/>
        </w:trPr>
        <w:tc>
          <w:tcPr>
            <w:shd w:val="clear" w:color="auto" w:fill="auto"/>
            <w:tcW w:w="1407"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华为</w:t>
            </w:r>
            <w:r/>
          </w:p>
        </w:tc>
        <w:tc>
          <w:tcPr>
            <w:shd w:val="clear" w:color="auto" w:fill="auto"/>
            <w:tcW w:w="3069" w:type="dxa"/>
            <w:vAlign w:val="center"/>
            <w:textDirection w:val="lrTb"/>
            <w:noWrap/>
          </w:tcPr>
          <w:p>
            <w:pP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S5720-36PC-EI</w:t>
            </w:r>
            <w:r/>
          </w:p>
        </w:tc>
        <w:tc>
          <w:tcPr>
            <w:shd w:val="clear" w:color="auto" w:fill="auto"/>
            <w:tcW w:w="1306"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w:t>
            </w:r>
            <w:r/>
          </w:p>
        </w:tc>
        <w:tc>
          <w:tcPr>
            <w:tcW w:w="2004" w:type="dxa"/>
            <w:vAlign w:val="center"/>
            <w:textDirection w:val="lrTb"/>
            <w:noWrap w:val="false"/>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r>
      <w:tr>
        <w:trPr>
          <w:jc w:val="center"/>
          <w:trHeight w:val="270"/>
        </w:trPr>
        <w:tc>
          <w:tcPr>
            <w:shd w:val="clear" w:color="auto" w:fill="auto"/>
            <w:tcW w:w="1407"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华为</w:t>
            </w:r>
            <w:r/>
          </w:p>
        </w:tc>
        <w:tc>
          <w:tcPr>
            <w:shd w:val="clear" w:color="auto" w:fill="auto"/>
            <w:tcW w:w="3069" w:type="dxa"/>
            <w:vAlign w:val="center"/>
            <w:textDirection w:val="lrTb"/>
            <w:noWrap/>
          </w:tcPr>
          <w:p>
            <w:pP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*S12704</w:t>
            </w:r>
            <w:r/>
          </w:p>
        </w:tc>
        <w:tc>
          <w:tcPr>
            <w:shd w:val="clear" w:color="auto" w:fill="auto"/>
            <w:tcW w:w="1306"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14</w:t>
            </w:r>
            <w:r/>
          </w:p>
        </w:tc>
        <w:tc>
          <w:tcPr>
            <w:tcW w:w="2004" w:type="dxa"/>
            <w:vAlign w:val="center"/>
            <w:textDirection w:val="lrTb"/>
            <w:noWrap w:val="false"/>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含板卡</w:t>
            </w:r>
            <w:r/>
          </w:p>
        </w:tc>
      </w:tr>
      <w:tr>
        <w:trPr>
          <w:jc w:val="center"/>
          <w:trHeight w:val="270"/>
        </w:trPr>
        <w:tc>
          <w:tcPr>
            <w:shd w:val="clear" w:color="auto" w:fill="auto"/>
            <w:tcW w:w="1407"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华为</w:t>
            </w:r>
            <w:r/>
          </w:p>
        </w:tc>
        <w:tc>
          <w:tcPr>
            <w:shd w:val="clear" w:color="auto" w:fill="auto"/>
            <w:tcW w:w="3069" w:type="dxa"/>
            <w:vAlign w:val="center"/>
            <w:textDirection w:val="lrTb"/>
            <w:noWrap/>
          </w:tcPr>
          <w:p>
            <w:pP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CE6850-48T6Q-HI</w:t>
            </w:r>
            <w:r/>
          </w:p>
        </w:tc>
        <w:tc>
          <w:tcPr>
            <w:shd w:val="clear" w:color="auto" w:fill="auto"/>
            <w:tcW w:w="1306"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p>
        </w:tc>
        <w:tc>
          <w:tcPr>
            <w:tcW w:w="2004" w:type="dxa"/>
            <w:vAlign w:val="center"/>
            <w:textDirection w:val="lrTb"/>
            <w:noWrap w:val="false"/>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r>
      <w:tr>
        <w:trPr>
          <w:jc w:val="center"/>
          <w:trHeight w:val="270"/>
        </w:trPr>
        <w:tc>
          <w:tcPr>
            <w:shd w:val="clear" w:color="auto" w:fill="auto"/>
            <w:tcW w:w="1407"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华为</w:t>
            </w:r>
            <w:r/>
          </w:p>
        </w:tc>
        <w:tc>
          <w:tcPr>
            <w:shd w:val="clear" w:color="auto" w:fill="auto"/>
            <w:tcW w:w="3069" w:type="dxa"/>
            <w:vAlign w:val="center"/>
            <w:textDirection w:val="lrTb"/>
            <w:noWrap/>
          </w:tcPr>
          <w:p>
            <w:pP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CE6810-48S4Q-EI</w:t>
            </w:r>
            <w:r/>
          </w:p>
        </w:tc>
        <w:tc>
          <w:tcPr>
            <w:shd w:val="clear" w:color="auto" w:fill="auto"/>
            <w:tcW w:w="1306"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p>
        </w:tc>
        <w:tc>
          <w:tcPr>
            <w:tcW w:w="2004" w:type="dxa"/>
            <w:vAlign w:val="center"/>
            <w:textDirection w:val="lrTb"/>
            <w:noWrap w:val="false"/>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r>
      <w:tr>
        <w:trPr>
          <w:jc w:val="center"/>
          <w:trHeight w:val="270"/>
        </w:trPr>
        <w:tc>
          <w:tcPr>
            <w:shd w:val="clear" w:color="auto" w:fill="auto"/>
            <w:tcW w:w="1407"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华为</w:t>
            </w:r>
            <w:r/>
          </w:p>
        </w:tc>
        <w:tc>
          <w:tcPr>
            <w:shd w:val="clear" w:color="auto" w:fill="auto"/>
            <w:tcW w:w="3069" w:type="dxa"/>
            <w:vAlign w:val="center"/>
            <w:textDirection w:val="lrTb"/>
            <w:noWrap/>
          </w:tcPr>
          <w:p>
            <w:pP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CE6855-48S6Q-HI</w:t>
            </w:r>
            <w:r/>
          </w:p>
        </w:tc>
        <w:tc>
          <w:tcPr>
            <w:shd w:val="clear" w:color="auto" w:fill="auto"/>
            <w:tcW w:w="1306"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p>
        </w:tc>
        <w:tc>
          <w:tcPr>
            <w:tcW w:w="2004" w:type="dxa"/>
            <w:vAlign w:val="center"/>
            <w:textDirection w:val="lrTb"/>
            <w:noWrap w:val="false"/>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r>
      <w:tr>
        <w:trPr>
          <w:jc w:val="center"/>
          <w:trHeight w:val="270"/>
        </w:trPr>
        <w:tc>
          <w:tcPr>
            <w:shd w:val="clear" w:color="auto" w:fill="auto"/>
            <w:tcW w:w="1407"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华为</w:t>
            </w:r>
            <w:r/>
          </w:p>
        </w:tc>
        <w:tc>
          <w:tcPr>
            <w:shd w:val="clear" w:color="auto" w:fill="auto"/>
            <w:tcW w:w="3069" w:type="dxa"/>
            <w:vAlign w:val="center"/>
            <w:textDirection w:val="lrTb"/>
            <w:noWrap/>
          </w:tcPr>
          <w:p>
            <w:pP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CE5855-48T4S2Q-EI</w:t>
            </w:r>
            <w:r/>
          </w:p>
        </w:tc>
        <w:tc>
          <w:tcPr>
            <w:shd w:val="clear" w:color="auto" w:fill="auto"/>
            <w:tcW w:w="1306"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p>
        </w:tc>
        <w:tc>
          <w:tcPr>
            <w:tcW w:w="2004" w:type="dxa"/>
            <w:vAlign w:val="center"/>
            <w:textDirection w:val="lrTb"/>
            <w:noWrap w:val="false"/>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r>
      <w:tr>
        <w:trPr>
          <w:jc w:val="center"/>
          <w:trHeight w:val="270"/>
        </w:trPr>
        <w:tc>
          <w:tcPr>
            <w:shd w:val="clear" w:color="auto" w:fill="auto"/>
            <w:tcW w:w="1407"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华为</w:t>
            </w:r>
            <w:r/>
          </w:p>
        </w:tc>
        <w:tc>
          <w:tcPr>
            <w:shd w:val="clear" w:color="auto" w:fill="auto"/>
            <w:tcW w:w="3069" w:type="dxa"/>
            <w:vAlign w:val="center"/>
            <w:textDirection w:val="lrTb"/>
            <w:noWrap/>
          </w:tcPr>
          <w:p>
            <w:pP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S5720-52X-SI</w:t>
            </w:r>
            <w:r/>
          </w:p>
        </w:tc>
        <w:tc>
          <w:tcPr>
            <w:shd w:val="clear" w:color="auto" w:fill="auto"/>
            <w:tcW w:w="1306"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p>
        </w:tc>
        <w:tc>
          <w:tcPr>
            <w:tcW w:w="2004" w:type="dxa"/>
            <w:vAlign w:val="center"/>
            <w:textDirection w:val="lrTb"/>
            <w:noWrap w:val="false"/>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r>
      <w:tr>
        <w:trPr>
          <w:jc w:val="center"/>
          <w:trHeight w:val="270"/>
        </w:trPr>
        <w:tc>
          <w:tcPr>
            <w:shd w:val="clear" w:color="auto" w:fill="auto"/>
            <w:tcW w:w="1407"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华为</w:t>
            </w:r>
            <w:r/>
          </w:p>
        </w:tc>
        <w:tc>
          <w:tcPr>
            <w:shd w:val="clear" w:color="auto" w:fill="auto"/>
            <w:tcW w:w="3069" w:type="dxa"/>
            <w:vAlign w:val="center"/>
            <w:textDirection w:val="lrTb"/>
            <w:noWrap/>
          </w:tcPr>
          <w:p>
            <w:pP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S7706</w:t>
            </w:r>
            <w:r/>
          </w:p>
        </w:tc>
        <w:tc>
          <w:tcPr>
            <w:shd w:val="clear" w:color="auto" w:fill="auto"/>
            <w:tcW w:w="1306"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p>
        </w:tc>
        <w:tc>
          <w:tcPr>
            <w:tcW w:w="2004" w:type="dxa"/>
            <w:textDirection w:val="lrTb"/>
            <w:noWrap w:val="false"/>
          </w:tcPr>
          <w:p>
            <w:pPr>
              <w:jc w:val="center"/>
              <w:keepLines w:val="0"/>
              <w:keepNext w:val="0"/>
              <w:pageBreakBefore w:val="0"/>
              <w:spacing w:line="42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含板卡</w:t>
            </w:r>
            <w:r/>
          </w:p>
        </w:tc>
      </w:tr>
      <w:tr>
        <w:trPr>
          <w:jc w:val="center"/>
          <w:trHeight w:val="270"/>
        </w:trPr>
        <w:tc>
          <w:tcPr>
            <w:shd w:val="clear" w:color="auto" w:fill="auto"/>
            <w:tcW w:w="1407"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华为</w:t>
            </w:r>
            <w:r/>
          </w:p>
        </w:tc>
        <w:tc>
          <w:tcPr>
            <w:shd w:val="clear" w:color="auto" w:fill="auto"/>
            <w:tcW w:w="3069" w:type="dxa"/>
            <w:vAlign w:val="center"/>
            <w:textDirection w:val="lrTb"/>
            <w:noWrap/>
          </w:tcPr>
          <w:p>
            <w:pP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S7703</w:t>
            </w:r>
            <w:r/>
          </w:p>
        </w:tc>
        <w:tc>
          <w:tcPr>
            <w:shd w:val="clear" w:color="auto" w:fill="auto"/>
            <w:tcW w:w="1306"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p>
        </w:tc>
        <w:tc>
          <w:tcPr>
            <w:tcW w:w="2004" w:type="dxa"/>
            <w:textDirection w:val="lrTb"/>
            <w:noWrap w:val="false"/>
          </w:tcPr>
          <w:p>
            <w:pPr>
              <w:jc w:val="center"/>
              <w:keepLines w:val="0"/>
              <w:keepNext w:val="0"/>
              <w:pageBreakBefore w:val="0"/>
              <w:spacing w:line="42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含板卡</w:t>
            </w:r>
            <w:r/>
          </w:p>
        </w:tc>
      </w:tr>
      <w:tr>
        <w:trPr>
          <w:jc w:val="center"/>
          <w:trHeight w:val="270"/>
        </w:trPr>
        <w:tc>
          <w:tcPr>
            <w:shd w:val="clear" w:color="auto" w:fill="auto"/>
            <w:tcW w:w="1407"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华为</w:t>
            </w:r>
            <w:r/>
          </w:p>
        </w:tc>
        <w:tc>
          <w:tcPr>
            <w:shd w:val="clear" w:color="auto" w:fill="auto"/>
            <w:tcW w:w="3069" w:type="dxa"/>
            <w:vAlign w:val="center"/>
            <w:textDirection w:val="lrTb"/>
            <w:noWrap/>
          </w:tcPr>
          <w:p>
            <w:pP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*S12708</w:t>
            </w:r>
            <w:r/>
          </w:p>
        </w:tc>
        <w:tc>
          <w:tcPr>
            <w:shd w:val="clear" w:color="auto" w:fill="auto"/>
            <w:tcW w:w="1306"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w:t>
            </w:r>
            <w:r/>
          </w:p>
        </w:tc>
        <w:tc>
          <w:tcPr>
            <w:tcW w:w="2004" w:type="dxa"/>
            <w:textDirection w:val="lrTb"/>
            <w:noWrap w:val="false"/>
          </w:tcPr>
          <w:p>
            <w:pPr>
              <w:jc w:val="center"/>
              <w:keepLines w:val="0"/>
              <w:keepNext w:val="0"/>
              <w:pageBreakBefore w:val="0"/>
              <w:spacing w:line="42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含板卡</w:t>
            </w:r>
            <w:r/>
          </w:p>
        </w:tc>
      </w:tr>
      <w:tr>
        <w:trPr>
          <w:jc w:val="center"/>
          <w:trHeight w:val="270"/>
        </w:trPr>
        <w:tc>
          <w:tcPr>
            <w:shd w:val="clear" w:color="auto" w:fill="auto"/>
            <w:tcW w:w="1407"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华为</w:t>
            </w:r>
            <w:r/>
          </w:p>
        </w:tc>
        <w:tc>
          <w:tcPr>
            <w:shd w:val="clear" w:color="auto" w:fill="auto"/>
            <w:tcW w:w="3069" w:type="dxa"/>
            <w:vAlign w:val="center"/>
            <w:textDirection w:val="lrTb"/>
            <w:noWrap/>
          </w:tcPr>
          <w:p>
            <w:pP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S5720-28X-SI-24S-AC</w:t>
            </w:r>
            <w:r/>
          </w:p>
        </w:tc>
        <w:tc>
          <w:tcPr>
            <w:shd w:val="clear" w:color="auto" w:fill="auto"/>
            <w:tcW w:w="1306"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p>
        </w:tc>
        <w:tc>
          <w:tcPr>
            <w:tcW w:w="2004" w:type="dxa"/>
            <w:vAlign w:val="center"/>
            <w:textDirection w:val="lrTb"/>
            <w:noWrap w:val="false"/>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r>
      <w:tr>
        <w:trPr>
          <w:jc w:val="center"/>
          <w:trHeight w:val="270"/>
        </w:trPr>
        <w:tc>
          <w:tcPr>
            <w:shd w:val="clear" w:color="auto" w:fill="auto"/>
            <w:tcW w:w="1407"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华为</w:t>
            </w:r>
            <w:r/>
          </w:p>
        </w:tc>
        <w:tc>
          <w:tcPr>
            <w:shd w:val="clear" w:color="auto" w:fill="auto"/>
            <w:tcW w:w="3069" w:type="dxa"/>
            <w:vAlign w:val="center"/>
            <w:textDirection w:val="lrTb"/>
            <w:noWrap/>
          </w:tcPr>
          <w:p>
            <w:pP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*CE16808</w:t>
            </w:r>
            <w:r/>
          </w:p>
        </w:tc>
        <w:tc>
          <w:tcPr>
            <w:shd w:val="clear" w:color="auto" w:fill="auto"/>
            <w:tcW w:w="1306"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p>
        </w:tc>
        <w:tc>
          <w:tcPr>
            <w:tcW w:w="2004" w:type="dxa"/>
            <w:vAlign w:val="center"/>
            <w:textDirection w:val="lrTb"/>
            <w:noWrap w:val="false"/>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含板卡</w:t>
            </w:r>
            <w:r/>
          </w:p>
          <w:p>
            <w:pP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rPr>
              <w:t xml:space="preserve">2027.03过保）</w:t>
            </w:r>
            <w:r/>
          </w:p>
        </w:tc>
      </w:tr>
      <w:tr>
        <w:trPr>
          <w:jc w:val="center"/>
          <w:trHeight w:val="270"/>
        </w:trPr>
        <w:tc>
          <w:tcPr>
            <w:shd w:val="clear" w:color="auto" w:fill="auto"/>
            <w:tcW w:w="1407"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华为</w:t>
            </w:r>
            <w:r/>
          </w:p>
        </w:tc>
        <w:tc>
          <w:tcPr>
            <w:shd w:val="clear" w:color="auto" w:fill="auto"/>
            <w:tcW w:w="3069" w:type="dxa"/>
            <w:vAlign w:val="center"/>
            <w:textDirection w:val="lrTb"/>
            <w:noWrap/>
          </w:tcPr>
          <w:p>
            <w:pP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CE6857-48S6CQ-EI</w:t>
            </w:r>
            <w:r/>
          </w:p>
        </w:tc>
        <w:tc>
          <w:tcPr>
            <w:shd w:val="clear" w:color="auto" w:fill="auto"/>
            <w:tcW w:w="1306"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9</w:t>
            </w:r>
            <w:r/>
          </w:p>
        </w:tc>
        <w:tc>
          <w:tcPr>
            <w:tcW w:w="2004" w:type="dxa"/>
            <w:vAlign w:val="center"/>
            <w:textDirection w:val="lrTb"/>
            <w:noWrap w:val="false"/>
          </w:tcPr>
          <w:p>
            <w:pP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（2027.03过保）</w:t>
            </w:r>
            <w:r/>
          </w:p>
        </w:tc>
      </w:tr>
      <w:tr>
        <w:trPr>
          <w:jc w:val="center"/>
          <w:trHeight w:val="270"/>
        </w:trPr>
        <w:tc>
          <w:tcPr>
            <w:shd w:val="clear" w:color="auto" w:fill="auto"/>
            <w:tcW w:w="1407"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华为</w:t>
            </w:r>
            <w:r/>
          </w:p>
        </w:tc>
        <w:tc>
          <w:tcPr>
            <w:shd w:val="clear" w:color="auto" w:fill="auto"/>
            <w:tcW w:w="3069" w:type="dxa"/>
            <w:vAlign w:val="center"/>
            <w:textDirection w:val="lrTb"/>
            <w:noWrap/>
          </w:tcPr>
          <w:p>
            <w:pP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CE5855E-48T4S2Q-B0</w:t>
            </w:r>
            <w:r/>
          </w:p>
        </w:tc>
        <w:tc>
          <w:tcPr>
            <w:shd w:val="clear" w:color="auto" w:fill="auto"/>
            <w:tcW w:w="1306"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w:t>
            </w:r>
            <w:r/>
          </w:p>
        </w:tc>
        <w:tc>
          <w:tcPr>
            <w:tcW w:w="2004" w:type="dxa"/>
            <w:vAlign w:val="center"/>
            <w:textDirection w:val="lrTb"/>
            <w:noWrap w:val="false"/>
          </w:tcPr>
          <w:p>
            <w:pP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（2027.03过保）</w:t>
            </w:r>
            <w:r/>
          </w:p>
        </w:tc>
      </w:tr>
      <w:tr>
        <w:trPr>
          <w:jc w:val="center"/>
          <w:trHeight w:val="270"/>
        </w:trPr>
        <w:tc>
          <w:tcPr>
            <w:shd w:val="clear" w:color="auto" w:fill="auto"/>
            <w:tcW w:w="1407"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华为</w:t>
            </w:r>
            <w:r/>
          </w:p>
        </w:tc>
        <w:tc>
          <w:tcPr>
            <w:shd w:val="clear" w:color="auto" w:fill="auto"/>
            <w:tcW w:w="3069" w:type="dxa"/>
            <w:vAlign w:val="center"/>
            <w:textDirection w:val="lrTb"/>
            <w:noWrap/>
          </w:tcPr>
          <w:p>
            <w:pP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S5735-L24T4X-A1</w:t>
            </w:r>
            <w:r/>
          </w:p>
        </w:tc>
        <w:tc>
          <w:tcPr>
            <w:shd w:val="clear" w:color="auto" w:fill="auto"/>
            <w:tcW w:w="1306"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p>
        </w:tc>
        <w:tc>
          <w:tcPr>
            <w:tcW w:w="2004" w:type="dxa"/>
            <w:vAlign w:val="center"/>
            <w:textDirection w:val="lrTb"/>
            <w:noWrap w:val="false"/>
          </w:tcPr>
          <w:p>
            <w:pP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（2027.03过保）</w:t>
            </w:r>
            <w:r/>
          </w:p>
        </w:tc>
      </w:tr>
      <w:tr>
        <w:trPr>
          <w:jc w:val="center"/>
          <w:trHeight w:val="270"/>
        </w:trPr>
        <w:tc>
          <w:tcPr>
            <w:shd w:val="clear" w:color="auto" w:fill="auto"/>
            <w:tcW w:w="1407"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H3C</w:t>
            </w:r>
            <w:r/>
          </w:p>
        </w:tc>
        <w:tc>
          <w:tcPr>
            <w:shd w:val="clear" w:color="auto" w:fill="auto"/>
            <w:tcW w:w="3069" w:type="dxa"/>
            <w:vAlign w:val="center"/>
            <w:textDirection w:val="lrTb"/>
            <w:noWrap/>
          </w:tcPr>
          <w:p>
            <w:pP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S6800-4C-H1</w:t>
            </w:r>
            <w:r/>
          </w:p>
        </w:tc>
        <w:tc>
          <w:tcPr>
            <w:shd w:val="clear" w:color="auto" w:fill="auto"/>
            <w:tcW w:w="1306"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p>
        </w:tc>
        <w:tc>
          <w:tcPr>
            <w:tcW w:w="2004" w:type="dxa"/>
            <w:vAlign w:val="center"/>
            <w:textDirection w:val="lrTb"/>
            <w:noWrap w:val="false"/>
          </w:tcPr>
          <w:p>
            <w:pP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（2027.05过保）</w:t>
            </w:r>
            <w:r/>
          </w:p>
        </w:tc>
      </w:tr>
      <w:tr>
        <w:trPr>
          <w:jc w:val="center"/>
          <w:trHeight w:val="270"/>
        </w:trPr>
        <w:tc>
          <w:tcPr>
            <w:shd w:val="clear" w:color="auto" w:fill="auto"/>
            <w:tcW w:w="1407"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H3C</w:t>
            </w:r>
            <w:r/>
          </w:p>
        </w:tc>
        <w:tc>
          <w:tcPr>
            <w:shd w:val="clear" w:color="auto" w:fill="auto"/>
            <w:tcW w:w="3069" w:type="dxa"/>
            <w:vAlign w:val="center"/>
            <w:textDirection w:val="lrTb"/>
            <w:noWrap/>
          </w:tcPr>
          <w:p>
            <w:pP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S9850-4C</w:t>
            </w:r>
            <w:r/>
          </w:p>
        </w:tc>
        <w:tc>
          <w:tcPr>
            <w:shd w:val="clear" w:color="auto" w:fill="auto"/>
            <w:tcW w:w="1306"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p>
        </w:tc>
        <w:tc>
          <w:tcPr>
            <w:tcW w:w="2004" w:type="dxa"/>
            <w:vAlign w:val="center"/>
            <w:textDirection w:val="lrTb"/>
            <w:noWrap w:val="false"/>
          </w:tcPr>
          <w:p>
            <w:pP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（2027.05过保）</w:t>
            </w:r>
            <w:r/>
          </w:p>
        </w:tc>
      </w:tr>
      <w:tr>
        <w:trPr>
          <w:jc w:val="center"/>
          <w:trHeight w:val="270"/>
        </w:trPr>
        <w:tc>
          <w:tcPr>
            <w:shd w:val="clear" w:color="auto" w:fill="auto"/>
            <w:tcW w:w="1407"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华为</w:t>
            </w:r>
            <w:r/>
          </w:p>
        </w:tc>
        <w:tc>
          <w:tcPr>
            <w:shd w:val="clear" w:color="auto" w:fill="auto"/>
            <w:tcW w:w="3069" w:type="dxa"/>
            <w:vAlign w:val="center"/>
            <w:textDirection w:val="lrTb"/>
            <w:noWrap/>
          </w:tcPr>
          <w:p>
            <w:pP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S5731-S48T4X</w:t>
            </w:r>
            <w:r/>
          </w:p>
        </w:tc>
        <w:tc>
          <w:tcPr>
            <w:shd w:val="clear" w:color="auto" w:fill="auto"/>
            <w:tcW w:w="1306" w:type="dxa"/>
            <w:vAlign w:val="center"/>
            <w:textDirection w:val="lrTb"/>
            <w:noWrap/>
          </w:tcPr>
          <w:p>
            <w:pPr>
              <w:jc w:val="cente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w:t>
            </w:r>
            <w:r/>
          </w:p>
        </w:tc>
        <w:tc>
          <w:tcPr>
            <w:tcW w:w="2004" w:type="dxa"/>
            <w:vAlign w:val="center"/>
            <w:textDirection w:val="lrTb"/>
            <w:noWrap w:val="false"/>
          </w:tcPr>
          <w:p>
            <w:pPr>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（2027.03过保）</w:t>
            </w:r>
            <w:r/>
          </w:p>
        </w:tc>
      </w:tr>
    </w:tbl>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3.2维保要求</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3.2.1在合同签订后两周内针对“3.1硬件设备”中的“维保设备清单3”中的所有设备进行全面排查，对检测的设备软硬件故障和各类隐患形成解决方案并提交采购人。</w:t>
      </w:r>
      <w:r>
        <w:rPr>
          <w:rFonts w:hint="eastAsia" w:ascii="宋体" w:hAnsi="宋体" w:cs="宋体"/>
          <w:sz w:val="24"/>
          <w:szCs w:val="24"/>
          <w:highlight w:val="none"/>
          <w:lang w:val="en-US" w:eastAsia="zh-CN"/>
        </w:rPr>
        <w:t xml:space="preserve">由</w:t>
      </w:r>
      <w:r>
        <w:rPr>
          <w:rFonts w:hint="eastAsia" w:ascii="宋体" w:hAnsi="宋体" w:eastAsia="宋体" w:cs="宋体"/>
          <w:sz w:val="24"/>
          <w:szCs w:val="24"/>
          <w:highlight w:val="none"/>
        </w:rPr>
        <w:t xml:space="preserve">采购人认可</w:t>
      </w:r>
      <w:r>
        <w:rPr>
          <w:rFonts w:hint="eastAsia" w:ascii="宋体" w:hAnsi="宋体" w:cs="宋体"/>
          <w:sz w:val="24"/>
          <w:szCs w:val="24"/>
          <w:highlight w:val="none"/>
          <w:lang w:val="en-US" w:eastAsia="zh-CN"/>
        </w:rPr>
        <w:t xml:space="preserve">并</w:t>
      </w:r>
      <w:r>
        <w:rPr>
          <w:rFonts w:hint="eastAsia" w:ascii="宋体" w:hAnsi="宋体" w:eastAsia="宋体" w:cs="宋体"/>
          <w:sz w:val="24"/>
          <w:szCs w:val="24"/>
          <w:highlight w:val="none"/>
        </w:rPr>
        <w:t xml:space="preserve">监督中标人解决相关问题。若未能按照上述要求完成，采购人将根据运维评分对相应部分进行扣分，直至整改完毕。</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3.2.2知悉采购人各类网络系统，全面掌握采购人各类网络设备（包括但不限于核心交换机、汇聚交换机、接入交换机及其他网络配套设备）的运行现状、部署架构、技术参数、配置情况及维护方式，建立完整、准确、动态更新的设备基础台账、网络拓扑、配置档案及运行维护资料，具备对现网设备开展专业化维护保障的能力。</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3.2.3建立规范化巡检机制，针对维护范围内全部设备设计周期性多种途径的自动化巡检方案，并根据设备类型、业务重要程度及运行特点按需制定科学合理的巡检方法和详实的巡检指标体系。必要时按要求向采购人提供书面巡检报告，报告内容应包括巡检情况、存在问题、风险原因分析、整改建议及处置进度，并及时与采购人沟通协调整改事项，形成闭环管理。</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3.2.4中标人须建立网络事件采集机制，提供跨不同物理网络感知各类网络事件的维护方案，方案能够大范围、高效率的感知收集各类网络事件并进行集中汇总；同时建立设备运行日志、配置变更记录及网络运行数据的留存和分析机制，具备对网络异常事件进行全过程追溯、定位分析和技术复盘的能力，为问题排查、责任界定及优化整改提供技术支撑。在此基础上，建立完善的故障响应、分析处置机制，针对网络设备运行故障、链路异常、业务中断、安全事件等场景制定专项技术方案、标准处置流程及应急预案，确保满足采购人日常故障处理及突发事件处置需求。</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3.2.5负责维护范围内网络设备故障的及时响应与处置，并承担故障硬件的维修、更换及恢复工作。维保期间，所有故障部件、维修材料及配套附件由中标人免费提供，不得另行收取任何费用。更换部件应为原厂配件或不低于原设备技术规格的原厂认证替代件，确保与现网环境兼容并满足稳定运行要求。设备维修或更换过程中形成的故障部件及新增采购配件，其所有权均归采购人所有。</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3.2.6中标人应根据采购人需求，承担网络系统运行期间涉及的各类技术实施工作，包括但不限于网络设备搬迁、安装部署、上下架、网络拓扑调整、运行优化、配置修改、策略调整、设备联调测试、网络扩容、附属设施调整、补丁更新、安全加固、软硬件故障诊断与排除等工作。涉及网络割接、业务迁移或重大调整时，中标人应制定详细实施方案、风险控制措施及回退预案，经采购人确认后组织实施，并确保业务连续性和网络安全。</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3.2.7在重大活动保障、重要会议、重大安保任务、敏感时期、重要节假日、关键业务时段、重大网络割接及其它可能对业务运行造成重大影响的场景下，中标人应根据采购人要求提供加强运维服务。加强服务包括但不限于增加驻场技术人员、延长保障时长、实施重点监控、专项巡检、现场值守、应急技术支持及快速故障处置等，确保重要时期网络系统安全稳定运行。</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3.2.8中标人应提供网络系统及相关设备7×24小时运维保障服务，建立全天候技术支持与应急响应机制，确保在发生设备故障、网络异常或突发事件时能够及时介入、快速处置并恢复业务运行。对于需多专业、多人员协同完成的运维事项，中标人应自行统筹技术力量和资源保障，不得以人员不足或资源受限为由影响服务质量、响应时效及故障恢复。同时，自行配备满足日常维护、故障排查及应急抢修需求的各类工具设备和辅助设施，确保维护工作及时、高效开展。维保实施过程中产生的相关耗材、辅助材料及保障资源均由中标人承担。</w:t>
      </w:r>
      <w:r/>
    </w:p>
    <w:p>
      <w:pPr>
        <w:ind w:firstLine="485"/>
        <w:keepLines w:val="0"/>
        <w:keepNext w:val="0"/>
        <w:pageBreakBefore w:val="0"/>
        <w:spacing w:line="420" w:lineRule="exact"/>
        <w:tabs>
          <w:tab w:val="left" w:pos="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4.办公终端维保要求</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4.1系统安装及恢复</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4.1.1系统安装：根据采购人要求安装相应的操作系统；</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4.1.2系统恢复：因操作系统出现问题导致机器不能启动或启动异常的,需要重新恢复操作系统的。</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4.1.3系统恢复后，完成相应配件（显卡、声卡、网卡等）以及外设（打印机、扫描仪、一体机等）的驱动程序的安装调试，保证采购人能正常使用。</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4.2系统整理及优化</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4.2.1病毒检测及杀毒软件的安装和配置，最大限度的防止计算机病毒的侵害。清除不必要的程序，释放更多内存及硬盘空间，尽可能的提高电脑的整体运行效率。硬盘扫描与整理，优化硬盘使用速度；</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4.2.2操作系统补丁升级，电脑主板 BIOS升级等；</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4.2.3根据实际情况建议采购人备份重要数据，以保证数据安全。</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4.3办公外设维护</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4.3.1外设（打印机、复印机、扫描仪、一体机等）硬件故障初步诊断、维护及升级；</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4.3.2网络打印的故障处理：解决驱动程序、软件设置、网络设置等问题导致的打印故障；</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4.3.3其他外置设备的故障处理：手写板、摄像头、监控设备、移动硬盘等设备由于驱动程序、软件设置问题导致的故障。</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4.4提供7*24小时安全保障服务。</w:t>
      </w:r>
      <w:r/>
    </w:p>
    <w:p>
      <w:pPr>
        <w:ind w:firstLine="485"/>
        <w:keepLines w:val="0"/>
        <w:keepNext w:val="0"/>
        <w:pageBreakBefore w:val="0"/>
        <w:spacing w:line="420" w:lineRule="exact"/>
        <w:tabs>
          <w:tab w:val="left" w:pos="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5.重要系统平台维保要求</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5.1中标人全面掌握“2. IT基础设施硬件资源维保要求”中“2.1硬件设备”中“维保设备清单2”列表中的各类系统平台（以下简称“平台”）的架构组成、运行逻辑、部署模式，建立覆盖平台资产、系统组件、运行参数、配置关系、维护方式等内容的基础台账和技术资料。依据采购人实际业务需求，持续开展平台运行维护工作，包括但不限于资源分配与容量管理、系统配置优化、运行状态检查、账户权限管理、配置基线维护、数据及配置备份、日志管理等，确保各平台处于稳定、可控、可追溯的运行状态。</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 建立规范化、制度化的平台巡检机制，根据不同系统平台特点制定差异化巡检策略、巡检周期及监测指标体系，重点围绕资源使用率、服务可用性、系统健康状态、组件运行情况、性能瓶颈及异常告警等内容开展巡检工作。对于巡检过程中发现的故障隐患、配置缺陷、性能风险及安全问题，应及时形成分析意见和整改建议，必要时向采购人提交书面巡检报告，并持续跟踪问题整改落实情况，确保风险闭环处置。</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具备针对各平台出现重大故障时的应急处理和业务保障能力，尤其是各业务平台的管理节点、业务节点出现单点或多点物理故障时，投标人应针对由此出现的问题和附带业务损害提前制定应对预案，根据预案中的处理流程进行故障恢复，确保重大故障出现后平台业务的可持续性。如有可能，中标人须提供备用系统进行业务接管的维护设计方案，提升业务系统的运行质态，缩短故障恢复时间。</w:t>
      </w:r>
      <w:r/>
    </w:p>
    <w:p>
      <w:pPr>
        <w:ind w:firstLine="485"/>
        <w:keepLines w:val="0"/>
        <w:keepNext w:val="0"/>
        <w:pageBreakBefore w:val="0"/>
        <w:spacing w:line="420" w:lineRule="exact"/>
        <w:tabs>
          <w:tab w:val="left" w:pos="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6.重要业务或设备运行监控要求</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针对重要业务系统使用的IT基础设施提供7*24小时的不间断高可用在线监控服务，并设计相关方案。方案可以在构成重要业务系统的计算单元、存储单元、网络单元运行异常时第一时间给出告警信息；可以集中收集不同业务系统各网元的告警和运行信息，且告警和运行信息具备可回溯性和可视化特性，方便故障处理时根据信息时间快速锁定原因。</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提供针对云平台/虚拟化平台服务器或虚拟机的在线监控服务，并设计相关方案。方案可以通过多种监控指标确定主机和业务存活状态，集中收集并可视化展示主机或虚拟机的当前和历史重要运行信息，包括但不限于CPU负荷、内存占用、磁盘使用、操作系统核心运行指标等。</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6.3提供针对云平台/虚拟化平台以太网交换机的在线监控服务，并设计相关方案。方案可以通过多种监控指标确定网络设备的存活状态，可视化以太网交换机当前和历史重要运行信息，包括但不限于CPU负荷、内存占用、接口状态、接口流量，对以太网设备的重要运行指标在第一时间给出告警通知，包括但不限于主机运行负载过高、接口带宽过高、接口转发异常帧、设备配置变动、异常登录、堆叠组成员异常重启等。</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6.4提供针对云平台/虚拟化平台使用的存储设备在线监控服务，并设计相关方案。方案可以通过多种监控指标确定存储设备的存活状态，集中收集并可视化展示存储当前和历史重要运行信息，包括但不限于接口吞吐、IOPS、空间分配占用等，当存储设备的业务侧读写异常或者空间占用达到只读水位时可以在第一时间提供可回溯查询的告警信息。</w:t>
      </w:r>
      <w:r/>
    </w:p>
    <w:p>
      <w:pPr>
        <w:ind w:firstLine="485"/>
        <w:keepLines w:val="0"/>
        <w:keepNext w:val="0"/>
        <w:pageBreakBefore w:val="0"/>
        <w:spacing w:line="420" w:lineRule="exact"/>
        <w:tabs>
          <w:tab w:val="left" w:pos="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7.重要业务数据备份要求</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7.1根据业务运行需要梳理云计算平台/虚拟化平台业务虚拟机的业务特点和文件备份需求，规划业务虚拟机的备份策略和备份执行路径。</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提供可独立运行、不依赖已有云平台/虚拟化平台的文件备份服务平台，可针对windows/linux各主流发行版本进行完整、增量、差量备份，实现备份策略配置、任务调度、日志审计、恢复管理、备份容量统计分析的集中可视化管理。</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7.3对现有业务数据备份平台的备份能力进行增强，解决现有业务数据备份平台备份并发量过小及无法针对备份虚拟机进行整机恢复的问题。</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7.4提供网络文件存储共享目录，用于承接虚拟化或云平台弹性主机的导出需求。</w:t>
      </w:r>
      <w:r/>
    </w:p>
    <w:p>
      <w:pPr>
        <w:ind w:firstLine="480"/>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7.5保证备份存储空间的高可靠性，规避单点故障导致的备份数据失效。</w:t>
      </w:r>
      <w:r/>
    </w:p>
    <w:p>
      <w:pPr>
        <w:ind w:firstLine="485"/>
        <w:tabs>
          <w:tab w:val="left" w:pos="0"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8、硬件提供要求</w:t>
      </w:r>
      <w:r/>
    </w:p>
    <w:p>
      <w:pPr>
        <w:ind w:firstLine="485"/>
        <w:tabs>
          <w:tab w:val="left" w:pos="0" w:leader="none"/>
        </w:tabs>
        <w:rPr>
          <w:rFonts w:hint="eastAsia" w:ascii="宋体" w:hAnsi="宋体" w:eastAsia="宋体" w:cs="宋体"/>
          <w:sz w:val="24"/>
          <w:highlight w:val="none"/>
        </w:rPr>
      </w:pPr>
      <w:r>
        <w:rPr>
          <w:rFonts w:hint="eastAsia" w:ascii="宋体" w:hAnsi="宋体" w:eastAsia="宋体" w:cs="宋体"/>
          <w:sz w:val="24"/>
          <w:highlight w:val="none"/>
        </w:rPr>
        <w:t xml:space="preserve">为保障设备稳定运行，中标方需在合同签订后1个月之内，对于采购方服务器、存储等设备内性能较差的硬盘进行更换，所更换硬盘为企业级，并需采购方认可后方可实施。数量不低于： 10*480GB SSD；28*960GB SSD，3*1.92TB 2.5" SATA3.0 SSD；4*2.4TB 2.5" 10k SAS；15*6TB 3.5" 7.2k NLSAS；10*8TB 3.5" 7.2k SATA；30*4TB 3.5" 7.2k SATA。</w:t>
      </w:r>
      <w:r/>
    </w:p>
    <w:p>
      <w:pPr>
        <w:numPr>
          <w:ilvl w:val="0"/>
          <w:numId w:val="0"/>
        </w:numPr>
        <w:ind w:firstLine="482"/>
        <w:keepLines w:val="0"/>
        <w:keepNext w:val="0"/>
        <w:pageBreakBefore w:val="0"/>
        <w:spacing w:line="420" w:lineRule="exact"/>
        <w:tabs>
          <w:tab w:val="left" w:pos="0" w:leader="none"/>
        </w:tabs>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bidi="ar-SA"/>
        </w:rPr>
        <w:t xml:space="preserve">9</w:t>
      </w:r>
      <w:r>
        <w:rPr>
          <w:rFonts w:hint="eastAsia" w:ascii="宋体" w:hAnsi="宋体" w:eastAsia="宋体" w:cs="宋体"/>
          <w:b/>
          <w:bCs/>
          <w:sz w:val="24"/>
          <w:szCs w:val="24"/>
          <w:highlight w:val="none"/>
          <w:lang w:val="en-US" w:eastAsia="zh-CN" w:bidi="ar-SA"/>
        </w:rPr>
        <w:t xml:space="preserve">、</w:t>
      </w:r>
      <w:r>
        <w:rPr>
          <w:rFonts w:hint="eastAsia" w:ascii="宋体" w:hAnsi="宋体" w:eastAsia="宋体" w:cs="宋体"/>
          <w:b/>
          <w:bCs/>
          <w:sz w:val="24"/>
          <w:szCs w:val="24"/>
          <w:highlight w:val="none"/>
        </w:rPr>
        <w:t xml:space="preserve">备品备件要求</w:t>
      </w:r>
      <w:r/>
    </w:p>
    <w:p>
      <w:pPr>
        <w:ind w:firstLine="485"/>
        <w:tabs>
          <w:tab w:val="left" w:pos="0" w:leader="none"/>
        </w:tabs>
        <w:rPr>
          <w:rFonts w:hint="eastAsia" w:ascii="宋体" w:hAnsi="宋体" w:eastAsia="宋体" w:cs="宋体"/>
          <w:sz w:val="24"/>
          <w:highlight w:val="none"/>
        </w:rPr>
      </w:pPr>
      <w:r>
        <w:rPr>
          <w:rFonts w:hint="eastAsia" w:ascii="宋体" w:hAnsi="宋体" w:eastAsia="宋体" w:cs="宋体"/>
          <w:sz w:val="24"/>
          <w:highlight w:val="none"/>
        </w:rPr>
        <w:t xml:space="preserve">根据采购人的需求提供备品备件，且由采购人不定期对储备件情况进行检查，备品备件应按照原厂硬件或经采购人认可的符合原厂技术参数要求的硬件进行采购储备，每一类不少于10根（块）：32G DDR4；8TB SATA；16TB SATA；1.92T SATA SSD；10G SFP+ 850nm 0.3KM多模光模块；10GB SFP+ 1310nm 10km单模光模块。</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说明：本“8.硬件提供要求”</w:t>
      </w:r>
      <w:r>
        <w:rPr>
          <w:rFonts w:hint="eastAsia" w:ascii="宋体" w:hAnsi="宋体" w:cs="宋体"/>
          <w:b/>
          <w:sz w:val="24"/>
          <w:szCs w:val="24"/>
          <w:highlight w:val="none"/>
          <w:lang w:eastAsia="zh-CN"/>
        </w:rPr>
        <w:t xml:space="preserve">、</w:t>
      </w:r>
      <w:r>
        <w:rPr>
          <w:rFonts w:hint="eastAsia" w:ascii="宋体" w:hAnsi="宋体" w:eastAsia="宋体" w:cs="宋体"/>
          <w:b/>
          <w:sz w:val="24"/>
          <w:szCs w:val="24"/>
          <w:highlight w:val="none"/>
        </w:rPr>
        <w:t xml:space="preserve">“9.备品备件要求”是不允许偏离的实质性要求和条件，如有偏离，在符合性审查时按照投标无效处理。</w:t>
      </w:r>
      <w:r/>
    </w:p>
    <w:p>
      <w:pPr>
        <w:jc w:val="left"/>
        <w:keepLines w:val="0"/>
        <w:keepNext w:val="0"/>
        <w:pageBreakBefore w:val="0"/>
        <w:spacing w:after="100" w:line="42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（二）投标文件要求</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1.投标文件根据以上要求提供《项目方案》文件。</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2.《项目方案》需包括以下内容：</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2.1机房基础环境硬件维保方案；</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IT基础设施硬件资源维保方案；</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2.3网络及设备维保方案；</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2.4办公终端维保方案；</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2.5重要系统平台维保方案；</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2.6重要业务或设备运行监控方案；</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2.7重要业务数据备份方案；</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四、项目服务期限</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自合同签订生效之日起</w:t>
      </w:r>
      <w:r>
        <w:rPr>
          <w:rFonts w:hint="eastAsia" w:ascii="宋体" w:hAnsi="宋体" w:cs="宋体"/>
          <w:sz w:val="24"/>
          <w:szCs w:val="24"/>
          <w:highlight w:val="none"/>
          <w:lang w:val="en-US" w:eastAsia="zh-CN"/>
        </w:rPr>
        <w:t xml:space="preserve">12个月</w:t>
      </w:r>
      <w:r>
        <w:rPr>
          <w:rFonts w:hint="eastAsia" w:ascii="宋体" w:hAnsi="宋体" w:eastAsia="宋体" w:cs="宋体"/>
          <w:sz w:val="24"/>
          <w:szCs w:val="24"/>
          <w:highlight w:val="none"/>
        </w:rPr>
        <w:t xml:space="preserve">。</w:t>
      </w:r>
      <w:r/>
    </w:p>
    <w:p>
      <w:pPr>
        <w:ind w:firstLine="487"/>
        <w:keepLines w:val="0"/>
        <w:keepNext w:val="0"/>
        <w:pageBreakBefore w:val="0"/>
        <w:spacing w:line="420" w:lineRule="exact"/>
        <w:tabs>
          <w:tab w:val="left" w:pos="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说明：本“四、项目服务期限”是不允许偏离的实质性要求和条件，如有偏离，在符合性审查时按照投标无效处理。</w:t>
      </w:r>
      <w:r/>
    </w:p>
    <w:p>
      <w:pPr>
        <w:jc w:val="left"/>
        <w:keepLines w:val="0"/>
        <w:keepNext w:val="0"/>
        <w:pageBreakBefore w:val="0"/>
        <w:spacing w:after="100" w:line="42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五、人员配备要求</w:t>
      </w:r>
      <w:r/>
    </w:p>
    <w:p>
      <w:pPr>
        <w:ind w:firstLine="240"/>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（一）人员配备数量要求</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投标人为本项目配备专门技术队伍，人员配备总数不得低于7人，其中项目经理1名，数据中心维护工程师6人。</w:t>
      </w:r>
      <w:r/>
    </w:p>
    <w:p>
      <w:pPr>
        <w:ind w:firstLine="487"/>
        <w:keepLines w:val="0"/>
        <w:keepNext w:val="0"/>
        <w:pageBreakBefore w:val="0"/>
        <w:spacing w:line="420" w:lineRule="exact"/>
        <w:tabs>
          <w:tab w:val="left" w:pos="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说明：本“（一）人员配备数量要求”是不允许偏离的实质性要求和条件，如有偏离，在符合性审查时按照投标无效处理。</w:t>
      </w:r>
      <w:r/>
    </w:p>
    <w:p>
      <w:pPr>
        <w:numPr>
          <w:ilvl w:val="0"/>
          <w:numId w:val="0"/>
        </w:numPr>
        <w:ind w:firstLine="240"/>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lang w:val="en-US" w:eastAsia="zh-CN" w:bidi="ar-SA"/>
        </w:rPr>
        <w:t xml:space="preserve">（二）</w:t>
      </w:r>
      <w:r>
        <w:rPr>
          <w:rFonts w:hint="eastAsia" w:ascii="宋体" w:hAnsi="宋体" w:eastAsia="宋体" w:cs="宋体"/>
          <w:sz w:val="24"/>
          <w:szCs w:val="24"/>
          <w:highlight w:val="none"/>
        </w:rPr>
        <w:t xml:space="preserve">人员配备具体要求</w:t>
      </w:r>
      <w:r/>
    </w:p>
    <w:p>
      <w:pPr>
        <w:pStyle w:val="694"/>
        <w:numPr>
          <w:ilvl w:val="0"/>
          <w:numId w:val="0"/>
        </w:numPr>
        <w:ind w:firstLine="480"/>
        <w:rPr>
          <w:rFonts w:hint="eastAsia" w:ascii="宋体" w:hAnsi="宋体" w:cs="宋体"/>
          <w:sz w:val="24"/>
          <w:highlight w:val="none"/>
        </w:rPr>
      </w:pPr>
      <w:r>
        <w:rPr>
          <w:rFonts w:hint="eastAsia" w:ascii="宋体" w:hAnsi="宋体" w:cs="宋体"/>
          <w:sz w:val="24"/>
          <w:highlight w:val="none"/>
        </w:rPr>
        <w:t xml:space="preserve">1.项目经理要求</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备项目管理能力、维保团队管理能力，负责维保项目实施过程中的沟通与协调、决策与问题解决、风险管理、用户关系管理等。此外，项目经理还需要对维保清单中的云计算、服务器、存储、网络等产品具备一定程度的了解，以便维保工作的正常开展；</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2.维护团队人员要求</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（1）熟悉UPS、精密空调、动力环境监控、机房供配电单元等设备的基本使用日常维护，具备机房基础硬件设备的故障诊断、处置、调试及改造能力；</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承担采购人的各类私有云平台、虚拟化平台、存储系统及其它IT基础设施的日常管理工作，并具备主流X86服务器、通用磁盘存储阵列、网络设备、负载均衡设备等相关IT硬件设备的软硬件调试、故障诊断及故障处理能力，掌握各类常用操作系统和基础服务的安装、部署能力；具备良好的基础网络素养，可以辨析和排查各类云/虚拟化平台的内部网络故障，了解和掌握各类主流操作系统的网络配置和故障排除流程；熟悉基本的电脑软硬件故障判断、维修、系统安装和公安专用软件安装使用的能力；</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熟悉一般大型企业、党政机关单位常用网络架构和线路组网方案；熟悉常见的网络设计原则和最佳实践，如冗余设计、负载均衡、安全性、高可用性；精通主流路由协议和交换协议；能够进行路由器和交换机的配置、管理和故障排除；具备一定的基本的网络安全方面的知识，能够设计和实施网络安全策略，确保网络的安全性和可靠性。</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3.人员资质要求：本项目配备人员具有相关专业技术能力，并获得相关认证证书，具体见第四章《评标标准》中的要求。</w:t>
      </w:r>
      <w:r/>
    </w:p>
    <w:p>
      <w:pPr>
        <w:ind w:firstLine="485"/>
        <w:keepLines w:val="0"/>
        <w:keepNext w:val="0"/>
        <w:pageBreakBefore w:val="0"/>
        <w:spacing w:line="420" w:lineRule="exact"/>
        <w:tabs>
          <w:tab w:val="left" w:pos="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六、响应时间和综合保障服务要求</w:t>
      </w:r>
      <w:r/>
    </w:p>
    <w:p>
      <w:pPr>
        <w:ind w:firstLine="240"/>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（一）响应时间和综合保障服务具体要求</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1.提供7*24*365天（即每周7个工作日，每天24小时，一年365天）维护技术支持服务。</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系统发生故障时，10分钟内发现并通知采购人；如果确定不能通过远程技术支持方式解决，应立即安排技术人员60分钟到达采购人指定现场进行软硬件系统的故障处理，非严重硬件故障要求2小时恢复，保证系统能够正常运行；其它软硬件故障必须在24小时内恢复，保证系统能够正常运行。如故障超过24小时仍未予以解决，采购人有权力采取紧急方案，因此产生的费用由中标人支付。</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在特殊应用情况下，需提供产品及相关的现场技术保障，如准备时间充裕，采购人提前两天通过电话或者书面通知，接到通知后提供不低于连续24小时的现场技术服务。对于采购人的重要保障请求，包括重大节假日、国家军事、政治活动、雷雨天气、重大故障处理、重大网络割接、重点通讯保障等期间的服务保障请求时，因工作特点需要，需在指定时间段内提供具有丰富支撑能力和问题解决能力的技术工程师到现场实施相关保障服务。具体服务内容依据现场服务要求为准，采购人不再另行支付费用。</w:t>
      </w:r>
      <w:r/>
    </w:p>
    <w:p>
      <w:pPr>
        <w:ind w:firstLine="240"/>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（二）投标文件要求</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1.投标文件中提供《响应时间和综合保障服务方案》文件。</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2.对照“（一）响应时间和综合保障服务具体要求”编制《响应时间和综合保障服务方案》。</w:t>
      </w:r>
      <w:r/>
    </w:p>
    <w:p>
      <w:pPr>
        <w:jc w:val="left"/>
        <w:keepLines w:val="0"/>
        <w:keepNext w:val="0"/>
        <w:pageBreakBefore w:val="0"/>
        <w:spacing w:after="100" w:line="42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firstLine="485"/>
        <w:keepLines w:val="0"/>
        <w:keepNext w:val="0"/>
        <w:pageBreakBefore w:val="0"/>
        <w:spacing w:line="420" w:lineRule="exact"/>
        <w:tabs>
          <w:tab w:val="left" w:pos="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七、国产化和版权授权要求</w:t>
      </w:r>
      <w:r/>
    </w:p>
    <w:p>
      <w:pPr>
        <w:ind w:firstLine="240"/>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（一）国产化和版权授权要求具体要求</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1.本项目中若涉及应用平台或者系统软件部署，其使用的操作系统必须全部为国产化操作系统或者基于各国产化操作系统二次打包的各种分支发行版本，包括但不限于Kylin OS、UOS、Galaxy Kylin、NeoKylin、EulerOS、openEuler、红旗linux、AliOS等。</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本项目中若涉及新增软硬件平台系统或针对现有软硬件平台系统的升级改造，则由中标人负责解决方案实现过程中产生的所有软件授权和硬件采购费用，采购人不再进行额外支付。</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3.所有方案的实现均不得为采购人带来版权风险（如盗版、维保期内的授权过期、授权数量不足额等），由此造成的所有损失和负面影响完全由中标人承担。</w:t>
      </w:r>
      <w:r/>
    </w:p>
    <w:p>
      <w:pPr>
        <w:ind w:firstLine="240"/>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（二）投标文件要求</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1.投标文件中提供《国产化和版权授权方案》文件。</w:t>
      </w:r>
      <w:r/>
    </w:p>
    <w:p>
      <w:pPr>
        <w:ind w:firstLine="485"/>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2.对照“（一）国产化和版权授权要求具体要求”编制《国产化和版权授权方案》。</w:t>
      </w:r>
      <w:r/>
    </w:p>
    <w:p>
      <w:pPr>
        <w:ind w:firstLine="480"/>
        <w:keepLines w:val="0"/>
        <w:keepNext w:val="0"/>
        <w:pageBreakBefore w:val="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numPr>
          <w:ilvl w:val="0"/>
          <w:numId w:val="1"/>
        </w:numPr>
        <w:ind w:firstLine="480"/>
        <w:keepLines w:val="0"/>
        <w:keepNext w:val="0"/>
        <w:pageBreakBefore w:val="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关于支付（采购资金的支付方式、时间、条件）的要求</w:t>
      </w:r>
      <w:r/>
    </w:p>
    <w:p>
      <w:pPr>
        <w:ind w:firstLine="482"/>
        <w:keepLines w:val="0"/>
        <w:keepNext w:val="0"/>
        <w:pageBreakBefore w:val="0"/>
        <w:spacing w:line="42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招标文件中第五章《拟签订的合同文本》中“</w:t>
      </w:r>
      <w:r>
        <w:rPr>
          <w:rFonts w:hint="eastAsia" w:ascii="宋体" w:hAnsi="宋体" w:cs="宋体"/>
          <w:b/>
          <w:sz w:val="24"/>
          <w:szCs w:val="24"/>
          <w:highlight w:val="none"/>
          <w:lang w:val="en-US" w:eastAsia="zh-CN"/>
        </w:rPr>
        <w:t xml:space="preserve">九</w:t>
      </w:r>
      <w:r>
        <w:rPr>
          <w:rFonts w:hint="eastAsia" w:ascii="宋体" w:hAnsi="宋体" w:eastAsia="宋体" w:cs="宋体"/>
          <w:b/>
          <w:sz w:val="24"/>
          <w:szCs w:val="24"/>
          <w:highlight w:val="none"/>
        </w:rPr>
        <w:t xml:space="preserve">、支付（采购资金的支付方式、时间、条件）” 为不允许偏离的实质性要求和条件，如有偏离，在符合性审查时按照投标无效处理。</w:t>
      </w:r>
      <w:r/>
    </w:p>
    <w:p>
      <w:pPr>
        <w:jc w:val="left"/>
        <w:keepLines w:val="0"/>
        <w:keepNext w:val="0"/>
        <w:pageBreakBefore w:val="0"/>
        <w:spacing w:after="100" w:line="42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2"/>
        </w:numPr>
        <w:ind w:firstLine="360"/>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评价标准（评价要求、评价标准和程序）要求：</w:t>
      </w:r>
      <w:r/>
    </w:p>
    <w:p>
      <w:pPr>
        <w:ind w:firstLine="480"/>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具体参照项目维保服务评价文档：合同附件5。</w:t>
      </w:r>
      <w:r/>
    </w:p>
    <w:p>
      <w:pPr>
        <w:ind w:firstLine="360"/>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60"/>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十、分包：采购人不允许采用分包方式履行合同。</w:t>
      </w:r>
      <w:r/>
    </w:p>
    <w:p>
      <w:pPr>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60"/>
        <w:jc w:val="left"/>
        <w:keepLines w:val="0"/>
        <w:keepNext w:val="0"/>
        <w:pageBreakBefore w:val="0"/>
        <w:spacing w:after="100"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十一、其他要求：见招标文件第五章《拟签订的合同文本》。</w:t>
      </w:r>
      <w:r/>
    </w:p>
    <w:p>
      <w:pPr>
        <w:jc w:val="center"/>
        <w:keepLines w:val="0"/>
        <w:keepNext w:val="0"/>
        <w:pageBreakBefore w:val="0"/>
        <w:spacing w:line="420" w:lineRule="exact"/>
        <w:rPr>
          <w:rStyle w:val="885"/>
          <w:rFonts w:hint="eastAsia" w:ascii="宋体" w:hAnsi="宋体" w:eastAsia="宋体" w:cs="宋体"/>
          <w:highlight w:val="none"/>
        </w:rPr>
      </w:pPr>
      <w:r/>
      <w:bookmarkStart w:id="17" w:name="_Toc522790136"/>
      <w:r/>
      <w:r/>
    </w:p>
    <w:p>
      <w:pPr>
        <w:jc w:val="center"/>
        <w:keepLines w:val="0"/>
        <w:keepNext w:val="0"/>
        <w:pageBreakBefore w:val="0"/>
        <w:spacing w:line="420" w:lineRule="exact"/>
        <w:rPr>
          <w:rStyle w:val="885"/>
          <w:rFonts w:hint="eastAsia" w:ascii="宋体" w:hAnsi="宋体" w:eastAsia="宋体" w:cs="宋体"/>
          <w:highlight w:val="none"/>
        </w:rPr>
      </w:pPr>
      <w:r>
        <w:rPr>
          <w:rFonts w:hint="eastAsia" w:ascii="宋体" w:hAnsi="宋体" w:eastAsia="宋体" w:cs="宋体"/>
          <w:highlight w:val="none"/>
        </w:rPr>
      </w:r>
      <w:r/>
    </w:p>
    <w:p>
      <w:pPr>
        <w:jc w:val="center"/>
        <w:rPr>
          <w:rStyle w:val="885"/>
          <w:rFonts w:hint="eastAsia" w:ascii="宋体" w:hAnsi="宋体" w:eastAsia="宋体" w:cs="宋体"/>
          <w:highlight w:val="none"/>
        </w:rPr>
      </w:pPr>
      <w:r>
        <w:rPr>
          <w:rStyle w:val="885"/>
          <w:rFonts w:hint="eastAsia" w:ascii="宋体" w:hAnsi="宋体" w:eastAsia="宋体" w:cs="宋体"/>
          <w:highlight w:val="none"/>
        </w:rPr>
        <w:br w:type="page" w:clear="all"/>
      </w:r>
      <w:bookmarkStart w:id="18" w:name="_Toc3418"/>
      <w:r>
        <w:rPr>
          <w:rStyle w:val="885"/>
          <w:rFonts w:hint="eastAsia" w:ascii="宋体" w:hAnsi="宋体" w:eastAsia="宋体" w:cs="宋体"/>
          <w:highlight w:val="none"/>
        </w:rPr>
        <w:t xml:space="preserve">第七章</w:t>
      </w:r>
      <w:r>
        <w:rPr>
          <w:rStyle w:val="885"/>
          <w:rFonts w:hint="eastAsia" w:ascii="宋体" w:hAnsi="宋体" w:cs="宋体"/>
          <w:highlight w:val="none"/>
          <w:lang w:val="en-US" w:eastAsia="zh-CN"/>
        </w:rPr>
        <w:t xml:space="preserve">  </w:t>
      </w:r>
      <w:r>
        <w:rPr>
          <w:rStyle w:val="885"/>
          <w:rFonts w:hint="eastAsia" w:ascii="宋体" w:hAnsi="宋体" w:eastAsia="宋体" w:cs="宋体"/>
          <w:highlight w:val="none"/>
        </w:rPr>
        <w:t xml:space="preserve">投标文件相关格式</w:t>
      </w:r>
      <w:bookmarkEnd w:id="17"/>
      <w:r/>
      <w:bookmarkEnd w:id="18"/>
      <w:r/>
      <w:r/>
    </w:p>
    <w:p>
      <w:pPr>
        <w:jc w:val="center"/>
        <w:rPr>
          <w:rFonts w:hint="eastAsia" w:ascii="宋体" w:hAnsi="宋体" w:cs="宋体"/>
          <w:sz w:val="24"/>
          <w:highlight w:val="none"/>
        </w:rPr>
      </w:pPr>
      <w:r>
        <w:rPr>
          <w:rFonts w:hint="eastAsia" w:ascii="宋体" w:hAnsi="宋体" w:cs="宋体"/>
          <w:sz w:val="24"/>
          <w:highlight w:val="none"/>
        </w:rPr>
      </w:r>
      <w:r/>
    </w:p>
    <w:p>
      <w:pPr>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一、投标函格式</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致：</w:t>
      </w:r>
      <w:r>
        <w:rPr>
          <w:rFonts w:hint="eastAsia" w:ascii="宋体" w:hAnsi="宋体" w:eastAsia="宋体" w:cs="宋体"/>
          <w:sz w:val="28"/>
          <w:szCs w:val="28"/>
          <w:highlight w:val="none"/>
          <w:u w:val="single"/>
          <w:lang w:eastAsia="zh-CN"/>
        </w:rPr>
        <w:t xml:space="preserve">大洲设计咨询集团有限公司</w:t>
      </w:r>
      <w:r/>
    </w:p>
    <w:p>
      <w:pPr>
        <w:ind w:firstLine="60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根据项目[项目编号：</w:t>
      </w:r>
      <w:r>
        <w:rPr>
          <w:rFonts w:hint="eastAsia" w:ascii="宋体" w:hAnsi="宋体" w:cs="宋体"/>
          <w:sz w:val="28"/>
          <w:szCs w:val="28"/>
          <w:highlight w:val="none"/>
          <w:lang w:eastAsia="zh-CN"/>
        </w:rPr>
        <w:t xml:space="preserve">JSZC-320300-JSDZ-G2026-0058</w:t>
      </w:r>
      <w:r>
        <w:rPr>
          <w:rFonts w:hint="eastAsia" w:ascii="宋体" w:hAnsi="宋体" w:eastAsia="宋体" w:cs="宋体"/>
          <w:sz w:val="28"/>
          <w:szCs w:val="28"/>
          <w:highlight w:val="none"/>
        </w:rPr>
        <w:t xml:space="preserve">]招标文件，(姓名)代表我方（投标人的名称）全权处理本次投标的有关事宜。</w:t>
      </w:r>
      <w:r/>
    </w:p>
    <w:p>
      <w:pPr>
        <w:ind w:firstLine="60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据此函，投标人承诺并同意如下：</w:t>
      </w:r>
      <w:r/>
    </w:p>
    <w:p>
      <w:pPr>
        <w:ind w:firstLine="60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1.投标人唯一投标报价见《开标一览表》。</w:t>
      </w:r>
      <w:r/>
    </w:p>
    <w:p>
      <w:pPr>
        <w:ind w:firstLine="60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2.投标人将按招标文件的规定履行合同责任和义务。</w:t>
      </w:r>
      <w:r/>
    </w:p>
    <w:p>
      <w:pPr>
        <w:ind w:firstLine="60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3.投标人已详细审查全部招标文件，包括第[插入编号][补遗书][如果有的话]。投标人完全理解并同意放弃对这方面有不明及误解的权力。</w:t>
      </w:r>
      <w:r/>
    </w:p>
    <w:p>
      <w:pPr>
        <w:ind w:firstLine="60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4.投标有效期为开标之日后90天。</w:t>
      </w:r>
      <w:r/>
    </w:p>
    <w:p>
      <w:pPr>
        <w:ind w:firstLine="60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5.投标人同意提供按照贵方可能要求的与其投标有关的一切数据或资料，完全理解贵方不一定接受最低价的投标或收到的任何投标。</w:t>
      </w:r>
      <w:r/>
    </w:p>
    <w:p>
      <w:pPr>
        <w:ind w:firstLine="60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6.投标人同意在授予合同后，按照有关规定支付公证费(如有)。</w:t>
      </w:r>
      <w:r/>
    </w:p>
    <w:p>
      <w:pPr>
        <w:ind w:right="29" w:firstLine="60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7.</w:t>
      </w:r>
      <w:r>
        <w:rPr>
          <w:rFonts w:hint="eastAsia" w:ascii="宋体" w:hAnsi="宋体" w:eastAsia="宋体" w:cs="宋体"/>
          <w:sz w:val="28"/>
          <w:szCs w:val="28"/>
          <w:highlight w:val="none"/>
          <w:lang w:eastAsia="zh-CN"/>
        </w:rPr>
        <w:t xml:space="preserve">大洲设计咨询集团有限公司</w:t>
      </w:r>
      <w:r>
        <w:rPr>
          <w:rFonts w:hint="eastAsia" w:ascii="宋体" w:hAnsi="宋体" w:eastAsia="宋体" w:cs="宋体"/>
          <w:sz w:val="28"/>
          <w:szCs w:val="28"/>
          <w:highlight w:val="none"/>
        </w:rPr>
        <w:t xml:space="preserve">有权将我单位本项目的《开标一览表》和《分项价格表》予以公示，公示的方式由</w:t>
      </w:r>
      <w:r>
        <w:rPr>
          <w:rFonts w:hint="eastAsia" w:ascii="宋体" w:hAnsi="宋体" w:eastAsia="宋体" w:cs="宋体"/>
          <w:sz w:val="28"/>
          <w:szCs w:val="28"/>
          <w:highlight w:val="none"/>
          <w:lang w:eastAsia="zh-CN"/>
        </w:rPr>
        <w:t xml:space="preserve">大洲设计咨询集团有限公司</w:t>
      </w:r>
      <w:r>
        <w:rPr>
          <w:rFonts w:hint="eastAsia" w:ascii="宋体" w:hAnsi="宋体" w:eastAsia="宋体" w:cs="宋体"/>
          <w:sz w:val="28"/>
          <w:szCs w:val="28"/>
          <w:highlight w:val="none"/>
        </w:rPr>
        <w:t xml:space="preserve">确定。</w:t>
      </w:r>
      <w:r/>
    </w:p>
    <w:p>
      <w:pPr>
        <w:ind w:right="29" w:firstLine="60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9.与本投标有关的一切正式往来信函请寄：</w:t>
      </w:r>
      <w:r/>
    </w:p>
    <w:p>
      <w:pPr>
        <w:ind w:firstLine="120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地址：</w:t>
      </w:r>
      <w:r/>
    </w:p>
    <w:p>
      <w:pPr>
        <w:ind w:firstLine="120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电话：</w:t>
      </w:r>
      <w:r/>
    </w:p>
    <w:p>
      <w:pPr>
        <w:ind w:firstLine="120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传真：</w:t>
      </w:r>
      <w:r/>
    </w:p>
    <w:p>
      <w:pPr>
        <w:ind w:firstLine="270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投标人：（电子签章）</w:t>
      </w:r>
      <w:r/>
    </w:p>
    <w:p>
      <w:pPr>
        <w:ind w:firstLine="60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r>
      <w:r/>
    </w:p>
    <w:p>
      <w:pPr>
        <w:ind w:firstLine="450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日期：年月日</w:t>
      </w:r>
      <w:r/>
    </w:p>
    <w:p>
      <w:pPr>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br w:type="page" w:clear="all"/>
      </w:r>
      <w:r>
        <w:rPr>
          <w:rFonts w:hint="eastAsia" w:ascii="宋体" w:hAnsi="宋体" w:eastAsia="宋体" w:cs="宋体"/>
          <w:b/>
          <w:bCs/>
          <w:sz w:val="28"/>
          <w:szCs w:val="28"/>
          <w:highlight w:val="none"/>
        </w:rPr>
        <w:t xml:space="preserve">二、开标一览表格式</w:t>
      </w:r>
      <w:r/>
    </w:p>
    <w:p>
      <w:pPr>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600"/>
        <w:spacing w:line="520" w:lineRule="exact"/>
        <w:rPr>
          <w:rFonts w:hint="eastAsia" w:ascii="宋体" w:hAnsi="宋体" w:eastAsia="宋体" w:cs="宋体"/>
          <w:sz w:val="28"/>
          <w:szCs w:val="28"/>
          <w:highlight w:val="none"/>
          <w:u w:val="single"/>
          <w:lang w:eastAsia="zh-CN"/>
        </w:rPr>
      </w:pPr>
      <w:r>
        <w:rPr>
          <w:rFonts w:hint="eastAsia" w:ascii="宋体" w:hAnsi="宋体" w:eastAsia="宋体" w:cs="宋体"/>
          <w:sz w:val="28"/>
          <w:szCs w:val="28"/>
          <w:highlight w:val="none"/>
        </w:rPr>
        <w:t xml:space="preserve">项目名称：</w:t>
      </w:r>
      <w:r>
        <w:rPr>
          <w:rFonts w:hint="eastAsia" w:ascii="宋体" w:hAnsi="宋体" w:eastAsia="宋体" w:cs="宋体"/>
          <w:sz w:val="28"/>
          <w:szCs w:val="28"/>
          <w:highlight w:val="none"/>
          <w:lang w:eastAsia="zh-CN"/>
        </w:rPr>
        <w:t xml:space="preserve">徐州市公安局数据中心维保项目</w:t>
      </w:r>
      <w:r/>
    </w:p>
    <w:p>
      <w:pPr>
        <w:ind w:firstLine="600"/>
        <w:spacing w:line="520" w:lineRule="exac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项目编号：</w:t>
      </w:r>
      <w:r>
        <w:rPr>
          <w:rFonts w:hint="eastAsia" w:ascii="宋体" w:hAnsi="宋体" w:cs="宋体"/>
          <w:sz w:val="28"/>
          <w:szCs w:val="28"/>
          <w:highlight w:val="none"/>
          <w:lang w:eastAsia="zh-CN"/>
        </w:rPr>
        <w:t xml:space="preserve">JSZC-320300-JSDZ-G2026-0058</w:t>
      </w:r>
      <w:r/>
    </w:p>
    <w:p>
      <w:pPr>
        <w:ind w:firstLine="56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详见苏采云系统。</w:t>
      </w:r>
      <w:r/>
    </w:p>
    <w:p>
      <w:pPr>
        <w:pStyle w:val="894"/>
        <w:ind w:left="1470" w:right="147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94"/>
        <w:ind w:left="1470" w:right="147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2520"/>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投标人：（电子签章）</w:t>
      </w:r>
      <w:r/>
    </w:p>
    <w:p>
      <w:pPr>
        <w:ind w:firstLine="4760"/>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日期：年月日</w:t>
      </w:r>
      <w:r/>
    </w:p>
    <w:p>
      <w:pPr>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br w:type="page" w:clear="all"/>
      </w:r>
      <w:r>
        <w:rPr>
          <w:rFonts w:hint="eastAsia" w:ascii="宋体" w:hAnsi="宋体" w:eastAsia="宋体" w:cs="宋体"/>
          <w:b/>
          <w:bCs/>
          <w:sz w:val="28"/>
          <w:szCs w:val="28"/>
          <w:highlight w:val="none"/>
        </w:rPr>
        <w:t xml:space="preserve">三、分项价格表格式</w:t>
      </w:r>
      <w:r/>
    </w:p>
    <w:p>
      <w:pPr>
        <w:ind w:firstLine="600"/>
        <w:spacing w:line="480" w:lineRule="exac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项目名称：</w:t>
      </w:r>
      <w:r>
        <w:rPr>
          <w:rFonts w:hint="eastAsia" w:ascii="宋体" w:hAnsi="宋体" w:eastAsia="宋体" w:cs="宋体"/>
          <w:sz w:val="28"/>
          <w:szCs w:val="28"/>
          <w:highlight w:val="none"/>
          <w:lang w:eastAsia="zh-CN"/>
        </w:rPr>
        <w:t xml:space="preserve">徐州市公安局数据中心维保项目</w:t>
      </w:r>
      <w:r/>
    </w:p>
    <w:p>
      <w:pPr>
        <w:ind w:firstLine="600"/>
        <w:spacing w:line="480" w:lineRule="exac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项目编号：</w:t>
      </w:r>
      <w:r>
        <w:rPr>
          <w:rFonts w:hint="eastAsia" w:ascii="宋体" w:hAnsi="宋体" w:cs="宋体"/>
          <w:sz w:val="28"/>
          <w:szCs w:val="28"/>
          <w:highlight w:val="none"/>
          <w:lang w:eastAsia="zh-CN"/>
        </w:rPr>
        <w:t xml:space="preserve">JSZC-320300-JSDZ-G2026-0058</w:t>
      </w:r>
      <w:r/>
    </w:p>
    <w:p>
      <w:pPr>
        <w:ind w:firstLine="60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货币单位：人民币元</w:t>
      </w:r>
      <w:r/>
    </w:p>
    <w:p>
      <w:pPr>
        <w:ind w:firstLine="60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285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（详细分项报价内容自拟）</w:t>
      </w:r>
      <w:r/>
    </w:p>
    <w:p>
      <w:pPr>
        <w:ind w:firstLine="285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285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投标人：（盖单位电子签章）</w:t>
      </w:r>
      <w:r/>
    </w:p>
    <w:p>
      <w:pPr>
        <w:ind w:firstLine="600"/>
        <w:spacing w:line="480" w:lineRule="exac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r>
      <w:r/>
    </w:p>
    <w:p>
      <w:pPr>
        <w:ind w:firstLine="390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日期：</w:t>
      </w:r>
      <w:r>
        <w:rPr>
          <w:rFonts w:hint="eastAsia" w:ascii="宋体" w:hAnsi="宋体" w:cs="宋体"/>
          <w:sz w:val="28"/>
          <w:szCs w:val="28"/>
          <w:highlight w:val="none"/>
          <w:lang w:val="en-US" w:eastAsia="zh-CN"/>
        </w:rPr>
        <w:t xml:space="preserve">    </w:t>
      </w:r>
      <w:r>
        <w:rPr>
          <w:rFonts w:hint="eastAsia" w:ascii="宋体" w:hAnsi="宋体" w:eastAsia="宋体" w:cs="宋体"/>
          <w:sz w:val="28"/>
          <w:szCs w:val="28"/>
          <w:highlight w:val="none"/>
        </w:rPr>
        <w:t xml:space="preserve">年</w:t>
      </w:r>
      <w:r>
        <w:rPr>
          <w:rFonts w:hint="eastAsia" w:ascii="宋体" w:hAnsi="宋体" w:cs="宋体"/>
          <w:sz w:val="28"/>
          <w:szCs w:val="28"/>
          <w:highlight w:val="none"/>
          <w:lang w:val="en-US" w:eastAsia="zh-CN"/>
        </w:rPr>
        <w:t xml:space="preserve">   </w:t>
      </w:r>
      <w:r>
        <w:rPr>
          <w:rFonts w:hint="eastAsia" w:ascii="宋体" w:hAnsi="宋体" w:eastAsia="宋体" w:cs="宋体"/>
          <w:sz w:val="28"/>
          <w:szCs w:val="28"/>
          <w:highlight w:val="none"/>
        </w:rPr>
        <w:t xml:space="preserve">月</w:t>
      </w:r>
      <w:r>
        <w:rPr>
          <w:rFonts w:hint="eastAsia" w:ascii="宋体" w:hAnsi="宋体" w:cs="宋体"/>
          <w:sz w:val="28"/>
          <w:szCs w:val="28"/>
          <w:highlight w:val="none"/>
          <w:lang w:val="en-US" w:eastAsia="zh-CN"/>
        </w:rPr>
        <w:t xml:space="preserve">   </w:t>
      </w:r>
      <w:r>
        <w:rPr>
          <w:rFonts w:hint="eastAsia" w:ascii="宋体" w:hAnsi="宋体" w:eastAsia="宋体" w:cs="宋体"/>
          <w:sz w:val="28"/>
          <w:szCs w:val="28"/>
          <w:highlight w:val="none"/>
        </w:rPr>
        <w:t xml:space="preserve">日</w:t>
      </w:r>
      <w:r/>
    </w:p>
    <w:p>
      <w:pPr>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48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spacing w:line="48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spacing w:line="48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spacing w:line="48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spacing w:line="48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spacing w:line="48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spacing w:line="48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spacing w:line="48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spacing w:line="48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spacing w:line="48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spacing w:line="48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spacing w:line="48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spacing w:line="48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spacing w:line="48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spacing w:line="48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spacing w:line="48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spacing w:line="48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spacing w:line="48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spacing w:line="48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spacing w:line="48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四、偏离表格式</w:t>
      </w:r>
      <w:r/>
    </w:p>
    <w:p>
      <w:pPr>
        <w:ind w:firstLine="600"/>
        <w:spacing w:line="480" w:lineRule="exact"/>
        <w:rPr>
          <w:rFonts w:hint="eastAsia" w:ascii="宋体" w:hAnsi="宋体" w:eastAsia="宋体" w:cs="宋体"/>
          <w:sz w:val="28"/>
          <w:szCs w:val="28"/>
          <w:highlight w:val="none"/>
          <w:u w:val="single"/>
          <w:lang w:eastAsia="zh-CN"/>
        </w:rPr>
      </w:pPr>
      <w:r>
        <w:rPr>
          <w:rFonts w:hint="eastAsia" w:ascii="宋体" w:hAnsi="宋体" w:eastAsia="宋体" w:cs="宋体"/>
          <w:sz w:val="28"/>
          <w:szCs w:val="28"/>
          <w:highlight w:val="none"/>
        </w:rPr>
        <w:t xml:space="preserve">项目名称：</w:t>
      </w:r>
      <w:r>
        <w:rPr>
          <w:rFonts w:hint="eastAsia" w:ascii="宋体" w:hAnsi="宋体" w:eastAsia="宋体" w:cs="宋体"/>
          <w:sz w:val="28"/>
          <w:szCs w:val="28"/>
          <w:highlight w:val="none"/>
          <w:lang w:eastAsia="zh-CN"/>
        </w:rPr>
        <w:t xml:space="preserve">徐州市公安局数据中心维保项目</w:t>
      </w:r>
      <w:r/>
    </w:p>
    <w:p>
      <w:pPr>
        <w:ind w:firstLine="600"/>
        <w:spacing w:line="480" w:lineRule="exact"/>
        <w:rPr>
          <w:rFonts w:hint="eastAsia" w:ascii="宋体" w:hAnsi="宋体" w:eastAsia="宋体" w:cs="宋体"/>
          <w:sz w:val="28"/>
          <w:szCs w:val="28"/>
          <w:highlight w:val="none"/>
          <w:u w:val="single"/>
          <w:lang w:eastAsia="zh-CN"/>
        </w:rPr>
      </w:pPr>
      <w:r>
        <w:rPr>
          <w:rFonts w:hint="eastAsia" w:ascii="宋体" w:hAnsi="宋体" w:eastAsia="宋体" w:cs="宋体"/>
          <w:sz w:val="28"/>
          <w:szCs w:val="28"/>
          <w:highlight w:val="none"/>
        </w:rPr>
        <w:t xml:space="preserve">项目编号：</w:t>
      </w:r>
      <w:r>
        <w:rPr>
          <w:rFonts w:hint="eastAsia" w:ascii="宋体" w:hAnsi="宋体" w:cs="宋体"/>
          <w:sz w:val="28"/>
          <w:szCs w:val="28"/>
          <w:highlight w:val="none"/>
          <w:lang w:eastAsia="zh-CN"/>
        </w:rPr>
        <w:t xml:space="preserve">JSZC-320300-JSDZ-G2026-0058</w:t>
      </w:r>
      <w:r/>
    </w:p>
    <w:p>
      <w:pPr>
        <w:rPr>
          <w:rFonts w:hint="eastAsia" w:ascii="宋体" w:hAnsi="宋体" w:eastAsia="宋体" w:cs="宋体"/>
          <w:sz w:val="28"/>
          <w:szCs w:val="28"/>
          <w:highlight w:val="none"/>
          <w:u w:val="single"/>
        </w:rPr>
      </w:pPr>
      <w:r>
        <w:rPr>
          <w:rFonts w:hint="eastAsia" w:ascii="宋体" w:hAnsi="宋体" w:eastAsia="宋体" w:cs="宋体"/>
          <w:sz w:val="28"/>
          <w:szCs w:val="28"/>
          <w:highlight w:val="none"/>
          <w:u w:val="single"/>
        </w:rPr>
      </w:r>
      <w:r/>
    </w:p>
    <w:tbl>
      <w:tblPr>
        <w:tblStyle w:val="69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jc w:val="center"/>
              <w:rPr>
                <w:rFonts w:hint="eastAsia" w:ascii="宋体" w:hAnsi="宋体" w:eastAsia="宋体" w:cs="宋体"/>
                <w:caps/>
                <w:sz w:val="28"/>
                <w:szCs w:val="28"/>
                <w:highlight w:val="none"/>
              </w:rPr>
            </w:pPr>
            <w:r>
              <w:rPr>
                <w:rFonts w:hint="eastAsia" w:ascii="宋体" w:hAnsi="宋体" w:eastAsia="宋体" w:cs="宋体"/>
                <w:caps/>
                <w:sz w:val="28"/>
                <w:szCs w:val="28"/>
                <w:highlight w:val="none"/>
              </w:rPr>
              <w:t xml:space="preserve">序号</w:t>
            </w:r>
            <w:r/>
          </w:p>
        </w:tc>
        <w:tc>
          <w:tcPr>
            <w:tcW w:w="1404" w:type="dxa"/>
            <w:vAlign w:val="center"/>
            <w:textDirection w:val="lrTb"/>
            <w:noWrap w:val="false"/>
          </w:tcPr>
          <w:p>
            <w:pPr>
              <w:jc w:val="center"/>
              <w:rPr>
                <w:rFonts w:hint="eastAsia" w:ascii="宋体" w:hAnsi="宋体" w:eastAsia="宋体" w:cs="宋体"/>
                <w:caps/>
                <w:sz w:val="28"/>
                <w:szCs w:val="28"/>
                <w:highlight w:val="none"/>
              </w:rPr>
            </w:pPr>
            <w:r>
              <w:rPr>
                <w:rFonts w:hint="eastAsia" w:ascii="宋体" w:hAnsi="宋体" w:eastAsia="宋体" w:cs="宋体"/>
                <w:caps/>
                <w:sz w:val="28"/>
                <w:szCs w:val="28"/>
                <w:highlight w:val="none"/>
              </w:rPr>
              <w:t xml:space="preserve">偏离内容</w:t>
            </w:r>
            <w:r/>
          </w:p>
        </w:tc>
        <w:tc>
          <w:tcPr>
            <w:tcW w:w="1476" w:type="dxa"/>
            <w:vAlign w:val="center"/>
            <w:textDirection w:val="lrTb"/>
            <w:noWrap w:val="false"/>
          </w:tcPr>
          <w:p>
            <w:pPr>
              <w:jc w:val="center"/>
              <w:rPr>
                <w:rFonts w:hint="eastAsia" w:ascii="宋体" w:hAnsi="宋体" w:eastAsia="宋体" w:cs="宋体"/>
                <w:caps/>
                <w:sz w:val="28"/>
                <w:szCs w:val="28"/>
                <w:highlight w:val="none"/>
              </w:rPr>
            </w:pPr>
            <w:r>
              <w:rPr>
                <w:rFonts w:hint="eastAsia" w:ascii="宋体" w:hAnsi="宋体" w:eastAsia="宋体" w:cs="宋体"/>
                <w:sz w:val="28"/>
                <w:szCs w:val="28"/>
                <w:highlight w:val="none"/>
              </w:rPr>
              <w:t xml:space="preserve">招标文件的要求</w:t>
            </w:r>
            <w:r/>
          </w:p>
        </w:tc>
        <w:tc>
          <w:tcPr>
            <w:tcW w:w="1620" w:type="dxa"/>
            <w:vAlign w:val="center"/>
            <w:textDirection w:val="lrTb"/>
            <w:noWrap w:val="false"/>
          </w:tcPr>
          <w:p>
            <w:pPr>
              <w:jc w:val="center"/>
              <w:rPr>
                <w:rFonts w:hint="eastAsia" w:ascii="宋体" w:hAnsi="宋体" w:eastAsia="宋体" w:cs="宋体"/>
                <w:caps/>
                <w:sz w:val="28"/>
                <w:szCs w:val="28"/>
                <w:highlight w:val="none"/>
              </w:rPr>
            </w:pPr>
            <w:r>
              <w:rPr>
                <w:rFonts w:hint="eastAsia" w:ascii="宋体" w:hAnsi="宋体" w:eastAsia="宋体" w:cs="宋体"/>
                <w:sz w:val="28"/>
                <w:szCs w:val="28"/>
                <w:highlight w:val="none"/>
              </w:rPr>
              <w:t xml:space="preserve">投标文件中的内容</w:t>
            </w:r>
            <w:r/>
          </w:p>
        </w:tc>
        <w:tc>
          <w:tcPr>
            <w:tcW w:w="1260" w:type="dxa"/>
            <w:vAlign w:val="center"/>
            <w:textDirection w:val="lrTb"/>
            <w:noWrap w:val="false"/>
          </w:tcPr>
          <w:p>
            <w:pPr>
              <w:jc w:val="center"/>
              <w:rPr>
                <w:rFonts w:hint="eastAsia" w:ascii="宋体" w:hAnsi="宋体" w:eastAsia="宋体" w:cs="宋体"/>
                <w:caps/>
                <w:sz w:val="28"/>
                <w:szCs w:val="28"/>
                <w:highlight w:val="none"/>
              </w:rPr>
            </w:pPr>
            <w:r>
              <w:rPr>
                <w:rFonts w:hint="eastAsia" w:ascii="宋体" w:hAnsi="宋体" w:eastAsia="宋体" w:cs="宋体"/>
                <w:caps/>
                <w:sz w:val="28"/>
                <w:szCs w:val="28"/>
                <w:highlight w:val="none"/>
              </w:rPr>
              <w:t xml:space="preserve">（正/负/无）偏离</w:t>
            </w:r>
            <w:r/>
          </w:p>
        </w:tc>
        <w:tc>
          <w:tcPr>
            <w:tcW w:w="2520" w:type="dxa"/>
            <w:vAlign w:val="center"/>
            <w:textDirection w:val="lrTb"/>
            <w:noWrap w:val="false"/>
          </w:tcPr>
          <w:p>
            <w:pPr>
              <w:jc w:val="center"/>
              <w:rPr>
                <w:rFonts w:hint="eastAsia" w:ascii="宋体" w:hAnsi="宋体" w:eastAsia="宋体" w:cs="宋体"/>
                <w:caps/>
                <w:sz w:val="28"/>
                <w:szCs w:val="28"/>
                <w:highlight w:val="none"/>
              </w:rPr>
            </w:pPr>
            <w:r>
              <w:rPr>
                <w:rFonts w:hint="eastAsia" w:ascii="宋体" w:hAnsi="宋体" w:eastAsia="宋体" w:cs="宋体"/>
                <w:caps/>
                <w:sz w:val="28"/>
                <w:szCs w:val="28"/>
                <w:highlight w:val="none"/>
              </w:rPr>
              <w:t xml:space="preserve">说明</w:t>
            </w:r>
            <w:r/>
          </w:p>
        </w:tc>
      </w:tr>
      <w:tr>
        <w:trPr>
          <w:trHeight w:val="794"/>
        </w:trPr>
        <w:tc>
          <w:tcPr>
            <w:tcW w:w="720" w:type="dxa"/>
            <w:vAlign w:val="top"/>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1404" w:type="dxa"/>
            <w:vAlign w:val="top"/>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1476" w:type="dxa"/>
            <w:vAlign w:val="top"/>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1620" w:type="dxa"/>
            <w:vAlign w:val="top"/>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1260" w:type="dxa"/>
            <w:vAlign w:val="top"/>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2520" w:type="dxa"/>
            <w:vAlign w:val="top"/>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r>
      <w:tr>
        <w:trPr>
          <w:trHeight w:val="794"/>
        </w:trPr>
        <w:tc>
          <w:tcPr>
            <w:tcW w:w="720" w:type="dxa"/>
            <w:vAlign w:val="top"/>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1404" w:type="dxa"/>
            <w:vAlign w:val="top"/>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1476" w:type="dxa"/>
            <w:vAlign w:val="top"/>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1620" w:type="dxa"/>
            <w:vAlign w:val="top"/>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1260" w:type="dxa"/>
            <w:vAlign w:val="top"/>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2520" w:type="dxa"/>
            <w:vAlign w:val="top"/>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r>
      <w:tr>
        <w:trPr>
          <w:trHeight w:val="794"/>
        </w:trPr>
        <w:tc>
          <w:tcPr>
            <w:tcW w:w="720" w:type="dxa"/>
            <w:vAlign w:val="top"/>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1404" w:type="dxa"/>
            <w:vAlign w:val="top"/>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1476" w:type="dxa"/>
            <w:vAlign w:val="top"/>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1620" w:type="dxa"/>
            <w:vAlign w:val="top"/>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1260" w:type="dxa"/>
            <w:vAlign w:val="top"/>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2520" w:type="dxa"/>
            <w:vAlign w:val="top"/>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r>
      <w:tr>
        <w:trPr>
          <w:trHeight w:val="794"/>
        </w:trPr>
        <w:tc>
          <w:tcPr>
            <w:tcW w:w="720" w:type="dxa"/>
            <w:vAlign w:val="top"/>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1404" w:type="dxa"/>
            <w:vAlign w:val="top"/>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1476" w:type="dxa"/>
            <w:vAlign w:val="top"/>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1620" w:type="dxa"/>
            <w:vAlign w:val="top"/>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1260" w:type="dxa"/>
            <w:vAlign w:val="top"/>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2520" w:type="dxa"/>
            <w:vAlign w:val="top"/>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r>
      <w:tr>
        <w:trPr>
          <w:trHeight w:val="794"/>
        </w:trPr>
        <w:tc>
          <w:tcPr>
            <w:tcW w:w="720" w:type="dxa"/>
            <w:vAlign w:val="top"/>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1404" w:type="dxa"/>
            <w:vAlign w:val="top"/>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1476" w:type="dxa"/>
            <w:vAlign w:val="top"/>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1620" w:type="dxa"/>
            <w:vAlign w:val="top"/>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1260" w:type="dxa"/>
            <w:vAlign w:val="top"/>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2520" w:type="dxa"/>
            <w:vAlign w:val="top"/>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r>
      <w:tr>
        <w:trPr>
          <w:trHeight w:val="794"/>
        </w:trPr>
        <w:tc>
          <w:tcPr>
            <w:tcW w:w="720" w:type="dxa"/>
            <w:vAlign w:val="top"/>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1404" w:type="dxa"/>
            <w:vAlign w:val="top"/>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1476" w:type="dxa"/>
            <w:vAlign w:val="top"/>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1620" w:type="dxa"/>
            <w:vAlign w:val="top"/>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1260" w:type="dxa"/>
            <w:vAlign w:val="top"/>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2520" w:type="dxa"/>
            <w:vAlign w:val="top"/>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r>
    </w:tbl>
    <w:p>
      <w:pPr>
        <w:rPr>
          <w:rFonts w:hint="eastAsia" w:ascii="宋体" w:hAnsi="宋体" w:eastAsia="宋体" w:cs="宋体"/>
          <w:sz w:val="28"/>
          <w:szCs w:val="28"/>
          <w:highlight w:val="none"/>
          <w:u w:val="single"/>
        </w:rPr>
      </w:pPr>
      <w:r>
        <w:rPr>
          <w:rFonts w:hint="eastAsia" w:ascii="宋体" w:hAnsi="宋体" w:eastAsia="宋体" w:cs="宋体"/>
          <w:sz w:val="28"/>
          <w:szCs w:val="28"/>
          <w:highlight w:val="none"/>
          <w:u w:val="single"/>
        </w:rPr>
      </w:r>
      <w:r/>
    </w:p>
    <w:p>
      <w:pPr>
        <w:ind w:firstLine="562"/>
        <w:spacing w:line="440" w:lineRule="exact"/>
        <w:rPr>
          <w:rFonts w:hint="eastAsia" w:ascii="宋体" w:hAnsi="宋体" w:eastAsia="宋体" w:cs="宋体"/>
          <w:sz w:val="28"/>
          <w:szCs w:val="28"/>
          <w:highlight w:val="none"/>
        </w:rPr>
      </w:pPr>
      <w:r>
        <w:rPr>
          <w:rFonts w:hint="eastAsia" w:ascii="宋体" w:hAnsi="宋体" w:eastAsia="宋体" w:cs="宋体"/>
          <w:b/>
          <w:sz w:val="28"/>
          <w:szCs w:val="28"/>
          <w:highlight w:val="none"/>
        </w:rPr>
        <w:t xml:space="preserve">注</w:t>
      </w:r>
      <w:r>
        <w:rPr>
          <w:rFonts w:hint="eastAsia" w:ascii="宋体" w:hAnsi="宋体" w:eastAsia="宋体" w:cs="宋体"/>
          <w:sz w:val="28"/>
          <w:szCs w:val="28"/>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2850"/>
        <w:spacing w:line="30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投标人：（电子签章）</w:t>
      </w:r>
      <w:r/>
    </w:p>
    <w:p>
      <w:pPr>
        <w:ind w:firstLine="600"/>
        <w:spacing w:line="300" w:lineRule="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r>
      <w:r/>
    </w:p>
    <w:p>
      <w:pPr>
        <w:ind w:firstLine="390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日期：</w:t>
      </w:r>
      <w:r>
        <w:rPr>
          <w:rFonts w:hint="eastAsia" w:ascii="宋体" w:hAnsi="宋体" w:cs="宋体"/>
          <w:sz w:val="28"/>
          <w:szCs w:val="28"/>
          <w:highlight w:val="none"/>
          <w:lang w:val="en-US" w:eastAsia="zh-CN"/>
        </w:rPr>
        <w:t xml:space="preserve">   </w:t>
      </w:r>
      <w:r>
        <w:rPr>
          <w:rFonts w:hint="eastAsia" w:ascii="宋体" w:hAnsi="宋体" w:eastAsia="宋体" w:cs="宋体"/>
          <w:sz w:val="28"/>
          <w:szCs w:val="28"/>
          <w:highlight w:val="none"/>
        </w:rPr>
        <w:t xml:space="preserve">年</w:t>
      </w:r>
      <w:r>
        <w:rPr>
          <w:rFonts w:hint="eastAsia" w:ascii="宋体" w:hAnsi="宋体" w:cs="宋体"/>
          <w:sz w:val="28"/>
          <w:szCs w:val="28"/>
          <w:highlight w:val="none"/>
          <w:lang w:val="en-US" w:eastAsia="zh-CN"/>
        </w:rPr>
        <w:t xml:space="preserve">  </w:t>
      </w:r>
      <w:r>
        <w:rPr>
          <w:rFonts w:hint="eastAsia" w:ascii="宋体" w:hAnsi="宋体" w:eastAsia="宋体" w:cs="宋体"/>
          <w:sz w:val="28"/>
          <w:szCs w:val="28"/>
          <w:highlight w:val="none"/>
        </w:rPr>
        <w:t xml:space="preserve">月</w:t>
      </w:r>
      <w:r>
        <w:rPr>
          <w:rFonts w:hint="eastAsia" w:ascii="宋体" w:hAnsi="宋体" w:cs="宋体"/>
          <w:sz w:val="28"/>
          <w:szCs w:val="28"/>
          <w:highlight w:val="none"/>
          <w:lang w:val="en-US" w:eastAsia="zh-CN"/>
        </w:rPr>
        <w:t xml:space="preserve">  </w:t>
      </w:r>
      <w:r>
        <w:rPr>
          <w:rFonts w:hint="eastAsia" w:ascii="宋体" w:hAnsi="宋体" w:eastAsia="宋体" w:cs="宋体"/>
          <w:sz w:val="28"/>
          <w:szCs w:val="28"/>
          <w:highlight w:val="none"/>
        </w:rPr>
        <w:t xml:space="preserve">日</w:t>
      </w:r>
      <w:r/>
    </w:p>
    <w:p>
      <w:pPr>
        <w:ind w:firstLine="600"/>
        <w:spacing w:line="48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p>
      <w:pPr>
        <w:ind w:firstLine="600"/>
        <w:spacing w:line="48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p>
      <w:pPr>
        <w:ind w:firstLine="600"/>
        <w:spacing w:line="48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p>
      <w:pPr>
        <w:jc w:val="left"/>
        <w:widowControl/>
        <w:rPr>
          <w:rFonts w:hint="eastAsia" w:ascii="宋体" w:hAnsi="宋体" w:eastAsia="宋体" w:cs="宋体"/>
          <w:sz w:val="28"/>
          <w:szCs w:val="28"/>
          <w:highlight w:val="none"/>
        </w:rPr>
      </w:pPr>
      <w:r>
        <w:rPr>
          <w:rFonts w:hint="eastAsia" w:ascii="宋体" w:hAnsi="宋体" w:eastAsia="宋体" w:cs="宋体"/>
          <w:bCs/>
          <w:sz w:val="28"/>
          <w:szCs w:val="28"/>
          <w:highlight w:val="none"/>
        </w:rPr>
        <w:br w:type="page" w:clear="all"/>
      </w:r>
      <w:r>
        <w:rPr>
          <w:rFonts w:hint="eastAsia" w:ascii="宋体" w:hAnsi="宋体" w:eastAsia="宋体" w:cs="宋体"/>
          <w:b/>
          <w:sz w:val="28"/>
          <w:szCs w:val="28"/>
          <w:highlight w:val="none"/>
        </w:rPr>
        <w:t xml:space="preserve">五、法定代表人授权书格式</w:t>
      </w:r>
      <w:r/>
    </w:p>
    <w:p>
      <w:pPr>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委托人：</w:t>
      </w:r>
      <w:r/>
    </w:p>
    <w:p>
      <w:pPr>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地址：</w:t>
      </w:r>
      <w:r/>
    </w:p>
    <w:p>
      <w:pPr>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法定代表人：职务：</w:t>
      </w:r>
      <w:r/>
    </w:p>
    <w:p>
      <w:pPr>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统一社会信用代码：</w:t>
      </w:r>
      <w:r/>
    </w:p>
    <w:p>
      <w:pPr>
        <w:spacing w:line="480" w:lineRule="exac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受托人：性别：男（女）</w:t>
      </w:r>
      <w:r/>
    </w:p>
    <w:p>
      <w:pPr>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年龄：岁民族：族</w:t>
      </w:r>
      <w:r/>
    </w:p>
    <w:p>
      <w:pPr>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职务：</w:t>
      </w:r>
      <w:r/>
    </w:p>
    <w:p>
      <w:pPr>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身份证号：</w:t>
      </w:r>
      <w:r/>
    </w:p>
    <w:p>
      <w:pPr>
        <w:ind w:firstLine="60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兹委托（）全权代表我企业（公司）参与（</w:t>
      </w:r>
      <w:r>
        <w:rPr>
          <w:rFonts w:hint="eastAsia" w:ascii="宋体" w:hAnsi="宋体" w:eastAsia="宋体" w:cs="宋体"/>
          <w:sz w:val="28"/>
          <w:szCs w:val="28"/>
          <w:highlight w:val="none"/>
          <w:lang w:eastAsia="zh-CN"/>
        </w:rPr>
        <w:t xml:space="preserve">徐州市公安局数据中心维保项目</w:t>
      </w:r>
      <w:r>
        <w:rPr>
          <w:rFonts w:hint="eastAsia" w:ascii="宋体" w:hAnsi="宋体" w:eastAsia="宋体" w:cs="宋体"/>
          <w:sz w:val="28"/>
          <w:szCs w:val="28"/>
          <w:highlight w:val="none"/>
        </w:rPr>
        <w:t xml:space="preserve">）项目（项目编号：</w:t>
      </w:r>
      <w:r>
        <w:rPr>
          <w:rFonts w:hint="eastAsia" w:ascii="宋体" w:hAnsi="宋体" w:cs="宋体"/>
          <w:sz w:val="28"/>
          <w:szCs w:val="28"/>
          <w:highlight w:val="none"/>
          <w:lang w:eastAsia="zh-CN"/>
        </w:rPr>
        <w:t xml:space="preserve">JSZC-320300-JSDZ-G2026-0058</w:t>
      </w:r>
      <w:r>
        <w:rPr>
          <w:rFonts w:hint="eastAsia" w:ascii="宋体" w:hAnsi="宋体" w:eastAsia="宋体" w:cs="宋体"/>
          <w:sz w:val="28"/>
          <w:szCs w:val="28"/>
          <w:highlight w:val="none"/>
        </w:rPr>
        <w:t xml:space="preserve">）的招、投标活动及签订合同。（）以我企业（公司）名义所为的法律行为及签署的文件，我企业（公司）均予以认可。有关法律责任均由我企业（公司）承担。（）无转委托权。委托期限自</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年</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月</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日起至</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年</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月</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日止。</w:t>
      </w:r>
      <w:r/>
    </w:p>
    <w:p>
      <w:pPr>
        <w:ind w:firstLine="63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特此授权委托。</w:t>
      </w:r>
      <w:r/>
    </w:p>
    <w:p>
      <w:pPr>
        <w:ind w:firstLine="60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委托人（电子签章）：受托人（签字或盖章）：</w:t>
      </w:r>
      <w:r/>
    </w:p>
    <w:p>
      <w:pPr>
        <w:ind w:firstLine="600"/>
        <w:spacing w:line="480" w:lineRule="exac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法定代表人（签字或盖章）：</w:t>
      </w:r>
      <w:r/>
    </w:p>
    <w:p>
      <w:pPr>
        <w:ind w:right="600"/>
        <w:jc w:val="right"/>
        <w:spacing w:line="480" w:lineRule="exac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年</w:t>
      </w:r>
      <w:r>
        <w:rPr>
          <w:rFonts w:hint="eastAsia" w:ascii="宋体" w:hAnsi="宋体" w:cs="宋体"/>
          <w:sz w:val="28"/>
          <w:szCs w:val="28"/>
          <w:highlight w:val="none"/>
          <w:lang w:val="en-US" w:eastAsia="zh-CN"/>
        </w:rPr>
        <w:t xml:space="preserve">    </w:t>
      </w:r>
      <w:r>
        <w:rPr>
          <w:rFonts w:hint="eastAsia" w:ascii="宋体" w:hAnsi="宋体" w:eastAsia="宋体" w:cs="宋体"/>
          <w:sz w:val="28"/>
          <w:szCs w:val="28"/>
          <w:highlight w:val="none"/>
        </w:rPr>
        <w:t xml:space="preserve">月</w:t>
      </w:r>
      <w:r>
        <w:rPr>
          <w:rFonts w:hint="eastAsia" w:ascii="宋体" w:hAnsi="宋体" w:cs="宋体"/>
          <w:sz w:val="28"/>
          <w:szCs w:val="28"/>
          <w:highlight w:val="none"/>
          <w:lang w:val="en-US" w:eastAsia="zh-CN"/>
        </w:rPr>
        <w:t xml:space="preserve">    </w:t>
      </w:r>
      <w:r>
        <w:rPr>
          <w:rFonts w:hint="eastAsia" w:ascii="宋体" w:hAnsi="宋体" w:eastAsia="宋体" w:cs="宋体"/>
          <w:sz w:val="28"/>
          <w:szCs w:val="28"/>
          <w:highlight w:val="none"/>
        </w:rPr>
        <w:t xml:space="preserve">日</w:t>
      </w:r>
      <w:r/>
    </w:p>
    <w:p>
      <w:pPr>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(受托人身份证扫描件或复印件附后)</w:t>
      </w:r>
      <w:r/>
    </w:p>
    <w:p>
      <w:pPr>
        <w:ind w:firstLine="447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r>
      <w:r/>
    </w:p>
    <w:p>
      <w:pPr>
        <w:ind w:firstLine="447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47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47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jc w:val="lef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br w:type="page" w:clear="all"/>
      </w:r>
      <w:r>
        <w:rPr>
          <w:rFonts w:hint="eastAsia" w:ascii="宋体" w:hAnsi="宋体" w:eastAsia="宋体" w:cs="宋体"/>
          <w:b/>
          <w:bCs/>
          <w:sz w:val="28"/>
          <w:szCs w:val="28"/>
          <w:highlight w:val="none"/>
        </w:rPr>
        <w:t xml:space="preserve">六、中小企业声明函格式</w:t>
      </w:r>
      <w:r/>
    </w:p>
    <w:p>
      <w:pPr>
        <w:ind w:firstLine="624"/>
        <w:spacing w:line="480" w:lineRule="exact"/>
        <w:rPr>
          <w:rFonts w:hint="eastAsia" w:ascii="宋体" w:hAnsi="宋体" w:eastAsia="宋体" w:cs="宋体"/>
          <w:spacing w:val="6"/>
          <w:sz w:val="28"/>
          <w:szCs w:val="28"/>
          <w:highlight w:val="none"/>
        </w:rPr>
      </w:pPr>
      <w:r>
        <w:rPr>
          <w:rFonts w:hint="eastAsia" w:ascii="宋体" w:hAnsi="宋体" w:eastAsia="宋体" w:cs="宋体"/>
          <w:spacing w:val="6"/>
          <w:sz w:val="28"/>
          <w:szCs w:val="28"/>
          <w:highlight w:val="none"/>
        </w:rPr>
        <w:t xml:space="preserve">项目名称：</w:t>
      </w:r>
      <w:r/>
    </w:p>
    <w:p>
      <w:pPr>
        <w:ind w:firstLine="624"/>
        <w:spacing w:line="480" w:lineRule="exact"/>
        <w:rPr>
          <w:rFonts w:hint="eastAsia" w:ascii="宋体" w:hAnsi="宋体" w:eastAsia="宋体" w:cs="宋体"/>
          <w:spacing w:val="6"/>
          <w:sz w:val="28"/>
          <w:szCs w:val="28"/>
          <w:highlight w:val="none"/>
        </w:rPr>
      </w:pPr>
      <w:r>
        <w:rPr>
          <w:rFonts w:hint="eastAsia" w:ascii="宋体" w:hAnsi="宋体" w:eastAsia="宋体" w:cs="宋体"/>
          <w:spacing w:val="6"/>
          <w:sz w:val="28"/>
          <w:szCs w:val="28"/>
          <w:highlight w:val="none"/>
        </w:rPr>
        <w:t xml:space="preserve">项目编号：</w:t>
      </w:r>
      <w:r/>
    </w:p>
    <w:p>
      <w:pPr>
        <w:ind w:firstLine="60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本公司郑重声明，根据《政府采购促进中小企业发展管理办法》（财库﹝2020﹞46号）的规定，本公司参加</w:t>
      </w:r>
      <w:r>
        <w:rPr>
          <w:rFonts w:hint="eastAsia" w:ascii="宋体" w:hAnsi="宋体" w:eastAsia="宋体" w:cs="宋体"/>
          <w:sz w:val="28"/>
          <w:szCs w:val="28"/>
          <w:highlight w:val="none"/>
          <w:u w:val="single"/>
        </w:rPr>
        <w:t xml:space="preserve">（单位名称）</w:t>
      </w:r>
      <w:r>
        <w:rPr>
          <w:rFonts w:hint="eastAsia" w:ascii="宋体" w:hAnsi="宋体" w:eastAsia="宋体" w:cs="宋体"/>
          <w:sz w:val="28"/>
          <w:szCs w:val="28"/>
          <w:highlight w:val="none"/>
        </w:rPr>
        <w:t xml:space="preserve">的</w:t>
      </w:r>
      <w:r>
        <w:rPr>
          <w:rFonts w:hint="eastAsia" w:ascii="宋体" w:hAnsi="宋体" w:eastAsia="宋体" w:cs="宋体"/>
          <w:sz w:val="28"/>
          <w:szCs w:val="28"/>
          <w:highlight w:val="none"/>
          <w:u w:val="single"/>
        </w:rPr>
        <w:t xml:space="preserve">（项目名称）</w:t>
      </w:r>
      <w:r>
        <w:rPr>
          <w:rFonts w:hint="eastAsia" w:ascii="宋体" w:hAnsi="宋体" w:eastAsia="宋体" w:cs="宋体"/>
          <w:sz w:val="28"/>
          <w:szCs w:val="28"/>
          <w:highlight w:val="none"/>
        </w:rPr>
        <w:t xml:space="preserve">采购活动，服务全部由符合政策要求的中小企业承接。相关企业的具体情况如下：</w:t>
      </w:r>
      <w:r/>
    </w:p>
    <w:p>
      <w:pPr>
        <w:ind w:firstLine="600"/>
        <w:spacing w:line="480" w:lineRule="exact"/>
        <w:rPr>
          <w:rFonts w:hint="eastAsia" w:ascii="宋体" w:hAnsi="宋体" w:eastAsia="宋体" w:cs="宋体"/>
          <w:spacing w:val="6"/>
          <w:sz w:val="28"/>
          <w:szCs w:val="28"/>
          <w:highlight w:val="none"/>
        </w:rPr>
      </w:pPr>
      <w:r>
        <w:rPr>
          <w:rFonts w:hint="eastAsia" w:ascii="宋体" w:hAnsi="宋体" w:eastAsia="宋体" w:cs="宋体"/>
          <w:sz w:val="28"/>
          <w:szCs w:val="28"/>
          <w:highlight w:val="none"/>
          <w:u w:val="single"/>
        </w:rPr>
        <w:t xml:space="preserve">（</w:t>
      </w:r>
      <w:r>
        <w:rPr>
          <w:rFonts w:hint="eastAsia" w:ascii="宋体" w:hAnsi="宋体" w:eastAsia="宋体" w:cs="宋体"/>
          <w:sz w:val="28"/>
          <w:szCs w:val="28"/>
          <w:highlight w:val="none"/>
          <w:u w:val="single"/>
          <w:lang w:eastAsia="zh-CN"/>
        </w:rPr>
        <w:t xml:space="preserve">徐州市公安局数据中心维保项目</w:t>
      </w:r>
      <w:r>
        <w:rPr>
          <w:rFonts w:hint="eastAsia" w:ascii="宋体" w:hAnsi="宋体" w:eastAsia="宋体" w:cs="宋体"/>
          <w:sz w:val="28"/>
          <w:szCs w:val="28"/>
          <w:highlight w:val="none"/>
          <w:u w:val="single"/>
        </w:rPr>
        <w:t xml:space="preserve">）</w:t>
      </w:r>
      <w:r>
        <w:rPr>
          <w:rFonts w:hint="eastAsia" w:ascii="宋体" w:hAnsi="宋体" w:eastAsia="宋体" w:cs="宋体"/>
          <w:sz w:val="28"/>
          <w:szCs w:val="28"/>
          <w:highlight w:val="none"/>
        </w:rPr>
        <w:t xml:space="preserve">，属于</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 xml:space="preserve">软件和信息技术服务业</w:t>
      </w:r>
      <w:r>
        <w:rPr>
          <w:rFonts w:hint="eastAsia" w:ascii="宋体" w:hAnsi="宋体" w:cs="宋体"/>
          <w:sz w:val="28"/>
          <w:szCs w:val="28"/>
          <w:highlight w:val="none"/>
          <w:u w:val="single"/>
          <w:lang w:eastAsia="zh-CN"/>
        </w:rPr>
        <w:t xml:space="preserve">）</w:t>
      </w:r>
      <w:r>
        <w:rPr>
          <w:rFonts w:hint="eastAsia" w:ascii="宋体" w:hAnsi="宋体" w:eastAsia="宋体" w:cs="宋体"/>
          <w:sz w:val="28"/>
          <w:szCs w:val="28"/>
          <w:highlight w:val="none"/>
        </w:rPr>
        <w:t xml:space="preserve">；承建（承接）企业为</w:t>
      </w:r>
      <w:r>
        <w:rPr>
          <w:rFonts w:hint="eastAsia" w:ascii="宋体" w:hAnsi="宋体" w:eastAsia="宋体" w:cs="宋体"/>
          <w:sz w:val="28"/>
          <w:szCs w:val="28"/>
          <w:highlight w:val="none"/>
          <w:u w:val="single"/>
        </w:rPr>
        <w:t xml:space="preserve">（企业名称）</w:t>
      </w:r>
      <w:r>
        <w:rPr>
          <w:rFonts w:hint="eastAsia" w:ascii="宋体" w:hAnsi="宋体" w:eastAsia="宋体" w:cs="宋体"/>
          <w:sz w:val="28"/>
          <w:szCs w:val="28"/>
          <w:highlight w:val="none"/>
        </w:rPr>
        <w:t xml:space="preserve">，从业人员人，营业收入为万元，资产总额为万元，属于（</w:t>
      </w:r>
      <w:r>
        <w:rPr>
          <w:rFonts w:hint="eastAsia" w:ascii="宋体" w:hAnsi="宋体" w:eastAsia="宋体" w:cs="宋体"/>
          <w:b/>
          <w:sz w:val="28"/>
          <w:szCs w:val="28"/>
          <w:highlight w:val="none"/>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b/>
          <w:sz w:val="28"/>
          <w:szCs w:val="28"/>
          <w:highlight w:val="none"/>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b/>
          <w:sz w:val="28"/>
          <w:szCs w:val="28"/>
          <w:highlight w:val="none"/>
        </w:rPr>
        <w:t xml:space="preserve">□</w:t>
      </w:r>
      <w:r>
        <w:rPr>
          <w:rFonts w:hint="eastAsia" w:ascii="宋体" w:hAnsi="宋体" w:eastAsia="宋体" w:cs="宋体"/>
          <w:sz w:val="28"/>
          <w:szCs w:val="28"/>
          <w:highlight w:val="none"/>
        </w:rPr>
        <w:t xml:space="preserve">微型企业，请勾选！））；</w:t>
      </w:r>
      <w:r/>
    </w:p>
    <w:p>
      <w:pPr>
        <w:ind w:firstLine="600"/>
        <w:spacing w:line="480" w:lineRule="exact"/>
        <w:rPr>
          <w:rFonts w:hint="eastAsia" w:ascii="宋体" w:hAnsi="宋体" w:eastAsia="宋体" w:cs="宋体"/>
          <w:spacing w:val="6"/>
          <w:sz w:val="28"/>
          <w:szCs w:val="28"/>
          <w:highlight w:val="none"/>
        </w:rPr>
      </w:pPr>
      <w:r>
        <w:rPr>
          <w:rFonts w:hint="eastAsia" w:ascii="宋体" w:hAnsi="宋体" w:eastAsia="宋体" w:cs="宋体"/>
          <w:sz w:val="28"/>
          <w:szCs w:val="28"/>
          <w:highlight w:val="none"/>
        </w:rPr>
        <w:t xml:space="preserve">以上企业，不属于大企业的分支机构，不存在控股股东为大企业的情形，也不存在与大企业的负责人为同一人的情形。</w:t>
      </w:r>
      <w:r/>
    </w:p>
    <w:p>
      <w:pPr>
        <w:ind w:firstLine="600"/>
        <w:spacing w:line="480" w:lineRule="exact"/>
        <w:rPr>
          <w:rFonts w:hint="eastAsia" w:ascii="宋体" w:hAnsi="宋体" w:eastAsia="宋体" w:cs="宋体"/>
          <w:spacing w:val="6"/>
          <w:sz w:val="28"/>
          <w:szCs w:val="28"/>
          <w:highlight w:val="none"/>
        </w:rPr>
      </w:pPr>
      <w:r>
        <w:rPr>
          <w:rFonts w:hint="eastAsia" w:ascii="宋体" w:hAnsi="宋体" w:eastAsia="宋体" w:cs="宋体"/>
          <w:sz w:val="28"/>
          <w:szCs w:val="28"/>
          <w:highlight w:val="none"/>
        </w:rPr>
        <w:t xml:space="preserve">本企业对上述声明内容的真实性负责。如有虚假，将依法承担相应责任。</w:t>
      </w:r>
      <w:r/>
    </w:p>
    <w:p>
      <w:pPr>
        <w:ind w:firstLine="600"/>
        <w:jc w:val="left"/>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60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企业名称（盖单位电子签章）：</w:t>
      </w:r>
      <w:bookmarkStart w:id="19" w:name="_GoBack"/>
      <w:r/>
      <w:bookmarkEnd w:id="19"/>
      <w:r/>
      <w:r/>
    </w:p>
    <w:p>
      <w:pPr>
        <w:ind w:firstLine="600"/>
        <w:jc w:val="left"/>
        <w:spacing w:line="4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日期：</w:t>
      </w:r>
      <w:r/>
    </w:p>
    <w:p>
      <w:pPr>
        <w:jc w:val="left"/>
        <w:spacing w:line="4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注：本项目采购的服务属于</w:t>
      </w:r>
      <w:r>
        <w:rPr>
          <w:rFonts w:hint="eastAsia" w:ascii="宋体" w:hAnsi="宋体" w:eastAsia="宋体" w:cs="宋体"/>
          <w:sz w:val="28"/>
          <w:szCs w:val="28"/>
          <w:highlight w:val="none"/>
          <w:u w:val="single"/>
        </w:rPr>
        <w:t xml:space="preserve">软件和信息技术服务业</w:t>
      </w:r>
      <w:r>
        <w:rPr>
          <w:rFonts w:hint="eastAsia" w:ascii="宋体" w:hAnsi="宋体" w:eastAsia="宋体" w:cs="宋体"/>
          <w:sz w:val="28"/>
          <w:szCs w:val="28"/>
          <w:highlight w:val="none"/>
        </w:rPr>
        <w:t xml:space="preserve">。</w:t>
      </w:r>
      <w:r/>
    </w:p>
    <w:p>
      <w:pPr>
        <w:pStyle w:val="927"/>
        <w:ind w:firstLine="602"/>
        <w:jc w:val="lef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说明：</w:t>
      </w:r>
      <w:r/>
    </w:p>
    <w:p>
      <w:pPr>
        <w:ind w:firstLine="602"/>
        <w:spacing w:line="48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602"/>
        <w:spacing w:line="48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2.从业人员、营业收入、资产总额填报供应商上一年度数据，无上一年度数据的新成立企业可不填报。</w:t>
      </w:r>
      <w:r/>
    </w:p>
    <w:p>
      <w:pPr>
        <w:ind w:firstLine="602"/>
        <w:spacing w:line="48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3.成交供应商为小型、微型企业的，采购人或者其委托的采购代理机构有权随中标、成交结果同时公告其《中小企业声明函》，接受社会监督。</w:t>
      </w:r>
      <w:r/>
    </w:p>
    <w:p>
      <w:pPr>
        <w:ind w:firstLine="602"/>
        <w:spacing w:line="48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4.执行江苏省财政厅关于进一步加大政府采购支持中小企业力度的通知（苏财购〔2022〕45号）的规定。</w:t>
      </w:r>
      <w:r/>
    </w:p>
    <w:p>
      <w:pPr>
        <w:ind w:firstLine="602"/>
        <w:spacing w:line="48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5.供应商提供的《中小企业声明函》与事实不符的，依照《政府采购法》第七十七条第一款的规定追究法律责任。</w:t>
      </w:r>
      <w:r/>
    </w:p>
    <w:p>
      <w:pPr>
        <w:ind w:firstLine="602"/>
        <w:spacing w:line="48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6.《中小企业声明函》查询渠道用微信搜索“中小企业规模类型自测小程序”。</w:t>
      </w:r>
      <w:r/>
    </w:p>
    <w:p>
      <w:pPr>
        <w:pStyle w:val="889"/>
        <w:rPr>
          <w:rFonts w:hint="eastAsia" w:ascii="宋体" w:hAnsi="宋体" w:eastAsia="宋体" w:cs="宋体"/>
          <w:sz w:val="28"/>
          <w:szCs w:val="28"/>
          <w:highlight w:val="none"/>
        </w:rPr>
      </w:pPr>
      <w:r>
        <w:rPr>
          <w:rFonts w:hint="eastAsia" w:ascii="宋体" w:hAnsi="宋体" w:eastAsia="宋体" w:cs="宋体"/>
          <w:sz w:val="28"/>
          <w:szCs w:val="28"/>
          <w:highlight w:val="none"/>
        </w:rPr>
        <mc:AlternateContent>
          <mc:Choice Requires="wpg">
            <w:drawing>
              <wp:inline xmlns:wp="http://schemas.openxmlformats.org/drawingml/2006/wordprocessingDrawing" distT="0" distB="0" distL="0" distR="0">
                <wp:extent cx="2331085" cy="4370070"/>
                <wp:effectExtent l="0" t="0" r="0" b="0"/>
                <wp:docPr id="2"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3"/>
                        <a:srcRect l="0" t="4498" r="0" b="0"/>
                        <a:stretch/>
                      </pic:blipFill>
                      <pic:spPr bwMode="auto">
                        <a:xfrm>
                          <a:off x="0" y="0"/>
                          <a:ext cx="2331301" cy="43704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83.5pt;height:344.1pt;mso-wrap-distance-left:0.0pt;mso-wrap-distance-top:0.0pt;mso-wrap-distance-right:0.0pt;mso-wrap-distance-bottom:0.0pt;" stroked="f">
                <v:path textboxrect="0,0,0,0"/>
                <v:imagedata r:id="rId13" o:title=""/>
              </v:shape>
            </w:pict>
          </mc:Fallback>
        </mc:AlternateContent>
      </w:r>
      <w:r/>
    </w:p>
    <w:p>
      <w:pPr>
        <w:spacing w:line="480" w:lineRule="exact"/>
        <w:rPr>
          <w:rFonts w:hint="eastAsia" w:ascii="宋体" w:hAnsi="宋体" w:eastAsia="宋体" w:cs="宋体"/>
          <w:b/>
          <w:spacing w:val="6"/>
          <w:sz w:val="28"/>
          <w:szCs w:val="28"/>
          <w:highlight w:val="none"/>
        </w:rPr>
      </w:pPr>
      <w:r>
        <w:rPr>
          <w:rFonts w:hint="eastAsia" w:ascii="宋体" w:hAnsi="宋体" w:eastAsia="宋体" w:cs="宋体"/>
          <w:sz w:val="28"/>
          <w:szCs w:val="28"/>
          <w:highlight w:val="none"/>
        </w:rPr>
        <w:br w:type="page" w:clear="all"/>
      </w:r>
      <w:r>
        <w:rPr>
          <w:rFonts w:hint="eastAsia" w:ascii="宋体" w:hAnsi="宋体" w:eastAsia="宋体" w:cs="宋体"/>
          <w:b/>
          <w:bCs/>
          <w:sz w:val="28"/>
          <w:szCs w:val="28"/>
          <w:highlight w:val="none"/>
        </w:rPr>
        <w:t xml:space="preserve">七、残疾人福利性单位声明函格式</w:t>
      </w:r>
      <w:r/>
    </w:p>
    <w:p>
      <w:pPr>
        <w:ind w:firstLine="624"/>
        <w:spacing w:line="480" w:lineRule="exact"/>
        <w:rPr>
          <w:rFonts w:hint="eastAsia" w:ascii="宋体" w:hAnsi="宋体" w:eastAsia="宋体" w:cs="宋体"/>
          <w:spacing w:val="6"/>
          <w:sz w:val="28"/>
          <w:szCs w:val="28"/>
          <w:highlight w:val="none"/>
        </w:rPr>
      </w:pPr>
      <w:r>
        <w:rPr>
          <w:rFonts w:hint="eastAsia" w:ascii="宋体" w:hAnsi="宋体" w:eastAsia="宋体" w:cs="宋体"/>
          <w:spacing w:val="6"/>
          <w:sz w:val="28"/>
          <w:szCs w:val="28"/>
          <w:highlight w:val="none"/>
        </w:rPr>
      </w:r>
      <w:r/>
    </w:p>
    <w:p>
      <w:pPr>
        <w:ind w:firstLine="624"/>
        <w:spacing w:line="480" w:lineRule="exact"/>
        <w:rPr>
          <w:rFonts w:hint="eastAsia" w:ascii="宋体" w:hAnsi="宋体" w:eastAsia="宋体" w:cs="宋体"/>
          <w:spacing w:val="6"/>
          <w:sz w:val="28"/>
          <w:szCs w:val="28"/>
          <w:highlight w:val="none"/>
          <w:lang w:eastAsia="zh-CN"/>
        </w:rPr>
      </w:pPr>
      <w:r>
        <w:rPr>
          <w:rFonts w:hint="eastAsia" w:ascii="宋体" w:hAnsi="宋体" w:eastAsia="宋体" w:cs="宋体"/>
          <w:spacing w:val="6"/>
          <w:sz w:val="28"/>
          <w:szCs w:val="28"/>
          <w:highlight w:val="none"/>
        </w:rPr>
        <w:t xml:space="preserve">项目名称：</w:t>
      </w:r>
      <w:r>
        <w:rPr>
          <w:rFonts w:hint="eastAsia" w:ascii="宋体" w:hAnsi="宋体" w:eastAsia="宋体" w:cs="宋体"/>
          <w:spacing w:val="6"/>
          <w:sz w:val="28"/>
          <w:szCs w:val="28"/>
          <w:highlight w:val="none"/>
          <w:lang w:eastAsia="zh-CN"/>
        </w:rPr>
        <w:t xml:space="preserve">徐州市公安局数据中心维保项目</w:t>
      </w:r>
      <w:r/>
    </w:p>
    <w:p>
      <w:pPr>
        <w:ind w:firstLine="624"/>
        <w:spacing w:line="480" w:lineRule="exact"/>
        <w:rPr>
          <w:rFonts w:hint="eastAsia" w:ascii="宋体" w:hAnsi="宋体" w:eastAsia="宋体" w:cs="宋体"/>
          <w:spacing w:val="6"/>
          <w:sz w:val="28"/>
          <w:szCs w:val="28"/>
          <w:highlight w:val="none"/>
          <w:lang w:eastAsia="zh-CN"/>
        </w:rPr>
      </w:pPr>
      <w:r>
        <w:rPr>
          <w:rFonts w:hint="eastAsia" w:ascii="宋体" w:hAnsi="宋体" w:eastAsia="宋体" w:cs="宋体"/>
          <w:spacing w:val="6"/>
          <w:sz w:val="28"/>
          <w:szCs w:val="28"/>
          <w:highlight w:val="none"/>
        </w:rPr>
        <w:t xml:space="preserve">项目编号：</w:t>
      </w:r>
      <w:r>
        <w:rPr>
          <w:rFonts w:hint="eastAsia" w:ascii="宋体" w:hAnsi="宋体" w:cs="宋体"/>
          <w:spacing w:val="6"/>
          <w:sz w:val="28"/>
          <w:szCs w:val="28"/>
          <w:highlight w:val="none"/>
          <w:lang w:eastAsia="zh-CN"/>
        </w:rPr>
        <w:t xml:space="preserve">JSZC-320300-JSDZ-G2026-0058</w:t>
      </w:r>
      <w:r/>
    </w:p>
    <w:p>
      <w:pPr>
        <w:ind w:firstLine="624"/>
        <w:spacing w:line="480" w:lineRule="exact"/>
        <w:rPr>
          <w:rFonts w:hint="eastAsia" w:ascii="宋体" w:hAnsi="宋体" w:eastAsia="宋体" w:cs="宋体"/>
          <w:spacing w:val="6"/>
          <w:sz w:val="28"/>
          <w:szCs w:val="28"/>
          <w:highlight w:val="none"/>
        </w:rPr>
      </w:pPr>
      <w:r>
        <w:rPr>
          <w:rFonts w:hint="eastAsia" w:ascii="宋体" w:hAnsi="宋体" w:eastAsia="宋体" w:cs="宋体"/>
          <w:spacing w:val="6"/>
          <w:sz w:val="28"/>
          <w:szCs w:val="28"/>
          <w:highlight w:val="none"/>
        </w:rPr>
        <w:t xml:space="preserve">本单位郑重声明，根据《财政部民政部中国残疾人联合会关于促进残疾人就业政府采购政策的通知》（财库</w:t>
      </w:r>
      <w:r>
        <w:rPr>
          <w:rFonts w:hint="eastAsia" w:ascii="宋体" w:hAnsi="宋体" w:eastAsia="宋体" w:cs="宋体"/>
          <w:sz w:val="28"/>
          <w:szCs w:val="28"/>
          <w:highlight w:val="none"/>
        </w:rPr>
        <w:t xml:space="preserve">〔2017〕141</w:t>
      </w:r>
      <w:r>
        <w:rPr>
          <w:rFonts w:hint="eastAsia" w:ascii="宋体" w:hAnsi="宋体" w:eastAsia="宋体" w:cs="宋体"/>
          <w:spacing w:val="6"/>
          <w:sz w:val="28"/>
          <w:szCs w:val="28"/>
          <w:highlight w:val="none"/>
        </w:rPr>
        <w:t xml:space="preserve">号）的规定，本单位为符合条件的残疾人福利性单位，且本单位参加</w:t>
      </w:r>
      <w:r>
        <w:rPr>
          <w:rFonts w:hint="eastAsia" w:ascii="宋体" w:hAnsi="宋体" w:eastAsia="宋体" w:cs="宋体"/>
          <w:sz w:val="28"/>
          <w:szCs w:val="28"/>
          <w:highlight w:val="none"/>
        </w:rPr>
        <w:t xml:space="preserve">______</w:t>
      </w:r>
      <w:r>
        <w:rPr>
          <w:rFonts w:hint="eastAsia" w:ascii="宋体" w:hAnsi="宋体" w:eastAsia="宋体" w:cs="宋体"/>
          <w:spacing w:val="6"/>
          <w:sz w:val="28"/>
          <w:szCs w:val="28"/>
          <w:highlight w:val="none"/>
        </w:rPr>
        <w:t xml:space="preserve">单位的</w:t>
      </w:r>
      <w:r>
        <w:rPr>
          <w:rFonts w:hint="eastAsia" w:ascii="宋体" w:hAnsi="宋体" w:eastAsia="宋体" w:cs="宋体"/>
          <w:sz w:val="28"/>
          <w:szCs w:val="28"/>
          <w:highlight w:val="none"/>
        </w:rPr>
        <w:t xml:space="preserve">______</w:t>
      </w:r>
      <w:r>
        <w:rPr>
          <w:rFonts w:hint="eastAsia" w:ascii="宋体" w:hAnsi="宋体" w:eastAsia="宋体" w:cs="宋体"/>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eastAsia="宋体" w:cs="宋体"/>
          <w:spacing w:val="6"/>
          <w:sz w:val="28"/>
          <w:szCs w:val="28"/>
          <w:highlight w:val="none"/>
        </w:rPr>
      </w:pPr>
      <w:r>
        <w:rPr>
          <w:rFonts w:hint="eastAsia" w:ascii="宋体" w:hAnsi="宋体" w:eastAsia="宋体" w:cs="宋体"/>
          <w:spacing w:val="6"/>
          <w:sz w:val="28"/>
          <w:szCs w:val="28"/>
          <w:highlight w:val="none"/>
        </w:rPr>
        <w:t xml:space="preserve">本单位对上述声明的真实性负责。如有虚假，将依法承担相应责任。</w:t>
      </w:r>
      <w:r/>
    </w:p>
    <w:p>
      <w:pPr>
        <w:ind w:firstLine="624"/>
        <w:spacing w:line="480" w:lineRule="exact"/>
        <w:rPr>
          <w:rFonts w:hint="eastAsia" w:ascii="宋体" w:hAnsi="宋体" w:eastAsia="宋体" w:cs="宋体"/>
          <w:spacing w:val="6"/>
          <w:sz w:val="28"/>
          <w:szCs w:val="28"/>
          <w:highlight w:val="none"/>
        </w:rPr>
      </w:pPr>
      <w:r>
        <w:rPr>
          <w:rFonts w:hint="eastAsia" w:ascii="宋体" w:hAnsi="宋体" w:eastAsia="宋体" w:cs="宋体"/>
          <w:spacing w:val="6"/>
          <w:sz w:val="28"/>
          <w:szCs w:val="28"/>
          <w:highlight w:val="none"/>
        </w:rPr>
      </w:r>
      <w:r/>
    </w:p>
    <w:p>
      <w:pPr>
        <w:ind w:firstLine="624"/>
        <w:spacing w:line="480" w:lineRule="exact"/>
        <w:rPr>
          <w:rFonts w:hint="eastAsia" w:ascii="宋体" w:hAnsi="宋体" w:eastAsia="宋体" w:cs="宋体"/>
          <w:spacing w:val="6"/>
          <w:sz w:val="28"/>
          <w:szCs w:val="28"/>
          <w:highlight w:val="none"/>
        </w:rPr>
      </w:pPr>
      <w:r>
        <w:rPr>
          <w:rFonts w:hint="eastAsia" w:ascii="宋体" w:hAnsi="宋体" w:eastAsia="宋体" w:cs="宋体"/>
          <w:spacing w:val="6"/>
          <w:sz w:val="28"/>
          <w:szCs w:val="28"/>
          <w:highlight w:val="none"/>
        </w:rPr>
      </w:r>
      <w:r/>
    </w:p>
    <w:p>
      <w:pPr>
        <w:ind w:firstLine="2550"/>
        <w:spacing w:line="480" w:lineRule="exac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投标人：（电子签章）</w:t>
      </w:r>
      <w:r/>
    </w:p>
    <w:p>
      <w:pPr>
        <w:ind w:firstLine="450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50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日期：</w:t>
      </w:r>
      <w:r>
        <w:rPr>
          <w:rFonts w:hint="eastAsia" w:ascii="宋体" w:hAnsi="宋体" w:cs="宋体"/>
          <w:sz w:val="28"/>
          <w:szCs w:val="28"/>
          <w:highlight w:val="none"/>
          <w:lang w:val="en-US" w:eastAsia="zh-CN"/>
        </w:rPr>
        <w:t xml:space="preserve">    </w:t>
      </w:r>
      <w:r>
        <w:rPr>
          <w:rFonts w:hint="eastAsia" w:ascii="宋体" w:hAnsi="宋体" w:eastAsia="宋体" w:cs="宋体"/>
          <w:sz w:val="28"/>
          <w:szCs w:val="28"/>
          <w:highlight w:val="none"/>
        </w:rPr>
        <w:t xml:space="preserve">年</w:t>
      </w:r>
      <w:r>
        <w:rPr>
          <w:rFonts w:hint="eastAsia" w:ascii="宋体" w:hAnsi="宋体" w:cs="宋体"/>
          <w:sz w:val="28"/>
          <w:szCs w:val="28"/>
          <w:highlight w:val="none"/>
          <w:lang w:val="en-US" w:eastAsia="zh-CN"/>
        </w:rPr>
        <w:t xml:space="preserve">   </w:t>
      </w:r>
      <w:r>
        <w:rPr>
          <w:rFonts w:hint="eastAsia" w:ascii="宋体" w:hAnsi="宋体" w:eastAsia="宋体" w:cs="宋体"/>
          <w:sz w:val="28"/>
          <w:szCs w:val="28"/>
          <w:highlight w:val="none"/>
        </w:rPr>
        <w:t xml:space="preserve">月</w:t>
      </w:r>
      <w:r>
        <w:rPr>
          <w:rFonts w:hint="eastAsia" w:ascii="宋体" w:hAnsi="宋体" w:cs="宋体"/>
          <w:sz w:val="28"/>
          <w:szCs w:val="28"/>
          <w:highlight w:val="none"/>
          <w:lang w:val="en-US" w:eastAsia="zh-CN"/>
        </w:rPr>
        <w:t xml:space="preserve">   </w:t>
      </w:r>
      <w:r>
        <w:rPr>
          <w:rFonts w:hint="eastAsia" w:ascii="宋体" w:hAnsi="宋体" w:eastAsia="宋体" w:cs="宋体"/>
          <w:sz w:val="28"/>
          <w:szCs w:val="28"/>
          <w:highlight w:val="none"/>
        </w:rPr>
        <w:t xml:space="preserve">日</w:t>
      </w:r>
      <w:r/>
    </w:p>
    <w:p>
      <w:pPr>
        <w:ind w:firstLine="624"/>
        <w:spacing w:line="480" w:lineRule="exact"/>
        <w:rPr>
          <w:rFonts w:hint="eastAsia" w:ascii="宋体" w:hAnsi="宋体" w:eastAsia="宋体" w:cs="宋体"/>
          <w:spacing w:val="6"/>
          <w:sz w:val="28"/>
          <w:szCs w:val="28"/>
          <w:highlight w:val="none"/>
        </w:rPr>
      </w:pPr>
      <w:r>
        <w:rPr>
          <w:rFonts w:hint="eastAsia" w:ascii="宋体" w:hAnsi="宋体" w:eastAsia="宋体" w:cs="宋体"/>
          <w:spacing w:val="6"/>
          <w:sz w:val="28"/>
          <w:szCs w:val="28"/>
          <w:highlight w:val="none"/>
        </w:rPr>
      </w:r>
      <w:r/>
    </w:p>
    <w:p>
      <w:pPr>
        <w:ind w:firstLine="624"/>
        <w:spacing w:line="480" w:lineRule="exact"/>
        <w:rPr>
          <w:rFonts w:hint="eastAsia" w:ascii="宋体" w:hAnsi="宋体" w:eastAsia="宋体" w:cs="宋体"/>
          <w:spacing w:val="6"/>
          <w:sz w:val="28"/>
          <w:szCs w:val="28"/>
          <w:highlight w:val="none"/>
        </w:rPr>
      </w:pPr>
      <w:r>
        <w:rPr>
          <w:rFonts w:hint="eastAsia" w:ascii="宋体" w:hAnsi="宋体" w:eastAsia="宋体" w:cs="宋体"/>
          <w:spacing w:val="6"/>
          <w:sz w:val="28"/>
          <w:szCs w:val="28"/>
          <w:highlight w:val="none"/>
        </w:rPr>
        <w:t xml:space="preserve">说明：</w:t>
      </w:r>
      <w:r/>
    </w:p>
    <w:p>
      <w:pPr>
        <w:ind w:firstLine="624"/>
        <w:spacing w:line="480" w:lineRule="exact"/>
        <w:rPr>
          <w:rFonts w:hint="eastAsia" w:ascii="宋体" w:hAnsi="宋体" w:eastAsia="宋体" w:cs="宋体"/>
          <w:spacing w:val="6"/>
          <w:sz w:val="28"/>
          <w:szCs w:val="28"/>
          <w:highlight w:val="none"/>
        </w:rPr>
      </w:pPr>
      <w:r>
        <w:rPr>
          <w:rFonts w:hint="eastAsia" w:ascii="宋体" w:hAnsi="宋体" w:eastAsia="宋体" w:cs="宋体"/>
          <w:spacing w:val="6"/>
          <w:sz w:val="28"/>
          <w:szCs w:val="28"/>
          <w:highlight w:val="none"/>
        </w:rPr>
        <w:t xml:space="preserve">中标、成交供应商为残疾人福利性单位的，采购人或者其委托的采购代理机构应当随中标、成交结果同时公告其《残疾人福利性单位声明函》，接受社会监督。</w:t>
      </w:r>
      <w:r/>
    </w:p>
    <w:p>
      <w:pPr>
        <w:ind w:firstLine="624"/>
        <w:spacing w:line="480" w:lineRule="exact"/>
        <w:rPr>
          <w:rFonts w:hint="eastAsia" w:ascii="宋体" w:hAnsi="宋体" w:eastAsia="宋体" w:cs="宋体"/>
          <w:spacing w:val="6"/>
          <w:sz w:val="28"/>
          <w:szCs w:val="28"/>
          <w:highlight w:val="none"/>
        </w:rPr>
      </w:pPr>
      <w:r>
        <w:rPr>
          <w:rFonts w:hint="eastAsia" w:ascii="宋体" w:hAnsi="宋体" w:eastAsia="宋体" w:cs="宋体"/>
          <w:spacing w:val="6"/>
          <w:sz w:val="28"/>
          <w:szCs w:val="28"/>
          <w:highlight w:val="none"/>
        </w:rPr>
        <w:t xml:space="preserve">供应商提供的《残疾人福利性单位声明函》与事实不符的，依照《政府采购法》第七十七条第一款的规定追究法律责任。</w:t>
      </w:r>
      <w:r/>
    </w:p>
    <w:p>
      <w:pPr>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60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br w:type="page" w:clear="all"/>
      </w:r>
      <w:r>
        <w:rPr>
          <w:rFonts w:hint="eastAsia" w:ascii="宋体" w:hAnsi="宋体" w:eastAsia="宋体" w:cs="宋体"/>
          <w:b/>
          <w:bCs/>
          <w:sz w:val="28"/>
          <w:szCs w:val="28"/>
          <w:highlight w:val="none"/>
        </w:rPr>
        <w:t xml:space="preserve">八、投标人参加政府采购活动前3年内在经营活动中没有重大违法记录的书面声明格式</w:t>
      </w:r>
      <w:r/>
    </w:p>
    <w:p>
      <w:pPr>
        <w:ind w:firstLine="60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60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我单位在参加</w:t>
      </w:r>
      <w:r>
        <w:rPr>
          <w:rFonts w:hint="eastAsia" w:ascii="宋体" w:hAnsi="宋体" w:eastAsia="宋体" w:cs="宋体"/>
          <w:sz w:val="28"/>
          <w:szCs w:val="28"/>
          <w:highlight w:val="none"/>
          <w:lang w:eastAsia="zh-CN"/>
        </w:rPr>
        <w:t xml:space="preserve">徐州市公安局数据中心维保</w:t>
      </w:r>
      <w:r>
        <w:rPr>
          <w:rFonts w:hint="eastAsia" w:ascii="宋体" w:hAnsi="宋体" w:cs="宋体"/>
          <w:sz w:val="28"/>
          <w:szCs w:val="28"/>
          <w:highlight w:val="none"/>
          <w:lang w:eastAsia="zh-CN"/>
        </w:rPr>
        <w:t xml:space="preserve">项目</w:t>
      </w:r>
      <w:r>
        <w:rPr>
          <w:rFonts w:hint="eastAsia" w:ascii="宋体" w:hAnsi="宋体" w:eastAsia="宋体" w:cs="宋体"/>
          <w:sz w:val="28"/>
          <w:szCs w:val="28"/>
          <w:highlight w:val="none"/>
        </w:rPr>
        <w:t xml:space="preserve">（项目编号：</w:t>
      </w:r>
      <w:r>
        <w:rPr>
          <w:rFonts w:hint="eastAsia" w:ascii="宋体" w:hAnsi="宋体" w:cs="宋体"/>
          <w:sz w:val="28"/>
          <w:szCs w:val="28"/>
          <w:highlight w:val="none"/>
          <w:lang w:eastAsia="zh-CN"/>
        </w:rPr>
        <w:t xml:space="preserve">JSZC-320300-JSDZ-G2026-0058</w:t>
      </w:r>
      <w:r>
        <w:rPr>
          <w:rFonts w:hint="eastAsia" w:ascii="宋体" w:hAnsi="宋体" w:eastAsia="宋体" w:cs="宋体"/>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907"/>
        <w:ind w:firstLine="600"/>
        <w:spacing w:before="0" w:beforeAutospacing="0" w:after="0" w:afterAutospacing="0"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我单位对上述声明的真实性负责。如有虚假，将依法承担相应责任。</w:t>
      </w:r>
      <w:r/>
    </w:p>
    <w:p>
      <w:pPr>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2850"/>
        <w:spacing w:line="480" w:lineRule="exac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投标人：（电子签章）</w:t>
      </w:r>
      <w:r/>
    </w:p>
    <w:p>
      <w:pPr>
        <w:ind w:firstLine="450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95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日期：</w:t>
      </w:r>
      <w:r>
        <w:rPr>
          <w:rFonts w:hint="eastAsia" w:ascii="宋体" w:hAnsi="宋体" w:cs="宋体"/>
          <w:sz w:val="28"/>
          <w:szCs w:val="28"/>
          <w:highlight w:val="none"/>
          <w:lang w:val="en-US" w:eastAsia="zh-CN"/>
        </w:rPr>
        <w:t xml:space="preserve">   </w:t>
      </w:r>
      <w:r>
        <w:rPr>
          <w:rFonts w:hint="eastAsia" w:ascii="宋体" w:hAnsi="宋体" w:eastAsia="宋体" w:cs="宋体"/>
          <w:sz w:val="28"/>
          <w:szCs w:val="28"/>
          <w:highlight w:val="none"/>
        </w:rPr>
        <w:t xml:space="preserve">年</w:t>
      </w:r>
      <w:r>
        <w:rPr>
          <w:rFonts w:hint="eastAsia" w:ascii="宋体" w:hAnsi="宋体" w:cs="宋体"/>
          <w:sz w:val="28"/>
          <w:szCs w:val="28"/>
          <w:highlight w:val="none"/>
          <w:lang w:val="en-US" w:eastAsia="zh-CN"/>
        </w:rPr>
        <w:t xml:space="preserve">   </w:t>
      </w:r>
      <w:r>
        <w:rPr>
          <w:rFonts w:hint="eastAsia" w:ascii="宋体" w:hAnsi="宋体" w:eastAsia="宋体" w:cs="宋体"/>
          <w:sz w:val="28"/>
          <w:szCs w:val="28"/>
          <w:highlight w:val="none"/>
        </w:rPr>
        <w:t xml:space="preserve">月</w:t>
      </w:r>
      <w:r>
        <w:rPr>
          <w:rFonts w:hint="eastAsia" w:ascii="宋体" w:hAnsi="宋体" w:cs="宋体"/>
          <w:sz w:val="28"/>
          <w:szCs w:val="28"/>
          <w:highlight w:val="none"/>
          <w:lang w:val="en-US" w:eastAsia="zh-CN"/>
        </w:rPr>
        <w:t xml:space="preserve">  </w:t>
      </w:r>
      <w:r>
        <w:rPr>
          <w:rFonts w:hint="eastAsia" w:ascii="宋体" w:hAnsi="宋体" w:eastAsia="宋体" w:cs="宋体"/>
          <w:sz w:val="28"/>
          <w:szCs w:val="28"/>
          <w:highlight w:val="none"/>
        </w:rPr>
        <w:t xml:space="preserve">日</w:t>
      </w:r>
      <w:r/>
    </w:p>
    <w:p>
      <w:pPr>
        <w:pStyle w:val="904"/>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89"/>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04"/>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89"/>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04"/>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89"/>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04"/>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89"/>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04"/>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89"/>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04"/>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89"/>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04"/>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89"/>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48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九、具备履行合同所必需的设备和专业技术能力的书面声明</w:t>
      </w:r>
      <w:r/>
    </w:p>
    <w:p>
      <w:pPr>
        <w:ind w:firstLine="602"/>
        <w:jc w:val="center"/>
        <w:spacing w:line="48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（附证明材料原件的扫描件）</w:t>
      </w:r>
      <w:r/>
    </w:p>
    <w:p>
      <w:pPr>
        <w:ind w:firstLine="600"/>
        <w:spacing w:line="520" w:lineRule="exact"/>
        <w:rPr>
          <w:rFonts w:hint="eastAsia" w:ascii="宋体" w:hAnsi="宋体" w:eastAsia="宋体" w:cs="宋体"/>
          <w:sz w:val="28"/>
          <w:szCs w:val="28"/>
          <w:highlight w:val="none"/>
          <w:u w:val="single"/>
          <w:lang w:eastAsia="zh-CN"/>
        </w:rPr>
      </w:pPr>
      <w:r>
        <w:rPr>
          <w:rFonts w:hint="eastAsia" w:ascii="宋体" w:hAnsi="宋体" w:eastAsia="宋体" w:cs="宋体"/>
          <w:sz w:val="28"/>
          <w:szCs w:val="28"/>
          <w:highlight w:val="none"/>
        </w:rPr>
        <w:t xml:space="preserve">项目名称：</w:t>
      </w:r>
      <w:r>
        <w:rPr>
          <w:rFonts w:hint="eastAsia" w:ascii="宋体" w:hAnsi="宋体" w:eastAsia="宋体" w:cs="宋体"/>
          <w:sz w:val="28"/>
          <w:szCs w:val="28"/>
          <w:highlight w:val="none"/>
          <w:lang w:eastAsia="zh-CN"/>
        </w:rPr>
        <w:t xml:space="preserve">徐州市公安局数据中心维保项目</w:t>
      </w:r>
      <w:r/>
    </w:p>
    <w:p>
      <w:pPr>
        <w:ind w:firstLine="600"/>
        <w:spacing w:line="520" w:lineRule="exac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项目编号：</w:t>
      </w:r>
      <w:r>
        <w:rPr>
          <w:rFonts w:hint="eastAsia" w:ascii="宋体" w:hAnsi="宋体" w:cs="宋体"/>
          <w:sz w:val="28"/>
          <w:szCs w:val="28"/>
          <w:highlight w:val="none"/>
          <w:lang w:eastAsia="zh-CN"/>
        </w:rPr>
        <w:t xml:space="preserve">JSZC-320300-JSDZ-G2026-0058</w:t>
      </w:r>
      <w:r/>
    </w:p>
    <w:p>
      <w:pPr>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投标人郑重声明：投标人具备履行合同（项目名称：</w:t>
      </w:r>
      <w:r>
        <w:rPr>
          <w:rFonts w:hint="eastAsia" w:ascii="宋体" w:hAnsi="宋体" w:eastAsia="宋体" w:cs="宋体"/>
          <w:sz w:val="28"/>
          <w:szCs w:val="28"/>
          <w:highlight w:val="none"/>
          <w:lang w:eastAsia="zh-CN"/>
        </w:rPr>
        <w:t xml:space="preserve">徐州市公安局数据中心维保项目</w:t>
      </w:r>
      <w:r>
        <w:rPr>
          <w:rFonts w:hint="eastAsia" w:ascii="宋体" w:hAnsi="宋体" w:eastAsia="宋体" w:cs="宋体"/>
          <w:sz w:val="28"/>
          <w:szCs w:val="28"/>
          <w:highlight w:val="none"/>
        </w:rPr>
        <w:t xml:space="preserve">，项目编号：</w:t>
      </w:r>
      <w:r>
        <w:rPr>
          <w:rFonts w:hint="eastAsia" w:ascii="宋体" w:hAnsi="宋体" w:cs="宋体"/>
          <w:sz w:val="28"/>
          <w:szCs w:val="28"/>
          <w:highlight w:val="none"/>
          <w:lang w:eastAsia="zh-CN"/>
        </w:rPr>
        <w:t xml:space="preserve">JSZC-320300-JSDZ-G2026-0058</w:t>
      </w:r>
      <w:r>
        <w:rPr>
          <w:rFonts w:hint="eastAsia" w:ascii="宋体" w:hAnsi="宋体" w:eastAsia="宋体" w:cs="宋体"/>
          <w:sz w:val="28"/>
          <w:szCs w:val="28"/>
          <w:highlight w:val="none"/>
        </w:rPr>
        <w:t xml:space="preserve">）所必需的设备和专业技术能力，具体为：</w:t>
      </w:r>
      <w:r/>
    </w:p>
    <w:p>
      <w:pPr>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设备：</w:t>
      </w:r>
      <w:r/>
    </w:p>
    <w:p>
      <w:pPr>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1.（证明材料原件的扫描件附后）</w:t>
      </w:r>
      <w:r/>
    </w:p>
    <w:p>
      <w:pPr>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2.（证明材料原件的扫描件附后）</w:t>
      </w:r>
      <w:r/>
    </w:p>
    <w:p>
      <w:pPr>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3.（证明材料原件的扫描件附后）</w:t>
      </w:r>
      <w:r/>
    </w:p>
    <w:p>
      <w:pPr>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w:t>
      </w:r>
      <w:r/>
    </w:p>
    <w:p>
      <w:pPr>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专业技术能力：</w:t>
      </w:r>
      <w:r/>
    </w:p>
    <w:p>
      <w:pPr>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1.（证明材料原件的扫描件附后）</w:t>
      </w:r>
      <w:r/>
    </w:p>
    <w:p>
      <w:pPr>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2.（证明材料原件的扫描件附后）</w:t>
      </w:r>
      <w:r/>
    </w:p>
    <w:p>
      <w:pPr>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3.（证明材料原件的扫描件附后）</w:t>
      </w:r>
      <w:r/>
    </w:p>
    <w:p>
      <w:pPr>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w:t>
      </w:r>
      <w:r/>
    </w:p>
    <w:p>
      <w:pPr>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特此声明。</w:t>
      </w:r>
      <w:r/>
    </w:p>
    <w:p>
      <w:pPr>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投标人对上述声明的真实性负责。如有虚假，将依法承担相应责任。</w:t>
      </w:r>
      <w:r/>
    </w:p>
    <w:p>
      <w:pPr>
        <w:ind w:firstLine="60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2850"/>
        <w:spacing w:line="480" w:lineRule="exac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投标人：（电子签章）</w:t>
      </w:r>
      <w:r/>
    </w:p>
    <w:p>
      <w:pPr>
        <w:ind w:firstLine="450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95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日期：</w:t>
      </w:r>
      <w:r>
        <w:rPr>
          <w:rFonts w:hint="eastAsia" w:ascii="宋体" w:hAnsi="宋体" w:cs="宋体"/>
          <w:sz w:val="28"/>
          <w:szCs w:val="28"/>
          <w:highlight w:val="none"/>
          <w:lang w:val="en-US" w:eastAsia="zh-CN"/>
        </w:rPr>
        <w:t xml:space="preserve">     </w:t>
      </w:r>
      <w:r>
        <w:rPr>
          <w:rFonts w:hint="eastAsia" w:ascii="宋体" w:hAnsi="宋体" w:eastAsia="宋体" w:cs="宋体"/>
          <w:sz w:val="28"/>
          <w:szCs w:val="28"/>
          <w:highlight w:val="none"/>
        </w:rPr>
        <w:t xml:space="preserve">年</w:t>
      </w:r>
      <w:r>
        <w:rPr>
          <w:rFonts w:hint="eastAsia" w:ascii="宋体" w:hAnsi="宋体" w:cs="宋体"/>
          <w:sz w:val="28"/>
          <w:szCs w:val="28"/>
          <w:highlight w:val="none"/>
          <w:lang w:val="en-US" w:eastAsia="zh-CN"/>
        </w:rPr>
        <w:t xml:space="preserve">  </w:t>
      </w:r>
      <w:r>
        <w:rPr>
          <w:rFonts w:hint="eastAsia" w:ascii="宋体" w:hAnsi="宋体" w:eastAsia="宋体" w:cs="宋体"/>
          <w:sz w:val="28"/>
          <w:szCs w:val="28"/>
          <w:highlight w:val="none"/>
        </w:rPr>
        <w:t xml:space="preserve">月</w:t>
      </w:r>
      <w:r>
        <w:rPr>
          <w:rFonts w:hint="eastAsia" w:ascii="宋体" w:hAnsi="宋体" w:cs="宋体"/>
          <w:sz w:val="28"/>
          <w:szCs w:val="28"/>
          <w:highlight w:val="none"/>
          <w:lang w:val="en-US" w:eastAsia="zh-CN"/>
        </w:rPr>
        <w:t xml:space="preserve">  </w:t>
      </w:r>
      <w:r>
        <w:rPr>
          <w:rFonts w:hint="eastAsia" w:ascii="宋体" w:hAnsi="宋体" w:eastAsia="宋体" w:cs="宋体"/>
          <w:sz w:val="28"/>
          <w:szCs w:val="28"/>
          <w:highlight w:val="none"/>
        </w:rPr>
        <w:t xml:space="preserve">日</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br w:type="page" w:clear="all"/>
      </w:r>
      <w:r>
        <w:rPr>
          <w:rFonts w:hint="eastAsia" w:ascii="宋体" w:hAnsi="宋体" w:eastAsia="宋体" w:cs="宋体"/>
          <w:b/>
          <w:bCs/>
          <w:sz w:val="28"/>
          <w:szCs w:val="28"/>
          <w:highlight w:val="none"/>
        </w:rPr>
        <w:t xml:space="preserve">十、投标人相关承诺</w:t>
      </w:r>
      <w:r/>
    </w:p>
    <w:p>
      <w:pPr>
        <w:ind w:firstLine="560"/>
        <w:rPr>
          <w:rFonts w:hint="eastAsia" w:ascii="宋体" w:hAnsi="宋体" w:eastAsia="宋体" w:cs="宋体"/>
          <w:sz w:val="28"/>
          <w:szCs w:val="28"/>
          <w:highlight w:val="none"/>
          <w:u w:val="single"/>
          <w:lang w:eastAsia="zh-CN"/>
        </w:rPr>
      </w:pPr>
      <w:r>
        <w:rPr>
          <w:rFonts w:hint="eastAsia" w:ascii="宋体" w:hAnsi="宋体" w:eastAsia="宋体" w:cs="宋体"/>
          <w:sz w:val="28"/>
          <w:szCs w:val="28"/>
          <w:highlight w:val="none"/>
        </w:rPr>
        <w:t xml:space="preserve">项目名称：</w:t>
      </w:r>
      <w:r>
        <w:rPr>
          <w:rFonts w:hint="eastAsia" w:ascii="宋体" w:hAnsi="宋体" w:eastAsia="宋体" w:cs="宋体"/>
          <w:sz w:val="28"/>
          <w:szCs w:val="28"/>
          <w:highlight w:val="none"/>
          <w:lang w:eastAsia="zh-CN"/>
        </w:rPr>
        <w:t xml:space="preserve">徐州市公安局数据中心维保项目</w:t>
      </w:r>
      <w:r/>
    </w:p>
    <w:p>
      <w:pPr>
        <w:ind w:firstLine="560"/>
        <w:rPr>
          <w:rFonts w:hint="eastAsia" w:ascii="宋体" w:hAnsi="宋体" w:eastAsia="宋体" w:cs="宋体"/>
          <w:sz w:val="28"/>
          <w:szCs w:val="28"/>
          <w:highlight w:val="none"/>
          <w:u w:val="single"/>
          <w:lang w:eastAsia="zh-CN"/>
        </w:rPr>
      </w:pPr>
      <w:r>
        <w:rPr>
          <w:rFonts w:hint="eastAsia" w:ascii="宋体" w:hAnsi="宋体" w:eastAsia="宋体" w:cs="宋体"/>
          <w:sz w:val="28"/>
          <w:szCs w:val="28"/>
          <w:highlight w:val="none"/>
        </w:rPr>
        <w:t xml:space="preserve">项目编号：</w:t>
      </w:r>
      <w:r>
        <w:rPr>
          <w:rFonts w:hint="eastAsia" w:ascii="宋体" w:hAnsi="宋体" w:cs="宋体"/>
          <w:sz w:val="28"/>
          <w:szCs w:val="28"/>
          <w:highlight w:val="none"/>
          <w:lang w:eastAsia="zh-CN"/>
        </w:rPr>
        <w:t xml:space="preserve">JSZC-320300-JSDZ-G2026-0058</w:t>
      </w:r>
      <w:r/>
    </w:p>
    <w:p>
      <w:pPr>
        <w:ind w:firstLine="584"/>
        <w:spacing w:line="588" w:lineRule="exact"/>
        <w:rPr>
          <w:rFonts w:hint="eastAsia" w:ascii="宋体" w:hAnsi="宋体" w:eastAsia="宋体" w:cs="宋体"/>
          <w:spacing w:val="6"/>
          <w:sz w:val="28"/>
          <w:szCs w:val="28"/>
          <w:highlight w:val="none"/>
        </w:rPr>
      </w:pPr>
      <w:r>
        <w:rPr>
          <w:rFonts w:hint="eastAsia" w:ascii="宋体" w:hAnsi="宋体" w:eastAsia="宋体" w:cs="宋体"/>
          <w:spacing w:val="6"/>
          <w:sz w:val="28"/>
          <w:szCs w:val="28"/>
          <w:highlight w:val="none"/>
        </w:rPr>
      </w:r>
      <w:r/>
    </w:p>
    <w:p>
      <w:pPr>
        <w:ind w:firstLine="584"/>
        <w:spacing w:line="588" w:lineRule="exact"/>
        <w:rPr>
          <w:rFonts w:hint="eastAsia" w:ascii="宋体" w:hAnsi="宋体" w:eastAsia="宋体" w:cs="宋体"/>
          <w:spacing w:val="6"/>
          <w:sz w:val="28"/>
          <w:szCs w:val="28"/>
          <w:highlight w:val="none"/>
        </w:rPr>
      </w:pPr>
      <w:r>
        <w:rPr>
          <w:rFonts w:hint="eastAsia" w:ascii="宋体" w:hAnsi="宋体" w:eastAsia="宋体" w:cs="宋体"/>
          <w:spacing w:val="6"/>
          <w:sz w:val="28"/>
          <w:szCs w:val="28"/>
          <w:highlight w:val="none"/>
        </w:rPr>
        <w:t xml:space="preserve">我单位承诺：</w:t>
      </w:r>
      <w:r/>
    </w:p>
    <w:p>
      <w:pPr>
        <w:ind w:firstLine="584"/>
        <w:spacing w:line="588" w:lineRule="exact"/>
        <w:rPr>
          <w:rFonts w:hint="eastAsia" w:ascii="宋体" w:hAnsi="宋体" w:eastAsia="宋体" w:cs="宋体"/>
          <w:spacing w:val="6"/>
          <w:sz w:val="28"/>
          <w:szCs w:val="28"/>
          <w:highlight w:val="none"/>
        </w:rPr>
      </w:pPr>
      <w:r>
        <w:rPr>
          <w:rFonts w:hint="eastAsia" w:ascii="宋体" w:hAnsi="宋体" w:eastAsia="宋体" w:cs="宋体"/>
          <w:spacing w:val="6"/>
          <w:sz w:val="28"/>
          <w:szCs w:val="28"/>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hint="eastAsia" w:ascii="宋体" w:hAnsi="宋体" w:eastAsia="宋体" w:cs="宋体"/>
          <w:spacing w:val="6"/>
          <w:sz w:val="28"/>
          <w:szCs w:val="28"/>
          <w:highlight w:val="none"/>
        </w:rPr>
      </w:pPr>
      <w:r>
        <w:rPr>
          <w:rFonts w:hint="eastAsia" w:ascii="宋体" w:hAnsi="宋体" w:eastAsia="宋体" w:cs="宋体"/>
          <w:spacing w:val="6"/>
          <w:sz w:val="28"/>
          <w:szCs w:val="28"/>
          <w:highlight w:val="none"/>
        </w:rPr>
      </w:r>
      <w:r/>
    </w:p>
    <w:p>
      <w:pPr>
        <w:ind w:firstLine="584"/>
        <w:spacing w:line="588" w:lineRule="exact"/>
        <w:rPr>
          <w:rFonts w:hint="eastAsia" w:ascii="宋体" w:hAnsi="宋体" w:eastAsia="宋体" w:cs="宋体"/>
          <w:spacing w:val="6"/>
          <w:sz w:val="28"/>
          <w:szCs w:val="28"/>
          <w:highlight w:val="none"/>
        </w:rPr>
      </w:pPr>
      <w:r>
        <w:rPr>
          <w:rFonts w:hint="eastAsia" w:ascii="宋体" w:hAnsi="宋体" w:eastAsia="宋体" w:cs="宋体"/>
          <w:spacing w:val="6"/>
          <w:sz w:val="28"/>
          <w:szCs w:val="28"/>
          <w:highlight w:val="none"/>
        </w:rPr>
        <w:t xml:space="preserve">我单位对上述承诺负责，并依法承担相应责任。</w:t>
      </w:r>
      <w:r/>
    </w:p>
    <w:p>
      <w:pPr>
        <w:ind w:firstLine="3000"/>
        <w:spacing w:line="30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1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1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1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1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1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3120"/>
        <w:spacing w:line="300" w:lineRule="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投标人：（电子签章）</w:t>
      </w:r>
      <w:r/>
    </w:p>
    <w:p>
      <w:pPr>
        <w:ind w:firstLine="312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日期：</w:t>
      </w:r>
      <w:r>
        <w:rPr>
          <w:rFonts w:hint="eastAsia" w:ascii="宋体" w:hAnsi="宋体" w:cs="宋体"/>
          <w:sz w:val="28"/>
          <w:szCs w:val="28"/>
          <w:highlight w:val="none"/>
          <w:lang w:val="en-US" w:eastAsia="zh-CN"/>
        </w:rPr>
        <w:t xml:space="preserve">    </w:t>
      </w:r>
      <w:r>
        <w:rPr>
          <w:rFonts w:hint="eastAsia" w:ascii="宋体" w:hAnsi="宋体" w:eastAsia="宋体" w:cs="宋体"/>
          <w:sz w:val="28"/>
          <w:szCs w:val="28"/>
          <w:highlight w:val="none"/>
        </w:rPr>
        <w:t xml:space="preserve">年</w:t>
      </w:r>
      <w:r>
        <w:rPr>
          <w:rFonts w:hint="eastAsia" w:ascii="宋体" w:hAnsi="宋体" w:cs="宋体"/>
          <w:sz w:val="28"/>
          <w:szCs w:val="28"/>
          <w:highlight w:val="none"/>
          <w:lang w:val="en-US" w:eastAsia="zh-CN"/>
        </w:rPr>
        <w:t xml:space="preserve">    </w:t>
      </w:r>
      <w:r>
        <w:rPr>
          <w:rFonts w:hint="eastAsia" w:ascii="宋体" w:hAnsi="宋体" w:eastAsia="宋体" w:cs="宋体"/>
          <w:sz w:val="28"/>
          <w:szCs w:val="28"/>
          <w:highlight w:val="none"/>
        </w:rPr>
        <w:t xml:space="preserve">月</w:t>
      </w:r>
      <w:r>
        <w:rPr>
          <w:rFonts w:hint="eastAsia" w:ascii="宋体" w:hAnsi="宋体" w:cs="宋体"/>
          <w:sz w:val="28"/>
          <w:szCs w:val="28"/>
          <w:highlight w:val="none"/>
          <w:lang w:val="en-US" w:eastAsia="zh-CN"/>
        </w:rPr>
        <w:t xml:space="preserve">   </w:t>
      </w:r>
      <w:r>
        <w:rPr>
          <w:rFonts w:hint="eastAsia" w:ascii="宋体" w:hAnsi="宋体" w:eastAsia="宋体" w:cs="宋体"/>
          <w:sz w:val="28"/>
          <w:szCs w:val="28"/>
          <w:highlight w:val="none"/>
        </w:rPr>
        <w:t xml:space="preserve">日</w:t>
      </w:r>
      <w:r/>
    </w:p>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1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br w:type="page" w:clear="all"/>
      </w:r>
      <w:r>
        <w:rPr>
          <w:rFonts w:hint="eastAsia" w:ascii="宋体" w:hAnsi="宋体" w:eastAsia="宋体" w:cs="宋体"/>
          <w:sz w:val="28"/>
          <w:szCs w:val="28"/>
          <w:highlight w:val="none"/>
        </w:rPr>
        <w:t xml:space="preserve">十一、投标人书面声明</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99"/>
        <w:rPr>
          <w:rFonts w:hint="eastAsia" w:ascii="宋体" w:hAnsi="宋体" w:eastAsia="宋体" w:cs="宋体"/>
          <w:sz w:val="28"/>
          <w:szCs w:val="28"/>
          <w:highlight w:val="none"/>
          <w:u w:val="single"/>
          <w:lang w:eastAsia="zh-CN"/>
        </w:rPr>
      </w:pPr>
      <w:r>
        <w:rPr>
          <w:rFonts w:hint="eastAsia" w:ascii="宋体" w:hAnsi="宋体" w:eastAsia="宋体" w:cs="宋体"/>
          <w:sz w:val="28"/>
          <w:szCs w:val="28"/>
          <w:highlight w:val="none"/>
        </w:rPr>
        <w:t xml:space="preserve">项目名称：</w:t>
      </w:r>
      <w:r>
        <w:rPr>
          <w:rFonts w:hint="eastAsia" w:ascii="宋体" w:hAnsi="宋体" w:eastAsia="宋体" w:cs="宋体"/>
          <w:sz w:val="28"/>
          <w:szCs w:val="28"/>
          <w:highlight w:val="none"/>
          <w:lang w:eastAsia="zh-CN"/>
        </w:rPr>
        <w:t xml:space="preserve">徐州市公安局数据中心维保项目</w:t>
      </w:r>
      <w:r/>
    </w:p>
    <w:p>
      <w:pPr>
        <w:ind w:firstLine="599"/>
        <w:rPr>
          <w:rFonts w:hint="eastAsia" w:ascii="宋体" w:hAnsi="宋体" w:eastAsia="宋体" w:cs="宋体"/>
          <w:sz w:val="28"/>
          <w:szCs w:val="28"/>
          <w:highlight w:val="none"/>
          <w:u w:val="single"/>
          <w:lang w:eastAsia="zh-CN"/>
        </w:rPr>
      </w:pPr>
      <w:r>
        <w:rPr>
          <w:rFonts w:hint="eastAsia" w:ascii="宋体" w:hAnsi="宋体" w:eastAsia="宋体" w:cs="宋体"/>
          <w:sz w:val="28"/>
          <w:szCs w:val="28"/>
          <w:highlight w:val="none"/>
        </w:rPr>
        <w:t xml:space="preserve">项目编号：</w:t>
      </w:r>
      <w:r>
        <w:rPr>
          <w:rFonts w:hint="eastAsia" w:ascii="宋体" w:hAnsi="宋体" w:cs="宋体"/>
          <w:sz w:val="28"/>
          <w:szCs w:val="28"/>
          <w:highlight w:val="none"/>
          <w:lang w:eastAsia="zh-CN"/>
        </w:rPr>
        <w:t xml:space="preserve">JSZC-320300-JSDZ-G2026-0058</w:t>
      </w:r>
      <w:r/>
    </w:p>
    <w:p>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84"/>
        <w:spacing w:line="588" w:lineRule="exact"/>
        <w:rPr>
          <w:rFonts w:hint="eastAsia" w:ascii="宋体" w:hAnsi="宋体" w:eastAsia="宋体" w:cs="宋体"/>
          <w:spacing w:val="6"/>
          <w:sz w:val="28"/>
          <w:szCs w:val="28"/>
          <w:highlight w:val="none"/>
        </w:rPr>
      </w:pPr>
      <w:r>
        <w:rPr>
          <w:rFonts w:hint="eastAsia" w:ascii="宋体" w:hAnsi="宋体" w:eastAsia="宋体" w:cs="宋体"/>
          <w:spacing w:val="6"/>
          <w:sz w:val="28"/>
          <w:szCs w:val="28"/>
          <w:highlight w:val="none"/>
        </w:rPr>
        <w:t xml:space="preserve">我单位不是为本采购项目提供整体设计、规范编制或者项目管理、监理、检测等服务的供应商。</w:t>
      </w:r>
      <w:r/>
    </w:p>
    <w:p>
      <w:pPr>
        <w:ind w:firstLine="584"/>
        <w:spacing w:line="588" w:lineRule="exact"/>
        <w:rPr>
          <w:rFonts w:hint="eastAsia" w:ascii="宋体" w:hAnsi="宋体" w:eastAsia="宋体" w:cs="宋体"/>
          <w:spacing w:val="6"/>
          <w:sz w:val="28"/>
          <w:szCs w:val="28"/>
          <w:highlight w:val="none"/>
        </w:rPr>
      </w:pPr>
      <w:r>
        <w:rPr>
          <w:rFonts w:hint="eastAsia" w:ascii="宋体" w:hAnsi="宋体" w:eastAsia="宋体" w:cs="宋体"/>
          <w:spacing w:val="6"/>
          <w:sz w:val="28"/>
          <w:szCs w:val="28"/>
          <w:highlight w:val="none"/>
        </w:rPr>
        <w:t xml:space="preserve">特此声明。</w:t>
      </w:r>
      <w:r/>
    </w:p>
    <w:p>
      <w:pPr>
        <w:ind w:firstLine="584"/>
        <w:spacing w:line="588" w:lineRule="exact"/>
        <w:rPr>
          <w:rFonts w:hint="eastAsia" w:ascii="宋体" w:hAnsi="宋体" w:eastAsia="宋体" w:cs="宋体"/>
          <w:spacing w:val="6"/>
          <w:sz w:val="28"/>
          <w:szCs w:val="28"/>
          <w:highlight w:val="none"/>
        </w:rPr>
      </w:pPr>
      <w:r>
        <w:rPr>
          <w:rFonts w:hint="eastAsia" w:ascii="宋体" w:hAnsi="宋体" w:eastAsia="宋体" w:cs="宋体"/>
          <w:spacing w:val="6"/>
          <w:sz w:val="28"/>
          <w:szCs w:val="28"/>
          <w:highlight w:val="none"/>
        </w:rPr>
        <w:t xml:space="preserve">我单位对上述声明的真实性负责。如有虚假，将依法承担相应责任。</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3000"/>
        <w:spacing w:line="30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1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1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1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2660"/>
        <w:spacing w:line="480" w:lineRule="exac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投标人：（电子签章）</w:t>
      </w:r>
      <w:r/>
    </w:p>
    <w:p>
      <w:pPr>
        <w:pStyle w:val="723"/>
        <w:ind w:firstLine="2800"/>
        <w:rPr>
          <w:rFonts w:hint="eastAsia" w:ascii="宋体" w:hAnsi="宋体" w:eastAsia="宋体" w:cs="宋体"/>
          <w:sz w:val="28"/>
          <w:szCs w:val="28"/>
          <w:highlight w:val="none"/>
        </w:rPr>
        <w:sectPr>
          <w:footerReference w:type="default" r:id="rId10"/>
          <w:footnotePr/>
          <w:endnotePr/>
          <w:type w:val="nextPage"/>
          <w:pgSz w:w="11906" w:h="16838" w:orient="portrait"/>
          <w:pgMar w:top="851" w:right="1702" w:bottom="851" w:left="1804" w:header="851" w:footer="992" w:gutter="0"/>
          <w:pgNumType w:start="1"/>
          <w:cols w:num="1" w:sep="0" w:space="1701" w:equalWidth="1"/>
          <w:docGrid w:linePitch="360"/>
        </w:sectPr>
      </w:pPr>
      <w:r>
        <w:rPr>
          <w:rFonts w:hint="eastAsia" w:ascii="宋体" w:hAnsi="宋体" w:eastAsia="宋体" w:cs="宋体"/>
          <w:sz w:val="28"/>
          <w:szCs w:val="28"/>
          <w:highlight w:val="none"/>
        </w:rPr>
        <w:t xml:space="preserve">日期：</w:t>
      </w:r>
      <w:r>
        <w:rPr>
          <w:rFonts w:hint="eastAsia" w:ascii="宋体" w:hAnsi="宋体" w:cs="宋体"/>
          <w:sz w:val="28"/>
          <w:szCs w:val="28"/>
          <w:highlight w:val="none"/>
          <w:lang w:val="en-US" w:eastAsia="zh-CN"/>
        </w:rPr>
        <w:t xml:space="preserve">     </w:t>
      </w:r>
      <w:r>
        <w:rPr>
          <w:rFonts w:hint="eastAsia" w:ascii="宋体" w:hAnsi="宋体" w:eastAsia="宋体" w:cs="宋体"/>
          <w:sz w:val="28"/>
          <w:szCs w:val="28"/>
          <w:highlight w:val="none"/>
        </w:rPr>
        <w:t xml:space="preserve">年</w:t>
      </w:r>
      <w:r>
        <w:rPr>
          <w:rFonts w:hint="eastAsia" w:ascii="宋体" w:hAnsi="宋体" w:cs="宋体"/>
          <w:sz w:val="28"/>
          <w:szCs w:val="28"/>
          <w:highlight w:val="none"/>
          <w:lang w:val="en-US" w:eastAsia="zh-CN"/>
        </w:rPr>
        <w:t xml:space="preserve">    </w:t>
      </w:r>
      <w:r>
        <w:rPr>
          <w:rFonts w:hint="eastAsia" w:ascii="宋体" w:hAnsi="宋体" w:eastAsia="宋体" w:cs="宋体"/>
          <w:sz w:val="28"/>
          <w:szCs w:val="28"/>
          <w:highlight w:val="none"/>
        </w:rPr>
        <w:t xml:space="preserve">月</w:t>
      </w:r>
      <w:r>
        <w:rPr>
          <w:rFonts w:hint="eastAsia" w:ascii="宋体" w:hAnsi="宋体" w:cs="宋体"/>
          <w:sz w:val="28"/>
          <w:szCs w:val="28"/>
          <w:highlight w:val="none"/>
          <w:lang w:val="en-US" w:eastAsia="zh-CN"/>
        </w:rPr>
        <w:t xml:space="preserve">   </w:t>
      </w:r>
      <w:r>
        <w:rPr>
          <w:rFonts w:hint="eastAsia" w:ascii="宋体" w:hAnsi="宋体" w:eastAsia="宋体" w:cs="宋体"/>
          <w:sz w:val="28"/>
          <w:szCs w:val="28"/>
          <w:highlight w:val="none"/>
        </w:rPr>
        <w:t xml:space="preserve">日</w:t>
      </w:r>
      <w:r/>
    </w:p>
    <w:p>
      <w:pPr>
        <w:widowControl/>
        <w:rPr>
          <w:rFonts w:hint="eastAsia" w:ascii="宋体" w:hAnsi="宋体" w:eastAsia="宋体" w:cs="宋体"/>
          <w:b/>
          <w:bCs/>
          <w:color w:val="000000"/>
          <w:sz w:val="28"/>
          <w:szCs w:val="28"/>
          <w:highlight w:val="none"/>
          <w:lang w:eastAsia="zh-CN"/>
        </w:rPr>
      </w:pPr>
      <w:r>
        <w:rPr>
          <w:rFonts w:hint="eastAsia" w:ascii="宋体" w:hAnsi="宋体" w:eastAsia="宋体" w:cs="宋体"/>
          <w:b/>
          <w:bCs/>
          <w:sz w:val="28"/>
          <w:szCs w:val="28"/>
          <w:highlight w:val="none"/>
        </w:rPr>
        <w:t xml:space="preserve">十二、</w:t>
      </w:r>
      <w:r>
        <w:rPr>
          <w:rFonts w:hint="eastAsia" w:ascii="宋体" w:hAnsi="宋体" w:eastAsia="宋体" w:cs="宋体"/>
          <w:b/>
          <w:bCs/>
          <w:sz w:val="28"/>
          <w:szCs w:val="28"/>
          <w:highlight w:val="none"/>
          <w:lang w:eastAsia="zh-CN"/>
        </w:rPr>
        <w:t xml:space="preserve">采购需求符合性条件响应表</w:t>
      </w:r>
      <w:r/>
    </w:p>
    <w:p>
      <w:pPr>
        <w:spacing w:line="520" w:lineRule="exact"/>
        <w:rPr>
          <w:rFonts w:hint="eastAsia"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项目名称：</w:t>
      </w:r>
      <w:r/>
    </w:p>
    <w:p>
      <w:pPr>
        <w:spacing w:line="520" w:lineRule="exact"/>
        <w:rPr>
          <w:rFonts w:hint="eastAsia" w:ascii="宋体" w:hAnsi="宋体" w:eastAsia="宋体" w:cs="宋体"/>
          <w:color w:val="000000"/>
          <w:spacing w:val="6"/>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项目编号：</w:t>
      </w:r>
      <w:r/>
    </w:p>
    <w:p>
      <w:pPr>
        <w:jc w:val="left"/>
        <w:spacing w:after="100" w:line="259" w:lineRule="auto"/>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bl>
      <w:tblPr>
        <w:tblStyle w:val="693"/>
        <w:tblW w:w="10065"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67"/>
        <w:gridCol w:w="2977"/>
        <w:gridCol w:w="2268"/>
        <w:gridCol w:w="2977"/>
        <w:gridCol w:w="1276"/>
      </w:tblGrid>
      <w:tr>
        <w:trPr>
          <w:trHeight w:val="794"/>
        </w:trPr>
        <w:tc>
          <w:tcPr>
            <w:tcW w:w="567" w:type="dxa"/>
            <w:vAlign w:val="center"/>
            <w:textDirection w:val="lrTb"/>
            <w:noWrap w:val="false"/>
          </w:tcPr>
          <w:p>
            <w:pPr>
              <w:jc w:val="center"/>
              <w:rPr>
                <w:rFonts w:hint="eastAsia" w:ascii="宋体" w:hAnsi="宋体" w:eastAsia="宋体" w:cs="宋体"/>
                <w:caps/>
                <w:color w:val="000000"/>
                <w:sz w:val="28"/>
                <w:szCs w:val="28"/>
                <w:highlight w:val="none"/>
              </w:rPr>
            </w:pPr>
            <w:r>
              <w:rPr>
                <w:rFonts w:hint="eastAsia" w:ascii="宋体" w:hAnsi="宋体" w:eastAsia="宋体" w:cs="宋体"/>
                <w:caps/>
                <w:color w:val="000000"/>
                <w:sz w:val="28"/>
                <w:szCs w:val="28"/>
                <w:highlight w:val="none"/>
              </w:rPr>
              <w:t xml:space="preserve">序号</w:t>
            </w:r>
            <w:r/>
          </w:p>
        </w:tc>
        <w:tc>
          <w:tcPr>
            <w:tcW w:w="2977" w:type="dxa"/>
            <w:vAlign w:val="center"/>
            <w:textDirection w:val="lrTb"/>
            <w:noWrap w:val="false"/>
          </w:tcPr>
          <w:p>
            <w:pPr>
              <w:jc w:val="center"/>
              <w:rPr>
                <w:rFonts w:hint="eastAsia" w:ascii="宋体" w:hAnsi="宋体" w:eastAsia="宋体" w:cs="宋体"/>
                <w:caps/>
                <w:color w:val="000000"/>
                <w:sz w:val="28"/>
                <w:szCs w:val="28"/>
                <w:highlight w:val="none"/>
              </w:rPr>
            </w:pPr>
            <w:r>
              <w:rPr>
                <w:rFonts w:hint="eastAsia" w:ascii="宋体" w:hAnsi="宋体" w:eastAsia="宋体" w:cs="宋体"/>
                <w:caps/>
                <w:color w:val="000000"/>
                <w:sz w:val="28"/>
                <w:szCs w:val="28"/>
                <w:highlight w:val="none"/>
              </w:rPr>
              <w:t xml:space="preserve">采购需求符合性条件</w:t>
            </w:r>
            <w:r/>
          </w:p>
        </w:tc>
        <w:tc>
          <w:tcPr>
            <w:tcW w:w="2268" w:type="dxa"/>
            <w:vAlign w:val="center"/>
            <w:textDirection w:val="lrTb"/>
            <w:noWrap w:val="false"/>
          </w:tcPr>
          <w:p>
            <w:pPr>
              <w:jc w:val="center"/>
              <w:rPr>
                <w:rFonts w:hint="eastAsia" w:ascii="宋体" w:hAnsi="宋体" w:eastAsia="宋体" w:cs="宋体"/>
                <w:caps/>
                <w:color w:val="000000"/>
                <w:sz w:val="28"/>
                <w:szCs w:val="28"/>
                <w:highlight w:val="none"/>
              </w:rPr>
            </w:pPr>
            <w:r>
              <w:rPr>
                <w:rFonts w:hint="eastAsia" w:ascii="宋体" w:hAnsi="宋体" w:eastAsia="宋体" w:cs="宋体"/>
                <w:color w:val="000000"/>
                <w:sz w:val="28"/>
                <w:szCs w:val="28"/>
                <w:highlight w:val="none"/>
              </w:rPr>
              <w:t xml:space="preserve">招标文件的要求</w:t>
            </w:r>
            <w:r/>
          </w:p>
        </w:tc>
        <w:tc>
          <w:tcPr>
            <w:tcW w:w="2977" w:type="dxa"/>
            <w:vAlign w:val="center"/>
            <w:textDirection w:val="lrTb"/>
            <w:noWrap w:val="false"/>
          </w:tcPr>
          <w:p>
            <w:pPr>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投标文件中的响应情况</w:t>
            </w:r>
            <w:r/>
          </w:p>
          <w:p>
            <w:pPr>
              <w:jc w:val="center"/>
              <w:rPr>
                <w:rFonts w:hint="eastAsia" w:ascii="宋体" w:hAnsi="宋体" w:eastAsia="宋体" w:cs="宋体"/>
                <w:caps/>
                <w:color w:val="000000"/>
                <w:sz w:val="28"/>
                <w:szCs w:val="28"/>
                <w:highlight w:val="none"/>
              </w:rPr>
            </w:pPr>
            <w:r>
              <w:rPr>
                <w:rFonts w:hint="eastAsia" w:ascii="宋体" w:hAnsi="宋体" w:eastAsia="宋体" w:cs="宋体"/>
                <w:caps/>
                <w:color w:val="000000"/>
                <w:sz w:val="28"/>
                <w:szCs w:val="28"/>
                <w:highlight w:val="none"/>
              </w:rPr>
              <w:t xml:space="preserve">（完全响应/未完全响应）</w:t>
            </w:r>
            <w:r/>
          </w:p>
        </w:tc>
        <w:tc>
          <w:tcPr>
            <w:tcW w:w="1276" w:type="dxa"/>
            <w:vAlign w:val="center"/>
            <w:textDirection w:val="lrTb"/>
            <w:noWrap w:val="false"/>
          </w:tcPr>
          <w:p>
            <w:pPr>
              <w:jc w:val="center"/>
              <w:rPr>
                <w:rFonts w:hint="eastAsia" w:ascii="宋体" w:hAnsi="宋体" w:eastAsia="宋体" w:cs="宋体"/>
                <w:caps/>
                <w:color w:val="000000"/>
                <w:sz w:val="28"/>
                <w:szCs w:val="28"/>
                <w:highlight w:val="none"/>
              </w:rPr>
            </w:pPr>
            <w:r>
              <w:rPr>
                <w:rFonts w:hint="eastAsia" w:ascii="宋体" w:hAnsi="宋体" w:eastAsia="宋体" w:cs="宋体"/>
                <w:caps/>
                <w:color w:val="000000"/>
                <w:sz w:val="28"/>
                <w:szCs w:val="28"/>
                <w:highlight w:val="none"/>
              </w:rPr>
              <w:t xml:space="preserve">说明</w:t>
            </w:r>
            <w:r/>
          </w:p>
        </w:tc>
      </w:tr>
      <w:tr>
        <w:trPr>
          <w:trHeight w:val="794"/>
        </w:trPr>
        <w:tc>
          <w:tcPr>
            <w:tcW w:w="567" w:type="dxa"/>
            <w:vAlign w:val="center"/>
            <w:textDirection w:val="lrTb"/>
            <w:noWrap w:val="false"/>
          </w:tcPr>
          <w:p>
            <w:pPr>
              <w:jc w:val="center"/>
              <w:rPr>
                <w:rFonts w:hint="eastAsia"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1</w:t>
            </w:r>
            <w:r/>
          </w:p>
        </w:tc>
        <w:tc>
          <w:tcPr>
            <w:tcW w:w="2977" w:type="dxa"/>
            <w:vAlign w:val="center"/>
            <w:textDirection w:val="lrTb"/>
            <w:noWrap w:val="false"/>
          </w:tcPr>
          <w:p>
            <w:pPr>
              <w:jc w:val="center"/>
              <w:rPr>
                <w:rFonts w:hint="eastAsia" w:ascii="宋体" w:hAnsi="宋体" w:eastAsia="宋体" w:cs="宋体"/>
                <w:color w:val="000000"/>
                <w:sz w:val="28"/>
                <w:szCs w:val="28"/>
                <w:highlight w:val="none"/>
              </w:rPr>
            </w:pPr>
            <w:r>
              <w:rPr>
                <w:rFonts w:hint="eastAsia" w:ascii="宋体" w:hAnsi="宋体" w:cs="宋体"/>
                <w:color w:val="000000"/>
                <w:sz w:val="28"/>
                <w:szCs w:val="28"/>
                <w:highlight w:val="none"/>
                <w:lang w:val="en-US" w:eastAsia="zh-CN"/>
              </w:rPr>
              <w:t xml:space="preserve">关于</w:t>
            </w:r>
            <w:r>
              <w:rPr>
                <w:rFonts w:hint="eastAsia" w:ascii="宋体" w:hAnsi="宋体" w:eastAsia="宋体" w:cs="宋体"/>
                <w:color w:val="000000"/>
                <w:sz w:val="28"/>
                <w:szCs w:val="28"/>
                <w:highlight w:val="none"/>
              </w:rPr>
              <w:t xml:space="preserve">“硬件提供要求”的响应情况</w:t>
            </w:r>
            <w:r/>
          </w:p>
        </w:tc>
        <w:tc>
          <w:tcPr>
            <w:tcW w:w="2268" w:type="dxa"/>
            <w:vAlign w:val="center"/>
            <w:textDirection w:val="lrTb"/>
            <w:noWrap w:val="false"/>
          </w:tcPr>
          <w:p>
            <w:pPr>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见招标文件第六章《采购需求》中相关要求</w:t>
            </w:r>
            <w:r/>
          </w:p>
        </w:tc>
        <w:tc>
          <w:tcPr>
            <w:tcW w:w="2977" w:type="dxa"/>
            <w:vAlign w:val="center"/>
            <w:textDirection w:val="lrTb"/>
            <w:noWrap w:val="false"/>
          </w:tcPr>
          <w:p>
            <w:pPr>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276" w:type="dxa"/>
            <w:vAlign w:val="center"/>
            <w:textDirection w:val="lrTb"/>
            <w:noWrap w:val="false"/>
          </w:tcPr>
          <w:p>
            <w:pPr>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794"/>
        </w:trPr>
        <w:tc>
          <w:tcPr>
            <w:tcW w:w="567" w:type="dxa"/>
            <w:vAlign w:val="center"/>
            <w:textDirection w:val="lrTb"/>
            <w:noWrap w:val="false"/>
          </w:tcPr>
          <w:p>
            <w:pPr>
              <w:jc w:val="center"/>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lang w:val="en-US" w:eastAsia="zh-CN"/>
              </w:rPr>
              <w:t xml:space="preserve">2</w:t>
            </w:r>
            <w:r/>
          </w:p>
        </w:tc>
        <w:tc>
          <w:tcPr>
            <w:tcW w:w="2977" w:type="dxa"/>
            <w:vAlign w:val="center"/>
            <w:textDirection w:val="lrTb"/>
            <w:noWrap w:val="false"/>
          </w:tcPr>
          <w:p>
            <w:pPr>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关于“备品备件要求”的响应情况</w:t>
            </w:r>
            <w:r/>
          </w:p>
        </w:tc>
        <w:tc>
          <w:tcPr>
            <w:tcW w:w="2268" w:type="dxa"/>
            <w:vAlign w:val="center"/>
            <w:textDirection w:val="lrTb"/>
            <w:noWrap w:val="false"/>
          </w:tcPr>
          <w:p>
            <w:pPr>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见招标文件第六章《采购需求》中相关要求</w:t>
            </w:r>
            <w:r/>
          </w:p>
        </w:tc>
        <w:tc>
          <w:tcPr>
            <w:tcW w:w="2977" w:type="dxa"/>
            <w:vAlign w:val="center"/>
            <w:textDirection w:val="lrTb"/>
            <w:noWrap w:val="false"/>
          </w:tcPr>
          <w:p>
            <w:pPr>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276" w:type="dxa"/>
            <w:vAlign w:val="center"/>
            <w:textDirection w:val="lrTb"/>
            <w:noWrap w:val="false"/>
          </w:tcPr>
          <w:p>
            <w:pPr>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794"/>
        </w:trPr>
        <w:tc>
          <w:tcPr>
            <w:tcW w:w="567" w:type="dxa"/>
            <w:vAlign w:val="center"/>
            <w:textDirection w:val="lrTb"/>
            <w:noWrap w:val="false"/>
          </w:tcPr>
          <w:p>
            <w:pPr>
              <w:jc w:val="center"/>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lang w:val="en-US" w:eastAsia="zh-CN"/>
              </w:rPr>
              <w:t xml:space="preserve">3</w:t>
            </w:r>
            <w:r/>
          </w:p>
        </w:tc>
        <w:tc>
          <w:tcPr>
            <w:tcW w:w="2977" w:type="dxa"/>
            <w:vAlign w:val="center"/>
            <w:textDirection w:val="lrTb"/>
            <w:noWrap w:val="false"/>
          </w:tcPr>
          <w:p>
            <w:pPr>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关于“项目服务期限”的响应情况</w:t>
            </w:r>
            <w:r/>
          </w:p>
        </w:tc>
        <w:tc>
          <w:tcPr>
            <w:tcW w:w="2268" w:type="dxa"/>
            <w:vAlign w:val="center"/>
            <w:textDirection w:val="lrTb"/>
            <w:noWrap w:val="false"/>
          </w:tcPr>
          <w:p>
            <w:pPr>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见招标文件第六章《采购需求》中相关要求</w:t>
            </w:r>
            <w:r/>
          </w:p>
        </w:tc>
        <w:tc>
          <w:tcPr>
            <w:tcW w:w="2977" w:type="dxa"/>
            <w:vAlign w:val="center"/>
            <w:textDirection w:val="lrTb"/>
            <w:noWrap w:val="false"/>
          </w:tcPr>
          <w:p>
            <w:pPr>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276" w:type="dxa"/>
            <w:vAlign w:val="center"/>
            <w:textDirection w:val="lrTb"/>
            <w:noWrap w:val="false"/>
          </w:tcPr>
          <w:p>
            <w:pPr>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794"/>
        </w:trPr>
        <w:tc>
          <w:tcPr>
            <w:tcW w:w="567" w:type="dxa"/>
            <w:vAlign w:val="center"/>
            <w:textDirection w:val="lrTb"/>
            <w:noWrap w:val="false"/>
          </w:tcPr>
          <w:p>
            <w:pPr>
              <w:jc w:val="center"/>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lang w:val="en-US" w:eastAsia="zh-CN"/>
              </w:rPr>
              <w:t xml:space="preserve">4</w:t>
            </w:r>
            <w:r/>
          </w:p>
        </w:tc>
        <w:tc>
          <w:tcPr>
            <w:tcW w:w="2977" w:type="dxa"/>
            <w:vAlign w:val="center"/>
            <w:textDirection w:val="lrTb"/>
            <w:noWrap w:val="false"/>
          </w:tcPr>
          <w:p>
            <w:pPr>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关于“人员配备数量要求”的响应情况</w:t>
            </w:r>
            <w:r/>
          </w:p>
        </w:tc>
        <w:tc>
          <w:tcPr>
            <w:tcW w:w="2268" w:type="dxa"/>
            <w:vAlign w:val="center"/>
            <w:textDirection w:val="lrTb"/>
            <w:noWrap w:val="false"/>
          </w:tcPr>
          <w:p>
            <w:pPr>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见招标文件第六章《采购需求》中相关要求</w:t>
            </w:r>
            <w:r/>
          </w:p>
        </w:tc>
        <w:tc>
          <w:tcPr>
            <w:tcW w:w="2977" w:type="dxa"/>
            <w:vAlign w:val="center"/>
            <w:textDirection w:val="lrTb"/>
            <w:noWrap w:val="false"/>
          </w:tcPr>
          <w:p>
            <w:pPr>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276" w:type="dxa"/>
            <w:vAlign w:val="center"/>
            <w:textDirection w:val="lrTb"/>
            <w:noWrap w:val="false"/>
          </w:tcPr>
          <w:p>
            <w:pPr>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794"/>
        </w:trPr>
        <w:tc>
          <w:tcPr>
            <w:tcW w:w="567" w:type="dxa"/>
            <w:vAlign w:val="center"/>
            <w:textDirection w:val="lrTb"/>
            <w:noWrap w:val="false"/>
          </w:tcPr>
          <w:p>
            <w:pPr>
              <w:jc w:val="center"/>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lang w:val="en-US" w:eastAsia="zh-CN"/>
              </w:rPr>
              <w:t xml:space="preserve">5</w:t>
            </w:r>
            <w:r/>
          </w:p>
        </w:tc>
        <w:tc>
          <w:tcPr>
            <w:tcW w:w="2977" w:type="dxa"/>
            <w:vAlign w:val="center"/>
            <w:textDirection w:val="lrTb"/>
            <w:noWrap w:val="false"/>
          </w:tcPr>
          <w:p>
            <w:pPr>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关于“支付（采购资金的支付方式、时间、条件）” 的响应情况</w:t>
            </w:r>
            <w:r/>
          </w:p>
        </w:tc>
        <w:tc>
          <w:tcPr>
            <w:tcW w:w="2268" w:type="dxa"/>
            <w:vAlign w:val="center"/>
            <w:textDirection w:val="lrTb"/>
            <w:noWrap w:val="false"/>
          </w:tcPr>
          <w:p>
            <w:pPr>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见招标文件第六章《采购需求》中相关要求</w:t>
            </w:r>
            <w:r/>
          </w:p>
        </w:tc>
        <w:tc>
          <w:tcPr>
            <w:tcW w:w="2977" w:type="dxa"/>
            <w:vAlign w:val="center"/>
            <w:textDirection w:val="lrTb"/>
            <w:noWrap w:val="false"/>
          </w:tcPr>
          <w:p>
            <w:pPr>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276" w:type="dxa"/>
            <w:vAlign w:val="center"/>
            <w:textDirection w:val="lrTb"/>
            <w:noWrap w:val="false"/>
          </w:tcPr>
          <w:p>
            <w:pPr>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bl>
    <w:p>
      <w:pPr>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u w:val="single"/>
        </w:rPr>
      </w:r>
      <w:r/>
    </w:p>
    <w:p>
      <w:pPr>
        <w:jc w:val="left"/>
        <w:spacing w:after="100" w:line="259" w:lineRule="auto"/>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p>
      <w:pP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注：</w:t>
      </w:r>
      <w:r/>
    </w:p>
    <w:p>
      <w:pPr>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u w:val="single"/>
        </w:rPr>
        <w:t xml:space="preserve">1.上表</w:t>
      </w:r>
      <w:r>
        <w:rPr>
          <w:rFonts w:hint="eastAsia" w:ascii="宋体" w:hAnsi="宋体" w:eastAsia="宋体" w:cs="宋体"/>
          <w:b/>
          <w:color w:val="000000"/>
          <w:sz w:val="28"/>
          <w:szCs w:val="28"/>
          <w:highlight w:val="none"/>
          <w:u w:val="single"/>
        </w:rPr>
        <w:t xml:space="preserve">响应情况栏为必填内容</w:t>
      </w:r>
      <w:r>
        <w:rPr>
          <w:rFonts w:hint="eastAsia" w:ascii="宋体" w:hAnsi="宋体" w:eastAsia="宋体" w:cs="宋体"/>
          <w:color w:val="000000"/>
          <w:sz w:val="28"/>
          <w:szCs w:val="28"/>
          <w:highlight w:val="none"/>
          <w:u w:val="single"/>
        </w:rPr>
        <w:t xml:space="preserve">，说明栏为选填内容。</w:t>
      </w:r>
      <w:r/>
    </w:p>
    <w:p>
      <w:pPr>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u w:val="single"/>
        </w:rPr>
        <w:t xml:space="preserve">2.</w:t>
      </w:r>
      <w:r>
        <w:rPr>
          <w:rFonts w:hint="eastAsia" w:ascii="宋体" w:hAnsi="宋体" w:eastAsia="宋体" w:cs="宋体"/>
          <w:b/>
          <w:color w:val="000000"/>
          <w:sz w:val="28"/>
          <w:szCs w:val="28"/>
          <w:highlight w:val="none"/>
          <w:u w:val="single"/>
        </w:rPr>
        <w:t xml:space="preserve">如响应情况栏未填写或填写“未完全响应”，在符合性审查时均按照投标无效处理。</w:t>
      </w:r>
      <w:r/>
    </w:p>
    <w:p>
      <w:pPr>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u w:val="single"/>
        </w:rPr>
        <w:t xml:space="preserve">3.如投标人投标文件中对采购需求符合性条件的响应内容与上表响应情况栏表述不一致的，以此表为准。</w:t>
      </w:r>
      <w:r/>
    </w:p>
    <w:p>
      <w:pP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3120"/>
        <w:spacing w:line="30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（电子签章）  </w:t>
      </w:r>
      <w:r/>
    </w:p>
    <w:p>
      <w:pPr>
        <w:ind w:firstLine="312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日期：   年  月  日</w:t>
      </w:r>
      <w:r/>
    </w:p>
    <w:p>
      <w:pPr>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br w:type="page" w:clear="all"/>
      </w:r>
      <w:r>
        <w:rPr>
          <w:rFonts w:hint="eastAsia" w:ascii="宋体" w:hAnsi="宋体" w:eastAsia="宋体" w:cs="宋体"/>
          <w:b/>
          <w:bCs/>
          <w:sz w:val="28"/>
          <w:szCs w:val="28"/>
          <w:highlight w:val="none"/>
        </w:rPr>
        <w:t xml:space="preserve">十三、预付款保函支付条款模板</w:t>
      </w:r>
      <w:r/>
    </w:p>
    <w:p>
      <w:pPr>
        <w:pStyle w:val="904"/>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602"/>
        <w:spacing w:line="48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符合条件一：提交预付款保函的</w:t>
      </w:r>
      <w:r/>
    </w:p>
    <w:p>
      <w:pPr>
        <w:ind w:firstLine="602"/>
        <w:spacing w:line="480" w:lineRule="exact"/>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 xml:space="preserve">（1）合同签订且乙方向甲方出具预付款保函后个工作日内，甲方应支付合同价款的百分之</w:t>
      </w:r>
      <w:r>
        <w:rPr>
          <w:rFonts w:hint="eastAsia" w:ascii="宋体" w:hAnsi="宋体" w:eastAsia="宋体" w:cs="宋体"/>
          <w:sz w:val="28"/>
          <w:szCs w:val="28"/>
          <w:highlight w:val="none"/>
          <w:u w:val="single"/>
        </w:rPr>
        <w:t xml:space="preserve">XX（XX%），</w:t>
      </w:r>
      <w:r>
        <w:rPr>
          <w:rFonts w:hint="eastAsia" w:ascii="宋体" w:hAnsi="宋体" w:eastAsia="宋体" w:cs="宋体"/>
          <w:sz w:val="28"/>
          <w:szCs w:val="28"/>
          <w:highlight w:val="none"/>
        </w:rPr>
        <w:t xml:space="preserve">小写￥大写：人民币。</w:t>
      </w:r>
      <w:r/>
    </w:p>
    <w:p>
      <w:pPr>
        <w:ind w:left="140" w:firstLine="602"/>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乙方需提交的支付文件：乙方出具的全额正式发票。</w:t>
      </w:r>
      <w:r/>
    </w:p>
    <w:p>
      <w:pPr>
        <w:ind w:left="140" w:firstLine="602"/>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（2）验收合格后个工作日内，甲方应支付合同价款的百分之</w:t>
      </w:r>
      <w:r>
        <w:rPr>
          <w:rFonts w:hint="eastAsia" w:ascii="宋体" w:hAnsi="宋体" w:eastAsia="宋体" w:cs="宋体"/>
          <w:sz w:val="28"/>
          <w:szCs w:val="28"/>
          <w:highlight w:val="none"/>
          <w:u w:val="single"/>
        </w:rPr>
        <w:t xml:space="preserve">XX（XX%），</w:t>
      </w:r>
      <w:r>
        <w:rPr>
          <w:rFonts w:hint="eastAsia" w:ascii="宋体" w:hAnsi="宋体" w:eastAsia="宋体" w:cs="宋体"/>
          <w:sz w:val="28"/>
          <w:szCs w:val="28"/>
          <w:highlight w:val="none"/>
        </w:rPr>
        <w:t xml:space="preserve">小写￥大写：人民币。</w:t>
      </w:r>
      <w:r/>
    </w:p>
    <w:p>
      <w:pPr>
        <w:ind w:firstLine="605"/>
        <w:spacing w:line="48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w:t>
      </w:r>
      <w:r/>
    </w:p>
    <w:p>
      <w:pPr>
        <w:ind w:firstLine="605"/>
        <w:spacing w:line="48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符合条件二：不提交预付款保函的</w:t>
      </w:r>
      <w:r/>
    </w:p>
    <w:p>
      <w:pPr>
        <w:ind w:firstLine="602"/>
        <w:spacing w:line="480" w:lineRule="exact"/>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 xml:space="preserve">（1）合同签订后个工作日内，甲方应支付合同价款的百分之</w:t>
      </w:r>
      <w:r>
        <w:rPr>
          <w:rFonts w:hint="eastAsia" w:ascii="宋体" w:hAnsi="宋体" w:eastAsia="宋体" w:cs="宋体"/>
          <w:sz w:val="28"/>
          <w:szCs w:val="28"/>
          <w:highlight w:val="none"/>
          <w:u w:val="single"/>
        </w:rPr>
        <w:t xml:space="preserve">XX（XX%），</w:t>
      </w:r>
      <w:r>
        <w:rPr>
          <w:rFonts w:hint="eastAsia" w:ascii="宋体" w:hAnsi="宋体" w:eastAsia="宋体" w:cs="宋体"/>
          <w:sz w:val="28"/>
          <w:szCs w:val="28"/>
          <w:highlight w:val="none"/>
        </w:rPr>
        <w:t xml:space="preserve">小写￥大写：人民币。</w:t>
      </w:r>
      <w:r/>
    </w:p>
    <w:p>
      <w:pPr>
        <w:ind w:left="140" w:firstLine="602"/>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乙方需提交的支付文件：乙方出具的全额正式发票。</w:t>
      </w:r>
      <w:r/>
    </w:p>
    <w:p>
      <w:pPr>
        <w:ind w:left="140" w:firstLine="602"/>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（2）验收合格后个工作日内，甲方应支付合同价款的百分之</w:t>
      </w:r>
      <w:r>
        <w:rPr>
          <w:rFonts w:hint="eastAsia" w:ascii="宋体" w:hAnsi="宋体" w:eastAsia="宋体" w:cs="宋体"/>
          <w:sz w:val="28"/>
          <w:szCs w:val="28"/>
          <w:highlight w:val="none"/>
          <w:u w:val="single"/>
        </w:rPr>
        <w:t xml:space="preserve">XX（XX%），</w:t>
      </w:r>
      <w:r>
        <w:rPr>
          <w:rFonts w:hint="eastAsia" w:ascii="宋体" w:hAnsi="宋体" w:eastAsia="宋体" w:cs="宋体"/>
          <w:sz w:val="28"/>
          <w:szCs w:val="28"/>
          <w:highlight w:val="none"/>
        </w:rPr>
        <w:t xml:space="preserve">小写￥大写：人民币。</w:t>
      </w:r>
      <w:r/>
    </w:p>
    <w:p>
      <w:pPr>
        <w:ind w:left="140" w:firstLine="605"/>
        <w:spacing w:line="48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注:</w:t>
      </w:r>
      <w:r/>
    </w:p>
    <w:p>
      <w:pPr>
        <w:ind w:left="140" w:firstLine="602"/>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1、付款条件一中，出具预付款保函后支付的合同款应当与保函金额一致。</w:t>
      </w:r>
      <w:r/>
    </w:p>
    <w:p>
      <w:pPr>
        <w:ind w:left="140" w:firstLine="602"/>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2、付款条件二中，预付款比例设定应符合《关于做好政府采购支持企业发展有关事项的通知》(苏财购〔2020〕52号)要求。</w:t>
      </w:r>
      <w:r/>
    </w:p>
    <w:sectPr>
      <w:footnotePr/>
      <w:endnotePr/>
      <w:type w:val="nextPage"/>
      <w:pgSz w:w="11906" w:h="16838" w:orient="portrait"/>
      <w:pgMar w:top="851" w:right="1702" w:bottom="851" w:left="18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mbria">
    <w:panose1 w:val="02040503050406030204"/>
  </w:font>
  <w:font w:name="黑体">
    <w:panose1 w:val="02010609060101010101"/>
  </w:font>
  <w:font w:name="仿宋_GB2312">
    <w:panose1 w:val="02010609060101010101"/>
  </w:font>
  <w:font w:name="Courier New">
    <w:panose1 w:val="02070309020205020404"/>
  </w:font>
  <w:font w:name="Tahoma">
    <w:panose1 w:val="020B0604030504040204"/>
  </w:font>
  <w:font w:name="仿宋">
    <w:panose1 w:val="02010609060101010101"/>
  </w:font>
  <w:font w:name="Symbol">
    <w:panose1 w:val="05050102010706020507"/>
  </w:font>
  <w:font w:name="新宋体">
    <w:panose1 w:val="02010609030101010101"/>
  </w:font>
  <w:font w:name="Calibri Light">
    <w:panose1 w:val="020F0302020204030204"/>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02"/>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0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2" w:default="1">
    <w:name w:val="Normal"/>
    <w:next w:val="694"/>
    <w:link w:val="93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3">
    <w:name w:val="Heading 1"/>
    <w:basedOn w:val="682"/>
    <w:next w:val="682"/>
    <w:link w:val="728"/>
    <w:uiPriority w:val="9"/>
    <w:qFormat/>
    <w:pPr>
      <w:keepLines/>
      <w:keepNext/>
      <w:spacing w:before="480" w:after="200"/>
      <w:outlineLvl w:val="0"/>
    </w:pPr>
    <w:rPr>
      <w:rFonts w:ascii="Arial" w:hAnsi="Arial" w:eastAsia="Arial" w:cs="Arial"/>
      <w:sz w:val="40"/>
      <w:szCs w:val="40"/>
    </w:rPr>
  </w:style>
  <w:style w:type="paragraph" w:styleId="684">
    <w:name w:val="Heading 2"/>
    <w:basedOn w:val="682"/>
    <w:next w:val="682"/>
    <w:link w:val="729"/>
    <w:uiPriority w:val="9"/>
    <w:unhideWhenUsed/>
    <w:qFormat/>
    <w:pPr>
      <w:keepLines/>
      <w:keepNext/>
      <w:spacing w:before="360" w:after="200"/>
      <w:outlineLvl w:val="1"/>
    </w:pPr>
    <w:rPr>
      <w:rFonts w:ascii="Arial" w:hAnsi="Arial" w:eastAsia="Arial" w:cs="Arial"/>
      <w:sz w:val="34"/>
    </w:rPr>
  </w:style>
  <w:style w:type="paragraph" w:styleId="685">
    <w:name w:val="Heading 3"/>
    <w:basedOn w:val="682"/>
    <w:next w:val="682"/>
    <w:link w:val="730"/>
    <w:uiPriority w:val="9"/>
    <w:unhideWhenUsed/>
    <w:qFormat/>
    <w:pPr>
      <w:keepLines/>
      <w:keepNext/>
      <w:spacing w:before="320" w:after="200"/>
      <w:outlineLvl w:val="2"/>
    </w:pPr>
    <w:rPr>
      <w:rFonts w:ascii="Arial" w:hAnsi="Arial" w:eastAsia="Arial" w:cs="Arial"/>
      <w:sz w:val="30"/>
      <w:szCs w:val="30"/>
    </w:rPr>
  </w:style>
  <w:style w:type="paragraph" w:styleId="686">
    <w:name w:val="Heading 4"/>
    <w:basedOn w:val="682"/>
    <w:next w:val="682"/>
    <w:link w:val="731"/>
    <w:uiPriority w:val="9"/>
    <w:unhideWhenUsed/>
    <w:qFormat/>
    <w:pPr>
      <w:keepLines/>
      <w:keepNext/>
      <w:spacing w:before="320" w:after="200"/>
      <w:outlineLvl w:val="3"/>
    </w:pPr>
    <w:rPr>
      <w:rFonts w:ascii="Arial" w:hAnsi="Arial" w:eastAsia="Arial" w:cs="Arial"/>
      <w:b/>
      <w:bCs/>
      <w:sz w:val="26"/>
      <w:szCs w:val="26"/>
    </w:rPr>
  </w:style>
  <w:style w:type="paragraph" w:styleId="687">
    <w:name w:val="Heading 5"/>
    <w:basedOn w:val="682"/>
    <w:next w:val="682"/>
    <w:link w:val="732"/>
    <w:uiPriority w:val="9"/>
    <w:unhideWhenUsed/>
    <w:qFormat/>
    <w:pPr>
      <w:keepLines/>
      <w:keepNext/>
      <w:spacing w:before="320" w:after="200"/>
      <w:outlineLvl w:val="4"/>
    </w:pPr>
    <w:rPr>
      <w:rFonts w:ascii="Arial" w:hAnsi="Arial" w:eastAsia="Arial" w:cs="Arial"/>
      <w:b/>
      <w:bCs/>
      <w:sz w:val="24"/>
      <w:szCs w:val="24"/>
    </w:rPr>
  </w:style>
  <w:style w:type="paragraph" w:styleId="688">
    <w:name w:val="Heading 6"/>
    <w:basedOn w:val="682"/>
    <w:next w:val="682"/>
    <w:link w:val="733"/>
    <w:uiPriority w:val="9"/>
    <w:unhideWhenUsed/>
    <w:qFormat/>
    <w:pPr>
      <w:keepLines/>
      <w:keepNext/>
      <w:spacing w:before="320" w:after="200"/>
      <w:outlineLvl w:val="5"/>
    </w:pPr>
    <w:rPr>
      <w:rFonts w:ascii="Arial" w:hAnsi="Arial" w:eastAsia="Arial" w:cs="Arial"/>
      <w:b/>
      <w:bCs/>
      <w:sz w:val="22"/>
      <w:szCs w:val="22"/>
    </w:rPr>
  </w:style>
  <w:style w:type="paragraph" w:styleId="689">
    <w:name w:val="Heading 7"/>
    <w:basedOn w:val="682"/>
    <w:next w:val="682"/>
    <w:link w:val="734"/>
    <w:uiPriority w:val="9"/>
    <w:unhideWhenUsed/>
    <w:qFormat/>
    <w:pPr>
      <w:keepLines/>
      <w:keepNext/>
      <w:spacing w:before="320" w:after="200"/>
      <w:outlineLvl w:val="6"/>
    </w:pPr>
    <w:rPr>
      <w:rFonts w:ascii="Arial" w:hAnsi="Arial" w:eastAsia="Arial" w:cs="Arial"/>
      <w:b/>
      <w:bCs/>
      <w:i/>
      <w:iCs/>
      <w:sz w:val="22"/>
      <w:szCs w:val="22"/>
    </w:rPr>
  </w:style>
  <w:style w:type="paragraph" w:styleId="690">
    <w:name w:val="Heading 8"/>
    <w:basedOn w:val="682"/>
    <w:next w:val="682"/>
    <w:link w:val="735"/>
    <w:uiPriority w:val="9"/>
    <w:unhideWhenUsed/>
    <w:qFormat/>
    <w:pPr>
      <w:keepLines/>
      <w:keepNext/>
      <w:spacing w:before="320" w:after="200"/>
      <w:outlineLvl w:val="7"/>
    </w:pPr>
    <w:rPr>
      <w:rFonts w:ascii="Arial" w:hAnsi="Arial" w:eastAsia="Arial" w:cs="Arial"/>
      <w:i/>
      <w:iCs/>
      <w:sz w:val="22"/>
      <w:szCs w:val="22"/>
    </w:rPr>
  </w:style>
  <w:style w:type="paragraph" w:styleId="691">
    <w:name w:val="Heading 9"/>
    <w:basedOn w:val="682"/>
    <w:next w:val="682"/>
    <w:link w:val="736"/>
    <w:uiPriority w:val="9"/>
    <w:unhideWhenUsed/>
    <w:qFormat/>
    <w:pPr>
      <w:keepLines/>
      <w:keepNext/>
      <w:spacing w:before="320" w:after="200"/>
      <w:outlineLvl w:val="8"/>
    </w:pPr>
    <w:rPr>
      <w:rFonts w:ascii="Arial" w:hAnsi="Arial" w:eastAsia="Arial" w:cs="Arial"/>
      <w:i/>
      <w:iCs/>
      <w:sz w:val="21"/>
      <w:szCs w:val="21"/>
    </w:rPr>
  </w:style>
  <w:style w:type="character" w:styleId="692" w:default="1">
    <w:name w:val="Default Paragraph Font"/>
    <w:uiPriority w:val="1"/>
    <w:semiHidden/>
    <w:unhideWhenUsed/>
    <w:qFormat/>
  </w:style>
  <w:style w:type="table" w:styleId="693" w:default="1">
    <w:name w:val="Normal Table"/>
    <w:uiPriority w:val="99"/>
    <w:semiHidden/>
    <w:unhideWhenUsed/>
    <w:qFormat/>
    <w:tblPr>
      <w:tblCellMar>
        <w:left w:w="108" w:type="dxa"/>
        <w:top w:w="0" w:type="dxa"/>
        <w:right w:w="108" w:type="dxa"/>
        <w:bottom w:w="0" w:type="dxa"/>
      </w:tblCellMar>
    </w:tblPr>
  </w:style>
  <w:style w:type="paragraph" w:styleId="694">
    <w:name w:val="toc 1"/>
    <w:basedOn w:val="682"/>
    <w:next w:val="682"/>
    <w:uiPriority w:val="39"/>
    <w:unhideWhenUsed/>
    <w:qFormat/>
    <w:pPr>
      <w:ind w:left="0" w:right="0" w:firstLine="0"/>
      <w:spacing w:after="57"/>
    </w:pPr>
  </w:style>
  <w:style w:type="paragraph" w:styleId="695">
    <w:name w:val="toc 7"/>
    <w:basedOn w:val="682"/>
    <w:next w:val="682"/>
    <w:uiPriority w:val="39"/>
    <w:unhideWhenUsed/>
    <w:qFormat/>
    <w:pPr>
      <w:ind w:left="1701" w:right="0" w:firstLine="0"/>
      <w:spacing w:after="57"/>
    </w:pPr>
  </w:style>
  <w:style w:type="paragraph" w:styleId="696">
    <w:name w:val="Caption"/>
    <w:basedOn w:val="682"/>
    <w:next w:val="68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7">
    <w:name w:val="annotation text"/>
    <w:basedOn w:val="682"/>
    <w:uiPriority w:val="99"/>
    <w:semiHidden/>
    <w:unhideWhenUsed/>
    <w:qFormat/>
    <w:pPr>
      <w:jc w:val="left"/>
    </w:pPr>
  </w:style>
  <w:style w:type="paragraph" w:styleId="698">
    <w:name w:val="toc 5"/>
    <w:basedOn w:val="682"/>
    <w:next w:val="682"/>
    <w:uiPriority w:val="39"/>
    <w:unhideWhenUsed/>
    <w:qFormat/>
    <w:pPr>
      <w:ind w:left="1134" w:right="0" w:firstLine="0"/>
      <w:spacing w:after="57"/>
    </w:pPr>
  </w:style>
  <w:style w:type="paragraph" w:styleId="699">
    <w:name w:val="toc 3"/>
    <w:basedOn w:val="682"/>
    <w:next w:val="682"/>
    <w:uiPriority w:val="39"/>
    <w:unhideWhenUsed/>
    <w:qFormat/>
    <w:pPr>
      <w:ind w:left="567" w:right="0" w:firstLine="0"/>
      <w:spacing w:after="57"/>
    </w:pPr>
  </w:style>
  <w:style w:type="paragraph" w:styleId="700">
    <w:name w:val="toc 8"/>
    <w:basedOn w:val="682"/>
    <w:next w:val="682"/>
    <w:uiPriority w:val="39"/>
    <w:unhideWhenUsed/>
    <w:qFormat/>
    <w:pPr>
      <w:ind w:left="1984" w:right="0" w:firstLine="0"/>
      <w:spacing w:after="57"/>
    </w:pPr>
  </w:style>
  <w:style w:type="paragraph" w:styleId="701">
    <w:name w:val="endnote text"/>
    <w:basedOn w:val="682"/>
    <w:link w:val="874"/>
    <w:uiPriority w:val="99"/>
    <w:semiHidden/>
    <w:unhideWhenUsed/>
    <w:qFormat/>
    <w:pPr>
      <w:spacing w:after="0" w:line="240" w:lineRule="auto"/>
    </w:pPr>
    <w:rPr>
      <w:sz w:val="20"/>
    </w:rPr>
  </w:style>
  <w:style w:type="paragraph" w:styleId="702">
    <w:name w:val="Footer"/>
    <w:basedOn w:val="682"/>
    <w:link w:val="747"/>
    <w:uiPriority w:val="99"/>
    <w:unhideWhenUsed/>
    <w:qFormat/>
    <w:pPr>
      <w:spacing w:after="0" w:line="240" w:lineRule="auto"/>
      <w:tabs>
        <w:tab w:val="center" w:pos="7143" w:leader="none"/>
        <w:tab w:val="right" w:pos="14287" w:leader="none"/>
      </w:tabs>
    </w:pPr>
  </w:style>
  <w:style w:type="paragraph" w:styleId="703">
    <w:name w:val="Header"/>
    <w:basedOn w:val="682"/>
    <w:link w:val="745"/>
    <w:uiPriority w:val="99"/>
    <w:unhideWhenUsed/>
    <w:qFormat/>
    <w:pPr>
      <w:spacing w:after="0" w:line="240" w:lineRule="auto"/>
      <w:tabs>
        <w:tab w:val="center" w:pos="7143" w:leader="none"/>
        <w:tab w:val="right" w:pos="14287" w:leader="none"/>
      </w:tabs>
    </w:pPr>
  </w:style>
  <w:style w:type="paragraph" w:styleId="704">
    <w:name w:val="toc 4"/>
    <w:basedOn w:val="682"/>
    <w:next w:val="682"/>
    <w:uiPriority w:val="39"/>
    <w:unhideWhenUsed/>
    <w:qFormat/>
    <w:pPr>
      <w:ind w:left="850" w:right="0" w:firstLine="0"/>
      <w:spacing w:after="57"/>
    </w:pPr>
  </w:style>
  <w:style w:type="paragraph" w:styleId="705">
    <w:name w:val="Subtitle"/>
    <w:basedOn w:val="682"/>
    <w:next w:val="682"/>
    <w:link w:val="740"/>
    <w:uiPriority w:val="11"/>
    <w:qFormat/>
    <w:pPr>
      <w:spacing w:before="200" w:after="200"/>
    </w:pPr>
    <w:rPr>
      <w:sz w:val="24"/>
      <w:szCs w:val="24"/>
    </w:rPr>
  </w:style>
  <w:style w:type="paragraph" w:styleId="706">
    <w:name w:val="footnote text"/>
    <w:basedOn w:val="682"/>
    <w:link w:val="873"/>
    <w:uiPriority w:val="99"/>
    <w:semiHidden/>
    <w:unhideWhenUsed/>
    <w:qFormat/>
    <w:pPr>
      <w:spacing w:after="40" w:line="240" w:lineRule="auto"/>
    </w:pPr>
    <w:rPr>
      <w:sz w:val="18"/>
    </w:rPr>
  </w:style>
  <w:style w:type="paragraph" w:styleId="707">
    <w:name w:val="toc 6"/>
    <w:basedOn w:val="682"/>
    <w:next w:val="682"/>
    <w:uiPriority w:val="39"/>
    <w:unhideWhenUsed/>
    <w:qFormat/>
    <w:pPr>
      <w:ind w:left="1417" w:right="0" w:firstLine="0"/>
      <w:spacing w:after="57"/>
    </w:pPr>
  </w:style>
  <w:style w:type="paragraph" w:styleId="708">
    <w:name w:val="table of figures"/>
    <w:basedOn w:val="682"/>
    <w:next w:val="682"/>
    <w:uiPriority w:val="99"/>
    <w:unhideWhenUsed/>
    <w:qFormat/>
    <w:pPr>
      <w:spacing w:after="0" w:afterAutospacing="0"/>
    </w:pPr>
  </w:style>
  <w:style w:type="paragraph" w:styleId="709">
    <w:name w:val="toc 2"/>
    <w:basedOn w:val="682"/>
    <w:next w:val="682"/>
    <w:uiPriority w:val="39"/>
    <w:unhideWhenUsed/>
    <w:qFormat/>
    <w:pPr>
      <w:ind w:left="283" w:right="0" w:firstLine="0"/>
      <w:spacing w:after="57"/>
    </w:pPr>
  </w:style>
  <w:style w:type="paragraph" w:styleId="710">
    <w:name w:val="toc 9"/>
    <w:basedOn w:val="682"/>
    <w:next w:val="682"/>
    <w:uiPriority w:val="39"/>
    <w:unhideWhenUsed/>
    <w:qFormat/>
    <w:pPr>
      <w:ind w:left="2268" w:right="0" w:firstLine="0"/>
      <w:spacing w:after="57"/>
    </w:pPr>
  </w:style>
  <w:style w:type="paragraph" w:styleId="711">
    <w:name w:val="Title"/>
    <w:basedOn w:val="682"/>
    <w:next w:val="682"/>
    <w:link w:val="739"/>
    <w:uiPriority w:val="10"/>
    <w:qFormat/>
    <w:pPr>
      <w:contextualSpacing/>
      <w:spacing w:before="300" w:after="200"/>
    </w:pPr>
    <w:rPr>
      <w:sz w:val="48"/>
      <w:szCs w:val="48"/>
    </w:rPr>
  </w:style>
  <w:style w:type="table" w:styleId="71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3">
    <w:name w:val="endnote reference"/>
    <w:uiPriority w:val="99"/>
    <w:semiHidden/>
    <w:unhideWhenUsed/>
    <w:qFormat/>
    <w:rPr>
      <w:vertAlign w:val="superscript"/>
    </w:rPr>
  </w:style>
  <w:style w:type="character" w:styleId="714">
    <w:name w:val="Hyperlink"/>
    <w:uiPriority w:val="99"/>
    <w:unhideWhenUsed/>
    <w:qFormat/>
    <w:rPr>
      <w:color w:val="0000ff" w:themeColor="hyperlink"/>
      <w:u w:val="single"/>
      <w14:textFill>
        <w14:solidFill>
          <w14:schemeClr w14:val="hlink"/>
        </w14:solidFill>
      </w14:textFill>
    </w:rPr>
  </w:style>
  <w:style w:type="character" w:styleId="715">
    <w:name w:val="footnote reference"/>
    <w:uiPriority w:val="99"/>
    <w:unhideWhenUsed/>
    <w:qFormat/>
    <w:rPr>
      <w:vertAlign w:val="superscript"/>
    </w:rPr>
  </w:style>
  <w:style w:type="paragraph" w:styleId="716" w:customStyle="1">
    <w:name w:val="正文首行缩进 21"/>
    <w:basedOn w:val="717"/>
    <w:uiPriority w:val="0"/>
    <w:qFormat/>
    <w:pPr>
      <w:ind w:firstLine="420"/>
    </w:pPr>
  </w:style>
  <w:style w:type="paragraph" w:styleId="717" w:customStyle="1">
    <w:name w:val="正文文本缩进1"/>
    <w:basedOn w:val="718"/>
    <w:next w:val="722"/>
    <w:uiPriority w:val="0"/>
    <w:qFormat/>
    <w:pPr>
      <w:ind w:left="420"/>
      <w:spacing w:after="120"/>
    </w:pPr>
  </w:style>
  <w:style w:type="paragraph" w:styleId="718" w:customStyle="1">
    <w:name w:val="正文1"/>
    <w:basedOn w:val="719"/>
    <w:next w:val="720"/>
    <w:link w:val="882"/>
    <w:uiPriority w:val="0"/>
    <w:qFormat/>
    <w:pPr>
      <w:jc w:val="both"/>
      <w:widowControl w:val="off"/>
    </w:pPr>
    <w:rPr>
      <w:sz w:val="21"/>
      <w:szCs w:val="24"/>
      <w:lang w:val="en-US" w:eastAsia="zh-CN" w:bidi="ar-SA"/>
    </w:rPr>
  </w:style>
  <w:style w:type="paragraph" w:styleId="719" w:customStyle="1">
    <w:name w:val="正文111"/>
    <w:next w:val="7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0" w:customStyle="1">
    <w:name w:val="脚注文本1"/>
    <w:basedOn w:val="718"/>
    <w:next w:val="721"/>
    <w:uiPriority w:val="0"/>
    <w:qFormat/>
    <w:pPr>
      <w:jc w:val="left"/>
    </w:pPr>
    <w:rPr>
      <w:rFonts w:ascii="宋体" w:eastAsia="Times New Roman"/>
      <w:sz w:val="18"/>
      <w:szCs w:val="18"/>
    </w:rPr>
  </w:style>
  <w:style w:type="paragraph" w:styleId="721" w:customStyle="1">
    <w:name w:val="索引 51"/>
    <w:basedOn w:val="718"/>
    <w:next w:val="718"/>
    <w:uiPriority w:val="0"/>
    <w:qFormat/>
    <w:pPr>
      <w:ind w:left="798"/>
      <w:jc w:val="left"/>
    </w:pPr>
    <w:rPr>
      <w:rFonts w:ascii="Calibri" w:hAnsi="Calibri"/>
    </w:rPr>
  </w:style>
  <w:style w:type="paragraph" w:styleId="722" w:customStyle="1">
    <w:name w:val="寄信人地址1"/>
    <w:basedOn w:val="723"/>
    <w:uiPriority w:val="0"/>
    <w:qFormat/>
    <w:rPr>
      <w:rFonts w:ascii="Arial" w:hAnsi="Arial"/>
    </w:rPr>
  </w:style>
  <w:style w:type="paragraph" w:styleId="723" w:customStyle="1">
    <w:name w:val="正文11"/>
    <w:next w:val="724"/>
    <w:link w:val="9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4" w:customStyle="1">
    <w:name w:val="标题 211"/>
    <w:basedOn w:val="725"/>
    <w:next w:val="723"/>
    <w:uiPriority w:val="0"/>
    <w:qFormat/>
    <w:pPr>
      <w:keepLines/>
      <w:keepNext/>
      <w:spacing w:before="260" w:after="260" w:line="416" w:lineRule="auto"/>
      <w:outlineLvl w:val="1"/>
    </w:pPr>
    <w:rPr>
      <w:rFonts w:ascii="Calibri Light" w:hAnsi="Calibri Light"/>
      <w:bCs/>
      <w:sz w:val="32"/>
      <w:szCs w:val="32"/>
    </w:rPr>
  </w:style>
  <w:style w:type="paragraph" w:styleId="725" w:customStyle="1">
    <w:name w:val="正文1111"/>
    <w:next w:val="7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6" w:customStyle="1">
    <w:name w:val="文本块11"/>
    <w:basedOn w:val="727"/>
    <w:uiPriority w:val="0"/>
    <w:qFormat/>
    <w:pPr>
      <w:ind w:left="420" w:right="33"/>
      <w:jc w:val="left"/>
    </w:pPr>
    <w:rPr>
      <w:sz w:val="24"/>
      <w:szCs w:val="20"/>
    </w:rPr>
  </w:style>
  <w:style w:type="paragraph" w:styleId="727" w:customStyle="1">
    <w:name w:val="正文12"/>
    <w:next w:val="726"/>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character" w:styleId="728" w:customStyle="1">
    <w:name w:val="Heading 1 Char"/>
    <w:link w:val="683"/>
    <w:uiPriority w:val="9"/>
    <w:qFormat/>
    <w:rPr>
      <w:rFonts w:ascii="Arial" w:hAnsi="Arial" w:eastAsia="Arial" w:cs="Arial"/>
      <w:sz w:val="40"/>
      <w:szCs w:val="40"/>
    </w:rPr>
  </w:style>
  <w:style w:type="character" w:styleId="729" w:customStyle="1">
    <w:name w:val="Heading 2 Char"/>
    <w:link w:val="684"/>
    <w:uiPriority w:val="9"/>
    <w:qFormat/>
    <w:rPr>
      <w:rFonts w:ascii="Arial" w:hAnsi="Arial" w:eastAsia="Arial" w:cs="Arial"/>
      <w:sz w:val="34"/>
    </w:rPr>
  </w:style>
  <w:style w:type="character" w:styleId="730" w:customStyle="1">
    <w:name w:val="Heading 3 Char"/>
    <w:link w:val="685"/>
    <w:uiPriority w:val="9"/>
    <w:qFormat/>
    <w:rPr>
      <w:rFonts w:ascii="Arial" w:hAnsi="Arial" w:eastAsia="Arial" w:cs="Arial"/>
      <w:sz w:val="30"/>
      <w:szCs w:val="30"/>
    </w:rPr>
  </w:style>
  <w:style w:type="character" w:styleId="731" w:customStyle="1">
    <w:name w:val="Heading 4 Char"/>
    <w:link w:val="686"/>
    <w:uiPriority w:val="9"/>
    <w:qFormat/>
    <w:rPr>
      <w:rFonts w:ascii="Arial" w:hAnsi="Arial" w:eastAsia="Arial" w:cs="Arial"/>
      <w:b/>
      <w:bCs/>
      <w:sz w:val="26"/>
      <w:szCs w:val="26"/>
    </w:rPr>
  </w:style>
  <w:style w:type="character" w:styleId="732" w:customStyle="1">
    <w:name w:val="Heading 5 Char"/>
    <w:link w:val="687"/>
    <w:uiPriority w:val="9"/>
    <w:qFormat/>
    <w:rPr>
      <w:rFonts w:ascii="Arial" w:hAnsi="Arial" w:eastAsia="Arial" w:cs="Arial"/>
      <w:b/>
      <w:bCs/>
      <w:sz w:val="24"/>
      <w:szCs w:val="24"/>
    </w:rPr>
  </w:style>
  <w:style w:type="character" w:styleId="733" w:customStyle="1">
    <w:name w:val="Heading 6 Char"/>
    <w:link w:val="688"/>
    <w:uiPriority w:val="9"/>
    <w:qFormat/>
    <w:rPr>
      <w:rFonts w:ascii="Arial" w:hAnsi="Arial" w:eastAsia="Arial" w:cs="Arial"/>
      <w:b/>
      <w:bCs/>
      <w:sz w:val="22"/>
      <w:szCs w:val="22"/>
    </w:rPr>
  </w:style>
  <w:style w:type="character" w:styleId="734" w:customStyle="1">
    <w:name w:val="Heading 7 Char"/>
    <w:link w:val="689"/>
    <w:uiPriority w:val="9"/>
    <w:qFormat/>
    <w:rPr>
      <w:rFonts w:ascii="Arial" w:hAnsi="Arial" w:eastAsia="Arial" w:cs="Arial"/>
      <w:b/>
      <w:bCs/>
      <w:i/>
      <w:iCs/>
      <w:sz w:val="22"/>
      <w:szCs w:val="22"/>
    </w:rPr>
  </w:style>
  <w:style w:type="character" w:styleId="735" w:customStyle="1">
    <w:name w:val="Heading 8 Char"/>
    <w:link w:val="690"/>
    <w:uiPriority w:val="9"/>
    <w:qFormat/>
    <w:rPr>
      <w:rFonts w:ascii="Arial" w:hAnsi="Arial" w:eastAsia="Arial" w:cs="Arial"/>
      <w:i/>
      <w:iCs/>
      <w:sz w:val="22"/>
      <w:szCs w:val="22"/>
    </w:rPr>
  </w:style>
  <w:style w:type="character" w:styleId="736" w:customStyle="1">
    <w:name w:val="Heading 9 Char"/>
    <w:link w:val="691"/>
    <w:uiPriority w:val="9"/>
    <w:qFormat/>
    <w:rPr>
      <w:rFonts w:ascii="Arial" w:hAnsi="Arial" w:eastAsia="Arial" w:cs="Arial"/>
      <w:i/>
      <w:iCs/>
      <w:sz w:val="21"/>
      <w:szCs w:val="21"/>
    </w:rPr>
  </w:style>
  <w:style w:type="paragraph" w:styleId="737">
    <w:name w:val="List Paragraph"/>
    <w:basedOn w:val="682"/>
    <w:uiPriority w:val="34"/>
    <w:qFormat/>
    <w:pPr>
      <w:contextualSpacing/>
      <w:ind w:left="720"/>
    </w:pPr>
  </w:style>
  <w:style w:type="paragraph" w:styleId="738">
    <w:name w:val="No Spacing"/>
    <w:uiPriority w:val="1"/>
    <w:qFormat/>
    <w:pPr>
      <w:spacing w:before="0" w:after="0" w:line="240" w:lineRule="auto"/>
    </w:pPr>
    <w:rPr>
      <w:rFonts w:hint="default" w:ascii="Times New Roman" w:hAnsi="Times New Roman" w:eastAsia="宋体" w:cs="Times New Roman"/>
    </w:rPr>
  </w:style>
  <w:style w:type="character" w:styleId="739" w:customStyle="1">
    <w:name w:val="Title Char"/>
    <w:link w:val="711"/>
    <w:uiPriority w:val="10"/>
    <w:qFormat/>
    <w:rPr>
      <w:sz w:val="48"/>
      <w:szCs w:val="48"/>
    </w:rPr>
  </w:style>
  <w:style w:type="character" w:styleId="740" w:customStyle="1">
    <w:name w:val="Subtitle Char"/>
    <w:link w:val="705"/>
    <w:uiPriority w:val="11"/>
    <w:qFormat/>
    <w:rPr>
      <w:sz w:val="24"/>
      <w:szCs w:val="24"/>
    </w:rPr>
  </w:style>
  <w:style w:type="paragraph" w:styleId="741">
    <w:name w:val="Quote"/>
    <w:basedOn w:val="682"/>
    <w:next w:val="682"/>
    <w:link w:val="742"/>
    <w:uiPriority w:val="29"/>
    <w:qFormat/>
    <w:pPr>
      <w:ind w:left="720" w:right="720"/>
    </w:pPr>
    <w:rPr>
      <w:i/>
    </w:rPr>
  </w:style>
  <w:style w:type="character" w:styleId="742" w:customStyle="1">
    <w:name w:val="Quote Char"/>
    <w:link w:val="741"/>
    <w:uiPriority w:val="29"/>
    <w:qFormat/>
    <w:rPr>
      <w:i/>
    </w:rPr>
  </w:style>
  <w:style w:type="paragraph" w:styleId="743">
    <w:name w:val="Intense Quote"/>
    <w:basedOn w:val="682"/>
    <w:next w:val="682"/>
    <w:link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customStyle="1">
    <w:name w:val="Intense Quote Char"/>
    <w:link w:val="743"/>
    <w:uiPriority w:val="30"/>
    <w:qFormat/>
    <w:rPr>
      <w:i/>
    </w:rPr>
  </w:style>
  <w:style w:type="character" w:styleId="745" w:customStyle="1">
    <w:name w:val="Header Char"/>
    <w:link w:val="703"/>
    <w:uiPriority w:val="99"/>
    <w:qFormat/>
  </w:style>
  <w:style w:type="character" w:styleId="746" w:customStyle="1">
    <w:name w:val="Footer Char"/>
    <w:link w:val="702"/>
    <w:uiPriority w:val="99"/>
    <w:qFormat/>
  </w:style>
  <w:style w:type="character" w:styleId="747" w:customStyle="1">
    <w:name w:val="Caption Char"/>
    <w:link w:val="702"/>
    <w:uiPriority w:val="99"/>
    <w:qFormat/>
  </w:style>
  <w:style w:type="table" w:styleId="74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3" w:customStyle="1">
    <w:name w:val="Footnote Text Char"/>
    <w:link w:val="706"/>
    <w:uiPriority w:val="99"/>
    <w:qFormat/>
    <w:rPr>
      <w:sz w:val="18"/>
    </w:rPr>
  </w:style>
  <w:style w:type="character" w:styleId="874" w:customStyle="1">
    <w:name w:val="Endnote Text Char"/>
    <w:link w:val="701"/>
    <w:uiPriority w:val="99"/>
    <w:qFormat/>
    <w:rPr>
      <w:sz w:val="20"/>
    </w:rPr>
  </w:style>
  <w:style w:type="paragraph" w:styleId="875" w:customStyle="1">
    <w:name w:val="TOC Heading"/>
    <w:uiPriority w:val="39"/>
    <w:unhideWhenUsed/>
    <w:qFormat/>
    <w:rPr>
      <w:rFonts w:hint="default" w:ascii="Times New Roman" w:hAnsi="Times New Roman" w:eastAsia="宋体" w:cs="Times New Roman"/>
    </w:rPr>
  </w:style>
  <w:style w:type="paragraph" w:styleId="876" w:customStyle="1">
    <w:name w:val="标题 11"/>
    <w:basedOn w:val="682"/>
    <w:next w:val="682"/>
    <w:link w:val="885"/>
    <w:uiPriority w:val="0"/>
    <w:qFormat/>
    <w:pPr>
      <w:jc w:val="center"/>
      <w:keepLines/>
      <w:keepNext/>
      <w:spacing w:line="578" w:lineRule="auto"/>
      <w:outlineLvl w:val="0"/>
    </w:pPr>
    <w:rPr>
      <w:rFonts w:eastAsia="新宋体"/>
      <w:b/>
      <w:bCs/>
      <w:sz w:val="30"/>
      <w:szCs w:val="44"/>
    </w:rPr>
  </w:style>
  <w:style w:type="paragraph" w:styleId="877" w:customStyle="1">
    <w:name w:val="标题 212"/>
    <w:basedOn w:val="682"/>
    <w:next w:val="682"/>
    <w:uiPriority w:val="99"/>
    <w:qFormat/>
    <w:pPr>
      <w:jc w:val="center"/>
      <w:keepLines/>
      <w:keepNext/>
      <w:spacing w:before="260" w:after="260" w:line="360" w:lineRule="auto"/>
      <w:outlineLvl w:val="1"/>
    </w:pPr>
    <w:rPr>
      <w:rFonts w:ascii="Arial" w:hAnsi="Arial" w:eastAsia="仿宋"/>
      <w:bCs/>
      <w:sz w:val="24"/>
      <w:szCs w:val="32"/>
    </w:rPr>
  </w:style>
  <w:style w:type="paragraph" w:styleId="878" w:customStyle="1">
    <w:name w:val="标题 31"/>
    <w:basedOn w:val="682"/>
    <w:next w:val="682"/>
    <w:link w:val="886"/>
    <w:uiPriority w:val="9"/>
    <w:qFormat/>
    <w:pPr>
      <w:jc w:val="left"/>
      <w:keepLines/>
      <w:keepNext/>
      <w:spacing w:before="260" w:after="260" w:line="416" w:lineRule="auto"/>
      <w:widowControl/>
      <w:outlineLvl w:val="2"/>
    </w:pPr>
    <w:rPr>
      <w:rFonts w:ascii="Tahoma" w:hAnsi="Tahoma" w:eastAsia="微软雅黑" w:cs="Times New Roman"/>
      <w:b/>
      <w:bCs/>
      <w:sz w:val="32"/>
      <w:szCs w:val="32"/>
    </w:rPr>
  </w:style>
  <w:style w:type="paragraph" w:styleId="879" w:customStyle="1">
    <w:name w:val="标题 411"/>
    <w:basedOn w:val="682"/>
    <w:next w:val="682"/>
    <w:link w:val="887"/>
    <w:uiPriority w:val="0"/>
    <w:qFormat/>
    <w:pPr>
      <w:keepLines/>
      <w:keepNext/>
      <w:spacing w:before="280" w:after="290" w:line="376" w:lineRule="auto"/>
      <w:outlineLvl w:val="3"/>
    </w:pPr>
    <w:rPr>
      <w:rFonts w:ascii="Calibri Light" w:hAnsi="Calibri Light" w:eastAsia="宋体" w:cs="Times New Roman"/>
      <w:b/>
      <w:bCs/>
      <w:sz w:val="28"/>
      <w:szCs w:val="28"/>
    </w:rPr>
  </w:style>
  <w:style w:type="character" w:styleId="880" w:customStyle="1">
    <w:name w:val="默认段落字体11"/>
    <w:link w:val="682"/>
    <w:uiPriority w:val="1"/>
    <w:unhideWhenUsed/>
    <w:qFormat/>
  </w:style>
  <w:style w:type="table" w:styleId="881" w:customStyle="1">
    <w:name w:val="普通表格1"/>
    <w:uiPriority w:val="99"/>
    <w:unhideWhenUsed/>
    <w:qFormat/>
    <w:tblPr/>
  </w:style>
  <w:style w:type="character" w:styleId="882" w:customStyle="1">
    <w:name w:val="超链接11"/>
    <w:link w:val="718"/>
    <w:uiPriority w:val="0"/>
    <w:qFormat/>
    <w:rPr>
      <w:sz w:val="21"/>
      <w:szCs w:val="24"/>
    </w:rPr>
  </w:style>
  <w:style w:type="paragraph" w:styleId="883" w:customStyle="1">
    <w:name w:val="正文文本1"/>
    <w:basedOn w:val="723"/>
    <w:next w:val="718"/>
    <w:uiPriority w:val="0"/>
    <w:qFormat/>
    <w:pPr>
      <w:spacing w:after="120"/>
    </w:pPr>
    <w:rPr>
      <w:lang w:eastAsia="en-US"/>
    </w:rPr>
  </w:style>
  <w:style w:type="character" w:styleId="884" w:customStyle="1">
    <w:name w:val="默认段落字体1"/>
    <w:link w:val="723"/>
    <w:uiPriority w:val="0"/>
    <w:semiHidden/>
    <w:qFormat/>
  </w:style>
  <w:style w:type="character" w:styleId="885" w:customStyle="1">
    <w:name w:val="标题 1 字符"/>
    <w:link w:val="876"/>
    <w:uiPriority w:val="0"/>
    <w:qFormat/>
    <w:rPr>
      <w:rFonts w:eastAsia="新宋体"/>
      <w:b/>
      <w:bCs/>
      <w:sz w:val="30"/>
      <w:szCs w:val="44"/>
    </w:rPr>
  </w:style>
  <w:style w:type="character" w:styleId="886" w:customStyle="1">
    <w:name w:val="标题 3 字符"/>
    <w:link w:val="878"/>
    <w:uiPriority w:val="9"/>
    <w:qFormat/>
    <w:rPr>
      <w:rFonts w:ascii="Tahoma" w:hAnsi="Tahoma" w:eastAsia="微软雅黑" w:cs="Times New Roman"/>
      <w:b/>
      <w:bCs/>
      <w:sz w:val="32"/>
      <w:szCs w:val="32"/>
    </w:rPr>
  </w:style>
  <w:style w:type="character" w:styleId="887" w:customStyle="1">
    <w:name w:val="标题 4 字符"/>
    <w:link w:val="879"/>
    <w:uiPriority w:val="0"/>
    <w:semiHidden/>
    <w:qFormat/>
    <w:rPr>
      <w:rFonts w:ascii="Calibri Light" w:hAnsi="Calibri Light" w:eastAsia="宋体" w:cs="Times New Roman"/>
      <w:b/>
      <w:bCs/>
      <w:sz w:val="28"/>
      <w:szCs w:val="28"/>
    </w:rPr>
  </w:style>
  <w:style w:type="paragraph" w:styleId="888" w:customStyle="1">
    <w:name w:val="正文缩进1"/>
    <w:basedOn w:val="682"/>
    <w:uiPriority w:val="0"/>
    <w:qFormat/>
    <w:pPr>
      <w:ind w:firstLine="420"/>
    </w:pPr>
  </w:style>
  <w:style w:type="paragraph" w:styleId="889" w:customStyle="1">
    <w:name w:val="索引 5111"/>
    <w:basedOn w:val="682"/>
    <w:next w:val="682"/>
    <w:uiPriority w:val="0"/>
    <w:qFormat/>
    <w:pPr>
      <w:ind w:left="798"/>
      <w:jc w:val="left"/>
    </w:pPr>
    <w:rPr>
      <w:rFonts w:ascii="Calibri" w:hAnsi="Calibri"/>
    </w:rPr>
  </w:style>
  <w:style w:type="paragraph" w:styleId="890" w:customStyle="1">
    <w:name w:val="批注文字1"/>
    <w:basedOn w:val="682"/>
    <w:link w:val="891"/>
    <w:uiPriority w:val="99"/>
    <w:qFormat/>
    <w:pPr>
      <w:jc w:val="left"/>
    </w:pPr>
  </w:style>
  <w:style w:type="character" w:styleId="891" w:customStyle="1">
    <w:name w:val="批注文字 字符"/>
    <w:link w:val="890"/>
    <w:uiPriority w:val="99"/>
    <w:qFormat/>
    <w:rPr>
      <w:sz w:val="21"/>
      <w:szCs w:val="24"/>
    </w:rPr>
  </w:style>
  <w:style w:type="paragraph" w:styleId="892" w:customStyle="1">
    <w:name w:val="正文文本2"/>
    <w:basedOn w:val="682"/>
    <w:next w:val="682"/>
    <w:uiPriority w:val="0"/>
    <w:qFormat/>
    <w:pPr>
      <w:spacing w:after="120"/>
    </w:pPr>
    <w:rPr>
      <w:rFonts w:ascii="Calibri" w:hAnsi="Calibri"/>
    </w:rPr>
  </w:style>
  <w:style w:type="paragraph" w:styleId="893" w:customStyle="1">
    <w:name w:val="正文文本缩进2"/>
    <w:basedOn w:val="682"/>
    <w:uiPriority w:val="0"/>
    <w:qFormat/>
    <w:pPr>
      <w:ind w:left="420"/>
      <w:spacing w:after="120"/>
    </w:pPr>
    <w:rPr>
      <w:rFonts w:ascii="Calibri" w:hAnsi="Calibri"/>
    </w:rPr>
  </w:style>
  <w:style w:type="paragraph" w:styleId="894" w:customStyle="1">
    <w:name w:val="文本块12"/>
    <w:basedOn w:val="682"/>
    <w:next w:val="682"/>
    <w:uiPriority w:val="6"/>
    <w:unhideWhenUsed/>
    <w:qFormat/>
    <w:pPr>
      <w:ind w:left="1440" w:right="1440"/>
      <w:spacing w:after="120"/>
    </w:pPr>
  </w:style>
  <w:style w:type="paragraph" w:styleId="895" w:customStyle="1">
    <w:name w:val="纯文本11"/>
    <w:basedOn w:val="682"/>
    <w:uiPriority w:val="0"/>
    <w:qFormat/>
    <w:rPr>
      <w:rFonts w:ascii="宋体" w:hAnsi="Courier New"/>
      <w:szCs w:val="20"/>
    </w:rPr>
  </w:style>
  <w:style w:type="paragraph" w:styleId="896" w:customStyle="1">
    <w:name w:val="日期1"/>
    <w:basedOn w:val="682"/>
    <w:next w:val="682"/>
    <w:uiPriority w:val="0"/>
    <w:qFormat/>
    <w:rPr>
      <w:rFonts w:eastAsia="仿宋_GB2312"/>
      <w:sz w:val="28"/>
      <w:szCs w:val="20"/>
    </w:rPr>
  </w:style>
  <w:style w:type="paragraph" w:styleId="897" w:customStyle="1">
    <w:name w:val="批注框文本1"/>
    <w:basedOn w:val="682"/>
    <w:link w:val="898"/>
    <w:uiPriority w:val="0"/>
    <w:qFormat/>
    <w:rPr>
      <w:sz w:val="18"/>
      <w:szCs w:val="18"/>
    </w:rPr>
  </w:style>
  <w:style w:type="character" w:styleId="898" w:customStyle="1">
    <w:name w:val="批注框文本 字符"/>
    <w:link w:val="897"/>
    <w:uiPriority w:val="0"/>
    <w:qFormat/>
    <w:rPr>
      <w:rFonts w:ascii="Times New Roman" w:hAnsi="Times New Roman" w:eastAsia="宋体" w:cs="Times New Roman"/>
      <w:sz w:val="18"/>
      <w:szCs w:val="18"/>
    </w:rPr>
  </w:style>
  <w:style w:type="paragraph" w:styleId="899" w:customStyle="1">
    <w:name w:val="页脚111"/>
    <w:basedOn w:val="682"/>
    <w:link w:val="900"/>
    <w:uiPriority w:val="99"/>
    <w:qFormat/>
    <w:pPr>
      <w:jc w:val="left"/>
      <w:tabs>
        <w:tab w:val="center" w:pos="4153" w:leader="none"/>
        <w:tab w:val="right" w:pos="8306" w:leader="none"/>
      </w:tabs>
    </w:pPr>
    <w:rPr>
      <w:sz w:val="18"/>
      <w:szCs w:val="18"/>
    </w:rPr>
  </w:style>
  <w:style w:type="character" w:styleId="900" w:customStyle="1">
    <w:name w:val="页脚 字符"/>
    <w:link w:val="899"/>
    <w:uiPriority w:val="99"/>
    <w:qFormat/>
    <w:rPr>
      <w:rFonts w:ascii="Times New Roman" w:hAnsi="Times New Roman" w:eastAsia="宋体" w:cs="Times New Roman"/>
      <w:sz w:val="18"/>
      <w:szCs w:val="18"/>
    </w:rPr>
  </w:style>
  <w:style w:type="paragraph" w:styleId="901" w:customStyle="1">
    <w:name w:val="寄信人地址2"/>
    <w:basedOn w:val="682"/>
    <w:uiPriority w:val="0"/>
    <w:qFormat/>
    <w:rPr>
      <w:rFonts w:ascii="Arial" w:hAnsi="Arial"/>
    </w:rPr>
  </w:style>
  <w:style w:type="paragraph" w:styleId="902" w:customStyle="1">
    <w:name w:val="页眉1"/>
    <w:basedOn w:val="682"/>
    <w:uiPriority w:val="99"/>
    <w:qFormat/>
    <w:pPr>
      <w:jc w:val="center"/>
      <w:tabs>
        <w:tab w:val="center" w:pos="4153" w:leader="none"/>
        <w:tab w:val="right" w:pos="8306" w:leader="none"/>
      </w:tabs>
      <w:pBdr>
        <w:bottom w:val="single" w:color="000000" w:sz="6" w:space="1"/>
      </w:pBdr>
    </w:pPr>
    <w:rPr>
      <w:sz w:val="18"/>
      <w:szCs w:val="18"/>
    </w:rPr>
  </w:style>
  <w:style w:type="paragraph" w:styleId="903" w:customStyle="1">
    <w:name w:val="目录 11111"/>
    <w:basedOn w:val="682"/>
    <w:next w:val="682"/>
    <w:uiPriority w:val="39"/>
    <w:qFormat/>
  </w:style>
  <w:style w:type="paragraph" w:styleId="904" w:customStyle="1">
    <w:name w:val="脚注文本111"/>
    <w:basedOn w:val="682"/>
    <w:next w:val="889"/>
    <w:link w:val="905"/>
    <w:uiPriority w:val="99"/>
    <w:qFormat/>
    <w:pPr>
      <w:jc w:val="left"/>
    </w:pPr>
    <w:rPr>
      <w:rFonts w:ascii="宋体" w:eastAsia="Times New Roman"/>
      <w:sz w:val="18"/>
      <w:szCs w:val="18"/>
    </w:rPr>
  </w:style>
  <w:style w:type="character" w:styleId="905" w:customStyle="1">
    <w:name w:val="脚注文本 字符"/>
    <w:link w:val="904"/>
    <w:uiPriority w:val="99"/>
    <w:qFormat/>
    <w:rPr>
      <w:rFonts w:ascii="宋体" w:hAnsi="Times New Roman" w:eastAsia="Times New Roman" w:cs="Times New Roman"/>
      <w:sz w:val="18"/>
      <w:szCs w:val="18"/>
    </w:rPr>
  </w:style>
  <w:style w:type="paragraph" w:styleId="906" w:customStyle="1">
    <w:name w:val="目录 21"/>
    <w:basedOn w:val="682"/>
    <w:next w:val="682"/>
    <w:uiPriority w:val="0"/>
    <w:unhideWhenUsed/>
    <w:qFormat/>
    <w:pPr>
      <w:ind w:left="420"/>
    </w:pPr>
  </w:style>
  <w:style w:type="paragraph" w:styleId="907" w:customStyle="1">
    <w:name w:val="普通(网站)1"/>
    <w:basedOn w:val="682"/>
    <w:uiPriority w:val="99"/>
    <w:qFormat/>
    <w:pPr>
      <w:jc w:val="left"/>
      <w:spacing w:before="100" w:beforeAutospacing="1" w:after="100" w:afterAutospacing="1"/>
      <w:widowControl/>
    </w:pPr>
    <w:rPr>
      <w:rFonts w:ascii="宋体" w:hAnsi="宋体" w:cs="宋体"/>
      <w:sz w:val="24"/>
    </w:rPr>
  </w:style>
  <w:style w:type="paragraph" w:styleId="908" w:customStyle="1">
    <w:name w:val="批注主题1"/>
    <w:basedOn w:val="890"/>
    <w:next w:val="890"/>
    <w:link w:val="909"/>
    <w:uiPriority w:val="0"/>
    <w:unhideWhenUsed/>
    <w:qFormat/>
    <w:rPr>
      <w:b/>
      <w:bCs/>
    </w:rPr>
  </w:style>
  <w:style w:type="character" w:styleId="909" w:customStyle="1">
    <w:name w:val="批注主题 字符"/>
    <w:link w:val="908"/>
    <w:uiPriority w:val="0"/>
    <w:semiHidden/>
    <w:qFormat/>
    <w:rPr>
      <w:b/>
      <w:bCs/>
      <w:sz w:val="21"/>
      <w:szCs w:val="24"/>
    </w:rPr>
  </w:style>
  <w:style w:type="paragraph" w:styleId="910" w:customStyle="1">
    <w:name w:val="正文首行缩进 22"/>
    <w:basedOn w:val="893"/>
    <w:uiPriority w:val="0"/>
    <w:qFormat/>
    <w:pPr>
      <w:ind w:firstLine="420"/>
    </w:pPr>
  </w:style>
  <w:style w:type="table" w:styleId="911" w:customStyle="1">
    <w:name w:val="网格型1"/>
    <w:basedOn w:val="881"/>
    <w:uiPriority w:val="39"/>
    <w:qFormat/>
    <w:tblPr/>
  </w:style>
  <w:style w:type="character" w:styleId="912" w:customStyle="1">
    <w:name w:val="要点1"/>
    <w:link w:val="682"/>
    <w:uiPriority w:val="0"/>
    <w:qFormat/>
    <w:rPr>
      <w:b/>
    </w:rPr>
  </w:style>
  <w:style w:type="character" w:styleId="913" w:customStyle="1">
    <w:name w:val="页码11"/>
    <w:link w:val="682"/>
    <w:uiPriority w:val="0"/>
    <w:qFormat/>
  </w:style>
  <w:style w:type="character" w:styleId="914" w:customStyle="1">
    <w:name w:val="超链接12"/>
    <w:link w:val="682"/>
    <w:uiPriority w:val="99"/>
    <w:unhideWhenUsed/>
    <w:qFormat/>
    <w:rPr>
      <w:color w:val="0000ff"/>
      <w:u w:val="single"/>
    </w:rPr>
  </w:style>
  <w:style w:type="character" w:styleId="915" w:customStyle="1">
    <w:name w:val="批注引用1"/>
    <w:link w:val="682"/>
    <w:uiPriority w:val="0"/>
    <w:unhideWhenUsed/>
    <w:qFormat/>
    <w:rPr>
      <w:sz w:val="21"/>
      <w:szCs w:val="21"/>
    </w:rPr>
  </w:style>
  <w:style w:type="character" w:styleId="916" w:customStyle="1">
    <w:name w:val="16"/>
    <w:link w:val="723"/>
    <w:uiPriority w:val="0"/>
    <w:qFormat/>
    <w:rPr>
      <w:rFonts w:ascii="Times New Roman" w:hAnsi="Times New Roman" w:eastAsia="宋体" w:cs="Times New Roman"/>
      <w:sz w:val="21"/>
      <w:szCs w:val="24"/>
      <w:lang w:val="en-US" w:eastAsia="zh-CN" w:bidi="ar-SA"/>
    </w:rPr>
  </w:style>
  <w:style w:type="character" w:styleId="917" w:customStyle="1">
    <w:name w:val="font141"/>
    <w:link w:val="682"/>
    <w:uiPriority w:val="0"/>
    <w:qFormat/>
    <w:rPr>
      <w:rFonts w:hint="eastAsia" w:ascii="仿宋" w:hAnsi="仿宋" w:eastAsia="仿宋" w:cs="仿宋"/>
      <w:color w:val="000000"/>
      <w:sz w:val="22"/>
      <w:szCs w:val="22"/>
      <w:u w:val="none"/>
    </w:rPr>
  </w:style>
  <w:style w:type="character" w:styleId="918" w:customStyle="1">
    <w:name w:val="超链接1"/>
    <w:link w:val="682"/>
    <w:uiPriority w:val="0"/>
    <w:qFormat/>
    <w:rPr>
      <w:sz w:val="21"/>
      <w:szCs w:val="24"/>
      <w:lang w:val="en-US" w:eastAsia="zh-CN" w:bidi="ar-SA"/>
    </w:rPr>
  </w:style>
  <w:style w:type="paragraph" w:styleId="919" w:customStyle="1">
    <w:name w:val="目录 11"/>
    <w:basedOn w:val="727"/>
    <w:next w:val="719"/>
    <w:uiPriority w:val="0"/>
    <w:qFormat/>
    <w:pPr>
      <w:jc w:val="left"/>
      <w:spacing w:after="100" w:line="259" w:lineRule="auto"/>
      <w:widowControl/>
    </w:pPr>
    <w:rPr>
      <w:rFonts w:ascii="Calibri" w:hAnsi="Calibri"/>
      <w:sz w:val="22"/>
      <w:szCs w:val="22"/>
    </w:rPr>
  </w:style>
  <w:style w:type="character" w:styleId="920" w:customStyle="1">
    <w:name w:val="font121"/>
    <w:link w:val="682"/>
    <w:uiPriority w:val="0"/>
    <w:qFormat/>
    <w:rPr>
      <w:rFonts w:hint="eastAsia" w:ascii="宋体" w:hAnsi="宋体" w:eastAsia="宋体" w:cs="宋体"/>
      <w:color w:val="000000"/>
      <w:sz w:val="20"/>
      <w:szCs w:val="20"/>
      <w:u w:val="none"/>
    </w:rPr>
  </w:style>
  <w:style w:type="paragraph" w:styleId="921" w:customStyle="1">
    <w:name w:val="文本块1"/>
    <w:basedOn w:val="723"/>
    <w:next w:val="682"/>
    <w:uiPriority w:val="0"/>
    <w:qFormat/>
    <w:pPr>
      <w:ind w:left="1440" w:right="1440"/>
      <w:spacing w:after="120"/>
    </w:pPr>
  </w:style>
  <w:style w:type="paragraph" w:styleId="922" w:customStyle="1">
    <w:name w:val="标题 41"/>
    <w:basedOn w:val="923"/>
    <w:next w:val="719"/>
    <w:uiPriority w:val="0"/>
    <w:qFormat/>
    <w:pPr>
      <w:keepLines/>
      <w:keepNext/>
      <w:spacing w:before="280" w:after="290" w:line="376" w:lineRule="auto"/>
      <w:outlineLvl w:val="3"/>
    </w:pPr>
    <w:rPr>
      <w:rFonts w:ascii="Cambria" w:hAnsi="Cambria"/>
      <w:sz w:val="28"/>
      <w:szCs w:val="28"/>
    </w:rPr>
  </w:style>
  <w:style w:type="paragraph" w:styleId="923" w:customStyle="1">
    <w:name w:val="标题1"/>
    <w:basedOn w:val="719"/>
    <w:next w:val="924"/>
    <w:uiPriority w:val="0"/>
    <w:qFormat/>
    <w:pPr>
      <w:jc w:val="center"/>
      <w:spacing w:before="300" w:after="300"/>
      <w:outlineLvl w:val="0"/>
    </w:pPr>
    <w:rPr>
      <w:rFonts w:ascii="Cambria" w:hAnsi="Cambria" w:eastAsia="仿宋_GB2312"/>
      <w:b/>
      <w:bCs/>
      <w:sz w:val="36"/>
      <w:szCs w:val="32"/>
    </w:rPr>
  </w:style>
  <w:style w:type="paragraph" w:styleId="924" w:customStyle="1">
    <w:name w:val="正文112"/>
    <w:next w:val="92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5" w:customStyle="1">
    <w:name w:val="正文首行缩进1"/>
    <w:basedOn w:val="892"/>
    <w:next w:val="926"/>
    <w:uiPriority w:val="0"/>
    <w:qFormat/>
    <w:pPr>
      <w:ind w:firstLine="420"/>
      <w:spacing w:after="120"/>
    </w:pPr>
    <w:rPr>
      <w:rFonts w:ascii="Times New Roman"/>
      <w:szCs w:val="24"/>
    </w:rPr>
  </w:style>
  <w:style w:type="paragraph" w:styleId="926" w:customStyle="1">
    <w:name w:val="正文首行缩进 211"/>
    <w:basedOn w:val="927"/>
    <w:next w:val="924"/>
    <w:uiPriority w:val="0"/>
    <w:qFormat/>
    <w:pPr>
      <w:ind w:firstLine="420"/>
    </w:pPr>
    <w:rPr>
      <w:sz w:val="24"/>
    </w:rPr>
  </w:style>
  <w:style w:type="paragraph" w:styleId="927" w:customStyle="1">
    <w:name w:val="正文文本缩进11"/>
    <w:basedOn w:val="924"/>
    <w:next w:val="924"/>
    <w:uiPriority w:val="0"/>
    <w:qFormat/>
    <w:pPr>
      <w:ind w:firstLine="425"/>
      <w:spacing w:line="360" w:lineRule="auto"/>
    </w:pPr>
  </w:style>
  <w:style w:type="paragraph" w:styleId="928" w:customStyle="1">
    <w:name w:val="一级条标题"/>
    <w:basedOn w:val="929"/>
    <w:next w:val="93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9" w:customStyle="1">
    <w:name w:val="章标题"/>
    <w:basedOn w:val="682"/>
    <w:next w:val="718"/>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930" w:customStyle="1">
    <w:name w:val="段"/>
    <w:basedOn w:val="718"/>
    <w:next w:val="682"/>
    <w:uiPriority w:val="0"/>
    <w:qFormat/>
    <w:pPr>
      <w:ind w:firstLine="200"/>
      <w:widowControl/>
    </w:pPr>
    <w:rPr>
      <w:rFonts w:hint="eastAsia" w:ascii="宋体"/>
    </w:rPr>
  </w:style>
  <w:style w:type="character" w:styleId="931" w:customStyle="1">
    <w:name w:val="页码1"/>
    <w:link w:val="682"/>
    <w:uiPriority w:val="0"/>
    <w:qFormat/>
  </w:style>
  <w:style w:type="character" w:styleId="932" w:customStyle="1">
    <w:name w:val="font01"/>
    <w:link w:val="682"/>
    <w:uiPriority w:val="0"/>
    <w:qFormat/>
    <w:rPr>
      <w:rFonts w:hint="eastAsia" w:ascii="宋体" w:hAnsi="宋体" w:eastAsia="宋体" w:cs="宋体"/>
      <w:b/>
      <w:color w:val="000000"/>
      <w:sz w:val="20"/>
      <w:szCs w:val="20"/>
      <w:u w:val="none"/>
    </w:rPr>
  </w:style>
  <w:style w:type="character" w:styleId="933" w:customStyle="1">
    <w:name w:val="NormalCharacter1"/>
    <w:link w:val="682"/>
    <w:uiPriority w:val="0"/>
    <w:semiHidden/>
    <w:qFormat/>
    <w:rPr>
      <w:sz w:val="28"/>
      <w:lang w:val="en-US" w:eastAsia="zh-CN" w:bidi="ar-SA"/>
    </w:rPr>
  </w:style>
  <w:style w:type="paragraph" w:styleId="934" w:customStyle="1">
    <w:name w:val="179"/>
    <w:basedOn w:val="682"/>
    <w:uiPriority w:val="0"/>
    <w:qFormat/>
    <w:pPr>
      <w:ind w:firstLine="420"/>
      <w:jc w:val="left"/>
      <w:widowControl/>
    </w:pPr>
    <w:rPr>
      <w:rFonts w:ascii="宋体" w:hAnsi="宋体"/>
      <w:sz w:val="24"/>
    </w:rPr>
  </w:style>
  <w:style w:type="paragraph" w:styleId="935" w:customStyle="1">
    <w:name w:val="目录 111"/>
    <w:basedOn w:val="718"/>
    <w:next w:val="682"/>
    <w:uiPriority w:val="0"/>
    <w:qFormat/>
    <w:pPr>
      <w:jc w:val="left"/>
      <w:spacing w:after="100" w:line="259" w:lineRule="auto"/>
      <w:widowControl/>
    </w:pPr>
    <w:rPr>
      <w:rFonts w:ascii="Calibri" w:hAnsi="Calibri"/>
      <w:sz w:val="22"/>
      <w:szCs w:val="22"/>
    </w:rPr>
  </w:style>
  <w:style w:type="paragraph" w:styleId="93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37" w:customStyle="1">
    <w:name w:val="p0"/>
    <w:basedOn w:val="723"/>
    <w:uiPriority w:val="0"/>
    <w:qFormat/>
    <w:pPr>
      <w:widowControl/>
    </w:pPr>
    <w:rPr>
      <w:szCs w:val="21"/>
    </w:rPr>
  </w:style>
  <w:style w:type="paragraph" w:styleId="938" w:customStyle="1">
    <w:name w:val="Table Paragraph"/>
    <w:basedOn w:val="682"/>
    <w:uiPriority w:val="1"/>
    <w:qFormat/>
    <w:pPr>
      <w:jc w:val="left"/>
    </w:pPr>
    <w:rPr>
      <w:rFonts w:ascii="Arial Unicode MS" w:hAnsi="Arial Unicode MS" w:eastAsia="Arial Unicode MS" w:cs="Arial Unicode MS"/>
      <w:sz w:val="22"/>
      <w:szCs w:val="22"/>
      <w:lang w:val="zh-CN" w:bidi="zh-CN"/>
    </w:rPr>
  </w:style>
  <w:style w:type="paragraph" w:styleId="939" w:customStyle="1">
    <w:name w:val="列出段落"/>
    <w:basedOn w:val="682"/>
    <w:uiPriority w:val="34"/>
    <w:qFormat/>
    <w:pPr>
      <w:ind w:firstLine="420"/>
    </w:pPr>
  </w:style>
  <w:style w:type="paragraph" w:styleId="940" w:customStyle="1">
    <w:name w:val="目录 1111"/>
    <w:basedOn w:val="682"/>
    <w:next w:val="682"/>
    <w:uiPriority w:val="39"/>
    <w:unhideWhenUsed/>
    <w:qFormat/>
    <w:pPr>
      <w:jc w:val="left"/>
      <w:spacing w:after="100" w:line="259" w:lineRule="auto"/>
      <w:widowControl/>
    </w:pPr>
    <w:rPr>
      <w:rFonts w:ascii="Calibri" w:hAnsi="Calibri" w:eastAsia="宋体"/>
      <w:sz w:val="22"/>
      <w:szCs w:val="22"/>
    </w:rPr>
  </w:style>
  <w:style w:type="paragraph" w:styleId="941" w:customStyle="1">
    <w:name w:val="BlockQuote1"/>
    <w:basedOn w:val="719"/>
    <w:uiPriority w:val="0"/>
    <w:qFormat/>
    <w:pPr>
      <w:ind w:left="256" w:right="6" w:firstLine="624"/>
    </w:pPr>
    <w:rPr>
      <w:rFonts w:eastAsia="仿宋_GB2312"/>
      <w:sz w:val="28"/>
    </w:rPr>
  </w:style>
  <w:style w:type="paragraph" w:styleId="942"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943" w:customStyle="1">
    <w:name w:val="*正文"/>
    <w:basedOn w:val="682"/>
    <w:uiPriority w:val="0"/>
    <w:qFormat/>
    <w:pPr>
      <w:ind w:firstLine="480"/>
      <w:spacing w:line="440" w:lineRule="exact"/>
    </w:pPr>
    <w:rPr>
      <w:rFonts w:ascii="仿宋" w:hAnsi="仿宋" w:eastAsia="仿宋"/>
      <w:sz w:val="24"/>
    </w:rPr>
  </w:style>
  <w:style w:type="paragraph" w:styleId="944" w:customStyle="1">
    <w:name w:val="页脚1"/>
    <w:basedOn w:val="718"/>
    <w:uiPriority w:val="0"/>
    <w:qFormat/>
    <w:pPr>
      <w:jc w:val="left"/>
      <w:tabs>
        <w:tab w:val="center" w:pos="4153" w:leader="none"/>
        <w:tab w:val="right" w:pos="8306" w:leader="none"/>
      </w:tabs>
    </w:pPr>
    <w:rPr>
      <w:sz w:val="18"/>
      <w:szCs w:val="18"/>
    </w:rPr>
  </w:style>
  <w:style w:type="paragraph" w:styleId="945" w:customStyle="1">
    <w:name w:val="页眉11"/>
    <w:basedOn w:val="725"/>
    <w:uiPriority w:val="0"/>
    <w:qFormat/>
    <w:pPr>
      <w:jc w:val="center"/>
      <w:tabs>
        <w:tab w:val="center" w:pos="4153" w:leader="none"/>
        <w:tab w:val="right" w:pos="8306" w:leader="none"/>
      </w:tabs>
      <w:pBdr>
        <w:bottom w:val="single" w:color="000000" w:sz="6" w:space="1"/>
      </w:pBdr>
    </w:pPr>
    <w:rPr>
      <w:sz w:val="18"/>
      <w:szCs w:val="18"/>
    </w:rPr>
  </w:style>
  <w:style w:type="paragraph" w:styleId="946" w:customStyle="1">
    <w:name w:val="页脚11"/>
    <w:basedOn w:val="725"/>
    <w:uiPriority w:val="0"/>
    <w:qFormat/>
    <w:pPr>
      <w:jc w:val="left"/>
      <w:tabs>
        <w:tab w:val="center" w:pos="4153" w:leader="none"/>
        <w:tab w:val="right" w:pos="8306" w:leader="none"/>
      </w:tabs>
    </w:pPr>
    <w:rPr>
      <w:sz w:val="18"/>
      <w:szCs w:val="18"/>
    </w:rPr>
  </w:style>
  <w:style w:type="paragraph" w:styleId="947" w:customStyle="1">
    <w:name w:val="标准"/>
    <w:basedOn w:val="682"/>
    <w:uiPriority w:val="0"/>
    <w:qFormat/>
    <w:pPr>
      <w:ind w:firstLine="200"/>
      <w:spacing w:line="360" w:lineRule="auto"/>
    </w:pPr>
    <w:rPr>
      <w:rFonts w:cs="宋体"/>
      <w:szCs w:val="21"/>
    </w:rPr>
  </w:style>
  <w:style w:type="paragraph" w:styleId="948" w:customStyle="1">
    <w:name w:val="列出段落2"/>
    <w:basedOn w:val="682"/>
    <w:uiPriority w:val="34"/>
    <w:qFormat/>
    <w:pPr>
      <w:ind w:firstLine="420"/>
    </w:pPr>
  </w:style>
  <w:style w:type="paragraph" w:styleId="949" w:customStyle="1">
    <w:name w:val="目录 1112"/>
    <w:basedOn w:val="682"/>
    <w:next w:val="682"/>
    <w:uiPriority w:val="39"/>
    <w:qFormat/>
  </w:style>
  <w:style w:type="paragraph" w:styleId="950" w:customStyle="1">
    <w:name w:val="脚注文本11"/>
    <w:basedOn w:val="682"/>
    <w:next w:val="951"/>
    <w:uiPriority w:val="0"/>
    <w:unhideWhenUsed/>
    <w:qFormat/>
    <w:pPr>
      <w:spacing w:after="40"/>
    </w:pPr>
    <w:rPr>
      <w:sz w:val="18"/>
    </w:rPr>
  </w:style>
  <w:style w:type="paragraph" w:styleId="951" w:customStyle="1">
    <w:name w:val="索引 511"/>
    <w:basedOn w:val="682"/>
    <w:next w:val="682"/>
    <w:uiPriority w:val="0"/>
    <w:qFormat/>
    <w:pPr>
      <w:ind w:left="798"/>
      <w:jc w:val="left"/>
    </w:pPr>
    <w:rPr>
      <w:rFonts w:ascii="Calibri" w:hAnsi="Calibri"/>
      <w:sz w:val="21"/>
    </w:rPr>
  </w:style>
  <w:style w:type="paragraph" w:styleId="952" w:customStyle="1">
    <w:name w:val="样式 样式 样式 样式 小四 左 首行缩进:  2 字符 + 首行缩进:  2 字符 Char + 右  0 字符1 + 首行缩...3"/>
    <w:basedOn w:val="682"/>
    <w:uiPriority w:val="99"/>
    <w:qFormat/>
    <w:pPr>
      <w:ind w:firstLine="480"/>
      <w:jc w:val="left"/>
      <w:spacing w:line="360" w:lineRule="auto"/>
    </w:pPr>
    <w:rPr>
      <w:sz w:val="24"/>
    </w:rPr>
  </w:style>
  <w:style w:type="paragraph" w:styleId="953" w:customStyle="1">
    <w:name w:val="纯文本1"/>
    <w:basedOn w:val="719"/>
    <w:uiPriority w:val="0"/>
    <w:qFormat/>
    <w:rPr>
      <w:rFonts w:ascii="宋体" w:hAnsi="Courier New"/>
      <w:szCs w:val="21"/>
    </w:rPr>
  </w:style>
  <w:style w:type="paragraph" w:styleId="954" w:customStyle="1">
    <w:name w:val="正文文本11"/>
    <w:basedOn w:val="723"/>
    <w:next w:val="682"/>
    <w:uiPriority w:val="0"/>
    <w:qFormat/>
    <w:pPr>
      <w:spacing w:after="120"/>
    </w:pPr>
  </w:style>
  <w:style w:type="paragraph" w:styleId="955" w:customStyle="1">
    <w:name w:val="Table Text"/>
    <w:basedOn w:val="682"/>
    <w:uiPriority w:val="0"/>
    <w:semiHidden/>
    <w:qFormat/>
    <w:rPr>
      <w:rFonts w:ascii="宋体" w:hAnsi="宋体" w:eastAsia="宋体" w:cs="宋体"/>
      <w:sz w:val="32"/>
      <w:szCs w:val="32"/>
      <w:lang w:val="en-US" w:eastAsia="en-US" w:bidi="ar-SA"/>
    </w:rPr>
  </w:style>
  <w:style w:type="paragraph" w:styleId="956" w:customStyle="1">
    <w:name w:val="Heading21"/>
    <w:basedOn w:val="682"/>
    <w:next w:val="682"/>
    <w:uiPriority w:val="0"/>
    <w:qFormat/>
    <w:pPr>
      <w:jc w:val="left"/>
      <w:keepLines/>
      <w:keepNext/>
      <w:spacing w:before="260" w:after="260" w:line="416" w:lineRule="auto"/>
    </w:pPr>
    <w:rPr>
      <w:rFonts w:ascii="Calibri Light" w:hAnsi="Calibri Light"/>
      <w:b/>
      <w:bCs/>
      <w:sz w:val="24"/>
      <w:szCs w:val="32"/>
    </w:rPr>
  </w:style>
  <w:style w:type="paragraph" w:styleId="957" w:customStyle="1">
    <w:name w:val="文本块111"/>
    <w:basedOn w:val="682"/>
    <w:next w:val="682"/>
    <w:uiPriority w:val="6"/>
    <w:unhideWhenUsed/>
    <w:qFormat/>
    <w:pPr>
      <w:ind w:left="1440" w:right="1440"/>
      <w:spacing w:after="120"/>
    </w:pPr>
  </w:style>
  <w:style w:type="paragraph" w:styleId="958" w:customStyle="1">
    <w:name w:val="标题 21"/>
    <w:basedOn w:val="682"/>
    <w:next w:val="682"/>
    <w:uiPriority w:val="99"/>
    <w:qFormat/>
    <w:pPr>
      <w:jc w:val="center"/>
      <w:keepLines/>
      <w:keepNext/>
      <w:spacing w:before="260" w:after="260" w:line="360" w:lineRule="auto"/>
      <w:outlineLvl w:val="1"/>
    </w:pPr>
    <w:rPr>
      <w:rFonts w:ascii="Arial" w:hAnsi="Arial" w:eastAsia="仿宋"/>
      <w:bCs/>
      <w:sz w:val="24"/>
      <w:szCs w:val="32"/>
    </w:rPr>
  </w:style>
  <w:style w:type="table" w:styleId="959" w:customStyle="1">
    <w:name w:val="表格内容2"/>
    <w:uiPriority w:val="59"/>
    <w:unhideWhenUsed/>
    <w:qFormat/>
    <w:rPr>
      <w:rFonts w:eastAsia="宋体"/>
      <w:szCs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9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1bcb4561-28d7-4e13-a181-9f107084a7ef</errorID>
      <errorWord>;</errorWord>
      <group>L1_Format</group>
      <groupName>格式问题</groupName>
      <ability>L2_HalfPunc_CN</ability>
      <abilityName>全半角问题</abilityName>
      <candidateList>
        <item>；</item>
      </candidateList>
      <explain>文本全半角错误。</explain>
      <paraID>1E31EF29</paraID>
      <start>65</start>
      <end>66</end>
      <status>unmodified</status>
      <modifiedWord/>
      <trackRevisions>false</trackRevisions>
    </reviewItem>
    <reviewItem>
      <errorID>3b94e2e5-359e-4944-bff6-416ebf742047</errorID>
      <errorWord>;</errorWord>
      <group>L1_Format</group>
      <groupName>格式问题</groupName>
      <ability>L2_HalfPunc_CN</ability>
      <abilityName>全半角问题</abilityName>
      <candidateList>
        <item>；</item>
      </candidateList>
      <explain>文本全半角错误。</explain>
      <paraID>1E31EF29</paraID>
      <start>75</start>
      <end>76</end>
      <status>unmodified</status>
      <modifiedWord/>
      <trackRevisions>false</trackRevisions>
    </reviewItem>
    <reviewItem>
      <errorID>e4295c62-7c64-4c78-b5c3-90de2cb28743</errorID>
      <errorWord>;</errorWord>
      <group>L1_Format</group>
      <groupName>格式问题</groupName>
      <ability>L2_HalfPunc_CN</ability>
      <abilityName>全半角问题</abilityName>
      <candidateList>
        <item>；</item>
      </candidateList>
      <explain>文本全半角错误。</explain>
      <paraID>1E31EF29</paraID>
      <start>85</start>
      <end>86</end>
      <status>unmodified</status>
      <modifiedWord/>
      <trackRevisions>false</trackRevisions>
    </reviewItem>
    <reviewItem>
      <errorID>3542e4f9-c32d-4b25-a845-8c1fe8134df9</errorID>
      <errorWord>;</errorWord>
      <group>L1_Format</group>
      <groupName>格式问题</groupName>
      <ability>L2_HalfPunc_CN</ability>
      <abilityName>全半角问题</abilityName>
      <candidateList>
        <item>；</item>
      </candidateList>
      <explain>文本全半角错误。</explain>
      <paraID>1E31EF29</paraID>
      <start>94</start>
      <end>95</end>
      <status>unmodified</status>
      <modifiedWord/>
      <trackRevisions>false</trackRevisions>
    </reviewItem>
    <reviewItem>
      <errorID>450401ee-264d-4b08-8286-36d1d467b8b2</errorID>
      <errorWord>;</errorWord>
      <group>L1_Format</group>
      <groupName>格式问题</groupName>
      <ability>L2_HalfPunc_CN</ability>
      <abilityName>全半角问题</abilityName>
      <candidateList>
        <item>；</item>
      </candidateList>
      <explain>文本全半角错误。</explain>
      <paraID>1E31EF29</paraID>
      <start>107</start>
      <end>108</end>
      <status>unmodified</status>
      <modifiedWord/>
      <trackRevisions>false</trackRevisions>
    </reviewItem>
    <reviewItem>
      <errorID>c636f6f1-aa4a-4cf2-9aaf-55577d824c4c</errorID>
      <errorWord>;</errorWord>
      <group>L1_Format</group>
      <groupName>格式问题</groupName>
      <ability>L2_HalfPunc_CN</ability>
      <abilityName>全半角问题</abilityName>
      <candidateList>
        <item>；</item>
      </candidateList>
      <explain>文本全半角错误。</explain>
      <paraID>1E31EF29</paraID>
      <start>116</start>
      <end>117</end>
      <status>unmodified</status>
      <modifiedWord/>
      <trackRevisions>false</trackRevisions>
    </reviewItem>
    <reviewItem>
      <errorID>68ad3b82-d98e-494f-985e-ca265caaa318</errorID>
      <errorWord>(</errorWord>
      <group>L1_Format</group>
      <groupName>格式问题</groupName>
      <ability>L2_HalfPunc_CN</ability>
      <abilityName>全半角问题</abilityName>
      <candidateList>
        <item>（</item>
      </candidateList>
      <explain>文本全半角错误。</explain>
      <paraID> 33597B2</paraID>
      <start>0</start>
      <end>1</end>
      <status>unmodified</status>
      <modifiedWord/>
      <trackRevisions>false</trackRevisions>
    </reviewItem>
    <reviewItem>
      <errorID>2cb06f21-0abd-4af3-b0f2-b22b395a6590</errorID>
      <errorWord>(</errorWord>
      <group>L1_Format</group>
      <groupName>格式问题</groupName>
      <ability>L2_HalfPunc_CN</ability>
      <abilityName>全半角问题</abilityName>
      <candidateList>
        <item>（</item>
      </candidateList>
      <explain>文本全半角错误。</explain>
      <paraID>4E9CB2AE</paraID>
      <start>0</start>
      <end>1</end>
      <status>unmodified</status>
      <modifiedWord/>
      <trackRevisions>false</trackRevisions>
    </reviewItem>
    <reviewItem>
      <errorID>8a25c682-3d10-405e-b3d1-565f83cc77ba</errorID>
      <errorWord>：</errorWord>
      <group>L1_Format</group>
      <groupName>格式问题</groupName>
      <ability>L2_HalfPunc_CN</ability>
      <abilityName>全半角问题</abilityName>
      <candidateList>
        <item>:</item>
      </candidateList>
      <explain>文本全半角错误。</explain>
      <paraID>23FF0189</paraID>
      <start>27</start>
      <end>28</end>
      <status>unmodified</status>
      <modifiedWord/>
      <trackRevisions>false</trackRevisions>
    </reviewItem>
    <reviewItem>
      <errorID>95230e43-979c-47eb-a644-449fc1d9e6c5</errorID>
      <errorWord>：</errorWord>
      <group>L1_Format</group>
      <groupName>格式问题</groupName>
      <ability>L2_HalfPunc_CN</ability>
      <abilityName>全半角问题</abilityName>
      <candidateList>
        <item>:</item>
      </candidateList>
      <explain>文本全半角错误。</explain>
      <paraID>6BA5CD64</paraID>
      <start>25</start>
      <end>26</end>
      <status>unmodified</status>
      <modifiedWord/>
      <trackRevisions>false</trackRevisions>
    </reviewItem>
    <reviewItem>
      <errorID>272d4b6d-25a1-4886-884a-e12128e3d58c</errorID>
      <errorWord>必须要</errorWord>
      <group>L1_Word</group>
      <groupName>字词问题</groupName>
      <ability>L2_Typo</ability>
      <abilityName>字词错误</abilityName>
      <candidateList>
        <item>必须</item>
      </candidateList>
      <explain/>
      <paraID>26BAA208</paraID>
      <start>16</start>
      <end>19</end>
      <status>unmodified</status>
      <modifiedWord/>
      <trackRevisions>false</trackRevisions>
    </reviewItem>
    <reviewItem>
      <errorID>95fadfaa-8918-4873-a688-0bbf0b998d5a</errorID>
      <errorWord>;</errorWord>
      <group>L1_Format</group>
      <groupName>格式问题</groupName>
      <ability>L2_HalfPunc_CN</ability>
      <abilityName>全半角问题</abilityName>
      <candidateList>
        <item>；</item>
      </candidateList>
      <explain>文本全半角错误。</explain>
      <paraID>47E7899E</paraID>
      <start>27</start>
      <end>28</end>
      <status>unmodified</status>
      <modifiedWord/>
      <trackRevisions>false</trackRevisions>
    </reviewItem>
    <reviewItem>
      <errorID>d0d50dbe-03b6-4f3f-91f8-775af452f102</errorID>
      <errorWord>与按</errorWord>
      <group>L1_Word</group>
      <groupName>字词问题</groupName>
      <ability>L2_Typo</ability>
      <abilityName>字词错误</abilityName>
      <candidateList>
        <item>与</item>
      </candidateList>
      <explain/>
      <paraID>12D8CF6A</paraID>
      <start>6</start>
      <end>8</end>
      <status>unmodified</status>
      <modifiedWord/>
      <trackRevisions>false</trackRevisions>
    </reviewItem>
    <reviewItem>
      <errorID>48f4307b-196c-44b3-9c1a-9622e4b9a91a</errorID>
      <errorWord>,</errorWord>
      <group>L1_Format</group>
      <groupName>格式问题</groupName>
      <ability>L2_HalfPunc_CN</ability>
      <abilityName>全半角问题</abilityName>
      <candidateList>
        <item>，</item>
      </candidateList>
      <explain>文本全半角错误。</explain>
      <paraID>18D1E827</paraID>
      <start>120</start>
      <end>121</end>
      <status>unmodified</status>
      <modifiedWord/>
      <trackRevisions>false</trackRevisions>
    </reviewItem>
    <reviewItem>
      <errorID>68c5a87a-11f3-4776-87b5-7d2a3624b033</errorID>
      <errorWord>（</errorWord>
      <group>L1_Punc</group>
      <groupName>标点问题</groupName>
      <ability>L2_Punc_CN</ability>
      <abilityName>标点符号问题</abilityName>
      <candidateList/>
      <explain>同一形式括号套用。</explain>
      <paraID>26F27669</paraID>
      <start>63</start>
      <end>64</end>
      <status>unmodified</status>
      <modifiedWord/>
      <trackRevisions>false</trackRevisions>
    </reviewItem>
    <reviewItem>
      <errorID>0d2d9a37-abae-4ac3-a013-3c7d81155561</errorID>
      <errorWord>）</errorWord>
      <group>L1_Punc</group>
      <groupName>标点问题</groupName>
      <ability>L2_Punc_CN</ability>
      <abilityName>标点符号问题</abilityName>
      <candidateList/>
      <explain>同一形式括号套用。</explain>
      <paraID>26F27669</paraID>
      <start>66</start>
      <end>67</end>
      <status>unmodified</status>
      <modifiedWord/>
      <trackRevisions>false</trackRevisions>
    </reviewItem>
    <reviewItem>
      <errorID>5eca8933-4d7d-4cbf-b261-d4c07dfbbed1</errorID>
      <errorWord>（</errorWord>
      <group>L1_Punc</group>
      <groupName>标点问题</groupName>
      <ability>L2_Punc_CN</ability>
      <abilityName>标点符号问题</abilityName>
      <candidateList/>
      <explain>同一形式括号套用。</explain>
      <paraID>6ACCB192</paraID>
      <start>66</start>
      <end>67</end>
      <status>unmodified</status>
      <modifiedWord/>
      <trackRevisions>false</trackRevisions>
    </reviewItem>
    <reviewItem>
      <errorID>d68cf958-7889-4365-9506-f8a0441aeef6</errorID>
      <errorWord>）</errorWord>
      <group>L1_Punc</group>
      <groupName>标点问题</groupName>
      <ability>L2_Punc_CN</ability>
      <abilityName>标点符号问题</abilityName>
      <candidateList/>
      <explain>同一形式括号套用。</explain>
      <paraID>6ACCB192</paraID>
      <start>69</start>
      <end>70</end>
      <status>unmodified</status>
      <modifiedWord/>
      <trackRevisions>false</trackRevisions>
    </reviewItem>
    <reviewItem>
      <errorID>89c918ab-bbe9-47ae-9fd7-59ea8605d9da</errorID>
      <errorWord>为有</errorWord>
      <group>L1_Word</group>
      <groupName>字词问题</groupName>
      <ability>L2_Typo</ability>
      <abilityName>字词错误</abilityName>
      <candidateList>
        <item>为</item>
      </candidateList>
      <explain/>
      <paraID>  1BA65A</paraID>
      <start>28</start>
      <end>30</end>
      <status>unmodified</status>
      <modifiedWord/>
      <trackRevisions>false</trackRevisions>
    </reviewItem>
    <reviewItem>
      <errorID>7fdbfa69-4a11-4e84-9dad-d7185d98b193</errorID>
      <errorWord>(</errorWord>
      <group>L1_Format</group>
      <groupName>格式问题</groupName>
      <ability>L2_HalfPunc_CN</ability>
      <abilityName>全半角问题</abilityName>
      <candidateList>
        <item>（</item>
      </candidateList>
      <explain>文本全半角错误。</explain>
      <paraID>5782376F</paraID>
      <start>0</start>
      <end>1</end>
      <status>unmodified</status>
      <modifiedWord/>
      <trackRevisions>false</trackRevisions>
    </reviewItem>
    <reviewItem>
      <errorID>91e2d6bf-5451-431b-957c-491f9804b527</errorID>
      <errorWord>(</errorWord>
      <group>L1_Format</group>
      <groupName>格式问题</groupName>
      <ability>L2_HalfPunc_CN</ability>
      <abilityName>全半角问题</abilityName>
      <candidateList>
        <item>（</item>
      </candidateList>
      <explain>文本全半角错误。</explain>
      <paraID>2D95E44F</paraID>
      <start>0</start>
      <end>1</end>
      <status>unmodified</status>
      <modifiedWord/>
      <trackRevisions>false</trackRevisions>
    </reviewItem>
    <reviewItem>
      <errorID>6f51b280-964c-4210-a031-515e4a45980e</errorID>
      <errorWord>(</errorWord>
      <group>L1_Format</group>
      <groupName>格式问题</groupName>
      <ability>L2_HalfPunc_CN</ability>
      <abilityName>全半角问题</abilityName>
      <candidateList>
        <item>（</item>
      </candidateList>
      <explain>文本全半角错误。</explain>
      <paraID>78D7385D</paraID>
      <start>0</start>
      <end>1</end>
      <status>unmodified</status>
      <modifiedWord/>
      <trackRevisions>false</trackRevisions>
    </reviewItem>
    <reviewItem>
      <errorID>790a0abc-35fa-4f87-af1a-500f028bb913</errorID>
      <errorWord>(</errorWord>
      <group>L1_Format</group>
      <groupName>格式问题</groupName>
      <ability>L2_HalfPunc_CN</ability>
      <abilityName>全半角问题</abilityName>
      <candidateList>
        <item>（</item>
      </candidateList>
      <explain>文本全半角错误。</explain>
      <paraID> C887610</paraID>
      <start>0</start>
      <end>1</end>
      <status>unmodified</status>
      <modifiedWord/>
      <trackRevisions>false</trackRevisions>
    </reviewItem>
    <reviewItem>
      <errorID>afba5b0c-7c40-48d2-8863-c89fc27aa26b</errorID>
      <errorWord>(</errorWord>
      <group>L1_Format</group>
      <groupName>格式问题</groupName>
      <ability>L2_HalfPunc_CN</ability>
      <abilityName>全半角问题</abilityName>
      <candidateList>
        <item>（</item>
      </candidateList>
      <explain>文本全半角错误。</explain>
      <paraID>1412089C</paraID>
      <start>0</start>
      <end>1</end>
      <status>unmodified</status>
      <modifiedWord/>
      <trackRevisions>false</trackRevisions>
    </reviewItem>
    <reviewItem>
      <errorID>83fdce1f-b200-47a9-b70c-1fc8f20239b3</errorID>
      <errorWord>(</errorWord>
      <group>L1_Format</group>
      <groupName>格式问题</groupName>
      <ability>L2_HalfPunc_CN</ability>
      <abilityName>全半角问题</abilityName>
      <candidateList>
        <item>（</item>
      </candidateList>
      <explain>文本全半角错误。</explain>
      <paraID>16A35444</paraID>
      <start>0</start>
      <end>1</end>
      <status>unmodified</status>
      <modifiedWord/>
      <trackRevisions>false</trackRevisions>
    </reviewItem>
    <reviewItem>
      <errorID>d3cc1a2e-23e6-4d6c-bb16-ca69129be2a7</errorID>
      <errorWord>(</errorWord>
      <group>L1_Format</group>
      <groupName>格式问题</groupName>
      <ability>L2_HalfPunc_CN</ability>
      <abilityName>全半角问题</abilityName>
      <candidateList>
        <item>（</item>
      </candidateList>
      <explain>文本全半角错误。</explain>
      <paraID>303BDA47</paraID>
      <start>0</start>
      <end>1</end>
      <status>unmodified</status>
      <modifiedWord/>
      <trackRevisions>false</trackRevisions>
    </reviewItem>
    <reviewItem>
      <errorID>c6a130a9-dda3-43ed-ae38-06ac4a5fa226</errorID>
      <errorWord>(</errorWord>
      <group>L1_Format</group>
      <groupName>格式问题</groupName>
      <ability>L2_HalfPunc_CN</ability>
      <abilityName>全半角问题</abilityName>
      <candidateList>
        <item>（</item>
      </candidateList>
      <explain>文本全半角错误。</explain>
      <paraID>58AA1B19</paraID>
      <start>0</start>
      <end>1</end>
      <status>unmodified</status>
      <modifiedWord/>
      <trackRevisions>false</trackRevisions>
    </reviewItem>
    <reviewItem>
      <errorID>e65bd276-596f-4a31-8136-21c85b0f7674</errorID>
      <errorWord>(</errorWord>
      <group>L1_Format</group>
      <groupName>格式问题</groupName>
      <ability>L2_HalfPunc_CN</ability>
      <abilityName>全半角问题</abilityName>
      <candidateList>
        <item>（</item>
      </candidateList>
      <explain>文本全半角错误。</explain>
      <paraID>32F9FEAE</paraID>
      <start>0</start>
      <end>1</end>
      <status>unmodified</status>
      <modifiedWord/>
      <trackRevisions>false</trackRevisions>
    </reviewItem>
    <reviewItem>
      <errorID>87c29fa7-c4de-4ed6-8f31-daf21cf2ced9</errorID>
      <errorWord>(</errorWord>
      <group>L1_Format</group>
      <groupName>格式问题</groupName>
      <ability>L2_HalfPunc_CN</ability>
      <abilityName>全半角问题</abilityName>
      <candidateList>
        <item>（</item>
      </candidateList>
      <explain>文本全半角错误。</explain>
      <paraID> 3759B1C</paraID>
      <start>0</start>
      <end>1</end>
      <status>unmodified</status>
      <modifiedWord/>
      <trackRevisions>false</trackRevisions>
    </reviewItem>
    <reviewItem>
      <errorID>0a8226fd-6d38-49dc-87ec-d37902425bdc</errorID>
      <errorWord>(</errorWord>
      <group>L1_Format</group>
      <groupName>格式问题</groupName>
      <ability>L2_HalfPunc_CN</ability>
      <abilityName>全半角问题</abilityName>
      <candidateList>
        <item>（</item>
      </candidateList>
      <explain>文本全半角错误。</explain>
      <paraID>5273BACB</paraID>
      <start>0</start>
      <end>1</end>
      <status>unmodified</status>
      <modifiedWord/>
      <trackRevisions>false</trackRevisions>
    </reviewItem>
    <reviewItem>
      <errorID>5382f857-3a35-42ad-8ef2-e6f5c34ce3d1</errorID>
      <errorWord>(</errorWord>
      <group>L1_Format</group>
      <groupName>格式问题</groupName>
      <ability>L2_HalfPunc_CN</ability>
      <abilityName>全半角问题</abilityName>
      <candidateList>
        <item>（</item>
      </candidateList>
      <explain>文本全半角错误。</explain>
      <paraID>5D443DAB</paraID>
      <start>98</start>
      <end>99</end>
      <status>unmodified</status>
      <modifiedWord/>
      <trackRevisions>false</trackRevisions>
    </reviewItem>
    <reviewItem>
      <errorID>6495abbd-9776-4ab0-a8f9-329e84b7cedf</errorID>
      <errorWord>[2024]20号</errorWord>
      <group>L1_Knowledge</group>
      <groupName>知识性问题</groupName>
      <ability>L2_Knowledge</ability>
      <abilityName>其他知识</abilityName>
      <candidateList>
        <item>〔2024〕20号</item>
      </candidateList>
      <explain>发文字号格式错误。</explain>
      <paraID>5D443DAB</paraID>
      <start>103</start>
      <end>112</end>
      <status>unmodified</status>
      <modifiedWord/>
      <trackRevisions>false</trackRevisions>
    </reviewItem>
    <reviewItem>
      <errorID>f890dd49-d030-4625-805c-6eb75d877b05</errorID>
      <errorWord>(</errorWord>
      <group>L1_Format</group>
      <groupName>格式问题</groupName>
      <ability>L2_HalfPunc_CN</ability>
      <abilityName>全半角问题</abilityName>
      <candidateList>
        <item>（</item>
      </candidateList>
      <explain>文本全半角错误。</explain>
      <paraID> A0C9489</paraID>
      <start>0</start>
      <end>1</end>
      <status>unmodified</status>
      <modifiedWord/>
      <trackRevisions>false</trackRevisions>
    </reviewItem>
    <reviewItem>
      <errorID>ae0cf776-0f68-439a-a62a-8d3db1e481c2</errorID>
      <errorWord>“.</errorWord>
      <group>L1_Punc</group>
      <groupName>标点问题</groupName>
      <ability>L2_Punc_CN</ability>
      <abilityName>标点符号问题</abilityName>
      <candidateList>
        <item>“</item>
      </candidateList>
      <explain/>
      <paraID> 371E227</paraID>
      <start>178</start>
      <end>180</end>
      <status>unmodified</status>
      <modifiedWord/>
      <trackRevisions>false</trackRevisions>
    </reviewItem>
    <reviewItem>
      <errorID>4b0022c5-5984-4f61-91dd-cee60e0880ab</errorID>
      <errorWord>(</errorWord>
      <group>L1_Format</group>
      <groupName>格式问题</groupName>
      <ability>L2_HalfPunc_CN</ability>
      <abilityName>全半角问题</abilityName>
      <candidateList>
        <item>（</item>
      </candidateList>
      <explain>文本全半角错误。</explain>
      <paraID>232933C5</paraID>
      <start>0</start>
      <end>1</end>
      <status>unmodified</status>
      <modifiedWord/>
      <trackRevisions>false</trackRevisions>
    </reviewItem>
    <reviewItem>
      <errorID>31e21e60-8291-41c5-b894-b0bd0bf1a0bd</errorID>
      <errorWord>(</errorWord>
      <group>L1_Format</group>
      <groupName>格式问题</groupName>
      <ability>L2_HalfPunc_CN</ability>
      <abilityName>全半角问题</abilityName>
      <candidateList>
        <item>（</item>
      </candidateList>
      <explain>文本全半角错误。</explain>
      <paraID>78527EE0</paraID>
      <start>0</start>
      <end>1</end>
      <status>unmodified</status>
      <modifiedWord/>
      <trackRevisions>false</trackRevisions>
    </reviewItem>
    <reviewItem>
      <errorID>c02097ca-4a2b-4325-8a04-1d7e1760e2dc</errorID>
      <errorWord>(</errorWord>
      <group>L1_Format</group>
      <groupName>格式问题</groupName>
      <ability>L2_HalfPunc_CN</ability>
      <abilityName>全半角问题</abilityName>
      <candidateList>
        <item>（</item>
      </candidateList>
      <explain>文本全半角错误。</explain>
      <paraID>15179E7A</paraID>
      <start>0</start>
      <end>1</end>
      <status>unmodified</status>
      <modifiedWord/>
      <trackRevisions>false</trackRevisions>
    </reviewItem>
    <reviewItem>
      <errorID>83dbff37-5823-4a24-942b-a0a0f516b0a6</errorID>
      <errorWord>(</errorWord>
      <group>L1_Format</group>
      <groupName>格式问题</groupName>
      <ability>L2_HalfPunc_CN</ability>
      <abilityName>全半角问题</abilityName>
      <candidateList>
        <item>（</item>
      </candidateList>
      <explain>文本全半角错误。</explain>
      <paraID>59461A83</paraID>
      <start>0</start>
      <end>1</end>
      <status>unmodified</status>
      <modifiedWord/>
      <trackRevisions>false</trackRevisions>
    </reviewItem>
    <reviewItem>
      <errorID>33fe5336-7c13-4017-9631-111505df2981</errorID>
      <errorWord>(</errorWord>
      <group>L1_Format</group>
      <groupName>格式问题</groupName>
      <ability>L2_HalfPunc_CN</ability>
      <abilityName>全半角问题</abilityName>
      <candidateList>
        <item>（</item>
      </candidateList>
      <explain>文本全半角错误。</explain>
      <paraID>50963600</paraID>
      <start>0</start>
      <end>1</end>
      <status>unmodified</status>
      <modifiedWord/>
      <trackRevisions>false</trackRevisions>
    </reviewItem>
    <reviewItem>
      <errorID>7e58380d-7f4e-4c52-a2e8-bc7c27cd8624</errorID>
      <errorWord>,</errorWord>
      <group>L1_Format</group>
      <groupName>格式问题</groupName>
      <ability>L2_HalfPunc_CN</ability>
      <abilityName>全半角问题</abilityName>
      <candidateList>
        <item>，</item>
      </candidateList>
      <explain>文本全半角错误。</explain>
      <paraID>5D7D96B7</paraID>
      <start>74</start>
      <end>75</end>
      <status>unmodified</status>
      <modifiedWord/>
      <trackRevisions>false</trackRevisions>
    </reviewItem>
    <reviewItem>
      <errorID>656d9e06-6cd0-4987-a755-677593cde8b2</errorID>
      <errorWord>[2020]46号</errorWord>
      <group>L1_Knowledge</group>
      <groupName>知识性问题</groupName>
      <ability>L2_Knowledge</ability>
      <abilityName>其他知识</abilityName>
      <candidateList>
        <item>〔2020〕46号</item>
      </candidateList>
      <explain>发文字号格式错误。</explain>
      <paraID>6E52FD90</paraID>
      <start>26</start>
      <end>35</end>
      <status>unmodified</status>
      <modifiedWord/>
      <trackRevisions>false</trackRevisions>
    </reviewItem>
    <reviewItem>
      <errorID>b41f31f4-96f3-4b88-914a-d142bb404b65</errorID>
      <errorWord>[2011]300号</errorWord>
      <group>L1_Knowledge</group>
      <groupName>知识性问题</groupName>
      <ability>L2_Knowledge</ability>
      <abilityName>其他知识</abilityName>
      <candidateList>
        <item>〔2011〕300号</item>
      </candidateList>
      <explain>发文字号格式错误。</explain>
      <paraID>6E52FD90</paraID>
      <start>63</start>
      <end>73</end>
      <status>unmodified</status>
      <modifiedWord/>
      <trackRevisions>false</trackRevisions>
    </reviewItem>
    <reviewItem>
      <errorID>f3c73c84-a690-4fe8-b06f-1a7bcff9960e</errorID>
      <errorWord>（</errorWord>
      <group>L1_Punc</group>
      <groupName>标点问题</groupName>
      <ability>L2_Punc_CN</ability>
      <abilityName>标点符号问题</abilityName>
      <candidateList/>
      <explain>同一形式括号套用。</explain>
      <paraID>690E2032</paraID>
      <start>9</start>
      <end>10</end>
      <status>unmodified</status>
      <modifiedWord/>
      <trackRevisions>false</trackRevisions>
    </reviewItem>
    <reviewItem>
      <errorID>c00f71d9-c3fa-4188-9f0f-486d66d6124e</errorID>
      <errorWord>(</errorWord>
      <group>L1_Punc</group>
      <groupName>标点问题</groupName>
      <ability>L2_Punc_CN</ability>
      <abilityName>标点符号问题</abilityName>
      <candidateList/>
      <explain>同一形式括号套用。</explain>
      <paraID>690E2032</paraID>
      <start>20</start>
      <end>21</end>
      <status>unmodified</status>
      <modifiedWord/>
      <trackRevisions>false</trackRevisions>
    </reviewItem>
    <reviewItem>
      <errorID>417104c8-d0ce-4ce6-980d-93c6806e9cbc</errorID>
      <errorWord>）</errorWord>
      <group>L1_Punc</group>
      <groupName>标点问题</groupName>
      <ability>L2_Punc_CN</ability>
      <abilityName>标点符号问题</abilityName>
      <candidateList/>
      <explain>同一形式括号套用。</explain>
      <paraID>690E2032</paraID>
      <start>30</start>
      <end>31</end>
      <status>unmodified</status>
      <modifiedWord/>
      <trackRevisions>false</trackRevisions>
    </reviewItem>
    <reviewItem>
      <errorID>2fe152dd-d928-4a81-b300-2957122238ab</errorID>
      <errorWord>其它</errorWord>
      <group>L1_Word</group>
      <groupName>字词问题</groupName>
      <ability>L2_Alias</ability>
      <abilityName>也作/曾用词</abilityName>
      <candidateList>
        <item>其他</item>
      </candidateList>
      <explain>词汇[其它]为不规范表述或旧称，其规范书面表述为[其他]。</explain>
      <paraID> 4B65A14</paraID>
      <start>6</start>
      <end>8</end>
      <status>unmodified</status>
      <modifiedWord/>
      <trackRevisions>false</trackRevisions>
    </reviewItem>
    <reviewItem>
      <errorID>d85f6da1-c563-4620-a847-ea3273e9d8d4</errorID>
      <errorWord>(</errorWord>
      <group>L1_Format</group>
      <groupName>格式问题</groupName>
      <ability>L2_HalfPunc_CN</ability>
      <abilityName>全半角问题</abilityName>
      <candidateList>
        <item>（</item>
      </candidateList>
      <explain>文本全半角错误。</explain>
      <paraID>3B3DE03C</paraID>
      <start>0</start>
      <end>1</end>
      <status>unmodified</status>
      <modifiedWord/>
      <trackRevisions>false</trackRevisions>
    </reviewItem>
    <reviewItem>
      <errorID>43b05b2e-abfb-4cfa-bb9d-95e0aecdcc4e</errorID>
      <errorWord>(</errorWord>
      <group>L1_Format</group>
      <groupName>格式问题</groupName>
      <ability>L2_HalfPunc_CN</ability>
      <abilityName>全半角问题</abilityName>
      <candidateList>
        <item>（</item>
      </candidateList>
      <explain>文本全半角错误。</explain>
      <paraID>3C627C42</paraID>
      <start>16</start>
      <end>17</end>
      <status>unmodified</status>
      <modifiedWord/>
      <trackRevisions>false</trackRevisions>
    </reviewItem>
    <reviewItem>
      <errorID>9a0a1a85-e4a4-4b57-bfdc-49e3887b5b05</errorID>
      <errorWord>(</errorWord>
      <group>L1_Format</group>
      <groupName>格式问题</groupName>
      <ability>L2_HalfPunc_CN</ability>
      <abilityName>全半角问题</abilityName>
      <candidateList>
        <item>（</item>
      </candidateList>
      <explain>文本全半角错误。</explain>
      <paraID>3C627C42</paraID>
      <start>22</start>
      <end>23</end>
      <status>unmodified</status>
      <modifiedWord/>
      <trackRevisions>false</trackRevisions>
    </reviewItem>
    <reviewItem>
      <errorID>ac22d2c2-0264-4357-9475-fd8973ed3610</errorID>
      <errorWord>(</errorWord>
      <group>L1_Format</group>
      <groupName>格式问题</groupName>
      <ability>L2_HalfPunc_CN</ability>
      <abilityName>全半角问题</abilityName>
      <candidateList>
        <item>（</item>
      </candidateList>
      <explain>文本全半角错误。</explain>
      <paraID>21255F17</paraID>
      <start>0</start>
      <end>1</end>
      <status>unmodified</status>
      <modifiedWord/>
      <trackRevisions>false</trackRevisions>
    </reviewItem>
    <reviewItem>
      <errorID>64abf99d-6951-4a61-9302-b136c8ea4ce8</errorID>
      <errorWord>(</errorWord>
      <group>L1_Format</group>
      <groupName>格式问题</groupName>
      <ability>L2_HalfPunc_CN</ability>
      <abilityName>全半角问题</abilityName>
      <candidateList>
        <item>（</item>
      </candidateList>
      <explain>文本全半角错误。</explain>
      <paraID>14E87111</paraID>
      <start>0</start>
      <end>1</end>
      <status>unmodified</status>
      <modifiedWord/>
      <trackRevisions>false</trackRevisions>
    </reviewItem>
    <reviewItem>
      <errorID>e7e611d7-cb95-426f-9777-4a1f16be04a4</errorID>
      <errorWord>(</errorWord>
      <group>L1_Format</group>
      <groupName>格式问题</groupName>
      <ability>L2_HalfPunc_CN</ability>
      <abilityName>全半角问题</abilityName>
      <candidateList>
        <item>（</item>
      </candidateList>
      <explain>文本全半角错误。</explain>
      <paraID> 4001DC4</paraID>
      <start>0</start>
      <end>1</end>
      <status>unmodified</status>
      <modifiedWord/>
      <trackRevisions>false</trackRevisions>
    </reviewItem>
    <reviewItem>
      <errorID>7a6afd55-bf30-4abe-90d9-8b1ec6e002d3</errorID>
      <errorWord>(</errorWord>
      <group>L1_Format</group>
      <groupName>格式问题</groupName>
      <ability>L2_HalfPunc_CN</ability>
      <abilityName>全半角问题</abilityName>
      <candidateList>
        <item>（</item>
      </candidateList>
      <explain>文本全半角错误。</explain>
      <paraID>2FB94D11</paraID>
      <start>0</start>
      <end>1</end>
      <status>unmodified</status>
      <modifiedWord/>
      <trackRevisions>false</trackRevisions>
    </reviewItem>
    <reviewItem>
      <errorID>16fa4c01-a684-48d0-bccb-ffeb6823db31</errorID>
      <errorWord>(</errorWord>
      <group>L1_Format</group>
      <groupName>格式问题</groupName>
      <ability>L2_HalfPunc_CN</ability>
      <abilityName>全半角问题</abilityName>
      <candidateList>
        <item>（</item>
      </candidateList>
      <explain>文本全半角错误。</explain>
      <paraID>167BA2D2</paraID>
      <start>0</start>
      <end>1</end>
      <status>unmodified</status>
      <modifiedWord/>
      <trackRevisions>false</trackRevisions>
    </reviewItem>
    <reviewItem>
      <errorID>f972ae8e-dad4-46b7-9b71-02e464e515b7</errorID>
      <errorWord>：</errorWord>
      <group>L1_Format</group>
      <groupName>格式问题</groupName>
      <ability>L2_HalfPunc_CN</ability>
      <abilityName>全半角问题</abilityName>
      <candidateList>
        <item>:</item>
      </candidateList>
      <explain>文本全半角错误。</explain>
      <paraID>6B61AFA3</paraID>
      <start>20</start>
      <end>21</end>
      <status>unmodified</status>
      <modifiedWord/>
      <trackRevisions>false</trackRevisions>
    </reviewItem>
    <reviewItem>
      <errorID>5682ad63-c431-4832-9ef1-55435df07e68</errorID>
      <errorWord>(</errorWord>
      <group>L1_Format</group>
      <groupName>格式问题</groupName>
      <ability>L2_HalfPunc_CN</ability>
      <abilityName>全半角问题</abilityName>
      <candidateList>
        <item>（</item>
      </candidateList>
      <explain>文本全半角错误。</explain>
      <paraID> 98816B5</paraID>
      <start>0</start>
      <end>1</end>
      <status>unmodified</status>
      <modifiedWord/>
      <trackRevisions>false</trackRevisions>
    </reviewItem>
    <reviewItem>
      <errorID>69c58ab0-bce1-4394-bd64-99214326e14d</errorID>
      <errorWord>(</errorWord>
      <group>L1_Format</group>
      <groupName>格式问题</groupName>
      <ability>L2_HalfPunc_CN</ability>
      <abilityName>全半角问题</abilityName>
      <candidateList>
        <item>（</item>
      </candidateList>
      <explain>文本全半角错误。</explain>
      <paraID>111CB062</paraID>
      <start>0</start>
      <end>1</end>
      <status>unmodified</status>
      <modifiedWord/>
      <trackRevisions>false</trackRevisions>
    </reviewItem>
    <reviewItem>
      <errorID>01849d16-3a84-4cd0-92c2-8094d14ea574</errorID>
      <errorWord>(</errorWord>
      <group>L1_Format</group>
      <groupName>格式问题</groupName>
      <ability>L2_HalfPunc_CN</ability>
      <abilityName>全半角问题</abilityName>
      <candidateList>
        <item>（</item>
      </candidateList>
      <explain>文本全半角错误。</explain>
      <paraID>75722FD6</paraID>
      <start>0</start>
      <end>1</end>
      <status>unmodified</status>
      <modifiedWord/>
      <trackRevisions>false</trackRevisions>
    </reviewItem>
    <reviewItem>
      <errorID>a189d282-d063-4066-9d6d-b89196aed362</errorID>
      <errorWord>(</errorWord>
      <group>L1_Format</group>
      <groupName>格式问题</groupName>
      <ability>L2_HalfPunc_CN</ability>
      <abilityName>全半角问题</abilityName>
      <candidateList>
        <item>（</item>
      </candidateList>
      <explain>文本全半角错误。</explain>
      <paraID>304B42AC</paraID>
      <start>0</start>
      <end>1</end>
      <status>unmodified</status>
      <modifiedWord/>
      <trackRevisions>false</trackRevisions>
    </reviewItem>
    <reviewItem>
      <errorID>8cf14b5e-7acd-4525-ac73-1ebefc0b73e5</errorID>
      <errorWord>,</errorWord>
      <group>L1_Format</group>
      <groupName>格式问题</groupName>
      <ability>L2_HalfPunc_CN</ability>
      <abilityName>全半角问题</abilityName>
      <candidateList>
        <item>，</item>
      </candidateList>
      <explain>文本全半角错误。</explain>
      <paraID>2724A7FD</paraID>
      <start>39</start>
      <end>40</end>
      <status>unmodified</status>
      <modifiedWord/>
      <trackRevisions>false</trackRevisions>
    </reviewItem>
    <reviewItem>
      <errorID>c50d5653-c747-4056-96e9-b07a88109136</errorID>
      <errorWord>,</errorWord>
      <group>L1_Format</group>
      <groupName>格式问题</groupName>
      <ability>L2_HalfPunc_CN</ability>
      <abilityName>全半角问题</abilityName>
      <candidateList>
        <item>，</item>
      </candidateList>
      <explain>文本全半角错误。</explain>
      <paraID>1E222088</paraID>
      <start>91</start>
      <end>92</end>
      <status>unmodified</status>
      <modifiedWord/>
      <trackRevisions>false</trackRevisions>
    </reviewItem>
    <reviewItem>
      <errorID>0791987c-289f-4eb1-8432-28fe7c9e3a51</errorID>
      <errorWord>(</errorWord>
      <group>L1_Format</group>
      <groupName>格式问题</groupName>
      <ability>L2_HalfPunc_CN</ability>
      <abilityName>全半角问题</abilityName>
      <candidateList>
        <item>（</item>
      </candidateList>
      <explain>文本全半角错误。</explain>
      <paraID>502EC9B2</paraID>
      <start>0</start>
      <end>1</end>
      <status>unmodified</status>
      <modifiedWord/>
      <trackRevisions>false</trackRevisions>
    </reviewItem>
    <reviewItem>
      <errorID>df68739c-e6a1-4d15-8320-b34524eedac4</errorID>
      <errorWord>(</errorWord>
      <group>L1_Format</group>
      <groupName>格式问题</groupName>
      <ability>L2_HalfPunc_CN</ability>
      <abilityName>全半角问题</abilityName>
      <candidateList>
        <item>（</item>
      </candidateList>
      <explain>文本全半角错误。</explain>
      <paraID>32E68DA5</paraID>
      <start>92</start>
      <end>93</end>
      <status>unmodified</status>
      <modifiedWord/>
      <trackRevisions>false</trackRevisions>
    </reviewItem>
    <reviewItem>
      <errorID>adc3e683-d744-4e6e-a62b-bb86274e8e23</errorID>
      <errorWord>(</errorWord>
      <group>L1_Format</group>
      <groupName>格式问题</groupName>
      <ability>L2_HalfPunc_CN</ability>
      <abilityName>全半角问题</abilityName>
      <candidateList>
        <item>（</item>
      </candidateList>
      <explain>文本全半角错误。</explain>
      <paraID>32E68DA5</paraID>
      <start>130</start>
      <end>131</end>
      <status>unmodified</status>
      <modifiedWord/>
      <trackRevisions>false</trackRevisions>
    </reviewItem>
    <reviewItem>
      <errorID>cfe757a3-5335-454f-a5a3-255288fd7129</errorID>
      <errorWord>(</errorWord>
      <group>L1_Format</group>
      <groupName>格式问题</groupName>
      <ability>L2_HalfPunc_CN</ability>
      <abilityName>全半角问题</abilityName>
      <candidateList>
        <item>（</item>
      </candidateList>
      <explain>文本全半角错误。</explain>
      <paraID>32E68DA5</paraID>
      <start>138</start>
      <end>139</end>
      <status>unmodified</status>
      <modifiedWord/>
      <trackRevisions>false</trackRevisions>
    </reviewItem>
    <reviewItem>
      <errorID>b30c86cb-5db4-42b6-a916-0f12b77433f4</errorID>
      <errorWord>(</errorWord>
      <group>L1_Format</group>
      <groupName>格式问题</groupName>
      <ability>L2_HalfPunc_CN</ability>
      <abilityName>全半角问题</abilityName>
      <candidateList>
        <item>（</item>
      </candidateList>
      <explain>文本全半角错误。</explain>
      <paraID>32E68DA5</paraID>
      <start>142</start>
      <end>143</end>
      <status>unmodified</status>
      <modifiedWord/>
      <trackRevisions>false</trackRevisions>
    </reviewItem>
    <reviewItem>
      <errorID>c096bc38-d266-45b8-8945-f345994561e6</errorID>
      <errorWord>。。</errorWord>
      <group>L1_Punc</group>
      <groupName>标点问题</groupName>
      <ability>L2_Punc_CN</ability>
      <abilityName>标点符号问题</abilityName>
      <candidateList>
        <item>。</item>
      </candidateList>
      <explain/>
      <paraID> 36A8D4A</paraID>
      <start>76</start>
      <end>78</end>
      <status>unmodified</status>
      <modifiedWord/>
      <trackRevisions>false</trackRevisions>
    </reviewItem>
    <reviewItem>
      <errorID>ab39cbd4-7bd1-4b53-bdcc-ae20a58775ef</errorID>
      <errorWord>(</errorWord>
      <group>L1_Format</group>
      <groupName>格式问题</groupName>
      <ability>L2_HalfPunc_CN</ability>
      <abilityName>全半角问题</abilityName>
      <candidateList>
        <item>（</item>
      </candidateList>
      <explain>文本全半角错误。</explain>
      <paraID>54CC58C5</paraID>
      <start>0</start>
      <end>1</end>
      <status>unmodified</status>
      <modifiedWord/>
      <trackRevisions>false</trackRevisions>
    </reviewItem>
    <reviewItem>
      <errorID>e3803f07-592d-45de-aa50-21f6b42d326c</errorID>
      <errorWord>(</errorWord>
      <group>L1_Format</group>
      <groupName>格式问题</groupName>
      <ability>L2_HalfPunc_CN</ability>
      <abilityName>全半角问题</abilityName>
      <candidateList>
        <item>（</item>
      </candidateList>
      <explain>文本全半角错误。</explain>
      <paraID>4F0A9755</paraID>
      <start>6</start>
      <end>7</end>
      <status>unmodified</status>
      <modifiedWord/>
      <trackRevisions>false</trackRevisions>
    </reviewItem>
    <reviewItem>
      <errorID>af3937c0-2634-433a-8f75-4186962be9d0</errorID>
      <errorWord>(</errorWord>
      <group>L1_Format</group>
      <groupName>格式问题</groupName>
      <ability>L2_HalfPunc_CN</ability>
      <abilityName>全半角问题</abilityName>
      <candidateList>
        <item>（</item>
      </candidateList>
      <explain>文本全半角错误。</explain>
      <paraID>53F03E85</paraID>
      <start>6</start>
      <end>7</end>
      <status>unmodified</status>
      <modifiedWord/>
      <trackRevisions>false</trackRevisions>
    </reviewItem>
    <reviewItem>
      <errorID>5dab09e7-e74b-4e82-ade7-d0d692c50074</errorID>
      <errorWord>(</errorWord>
      <group>L1_Format</group>
      <groupName>格式问题</groupName>
      <ability>L2_HalfPunc_CN</ability>
      <abilityName>全半角问题</abilityName>
      <candidateList>
        <item>（</item>
      </candidateList>
      <explain>文本全半角错误。</explain>
      <paraID>63F2B461</paraID>
      <start>8</start>
      <end>9</end>
      <status>unmodified</status>
      <modifiedWord/>
      <trackRevisions>false</trackRevisions>
    </reviewItem>
    <reviewItem>
      <errorID>e03573f7-b78f-4f31-9760-34131cfdde55</errorID>
      <errorWord>(</errorWord>
      <group>L1_Format</group>
      <groupName>格式问题</groupName>
      <ability>L2_HalfPunc_CN</ability>
      <abilityName>全半角问题</abilityName>
      <candidateList>
        <item>（</item>
      </candidateList>
      <explain>文本全半角错误。</explain>
      <paraID>315B0A45</paraID>
      <start>10</start>
      <end>11</end>
      <status>unmodified</status>
      <modifiedWord/>
      <trackRevisions>false</trackRevisions>
    </reviewItem>
    <reviewItem>
      <errorID>6a8b131a-3278-4cad-a18b-8ada12f25979</errorID>
      <errorWord>(</errorWord>
      <group>L1_Format</group>
      <groupName>格式问题</groupName>
      <ability>L2_HalfPunc_CN</ability>
      <abilityName>全半角问题</abilityName>
      <candidateList>
        <item>（</item>
      </candidateList>
      <explain>文本全半角错误。</explain>
      <paraID>1434C5C9</paraID>
      <start>11</start>
      <end>12</end>
      <status>unmodified</status>
      <modifiedWord/>
      <trackRevisions>false</trackRevisions>
    </reviewItem>
    <reviewItem>
      <errorID>e72432fd-5a31-4438-ad28-2b1ae8079705</errorID>
      <errorWord>(</errorWord>
      <group>L1_Format</group>
      <groupName>格式问题</groupName>
      <ability>L2_HalfPunc_CN</ability>
      <abilityName>全半角问题</abilityName>
      <candidateList>
        <item>（</item>
      </candidateList>
      <explain>文本全半角错误。</explain>
      <paraID>7091D068</paraID>
      <start>8</start>
      <end>9</end>
      <status>unmodified</status>
      <modifiedWord/>
      <trackRevisions>false</trackRevisions>
    </reviewItem>
    <reviewItem>
      <errorID>c33644e9-f235-4b4d-bc4d-163b0ab63c89</errorID>
      <errorWord>(</errorWord>
      <group>L1_Format</group>
      <groupName>格式问题</groupName>
      <ability>L2_HalfPunc_CN</ability>
      <abilityName>全半角问题</abilityName>
      <candidateList>
        <item>（</item>
      </candidateList>
      <explain>文本全半角错误。</explain>
      <paraID>7FAAAE12</paraID>
      <start>6</start>
      <end>7</end>
      <status>unmodified</status>
      <modifiedWord/>
      <trackRevisions>false</trackRevisions>
    </reviewItem>
    <reviewItem>
      <errorID>7870937f-7f24-4b4e-be5b-6cbf1c1d5eb0</errorID>
      <errorWord>(</errorWord>
      <group>L1_Format</group>
      <groupName>格式问题</groupName>
      <ability>L2_HalfPunc_CN</ability>
      <abilityName>全半角问题</abilityName>
      <candidateList>
        <item>（</item>
      </candidateList>
      <explain>文本全半角错误。</explain>
      <paraID>393C9A00</paraID>
      <start>7</start>
      <end>8</end>
      <status>unmodified</status>
      <modifiedWord/>
      <trackRevisions>false</trackRevisions>
    </reviewItem>
    <reviewItem>
      <errorID>35f4bbda-1f47-46f5-b528-62fb20fa10b3</errorID>
      <errorWord>详实</errorWord>
      <group>L1_Word</group>
      <groupName>字词问题</groupName>
      <ability>L2_Typo</ability>
      <abilityName>字词错误</abilityName>
      <candidateList>
        <item>翔实</item>
      </candidateList>
      <explain>存在发音相同字词的误用。</explain>
      <paraID>16B30C39</paraID>
      <start>12</start>
      <end>14</end>
      <status>unmodified</status>
      <modifiedWord/>
      <trackRevisions>false</trackRevisions>
    </reviewItem>
    <reviewItem>
      <errorID>0258402a-02a9-4b18-aaa6-df7576e28373</errorID>
      <errorWord>(</errorWord>
      <group>L1_Format</group>
      <groupName>格式问题</groupName>
      <ability>L2_HalfPunc_CN</ability>
      <abilityName>全半角问题</abilityName>
      <candidateList>
        <item>（</item>
      </candidateList>
      <explain>文本全半角错误。</explain>
      <paraID>7F7AEECA</paraID>
      <start>3</start>
      <end>4</end>
      <status>unmodified</status>
      <modifiedWord/>
      <trackRevisions>false</trackRevisions>
    </reviewItem>
    <reviewItem>
      <errorID>12adbf6f-5d28-43fb-b144-c4c4b281d2d1</errorID>
      <errorWord>详实</errorWord>
      <group>L1_Word</group>
      <groupName>字词问题</groupName>
      <ability>L2_Typo</ability>
      <abilityName>字词错误</abilityName>
      <candidateList>
        <item>翔实</item>
      </candidateList>
      <explain>存在发音相同字词的误用。</explain>
      <paraID>24203589</paraID>
      <start>12</start>
      <end>14</end>
      <status>unmodified</status>
      <modifiedWord/>
      <trackRevisions>false</trackRevisions>
    </reviewItem>
    <reviewItem>
      <errorID>0d34bc29-6ac6-4231-abd1-46a726d9a33f</errorID>
      <errorWord>详实</errorWord>
      <group>L1_Word</group>
      <groupName>字词问题</groupName>
      <ability>L2_Typo</ability>
      <abilityName>字词错误</abilityName>
      <candidateList>
        <item>翔实</item>
      </candidateList>
      <explain>存在发音相同字词的误用。</explain>
      <paraID>32AA059E</paraID>
      <start>12</start>
      <end>14</end>
      <status>unmodified</status>
      <modifiedWord/>
      <trackRevisions>false</trackRevisions>
    </reviewItem>
    <reviewItem>
      <errorID>958e24bc-5d2c-4a59-aa26-99134741860e</errorID>
      <errorWord>详实</errorWord>
      <group>L1_Word</group>
      <groupName>字词问题</groupName>
      <ability>L2_Typo</ability>
      <abilityName>字词错误</abilityName>
      <candidateList>
        <item>翔实</item>
      </candidateList>
      <explain>存在发音相同字词的误用。</explain>
      <paraID> 405CEF0</paraID>
      <start>13</start>
      <end>15</end>
      <status>unmodified</status>
      <modifiedWord/>
      <trackRevisions>false</trackRevisions>
    </reviewItem>
    <reviewItem>
      <errorID>d5887747-752b-4e25-9ce4-c41421e31f1a</errorID>
      <errorWord>详实</errorWord>
      <group>L1_Word</group>
      <groupName>字词问题</groupName>
      <ability>L2_Typo</ability>
      <abilityName>字词错误</abilityName>
      <candidateList>
        <item>翔实</item>
      </candidateList>
      <explain>存在发音相同字词的误用。</explain>
      <paraID>4C1478E3</paraID>
      <start>13</start>
      <end>15</end>
      <status>unmodified</status>
      <modifiedWord/>
      <trackRevisions>false</trackRevisions>
    </reviewItem>
    <reviewItem>
      <errorID>2b2beb5e-b3a3-4842-9a60-b1d28955b409</errorID>
      <errorWord>详实</errorWord>
      <group>L1_Word</group>
      <groupName>字词问题</groupName>
      <ability>L2_Typo</ability>
      <abilityName>字词错误</abilityName>
      <candidateList>
        <item>翔实</item>
      </candidateList>
      <explain>存在发音相同字词的误用。</explain>
      <paraID>30B333C7</paraID>
      <start>12</start>
      <end>14</end>
      <status>unmodified</status>
      <modifiedWord/>
      <trackRevisions>false</trackRevisions>
    </reviewItem>
    <reviewItem>
      <errorID>dd88ab8f-5f22-4b1d-b284-c231698547e5</errorID>
      <errorWord>详实</errorWord>
      <group>L1_Word</group>
      <groupName>字词问题</groupName>
      <ability>L2_Typo</ability>
      <abilityName>字词错误</abilityName>
      <candidateList>
        <item>翔实</item>
      </candidateList>
      <explain>存在发音相同字词的误用。</explain>
      <paraID>7362E09B</paraID>
      <start>12</start>
      <end>14</end>
      <status>unmodified</status>
      <modifiedWord/>
      <trackRevisions>false</trackRevisions>
    </reviewItem>
    <reviewItem>
      <errorID>5aaab114-fb4d-489b-a40f-4c0ea2b91439</errorID>
      <errorWord>详实</errorWord>
      <group>L1_Word</group>
      <groupName>字词问题</groupName>
      <ability>L2_Typo</ability>
      <abilityName>字词错误</abilityName>
      <candidateList>
        <item>翔实</item>
      </candidateList>
      <explain>存在发音相同字词的误用。</explain>
      <paraID> 8656990</paraID>
      <start>13</start>
      <end>15</end>
      <status>unmodified</status>
      <modifiedWord/>
      <trackRevisions>false</trackRevisions>
    </reviewItem>
    <reviewItem>
      <errorID>51c31670-ab68-4aed-92b6-964c0a1fa6b2</errorID>
      <errorWord>详实</errorWord>
      <group>L1_Word</group>
      <groupName>字词问题</groupName>
      <ability>L2_Typo</ability>
      <abilityName>字词错误</abilityName>
      <candidateList>
        <item>翔实</item>
      </candidateList>
      <explain>存在发音相同字词的误用。</explain>
      <paraID>507A3B70</paraID>
      <start>13</start>
      <end>15</end>
      <status>unmodified</status>
      <modifiedWord/>
      <trackRevisions>false</trackRevisions>
    </reviewItem>
    <reviewItem>
      <errorID>5ad561f1-309c-4ff5-9b24-91d3a8041b7e</errorID>
      <errorWord>人</errorWord>
      <group>L1_Word</group>
      <groupName>字词问题</groupName>
      <ability>L2_Typo</ability>
      <abilityName>字词错误</abilityName>
      <candidateList>
        <item>人在</item>
      </candidateList>
      <explain/>
      <paraID>1F0C36C4</paraID>
      <start>22</start>
      <end>23</end>
      <status>unmodified</status>
      <modifiedWord/>
      <trackRevisions>false</trackRevisions>
    </reviewItem>
    <reviewItem>
      <errorID>db9e7dbd-823a-4ce6-978e-94fc793cdbea</errorID>
      <errorWord>人</errorWord>
      <group>L1_Word</group>
      <groupName>字词问题</groupName>
      <ability>L2_Typo</ability>
      <abilityName>字词错误</abilityName>
      <candidateList>
        <item>人在</item>
      </candidateList>
      <explain/>
      <paraID>18442F7A</paraID>
      <start>22</start>
      <end>23</end>
      <status>unmodified</status>
      <modifiedWord/>
      <trackRevisions>false</trackRevisions>
    </reviewItem>
    <reviewItem>
      <errorID>d432fe62-b90f-49e6-9a59-1bc3c1587ff2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D8AB8D</paraID>
      <start>0</start>
      <end>2</end>
      <status>unmodified</status>
      <modifiedWord/>
      <trackRevisions>false</trackRevisions>
    </reviewItem>
    <reviewItem>
      <errorID>ec5dc814-0ff7-4fa9-acb9-b8647ad1297b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70AC471C</paraID>
      <start>0</start>
      <end>2</end>
      <status>unmodified</status>
      <modifiedWord/>
      <trackRevisions>false</trackRevisions>
    </reviewItem>
    <reviewItem>
      <errorID>887e1c81-0f42-479a-9924-ff47f85b217e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526665F</paraID>
      <start>0</start>
      <end>2</end>
      <status>unmodified</status>
      <modifiedWord/>
      <trackRevisions>false</trackRevisions>
    </reviewItem>
    <reviewItem>
      <errorID>dfc20ebb-b8fa-4096-a1ca-5d2938f8344d</errorID>
      <errorWord>人</errorWord>
      <group>L1_Word</group>
      <groupName>字词问题</groupName>
      <ability>L2_Typo</ability>
      <abilityName>字词错误</abilityName>
      <candidateList>
        <item>人在</item>
      </candidateList>
      <explain/>
      <paraID>195374B6</paraID>
      <start>22</start>
      <end>23</end>
      <status>unmodified</status>
      <modifiedWord/>
      <trackRevisions>false</trackRevisions>
    </reviewItem>
    <reviewItem>
      <errorID>3d3774dd-713f-4c45-8a92-af7f56bb0952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60FC6243</paraID>
      <start>0</start>
      <end>2</end>
      <status>unmodified</status>
      <modifiedWord/>
      <trackRevisions>false</trackRevisions>
    </reviewItem>
    <reviewItem>
      <errorID>5d4f572a-eade-488c-bd91-b5e9b1929c40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7FFBF7D6</paraID>
      <start>0</start>
      <end>2</end>
      <status>unmodified</status>
      <modifiedWord/>
      <trackRevisions>false</trackRevisions>
    </reviewItem>
    <reviewItem>
      <errorID>2730cf47-d0b6-4308-a672-4ba545063d16</errorID>
      <errorWord>人</errorWord>
      <group>L1_Word</group>
      <groupName>字词问题</groupName>
      <ability>L2_Typo</ability>
      <abilityName>字词错误</abilityName>
      <candidateList>
        <item>人在</item>
      </candidateList>
      <explain/>
      <paraID>69F7F2A8</paraID>
      <start>22</start>
      <end>23</end>
      <status>unmodified</status>
      <modifiedWord/>
      <trackRevisions>false</trackRevisions>
    </reviewItem>
    <reviewItem>
      <errorID>ee05b14c-045f-45ab-a4d9-0cab297ae440</errorID>
      <errorWord>(</errorWord>
      <group>L1_Format</group>
      <groupName>格式问题</groupName>
      <ability>L2_HalfPunc_CN</ability>
      <abilityName>全半角问题</abilityName>
      <candidateList>
        <item>（</item>
      </candidateList>
      <explain>文本全半角错误。</explain>
      <paraID>3FA3814C</paraID>
      <start>13</start>
      <end>14</end>
      <status>unmodified</status>
      <modifiedWord/>
      <trackRevisions>false</trackRevisions>
    </reviewItem>
    <reviewItem>
      <errorID>2379bc7f-064f-4047-bb3e-c9dc958e3bc2</errorID>
      <errorWord>,</errorWord>
      <group>L1_Format</group>
      <groupName>格式问题</groupName>
      <ability>L2_HalfPunc_CN</ability>
      <abilityName>全半角问题</abilityName>
      <candidateList>
        <item>，</item>
      </candidateList>
      <explain>文本全半角错误。</explain>
      <paraID>78C3CD16</paraID>
      <start>7</start>
      <end>8</end>
      <status>unmodified</status>
      <modifiedWord/>
      <trackRevisions>false</trackRevisions>
    </reviewItem>
    <reviewItem>
      <errorID>5f30f762-f48d-49e8-9096-cc4481fe4ee2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6133C1EE</paraID>
      <start>20</start>
      <end>23</end>
      <status>unmodified</status>
      <modifiedWord/>
      <trackRevisions>false</trackRevisions>
    </reviewItem>
    <reviewItem>
      <errorID>4320eba2-6eb1-4258-8e96-4b2a43af7bfe</errorID>
      <errorWord>(</errorWord>
      <group>L1_Format</group>
      <groupName>格式问题</groupName>
      <ability>L2_HalfPunc_CN</ability>
      <abilityName>全半角问题</abilityName>
      <candidateList>
        <item>（</item>
      </candidateList>
      <explain>文本全半角错误。</explain>
      <paraID>321D3DF6</paraID>
      <start>10</start>
      <end>11</end>
      <status>unmodified</status>
      <modifiedWord/>
      <trackRevisions>false</trackRevisions>
    </reviewItem>
    <reviewItem>
      <errorID>aff357d8-3c61-4fcf-b1a8-3279fe581314</errorID>
      <errorWord>(</errorWord>
      <group>L1_Format</group>
      <groupName>格式问题</groupName>
      <ability>L2_HalfPunc_CN</ability>
      <abilityName>全半角问题</abilityName>
      <candidateList>
        <item>（</item>
      </candidateList>
      <explain>文本全半角错误。</explain>
      <paraID>1243E722</paraID>
      <start>9</start>
      <end>10</end>
      <status>unmodified</status>
      <modifiedWord/>
      <trackRevisions>false</trackRevisions>
    </reviewItem>
    <reviewItem>
      <errorID>ba11609b-40af-4ce3-99df-decad5847898</errorID>
      <errorWord>效</errorWord>
      <group>L1_Word</group>
      <groupName>字词问题</groupName>
      <ability>L2_Typo</ability>
      <abilityName>字词错误</abilityName>
      <candidateList>
        <item>效后</item>
      </candidateList>
      <explain/>
      <paraID>1243E722</paraID>
      <start>51</start>
      <end>52</end>
      <status>unmodified</status>
      <modifiedWord/>
      <trackRevisions>false</trackRevisions>
    </reviewItem>
    <reviewItem>
      <errorID>68aed04c-6df3-4bab-95bf-7e21fa439738</errorID>
      <errorWord>,</errorWord>
      <group>L1_Format</group>
      <groupName>格式问题</groupName>
      <ability>L2_HalfPunc_CN</ability>
      <abilityName>全半角问题</abilityName>
      <candidateList>
        <item>，</item>
      </candidateList>
      <explain>文本全半角错误。</explain>
      <paraID>62ED981E</paraID>
      <start>52</start>
      <end>53</end>
      <status>unmodified</status>
      <modifiedWord/>
      <trackRevisions>false</trackRevisions>
    </reviewItem>
    <reviewItem>
      <errorID>48c46e40-9bfd-46c0-a134-769479ee6309</errorID>
      <errorWord>日</errorWord>
      <group>L1_Word</group>
      <groupName>字词问题</groupName>
      <ability>L2_Typo</ability>
      <abilityName>字词错误</abilityName>
      <candidateList>
        <item>日内</item>
      </candidateList>
      <explain/>
      <paraID>4A2514FA</paraID>
      <start>18</start>
      <end>19</end>
      <status>unmodified</status>
      <modifiedWord/>
      <trackRevisions>false</trackRevisions>
    </reviewItem>
    <reviewItem>
      <errorID>3424e8c1-6520-4180-ae84-232177f652a5</errorID>
      <errorWord>(</errorWord>
      <group>L1_Format</group>
      <groupName>格式问题</groupName>
      <ability>L2_HalfPunc_CN</ability>
      <abilityName>全半角问题</abilityName>
      <candidateList>
        <item>（</item>
      </candidateList>
      <explain>文本全半角错误。</explain>
      <paraID> 1B2C780</paraID>
      <start>0</start>
      <end>1</end>
      <status>unmodified</status>
      <modifiedWord/>
      <trackRevisions>false</trackRevisions>
    </reviewItem>
    <reviewItem>
      <errorID>3147db96-7330-46d0-adab-5a4d3f38287b</errorID>
      <errorWord>(</errorWord>
      <group>L1_Format</group>
      <groupName>格式问题</groupName>
      <ability>L2_HalfPunc_CN</ability>
      <abilityName>全半角问题</abilityName>
      <candidateList>
        <item>（</item>
      </candidateList>
      <explain>文本全半角错误。</explain>
      <paraID> 2E3D18A</paraID>
      <start>0</start>
      <end>1</end>
      <status>unmodified</status>
      <modifiedWord/>
      <trackRevisions>false</trackRevisions>
    </reviewItem>
    <reviewItem>
      <errorID>1d29809b-6474-48ad-bc2b-5e7a5c8667db</errorID>
      <errorWord>;</errorWord>
      <group>L1_Format</group>
      <groupName>格式问题</groupName>
      <ability>L2_HalfPunc_CN</ability>
      <abilityName>全半角问题</abilityName>
      <candidateList>
        <item>；</item>
      </candidateList>
      <explain>文本全半角错误。</explain>
      <paraID> 2E3D18A</paraID>
      <start>30</start>
      <end>31</end>
      <status>unmodified</status>
      <modifiedWord/>
      <trackRevisions>false</trackRevisions>
    </reviewItem>
    <reviewItem>
      <errorID>8896d164-6cab-4013-97ee-d3622b900464</errorID>
      <errorWord>(</errorWord>
      <group>L1_Format</group>
      <groupName>格式问题</groupName>
      <ability>L2_HalfPunc_CN</ability>
      <abilityName>全半角问题</abilityName>
      <candidateList>
        <item>（</item>
      </candidateList>
      <explain>文本全半角错误。</explain>
      <paraID>73F105E3</paraID>
      <start>0</start>
      <end>1</end>
      <status>unmodified</status>
      <modifiedWord/>
      <trackRevisions>false</trackRevisions>
    </reviewItem>
    <reviewItem>
      <errorID>206e6e29-69d7-49b5-8863-71a28578c9f0</errorID>
      <errorWord>(</errorWord>
      <group>L1_Format</group>
      <groupName>格式问题</groupName>
      <ability>L2_HalfPunc_CN</ability>
      <abilityName>全半角问题</abilityName>
      <candidateList>
        <item>（</item>
      </candidateList>
      <explain>文本全半角错误。</explain>
      <paraID>1295FFAB</paraID>
      <start>0</start>
      <end>1</end>
      <status>unmodified</status>
      <modifiedWord/>
      <trackRevisions>false</trackRevisions>
    </reviewItem>
    <reviewItem>
      <errorID>e5eeb815-6d7d-41de-b76d-0fa65d0e597d</errorID>
      <errorWord>(</errorWord>
      <group>L1_Format</group>
      <groupName>格式问题</groupName>
      <ability>L2_HalfPunc_CN</ability>
      <abilityName>全半角问题</abilityName>
      <candidateList>
        <item>（</item>
      </candidateList>
      <explain>文本全半角错误。</explain>
      <paraID>7DD7E02B</paraID>
      <start>0</start>
      <end>1</end>
      <status>unmodified</status>
      <modifiedWord/>
      <trackRevisions>false</trackRevisions>
    </reviewItem>
    <reviewItem>
      <errorID>ea23cf94-d8e3-48ac-9d1b-e685a36473af</errorID>
      <errorWord>(</errorWord>
      <group>L1_Format</group>
      <groupName>格式问题</groupName>
      <ability>L2_HalfPunc_CN</ability>
      <abilityName>全半角问题</abilityName>
      <candidateList>
        <item>（</item>
      </candidateList>
      <explain>文本全半角错误。</explain>
      <paraID>248A2644</paraID>
      <start>0</start>
      <end>1</end>
      <status>unmodified</status>
      <modifiedWord/>
      <trackRevisions>false</trackRevisions>
    </reviewItem>
    <reviewItem>
      <errorID>0d6b914e-5a16-4278-a632-63fea43166c3</errorID>
      <errorWord>(</errorWord>
      <group>L1_Format</group>
      <groupName>格式问题</groupName>
      <ability>L2_HalfPunc_CN</ability>
      <abilityName>全半角问题</abilityName>
      <candidateList>
        <item>（</item>
      </candidateList>
      <explain>文本全半角错误。</explain>
      <paraID>2986E23C</paraID>
      <start>0</start>
      <end>1</end>
      <status>unmodified</status>
      <modifiedWord/>
      <trackRevisions>false</trackRevisions>
    </reviewItem>
    <reviewItem>
      <errorID>23b51b07-e655-4aa9-aa94-a640a6e0ac0f</errorID>
      <errorWord>，</errorWord>
      <group>L1_Word</group>
      <groupName>字词问题</groupName>
      <ability>L2_Typo</ability>
      <abilityName>字词错误</abilityName>
      <candidateList>
        <item>，并</item>
      </candidateList>
      <explain/>
      <paraID>3AA9B6D6</paraID>
      <start>48</start>
      <end>49</end>
      <status>unmodified</status>
      <modifiedWord/>
      <trackRevisions>false</trackRevisions>
    </reviewItem>
    <reviewItem>
      <errorID>543fe801-26b3-42e2-b34a-3ac1ed2f8083</errorID>
      <errorWord>签定合同</errorWord>
      <group>L1_Word</group>
      <groupName>字词问题</groupName>
      <ability>L2_Typo</ability>
      <abilityName>字词错误</abilityName>
      <candidateList>
        <item>签订合同</item>
      </candidateList>
      <explain/>
      <paraID>7035CF18</paraID>
      <start>24</start>
      <end>28</end>
      <status>unmodified</status>
      <modifiedWord/>
      <trackRevisions>false</trackRevisions>
    </reviewItem>
    <reviewItem>
      <errorID>067cb219-1796-4343-85c2-6977a8464b99</errorID>
      <errorWord>肆份</errorWord>
      <group>L1_Word</group>
      <groupName>字词问题</groupName>
      <ability>L2_Typo</ability>
      <abilityName>字词错误</abilityName>
      <candidateList>
        <item>四份</item>
      </candidateList>
      <explain>存在发音相同字词的误用。</explain>
      <paraID>7AB1B3BB</paraID>
      <start>6</start>
      <end>8</end>
      <status>unmodified</status>
      <modifiedWord/>
      <trackRevisions>false</trackRevisions>
    </reviewItem>
    <reviewItem>
      <errorID>66d99c87-ef66-4a61-b605-303071b3f121</errorID>
      <errorWord>其它</errorWord>
      <group>L1_Word</group>
      <groupName>字词问题</groupName>
      <ability>L2_Alias</ability>
      <abilityName>也作/曾用词</abilityName>
      <candidateList>
        <item>其他</item>
      </candidateList>
      <explain>词汇[其它]为不规范表述或旧称，其规范书面表述为[其他]。</explain>
      <paraID>1474F932</paraID>
      <start>5</start>
      <end>7</end>
      <status>unmodified</status>
      <modifiedWord/>
      <trackRevisions>false</trackRevisions>
    </reviewItem>
    <reviewItem>
      <errorID>5e1568cb-af7d-40c0-a0d1-9494fcd8c13d</errorID>
      <errorWord>保守国家秘密法</errorWord>
      <group>L1_Knowledge</group>
      <groupName>知识性问题</groupName>
      <ability>L2_Knowledge</ability>
      <abilityName>其他知识</abilityName>
      <candidateList>
        <item>中华人民共和国保守国家秘密法</item>
      </candidateList>
      <explain>当前法律法规名称使用简称，请注意是否应当使用全称。</explain>
      <paraID>68B3A67A</paraID>
      <start>46</start>
      <end>53</end>
      <status>unmodified</status>
      <modifiedWord/>
      <trackRevisions>false</trackRevisions>
    </reviewItem>
    <reviewItem>
      <errorID>76022be0-6eb8-4123-acd0-57d9ddac39e4</errorID>
      <errorWord>反不正当竞争法</errorWord>
      <group>L1_Knowledge</group>
      <groupName>知识性问题</groupName>
      <ability>L2_Knowledge</ability>
      <abilityName>其他知识</abilityName>
      <candidateList>
        <item>中华人民共和国反不正当竞争法</item>
      </candidateList>
      <explain>当前法律法规名称使用简称，请注意是否应当使用全称。</explain>
      <paraID>68B3A67A</paraID>
      <start>103</start>
      <end>110</end>
      <status>unmodified</status>
      <modifiedWord/>
      <trackRevisions>false</trackRevisions>
    </reviewItem>
    <reviewItem>
      <errorID>4ddb0d94-24a3-4cb2-8c54-bb84378094ab</errorID>
      <errorWord>(</errorWord>
      <group>L1_Format</group>
      <groupName>格式问题</groupName>
      <ability>L2_HalfPunc_CN</ability>
      <abilityName>全半角问题</abilityName>
      <candidateList>
        <item>（</item>
      </candidateList>
      <explain>文本全半角错误。</explain>
      <paraID>73D300AA</paraID>
      <start>10</start>
      <end>11</end>
      <status>unmodified</status>
      <modifiedWord/>
      <trackRevisions>false</trackRevisions>
    </reviewItem>
    <reviewItem>
      <errorID>a2c33ad2-4cb0-4d8b-8ac1-3d6962a15a8b</errorID>
      <errorWord>(</errorWord>
      <group>L1_Format</group>
      <groupName>格式问题</groupName>
      <ability>L2_HalfPunc_CN</ability>
      <abilityName>全半角问题</abilityName>
      <candidateList>
        <item>（</item>
      </candidateList>
      <explain>文本全半角错误。</explain>
      <paraID>22982852</paraID>
      <start>10</start>
      <end>11</end>
      <status>unmodified</status>
      <modifiedWord/>
      <trackRevisions>false</trackRevisions>
    </reviewItem>
    <reviewItem>
      <errorID>532dd83f-803c-4df3-b515-d44ea02b39c0</errorID>
      <errorWord>(</errorWord>
      <group>L1_Format</group>
      <groupName>格式问题</groupName>
      <ability>L2_HalfPunc_CN</ability>
      <abilityName>全半角问题</abilityName>
      <candidateList>
        <item>（</item>
      </candidateList>
      <explain>文本全半角错误。</explain>
      <paraID>6A692770</paraID>
      <start>0</start>
      <end>1</end>
      <status>unmodified</status>
      <modifiedWord/>
      <trackRevisions>false</trackRevisions>
    </reviewItem>
    <reviewItem>
      <errorID>1f5b8533-2b2c-415e-9642-6937e7e42474</errorID>
      <errorWord>(</errorWord>
      <group>L1_Format</group>
      <groupName>格式问题</groupName>
      <ability>L2_HalfPunc_CN</ability>
      <abilityName>全半角问题</abilityName>
      <candidateList>
        <item>（</item>
      </candidateList>
      <explain>文本全半角错误。</explain>
      <paraID>5F40DD2D</paraID>
      <start>0</start>
      <end>1</end>
      <status>unmodified</status>
      <modifiedWord/>
      <trackRevisions>false</trackRevisions>
    </reviewItem>
    <reviewItem>
      <errorID>f309f778-ca3c-4e0f-bb0f-338d8b89c0b3</errorID>
      <errorWord>(</errorWord>
      <group>L1_Format</group>
      <groupName>格式问题</groupName>
      <ability>L2_HalfPunc_CN</ability>
      <abilityName>全半角问题</abilityName>
      <candidateList>
        <item>（</item>
      </candidateList>
      <explain>文本全半角错误。</explain>
      <paraID>33D3066C</paraID>
      <start>0</start>
      <end>1</end>
      <status>unmodified</status>
      <modifiedWord/>
      <trackRevisions>false</trackRevisions>
    </reviewItem>
    <reviewItem>
      <errorID>37a16d19-d0b9-4a22-acbc-e983f0591693</errorID>
      <errorWord>(</errorWord>
      <group>L1_Format</group>
      <groupName>格式问题</groupName>
      <ability>L2_HalfPunc_CN</ability>
      <abilityName>全半角问题</abilityName>
      <candidateList>
        <item>（</item>
      </candidateList>
      <explain>文本全半角错误。</explain>
      <paraID> 6212466</paraID>
      <start>0</start>
      <end>1</end>
      <status>unmodified</status>
      <modifiedWord/>
      <trackRevisions>false</trackRevisions>
    </reviewItem>
    <reviewItem>
      <errorID>a8cbbbee-f66d-43c9-af6b-59255db35290</errorID>
      <errorWord>“</errorWord>
      <group>L1_Punc</group>
      <groupName>标点问题</groupName>
      <ability>L2_Punc_CN</ability>
      <abilityName>标点符号问题</abilityName>
      <candidateList>
        <item>”</item>
      </candidateList>
      <explain>注意检查双引号的方向是否正确。</explain>
      <paraID>40BDDC6F</paraID>
      <start>59</start>
      <end>60</end>
      <status>unmodified</status>
      <modifiedWord/>
      <trackRevisions>false</trackRevisions>
    </reviewItem>
    <reviewItem>
      <errorID>093402a9-5423-44ab-9b75-16e5234ac7c7</errorID>
      <errorWord>(</errorWord>
      <group>L1_Format</group>
      <groupName>格式问题</groupName>
      <ability>L2_HalfPunc_CN</ability>
      <abilityName>全半角问题</abilityName>
      <candidateList>
        <item>（</item>
      </candidateList>
      <explain>文本全半角错误。</explain>
      <paraID>1771834B</paraID>
      <start>0</start>
      <end>1</end>
      <status>unmodified</status>
      <modifiedWord/>
      <trackRevisions>false</trackRevisions>
    </reviewItem>
    <reviewItem>
      <errorID>76c0c42a-e6b1-47a8-b2d6-b41a6d48e63e</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1771834B</paraID>
      <start>76</start>
      <end>80</end>
      <status>unmodified</status>
      <modifiedWord/>
      <trackRevisions>false</trackRevisions>
    </reviewItem>
    <reviewItem>
      <errorID>5012b458-f95a-4d81-a205-c1e5aeaa79b1</errorID>
      <errorWord>(</errorWord>
      <group>L1_Format</group>
      <groupName>格式问题</groupName>
      <ability>L2_HalfPunc_CN</ability>
      <abilityName>全半角问题</abilityName>
      <candidateList>
        <item>（</item>
      </candidateList>
      <explain>文本全半角错误。</explain>
      <paraID>7C04F0B9</paraID>
      <start>0</start>
      <end>1</end>
      <status>unmodified</status>
      <modifiedWord/>
      <trackRevisions>false</trackRevisions>
    </reviewItem>
    <reviewItem>
      <errorID>f8b806fc-e2a4-4b3a-ac59-4a6d4617b0c3</errorID>
      <errorWord>(</errorWord>
      <group>L1_Format</group>
      <groupName>格式问题</groupName>
      <ability>L2_HalfPunc_CN</ability>
      <abilityName>全半角问题</abilityName>
      <candidateList>
        <item>（</item>
      </candidateList>
      <explain>文本全半角错误。</explain>
      <paraID>7C6F6B0D</paraID>
      <start>0</start>
      <end>1</end>
      <status>unmodified</status>
      <modifiedWord/>
      <trackRevisions>false</trackRevisions>
    </reviewItem>
    <reviewItem>
      <errorID>3ec26e6d-fa20-43a1-96f2-45e11d138f33</errorID>
      <errorWord>(</errorWord>
      <group>L1_Format</group>
      <groupName>格式问题</groupName>
      <ability>L2_HalfPunc_CN</ability>
      <abilityName>全半角问题</abilityName>
      <candidateList>
        <item>（</item>
      </candidateList>
      <explain>文本全半角错误。</explain>
      <paraID>14D30C0A</paraID>
      <start>0</start>
      <end>1</end>
      <status>unmodified</status>
      <modifiedWord/>
      <trackRevisions>false</trackRevisions>
    </reviewItem>
    <reviewItem>
      <errorID>9fa081cb-1fd2-479b-953c-dfa49a3e8f1a</errorID>
      <errorWord>对于</errorWord>
      <group>L1_Word</group>
      <groupName>字词问题</groupName>
      <ability>L2_Typo</ability>
      <abilityName>字词错误</abilityName>
      <candidateList>
        <item>对</item>
      </candidateList>
      <explain/>
      <paraID>14D30C0A</paraID>
      <start>26</start>
      <end>28</end>
      <status>unmodified</status>
      <modifiedWord/>
      <trackRevisions>false</trackRevisions>
    </reviewItem>
    <reviewItem>
      <errorID>72e09b6d-98d2-4760-8d2d-6e769b0880e4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2B0451FB</paraID>
      <start>43</start>
      <end>46</end>
      <status>unmodified</status>
      <modifiedWord/>
      <trackRevisions>false</trackRevisions>
    </reviewItem>
    <reviewItem>
      <errorID>98aeac9d-6a6b-4d7c-a7d7-4a1314bbab95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2B0451FB</paraID>
      <start>50</start>
      <end>53</end>
      <status>unmodified</status>
      <modifiedWord/>
      <trackRevisions>false</trackRevisions>
    </reviewItem>
    <reviewItem>
      <errorID>c318b9cc-b94e-4185-af7a-2abcbc2e1e8e</errorID>
      <errorWord>，</errorWord>
      <group>L1_Word</group>
      <groupName>字词问题</groupName>
      <ability>L2_Typo</ability>
      <abilityName>字词错误</abilityName>
      <candidateList>
        <item>，以</item>
      </candidateList>
      <explain/>
      <paraID>3178C23A</paraID>
      <start>19</start>
      <end>20</end>
      <status>unmodified</status>
      <modifiedWord/>
      <trackRevisions>false</trackRevisions>
    </reviewItem>
    <reviewItem>
      <errorID>5a7efc61-64f0-4ac8-8e01-0c2328b03821</errorID>
      <errorWord>抽验</errorWord>
      <group>L1_Word</group>
      <groupName>字词问题</groupName>
      <ability>L2_Typo</ability>
      <abilityName>字词错误</abilityName>
      <candidateList>
        <item>抽检</item>
      </candidateList>
      <explain/>
      <paraID> 3149351</paraID>
      <start>27</start>
      <end>29</end>
      <status>unmodified</status>
      <modifiedWord/>
      <trackRevisions>false</trackRevisions>
    </reviewItem>
    <reviewItem>
      <errorID>81321c98-2f97-4ca6-9fdb-028cafae832d</errorID>
      <errorWord>kw</errorWord>
      <group>L1_Word</group>
      <groupName>字词问题</groupName>
      <ability>L2_Typo</ability>
      <abilityName>字词错误</abilityName>
      <candidateList>
        <item>kW</item>
      </candidateList>
      <explain/>
      <paraID>682ADD09</paraID>
      <start>7</start>
      <end>9</end>
      <status>unmodified</status>
      <modifiedWord/>
      <trackRevisions>false</trackRevisions>
    </reviewItem>
    <reviewItem>
      <errorID>9fd5b8e2-9f35-4554-ac84-3a6eca754ccd</errorID>
      <errorWord>kw</errorWord>
      <group>L1_Word</group>
      <groupName>字词问题</groupName>
      <ability>L2_Typo</ability>
      <abilityName>字词错误</abilityName>
      <candidateList>
        <item>kW</item>
      </candidateList>
      <explain/>
      <paraID>5E00DE12</paraID>
      <start>7</start>
      <end>9</end>
      <status>unmodified</status>
      <modifiedWord/>
      <trackRevisions>false</trackRevisions>
    </reviewItem>
    <reviewItem>
      <errorID>c3aa6645-a3eb-4ba0-a9a9-5d81616e3c0c</errorID>
      <errorWord>kw</errorWord>
      <group>L1_Word</group>
      <groupName>字词问题</groupName>
      <ability>L2_Typo</ability>
      <abilityName>字词错误</abilityName>
      <candidateList>
        <item>kW</item>
      </candidateList>
      <explain/>
      <paraID>366563AF</paraID>
      <start>5</start>
      <end>7</end>
      <status>unmodified</status>
      <modifiedWord/>
      <trackRevisions>false</trackRevisions>
    </reviewItem>
    <reviewItem>
      <errorID>b759b463-85a2-4cfd-9aea-45d1f75fd4f5</errorID>
      <errorWord>kw</errorWord>
      <group>L1_Word</group>
      <groupName>字词问题</groupName>
      <ability>L2_Typo</ability>
      <abilityName>字词错误</abilityName>
      <candidateList>
        <item>kW</item>
      </candidateList>
      <explain/>
      <paraID> 2E65D0F</paraID>
      <start>5</start>
      <end>7</end>
      <status>unmodified</status>
      <modifiedWord/>
      <trackRevisions>false</trackRevisions>
    </reviewItem>
    <reviewItem>
      <errorID>5fddc80a-545c-4bd5-90b4-97bddfdcc8f2</errorID>
      <errorWord>kw</errorWord>
      <group>L1_Word</group>
      <groupName>字词问题</groupName>
      <ability>L2_Typo</ability>
      <abilityName>字词错误</abilityName>
      <candidateList>
        <item>kW</item>
      </candidateList>
      <explain/>
      <paraID>5A911330</paraID>
      <start>7</start>
      <end>9</end>
      <status>unmodified</status>
      <modifiedWord/>
      <trackRevisions>false</trackRevisions>
    </reviewItem>
    <reviewItem>
      <errorID>8c754dd7-d7d2-4b3c-9386-f0435131a2f5</errorID>
      <errorWord>kw</errorWord>
      <group>L1_Word</group>
      <groupName>字词问题</groupName>
      <ability>L2_Typo</ability>
      <abilityName>字词错误</abilityName>
      <candidateList>
        <item>kW</item>
      </candidateList>
      <explain/>
      <paraID>30BB159A</paraID>
      <start>7</start>
      <end>9</end>
      <status>unmodified</status>
      <modifiedWord/>
      <trackRevisions>false</trackRevisions>
    </reviewItem>
    <reviewItem>
      <errorID>a7f16059-fffc-45e4-9802-ff6ae3fd6ccc</errorID>
      <errorWord>kw</errorWord>
      <group>L1_Word</group>
      <groupName>字词问题</groupName>
      <ability>L2_Typo</ability>
      <abilityName>字词错误</abilityName>
      <candidateList>
        <item>kW</item>
      </candidateList>
      <explain/>
      <paraID>6A1E180C</paraID>
      <start>7</start>
      <end>9</end>
      <status>unmodified</status>
      <modifiedWord/>
      <trackRevisions>false</trackRevisions>
    </reviewItem>
    <reviewItem>
      <errorID>f4792cc5-4dfc-44f7-bfbe-93904b70b18b</errorID>
      <errorWord>kw</errorWord>
      <group>L1_Word</group>
      <groupName>字词问题</groupName>
      <ability>L2_Typo</ability>
      <abilityName>字词错误</abilityName>
      <candidateList>
        <item>kW</item>
      </candidateList>
      <explain/>
      <paraID>36312A14</paraID>
      <start>4</start>
      <end>6</end>
      <status>unmodified</status>
      <modifiedWord/>
      <trackRevisions>false</trackRevisions>
    </reviewItem>
    <reviewItem>
      <errorID>4cedecfe-7b44-46f3-a3f3-6064d29ffa2e</errorID>
      <errorWord>(</errorWord>
      <group>L1_Format</group>
      <groupName>格式问题</groupName>
      <ability>L2_HalfPunc_CN</ability>
      <abilityName>全半角问题</abilityName>
      <candidateList>
        <item>（</item>
      </candidateList>
      <explain>文本全半角错误。</explain>
      <paraID>5A60254F</paraID>
      <start>14</start>
      <end>15</end>
      <status>unmodified</status>
      <modifiedWord/>
      <trackRevisions>false</trackRevisions>
    </reviewItem>
    <reviewItem>
      <errorID>ccdea2e1-8de0-4006-a662-5ded6fe5d037</errorID>
      <errorWord>TaiShan</errorWord>
      <group>L1_English</group>
      <groupName>英文问题</groupName>
      <ability>L2_Spell</ability>
      <abilityName>拼写问题</abilityName>
      <candidateList>
        <item>TianShan</item>
      </candidateList>
      <explain>疑似单词拼写有误，建议将TaiShan修改为TianShan</explain>
      <paraID>6003F10F</paraID>
      <start>2</start>
      <end>9</end>
      <status>unmodified</status>
      <modifiedWord/>
      <trackRevisions>false</trackRevisions>
    </reviewItem>
    <reviewItem>
      <errorID>7fa5676a-66b4-4c3a-b757-a72c9dc8a00e</errorID>
      <errorWord>*</errorWord>
      <group>L1_Punc</group>
      <groupName>标点问题</groupName>
      <ability>L2_Punc_CN</ability>
      <abilityName>标点符号问题</abilityName>
      <candidateList/>
      <explain/>
      <paraID>61D3AEBE</paraID>
      <start>0</start>
      <end>1</end>
      <status>unmodified</status>
      <modifiedWord/>
      <trackRevisions>false</trackRevisions>
    </reviewItem>
    <reviewItem>
      <errorID>ce1ccbdb-b551-4872-acbf-fe39f326852c</errorID>
      <errorWord>*</errorWord>
      <group>L1_Punc</group>
      <groupName>标点问题</groupName>
      <ability>L2_Punc_CN</ability>
      <abilityName>标点符号问题</abilityName>
      <candidateList/>
      <explain/>
      <paraID> E929C40</paraID>
      <start>0</start>
      <end>1</end>
      <status>unmodified</status>
      <modifiedWord/>
      <trackRevisions>false</trackRevisions>
    </reviewItem>
    <reviewItem>
      <errorID>f3799034-bca7-4c34-bc00-d81073a18bc8</errorID>
      <errorWord>*</errorWord>
      <group>L1_Punc</group>
      <groupName>标点问题</groupName>
      <ability>L2_Punc_CN</ability>
      <abilityName>标点符号问题</abilityName>
      <candidateList/>
      <explain/>
      <paraID>2DBFBF2F</paraID>
      <start>0</start>
      <end>1</end>
      <status>unmodified</status>
      <modifiedWord/>
      <trackRevisions>false</trackRevisions>
    </reviewItem>
    <reviewItem>
      <errorID>b05f1c52-7437-4706-9a30-eea50dec5c45</errorID>
      <errorWord>*</errorWord>
      <group>L1_Punc</group>
      <groupName>标点问题</groupName>
      <ability>L2_Punc_CN</ability>
      <abilityName>标点符号问题</abilityName>
      <candidateList/>
      <explain/>
      <paraID>4C7BF45E</paraID>
      <start>0</start>
      <end>1</end>
      <status>unmodified</status>
      <modifiedWord/>
      <trackRevisions>false</trackRevisions>
    </reviewItem>
    <reviewItem>
      <errorID>f3ed8390-a928-4481-b6d8-a9ab6dbf54c1</errorID>
      <errorWord>要</errorWord>
      <group>L1_Word</group>
      <groupName>字词问题</groupName>
      <ability>L2_Typo</ability>
      <abilityName>字词错误</abilityName>
      <candidateList>
        <item>要时</item>
      </candidateList>
      <explain/>
      <paraID>3578B714</paraID>
      <start>126</start>
      <end>127</end>
      <status>unmodified</status>
      <modifiedWord/>
      <trackRevisions>false</trackRevisions>
    </reviewItem>
    <reviewItem>
      <errorID>e79124a6-0d5b-4c1d-99b7-57a8e41518bc</errorID>
      <errorWord>*</errorWord>
      <group>L1_Punc</group>
      <groupName>标点问题</groupName>
      <ability>L2_Punc_CN</ability>
      <abilityName>标点符号问题</abilityName>
      <candidateList/>
      <explain/>
      <paraID>33BA6F52</paraID>
      <start>0</start>
      <end>1</end>
      <status>unmodified</status>
      <modifiedWord/>
      <trackRevisions>false</trackRevisions>
    </reviewItem>
    <reviewItem>
      <errorID>40cb98ca-9627-4ae0-80ce-5024d3c8cd78</errorID>
      <errorWord>*</errorWord>
      <group>L1_Punc</group>
      <groupName>标点问题</groupName>
      <ability>L2_Punc_CN</ability>
      <abilityName>标点符号问题</abilityName>
      <candidateList/>
      <explain/>
      <paraID>28813FE9</paraID>
      <start>0</start>
      <end>1</end>
      <status>unmodified</status>
      <modifiedWord/>
      <trackRevisions>false</trackRevisions>
    </reviewItem>
    <reviewItem>
      <errorID>365e892c-cd8a-4a5a-878a-20700ecf9a10</errorID>
      <errorWord>*</errorWord>
      <group>L1_Punc</group>
      <groupName>标点问题</groupName>
      <ability>L2_Punc_CN</ability>
      <abilityName>标点符号问题</abilityName>
      <candidateList/>
      <explain/>
      <paraID>1ADD68A7</paraID>
      <start>0</start>
      <end>1</end>
      <status>unmodified</status>
      <modifiedWord/>
      <trackRevisions>false</trackRevisions>
    </reviewItem>
    <reviewItem>
      <errorID>2bb25c9e-65d1-47f0-8a74-e75ccab014aa</errorID>
      <errorWord>*</errorWord>
      <group>L1_Punc</group>
      <groupName>标点问题</groupName>
      <ability>L2_Punc_CN</ability>
      <abilityName>标点符号问题</abilityName>
      <candidateList/>
      <explain/>
      <paraID>6D630CEF</paraID>
      <start>0</start>
      <end>1</end>
      <status>unmodified</status>
      <modifiedWord/>
      <trackRevisions>false</trackRevisions>
    </reviewItem>
    <reviewItem>
      <errorID>28d686f8-3a4a-4b6c-8b6c-ea3ca52bcc08</errorID>
      <errorWord>*</errorWord>
      <group>L1_Punc</group>
      <groupName>标点问题</groupName>
      <ability>L2_Punc_CN</ability>
      <abilityName>标点符号问题</abilityName>
      <candidateList/>
      <explain/>
      <paraID>3576A22C</paraID>
      <start>0</start>
      <end>1</end>
      <status>unmodified</status>
      <modifiedWord/>
      <trackRevisions>false</trackRevisions>
    </reviewItem>
    <reviewItem>
      <errorID>efe7698d-de55-4aab-ba6e-cad41234ec59</errorID>
      <errorWord>*</errorWord>
      <group>L1_Punc</group>
      <groupName>标点问题</groupName>
      <ability>L2_Punc_CN</ability>
      <abilityName>标点符号问题</abilityName>
      <candidateList/>
      <explain/>
      <paraID>6ACD823E</paraID>
      <start>0</start>
      <end>1</end>
      <status>unmodified</status>
      <modifiedWord/>
      <trackRevisions>false</trackRevisions>
    </reviewItem>
    <reviewItem>
      <errorID>4e7f654a-9ce5-4e53-8e8d-5dffdbc4d561</errorID>
      <errorWord>详实</errorWord>
      <group>L1_Word</group>
      <groupName>字词问题</groupName>
      <ability>L2_Typo</ability>
      <abilityName>字词错误</abilityName>
      <candidateList>
        <item>翔实</item>
      </candidateList>
      <explain>存在发音相同字词的误用。</explain>
      <paraID>6EAAC4B1</paraID>
      <start>77</start>
      <end>79</end>
      <status>unmodified</status>
      <modifiedWord/>
      <trackRevisions>false</trackRevisions>
    </reviewItem>
    <reviewItem>
      <errorID>a5641576-8002-4aee-a24c-c8e195913e76</errorID>
      <errorWord>的</errorWord>
      <group>L1_Word</group>
      <groupName>字词问题</groupName>
      <ability>L2_DDD</ability>
      <abilityName>的地得用法</abilityName>
      <candidateList>
        <item>地</item>
      </candidateList>
      <explain/>
      <paraID>2848B329</paraID>
      <start>54</start>
      <end>55</end>
      <status>unmodified</status>
      <modifiedWord/>
      <trackRevisions>false</trackRevisions>
    </reviewItem>
    <reviewItem>
      <errorID>8b22a322-3d29-4536-95a4-e0d6aafff5bd</errorID>
      <errorWord>,</errorWord>
      <group>L1_Format</group>
      <groupName>格式问题</groupName>
      <ability>L2_HalfPunc_CN</ability>
      <abilityName>全半角问题</abilityName>
      <candidateList>
        <item>，</item>
      </candidateList>
      <explain>文本全半角错误。</explain>
      <paraID> E7D9C4B</paraID>
      <start>33</start>
      <end>34</end>
      <status>unmodified</status>
      <modifiedWord/>
      <trackRevisions>false</trackRevisions>
    </reviewItem>
    <reviewItem>
      <errorID>fe585713-cda3-4f0b-9ebe-807bab9ee3e9</errorID>
      <errorWord>的</errorWord>
      <group>L1_Word</group>
      <groupName>字词问题</groupName>
      <ability>L2_DDD</ability>
      <abilityName>的地得用法</abilityName>
      <candidateList>
        <item>地</item>
      </candidateList>
      <explain/>
      <paraID>5A4102E8</paraID>
      <start>25</start>
      <end>26</end>
      <status>unmodified</status>
      <modifiedWord/>
      <trackRevisions>false</trackRevisions>
    </reviewItem>
    <reviewItem>
      <errorID>e0084d15-a59f-43b3-897f-5a2c532f45c7</errorID>
      <errorWord>的</errorWord>
      <group>L1_Word</group>
      <groupName>字词问题</groupName>
      <ability>L2_DDD</ability>
      <abilityName>的地得用法</abilityName>
      <candidateList>
        <item>地</item>
      </candidateList>
      <explain/>
      <paraID>5A4102E8</paraID>
      <start>61</start>
      <end>62</end>
      <status>unmodified</status>
      <modifiedWord/>
      <trackRevisions>false</trackRevisions>
    </reviewItem>
    <reviewItem>
      <errorID>cc928f36-9951-40aa-bcd3-626609fc59af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295FFADF</paraID>
      <start>0</start>
      <end>2</end>
      <status>unmodified</status>
      <modifiedWord/>
      <trackRevisions>false</trackRevisions>
    </reviewItem>
    <reviewItem>
      <errorID>1b863809-0ccb-45f3-9e17-f101788a886d</errorID>
      <errorWord>对于</errorWord>
      <group>L1_Word</group>
      <groupName>字词问题</groupName>
      <ability>L2_Typo</ability>
      <abilityName>字词错误</abilityName>
      <candidateList>
        <item>对</item>
      </candidateList>
      <explain/>
      <paraID>622808D6</paraID>
      <start>26</start>
      <end>28</end>
      <status>unmodified</status>
      <modifiedWord/>
      <trackRevisions>false</trackRevisions>
    </reviewItem>
    <reviewItem>
      <errorID>5d5df48f-d2f1-4b38-93be-f408ce1134f7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747EACF3</paraID>
      <start>0</start>
      <end>2</end>
      <status>unmodified</status>
      <modifiedWord/>
      <trackRevisions>false</trackRevisions>
    </reviewItem>
    <reviewItem>
      <errorID>7b531006-b1f3-4588-b295-e95e25adfed9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1F37B15A</paraID>
      <start>13</start>
      <end>16</end>
      <status>unmodified</status>
      <modifiedWord/>
      <trackRevisions>false</trackRevisions>
    </reviewItem>
    <reviewItem>
      <errorID>066aacb1-2a8c-4586-9e39-594551acd6fc</errorID>
      <errorWord>其它</errorWord>
      <group>L1_Word</group>
      <groupName>字词问题</groupName>
      <ability>L2_Alias</ability>
      <abilityName>也作/曾用词</abilityName>
      <candidateList>
        <item>其他</item>
      </candidateList>
      <explain>词汇[其它]为不规范表述或旧称，其规范书面表述为[其他]。</explain>
      <paraID>653BD9F5</paraID>
      <start>104</start>
      <end>106</end>
      <status>unmodified</status>
      <modifiedWord/>
      <trackRevisions>false</trackRevisions>
    </reviewItem>
    <reviewItem>
      <errorID>b108f52a-9563-4b3d-92ab-a43176cae960</errorID>
      <errorWord>权力</errorWord>
      <group>L1_Word</group>
      <groupName>字词问题</groupName>
      <ability>L2_Typo</ability>
      <abilityName>字词错误</abilityName>
      <candidateList>
        <item>权</item>
      </candidateList>
      <explain/>
      <paraID>653BD9F5</paraID>
      <start>153</start>
      <end>155</end>
      <status>unmodified</status>
      <modifiedWord/>
      <trackRevisions>false</trackRevisions>
    </reviewItem>
    <reviewItem>
      <errorID>ca084f4b-6a06-45ec-83ca-203c680a8806</errorID>
      <errorWord>通讯保障</errorWord>
      <group>L1_Word</group>
      <groupName>字词问题</groupName>
      <ability>L2_Alias</ability>
      <abilityName>也作/曾用词</abilityName>
      <candidateList>
        <item>通信保障</item>
      </candidateList>
      <explain>词汇[通讯保障]为不规范表述或旧称，其规范书面表述为[通信保障]。</explain>
      <paraID>4425744E</paraID>
      <start>129</start>
      <end>133</end>
      <status>unmodified</status>
      <modifiedWord/>
      <trackRevisions>false</trackRevisions>
    </reviewItem>
    <reviewItem>
      <errorID>b71d6d8a-06d5-445c-b81d-04339acee103</errorID>
      <errorWord>(</errorWord>
      <group>L1_Format</group>
      <groupName>格式问题</groupName>
      <ability>L2_HalfPunc_CN</ability>
      <abilityName>全半角问题</abilityName>
      <candidateList>
        <item>（</item>
      </candidateList>
      <explain>文本全半角错误。</explain>
      <paraID>  5F8CAE</paraID>
      <start>41</start>
      <end>42</end>
      <status>unmodified</status>
      <modifiedWord/>
      <trackRevisions>false</trackRevisions>
    </reviewItem>
    <reviewItem>
      <errorID>955b25ee-5ff0-4201-bcc5-ef49d7de226d</errorID>
      <errorWord>(</errorWord>
      <group>L1_Format</group>
      <groupName>格式问题</groupName>
      <ability>L2_HalfPunc_CN</ability>
      <abilityName>全半角问题</abilityName>
      <candidateList>
        <item>（</item>
      </candidateList>
      <explain>文本全半角错误。</explain>
      <paraID>5AD68271</paraID>
      <start>25</start>
      <end>26</end>
      <status>unmodified</status>
      <modifiedWord/>
      <trackRevisions>false</trackRevisions>
    </reviewItem>
    <reviewItem>
      <errorID>1ecab576-fb3e-4fa6-9965-cdbd98c2afa5</errorID>
      <errorWord>（</errorWord>
      <group>L1_Word</group>
      <groupName>字词问题</groupName>
      <ability>L2_Typo</ability>
      <abilityName>字词错误</abilityName>
      <candidateList>
        <item>（一</item>
      </candidateList>
      <explain/>
      <paraID>37DFE2C7</paraID>
      <start>81</start>
      <end>82</end>
      <status>unmodified</status>
      <modifiedWord/>
      <trackRevisions>false</trackRevisions>
    </reviewItem>
    <reviewItem>
      <errorID>a7117a0e-4ac0-4a54-bb14-3cf1c824d5b4</errorID>
      <errorWord>(</errorWord>
      <group>L1_Format</group>
      <groupName>格式问题</groupName>
      <ability>L2_HalfPunc_CN</ability>
      <abilityName>全半角问题</abilityName>
      <candidateList>
        <item>（</item>
      </candidateList>
      <explain>文本全半角错误。</explain>
      <paraID>1A2AA17F</paraID>
      <start>0</start>
      <end>1</end>
      <status>unmodified</status>
      <modifiedWord/>
      <trackRevisions>false</trackRevisions>
    </reviewItem>
    <reviewItem>
      <errorID>100e71f8-0c29-4ae8-94c3-30814ff5e740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5F72E516</paraID>
      <start>83</start>
      <end>84</end>
      <status>unmodified</status>
      <modifiedWord/>
      <trackRevisions>false</trackRevisions>
    </reviewItem>
    <reviewItem>
      <errorID>26c5314e-82b0-4b10-9e9d-ef0996f398f4</errorID>
      <errorWord>[2011]300号</errorWord>
      <group>L1_Knowledge</group>
      <groupName>知识性问题</groupName>
      <ability>L2_Knowledge</ability>
      <abilityName>其他知识</abilityName>
      <candidateList>
        <item>〔2011〕300号</item>
      </candidateList>
      <explain>发文字号格式错误。</explain>
      <paraID>6AAD33DE</paraID>
      <start>99</start>
      <end>109</end>
      <status>unmodified</status>
      <modifiedWord/>
      <trackRevisions>false</trackRevisions>
    </reviewItem>
    <reviewItem>
      <errorID>01dc7909-7861-4d76-862a-934f9c5e3c62</errorID>
      <errorWord>《政府采购法》</errorWord>
      <group>L1_Word</group>
      <groupName>字词问题</groupName>
      <ability>L2_Typo</ability>
      <abilityName>字词错误</abilityName>
      <candidateList>
        <item>《中华人民共和国政府采购法》</item>
      </candidateList>
      <explain/>
      <paraID>5F4C11E4</paraID>
      <start>26</start>
      <end>33</end>
      <status>unmodified</status>
      <modifiedWord/>
      <trackRevisions>false</trackRevisions>
    </reviewItem>
    <reviewItem>
      <errorID>308d92aa-d7ff-4919-9779-1bf7727366f3</errorID>
      <errorWord>《政府采购法》</errorWord>
      <group>L1_Word</group>
      <groupName>字词问题</groupName>
      <ability>L2_Typo</ability>
      <abilityName>字词错误</abilityName>
      <candidateList>
        <item>《中华人民共和国政府采购法》</item>
      </candidateList>
      <explain/>
      <paraID>41FEF930</paraID>
      <start>28</start>
      <end>35</end>
      <status>unmodified</status>
      <modifiedWord/>
      <trackRevisions>false</trackRevisions>
    </reviewItem>
    <reviewItem>
      <errorID>29d9d39f-6d22-48a0-be6a-295c472d28e6</errorID>
      <errorWord>…………</errorWord>
      <group>L1_Punc</group>
      <groupName>标点问题</groupName>
      <ability>L2_Punc_CN</ability>
      <abilityName>标点符号问题</abilityName>
      <candidateList>
        <item>……</item>
      </candidateList>
      <explain/>
      <paraID>4E4ACA81</paraID>
      <start>0</start>
      <end>4</end>
      <status>unmodified</status>
      <modifiedWord/>
      <trackRevisions>false</trackRevisions>
    </reviewItem>
    <reviewItem>
      <errorID>13db7123-fb9c-41fd-aa3a-ac7337fa0f2e</errorID>
      <errorWord>…………</errorWord>
      <group>L1_Punc</group>
      <groupName>标点问题</groupName>
      <ability>L2_Punc_CN</ability>
      <abilityName>标点符号问题</abilityName>
      <candidateList>
        <item>……</item>
      </candidateList>
      <explain/>
      <paraID>420DF148</paraID>
      <start>0</start>
      <end>4</end>
      <status>unmodified</status>
      <modifiedWord/>
      <trackRevisions>false</trackRevisions>
    </reviewItem>
    <reviewItem>
      <errorID>7f9cdc3a-149a-434b-8778-ecfca76f9a0b</errorID>
      <errorWord>:</errorWord>
      <group>L1_Format</group>
      <groupName>格式问题</groupName>
      <ability>L2_HalfPunc_CN</ability>
      <abilityName>全半角问题</abilityName>
      <candidateList>
        <item>：</item>
      </candidateList>
      <explain>文本全半角错误。</explain>
      <paraID>51C9D1E2</paraID>
      <start>1</start>
      <end>2</end>
      <status>unmodified</status>
      <modifiedWord/>
      <trackRevisions>false</trackRevisions>
    </reviewItem>
    <reviewItem>
      <errorID>fed5543f-4c6a-41b5-8634-1fbc8592e8d0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716B7F0</paraID>
      <start>0</start>
      <end>2</end>
      <status>unmodified</status>
      <modifiedWord/>
      <trackRevisions>false</trackRevisions>
    </reviewItem>
    <reviewItem>
      <errorID>37b83ab7-62f9-40bf-b7df-a1b294d67753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187C74B5</paraID>
      <start>0</start>
      <end>2</end>
      <status>unmodified</status>
      <modifiedWord/>
      <trackRevisions>false</trackRevisions>
    </reviewItem>
    <reviewItem>
      <errorID>35c8b5bc-cff8-4a6f-953a-178eb044ac42</errorID>
      <errorWord>(</errorWord>
      <group>L1_Format</group>
      <groupName>格式问题</groupName>
      <ability>L2_HalfPunc_CN</ability>
      <abilityName>全半角问题</abilityName>
      <candidateList>
        <item>（</item>
      </candidateList>
      <explain>文本全半角错误。</explain>
      <paraID>187C74B5</paraID>
      <start>42</start>
      <end>43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E6C73CFD-8DBE-4340-8697-9197526418D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徐州分公司</cp:lastModifiedBy>
  <cp:revision>8</cp:revision>
  <dcterms:created xsi:type="dcterms:W3CDTF">2026-05-13T08:34:00Z</dcterms:created>
  <dcterms:modified xsi:type="dcterms:W3CDTF">2026-08-05T06:19:07Z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eyJoZGlkIjoiOGRhNzg1OGY1ODQ5ZDRmNmMwNzk4OTljZGM4M2MyMzIiLCJ1c2VySWQiOiIxMTMyNjE4MDE3In0=</vt:lpwstr>
  </property>
  <property fmtid="{D5CDD505-2E9C-101B-9397-08002B2CF9AE}" pid="3" name="KSOProductBuildVer">
    <vt:lpwstr>2052-12.1.0.28043</vt:lpwstr>
  </property>
  <property fmtid="{D5CDD505-2E9C-101B-9397-08002B2CF9AE}" pid="4" name="ICV">
    <vt:lpwstr>4E7A9A20F32A44908D857681E5D46BB9_13</vt:lpwstr>
  </property>
</Properties>
</file>